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60150D9" w14:textId="77777777" w:rsidR="00A66EDD" w:rsidRPr="00DD1EEC" w:rsidRDefault="00E22113" w:rsidP="00E22113">
      <w:pPr>
        <w:pStyle w:val="BATitle"/>
      </w:pPr>
      <w:r w:rsidRPr="00E22113">
        <w:t>Covalent Triazine Frameworks Incorporating Charged Polypyrrole Channels for High Performance Lithium-Sulfur Batteries</w:t>
      </w:r>
    </w:p>
    <w:p w14:paraId="1B8750DA" w14:textId="77777777" w:rsidR="0056262B" w:rsidRPr="00204963" w:rsidRDefault="00E22113" w:rsidP="00EA19F2">
      <w:pPr>
        <w:pStyle w:val="BBAuthorName"/>
      </w:pPr>
      <w:proofErr w:type="spellStart"/>
      <w:r w:rsidRPr="00204963">
        <w:t>Jiheon</w:t>
      </w:r>
      <w:proofErr w:type="spellEnd"/>
      <w:r w:rsidRPr="00204963">
        <w:t xml:space="preserve"> </w:t>
      </w:r>
      <w:proofErr w:type="gramStart"/>
      <w:r w:rsidRPr="00204963">
        <w:t>Kim</w:t>
      </w:r>
      <w:r w:rsidR="0056262B" w:rsidRPr="00204963">
        <w:t>,</w:t>
      </w:r>
      <w:r w:rsidR="0056262B" w:rsidRPr="00204963">
        <w:rPr>
          <w:vertAlign w:val="superscript"/>
          <w:lang w:eastAsia="ko-KR"/>
        </w:rPr>
        <w:t>†</w:t>
      </w:r>
      <w:proofErr w:type="gramEnd"/>
      <w:r w:rsidR="00564CA3" w:rsidRPr="00204963">
        <w:rPr>
          <w:vertAlign w:val="superscript"/>
          <w:lang w:eastAsia="ko-KR"/>
        </w:rPr>
        <w:t>,</w:t>
      </w:r>
      <w:r w:rsidR="00564CA3" w:rsidRPr="00204963">
        <w:rPr>
          <w:vertAlign w:val="superscript"/>
        </w:rPr>
        <w:t>‡</w:t>
      </w:r>
      <w:r w:rsidR="0056262B" w:rsidRPr="00204963">
        <w:t xml:space="preserve"> </w:t>
      </w:r>
      <w:r>
        <w:t xml:space="preserve">Ahmed </w:t>
      </w:r>
      <w:proofErr w:type="spellStart"/>
      <w:r>
        <w:t>Elabd</w:t>
      </w:r>
      <w:proofErr w:type="spellEnd"/>
      <w:r w:rsidR="0056262B" w:rsidRPr="00204963">
        <w:t>,</w:t>
      </w:r>
      <w:r w:rsidR="00564CA3" w:rsidRPr="00204963">
        <w:rPr>
          <w:vertAlign w:val="superscript"/>
        </w:rPr>
        <w:t>§,</w:t>
      </w:r>
      <w:r w:rsidR="0056262B" w:rsidRPr="00204963">
        <w:rPr>
          <w:vertAlign w:val="superscript"/>
        </w:rPr>
        <w:t>‡</w:t>
      </w:r>
      <w:r w:rsidR="0056262B" w:rsidRPr="00204963">
        <w:t xml:space="preserve"> </w:t>
      </w:r>
      <w:r w:rsidR="00EA19F2" w:rsidRPr="00EA19F2">
        <w:t>Sung-Yoon Chung</w:t>
      </w:r>
      <w:r w:rsidR="0056262B" w:rsidRPr="00204963">
        <w:t>,*</w:t>
      </w:r>
      <w:r w:rsidR="0056262B" w:rsidRPr="00204963">
        <w:rPr>
          <w:vertAlign w:val="superscript"/>
        </w:rPr>
        <w:t>,</w:t>
      </w:r>
      <w:r w:rsidR="00EA19F2" w:rsidRPr="00EA19F2">
        <w:rPr>
          <w:vertAlign w:val="superscript"/>
          <w:lang w:eastAsia="ko-KR"/>
        </w:rPr>
        <w:t xml:space="preserve"> </w:t>
      </w:r>
      <w:r w:rsidR="00EA19F2" w:rsidRPr="00204963">
        <w:rPr>
          <w:vertAlign w:val="superscript"/>
          <w:lang w:eastAsia="ko-KR"/>
        </w:rPr>
        <w:t>†</w:t>
      </w:r>
      <w:r w:rsidR="0056262B" w:rsidRPr="00204963">
        <w:t xml:space="preserve"> </w:t>
      </w:r>
      <w:r>
        <w:t>Ali Coskun</w:t>
      </w:r>
      <w:r w:rsidR="0056262B" w:rsidRPr="00204963">
        <w:t>,*</w:t>
      </w:r>
      <w:r w:rsidR="0056262B" w:rsidRPr="00204963">
        <w:rPr>
          <w:vertAlign w:val="superscript"/>
        </w:rPr>
        <w:t>,</w:t>
      </w:r>
      <w:r w:rsidR="00564CA3" w:rsidRPr="00204963">
        <w:rPr>
          <w:vertAlign w:val="superscript"/>
          <w:lang w:eastAsia="ko-KR"/>
        </w:rPr>
        <w:t xml:space="preserve"> §</w:t>
      </w:r>
      <w:r w:rsidR="0056262B" w:rsidRPr="00204963">
        <w:t xml:space="preserve"> Jang </w:t>
      </w:r>
      <w:proofErr w:type="spellStart"/>
      <w:r w:rsidR="0056262B" w:rsidRPr="00204963">
        <w:t>Wook</w:t>
      </w:r>
      <w:proofErr w:type="spellEnd"/>
      <w:r w:rsidR="0056262B" w:rsidRPr="00204963">
        <w:t xml:space="preserve"> Choi*</w:t>
      </w:r>
      <w:r w:rsidR="0056262B" w:rsidRPr="00204963">
        <w:rPr>
          <w:vertAlign w:val="superscript"/>
        </w:rPr>
        <w:t>,</w:t>
      </w:r>
      <w:r w:rsidR="00EA19F2" w:rsidRPr="00EA19F2">
        <w:rPr>
          <w:rFonts w:ascii="Times New Roman" w:hAnsi="Times New Roman"/>
          <w:vertAlign w:val="superscript"/>
          <w:lang w:eastAsia="ko-KR"/>
        </w:rPr>
        <w:t xml:space="preserve"> </w:t>
      </w:r>
      <w:r w:rsidR="00EA19F2">
        <w:rPr>
          <w:rFonts w:ascii="Times New Roman" w:hAnsi="Times New Roman"/>
          <w:vertAlign w:val="superscript"/>
          <w:lang w:eastAsia="ko-KR"/>
        </w:rPr>
        <w:t>ҩ</w:t>
      </w:r>
    </w:p>
    <w:p w14:paraId="313581A1" w14:textId="77777777" w:rsidR="00EA19F2" w:rsidRPr="00EA19F2" w:rsidRDefault="00EA19F2" w:rsidP="00AD5A1F">
      <w:pPr>
        <w:pStyle w:val="BCAuthorAddress"/>
      </w:pPr>
      <w:r w:rsidRPr="00275182">
        <w:rPr>
          <w:vertAlign w:val="superscript"/>
          <w:lang w:eastAsia="ko-KR"/>
        </w:rPr>
        <w:t>†</w:t>
      </w:r>
      <w:r w:rsidR="00AD5A1F" w:rsidRPr="00AD5A1F">
        <w:t>Department of Materials Science and Engineering</w:t>
      </w:r>
      <w:r w:rsidRPr="00275182">
        <w:t xml:space="preserve">, </w:t>
      </w:r>
      <w:r w:rsidR="00AD5A1F" w:rsidRPr="00AD5A1F">
        <w:t>Korea Advanced Institute of Science and Technology</w:t>
      </w:r>
      <w:r w:rsidRPr="00275182">
        <w:t xml:space="preserve">, </w:t>
      </w:r>
      <w:r w:rsidR="00AD5A1F" w:rsidRPr="00AD5A1F">
        <w:t xml:space="preserve">291 </w:t>
      </w:r>
      <w:proofErr w:type="spellStart"/>
      <w:r w:rsidR="00AD5A1F" w:rsidRPr="00AD5A1F">
        <w:t>Daehak-ro</w:t>
      </w:r>
      <w:proofErr w:type="spellEnd"/>
      <w:r w:rsidR="00AD5A1F" w:rsidRPr="00AD5A1F">
        <w:t xml:space="preserve">, </w:t>
      </w:r>
      <w:proofErr w:type="spellStart"/>
      <w:r w:rsidR="00AD5A1F" w:rsidRPr="00AD5A1F">
        <w:t>Yuseong-gu</w:t>
      </w:r>
      <w:proofErr w:type="spellEnd"/>
      <w:r w:rsidRPr="00275182">
        <w:t xml:space="preserve">, </w:t>
      </w:r>
      <w:r w:rsidR="00AD5A1F" w:rsidRPr="00AD5A1F">
        <w:t>Daejeon 34141, Republic of Korea</w:t>
      </w:r>
    </w:p>
    <w:p w14:paraId="6CBACD6F" w14:textId="77777777" w:rsidR="00EA19F2" w:rsidRPr="00EA19F2" w:rsidRDefault="00EA19F2" w:rsidP="00EA19F2">
      <w:pPr>
        <w:pStyle w:val="BIEmailAddress"/>
        <w:rPr>
          <w:sz w:val="20"/>
        </w:rPr>
      </w:pPr>
      <w:r w:rsidRPr="00275182">
        <w:rPr>
          <w:sz w:val="20"/>
          <w:vertAlign w:val="superscript"/>
          <w:lang w:eastAsia="ko-KR"/>
        </w:rPr>
        <w:t>§</w:t>
      </w:r>
      <w:r w:rsidRPr="00275182">
        <w:rPr>
          <w:sz w:val="20"/>
        </w:rPr>
        <w:t xml:space="preserve">Department of </w:t>
      </w:r>
      <w:r>
        <w:rPr>
          <w:sz w:val="20"/>
        </w:rPr>
        <w:t>Chemistry</w:t>
      </w:r>
      <w:r w:rsidRPr="00275182">
        <w:rPr>
          <w:sz w:val="20"/>
        </w:rPr>
        <w:t xml:space="preserve">, </w:t>
      </w:r>
      <w:r>
        <w:rPr>
          <w:sz w:val="20"/>
        </w:rPr>
        <w:t>University of Fribourg</w:t>
      </w:r>
      <w:r w:rsidRPr="00275182">
        <w:rPr>
          <w:sz w:val="20"/>
        </w:rPr>
        <w:t xml:space="preserve">, </w:t>
      </w:r>
      <w:proofErr w:type="spellStart"/>
      <w:r w:rsidRPr="00EA19F2">
        <w:rPr>
          <w:sz w:val="20"/>
        </w:rPr>
        <w:t>Chemin</w:t>
      </w:r>
      <w:proofErr w:type="spellEnd"/>
      <w:r w:rsidRPr="00EA19F2">
        <w:rPr>
          <w:sz w:val="20"/>
        </w:rPr>
        <w:t xml:space="preserve"> de </w:t>
      </w:r>
      <w:proofErr w:type="spellStart"/>
      <w:r w:rsidRPr="00EA19F2">
        <w:rPr>
          <w:sz w:val="20"/>
        </w:rPr>
        <w:t>Musee</w:t>
      </w:r>
      <w:proofErr w:type="spellEnd"/>
      <w:r w:rsidRPr="00EA19F2">
        <w:rPr>
          <w:sz w:val="20"/>
        </w:rPr>
        <w:t xml:space="preserve"> 9</w:t>
      </w:r>
      <w:r w:rsidRPr="00275182">
        <w:rPr>
          <w:sz w:val="20"/>
        </w:rPr>
        <w:t xml:space="preserve">, </w:t>
      </w:r>
      <w:r w:rsidRPr="00EA19F2">
        <w:rPr>
          <w:sz w:val="20"/>
        </w:rPr>
        <w:t>Fribourg 1700, Switzerland</w:t>
      </w:r>
      <w:r>
        <w:rPr>
          <w:sz w:val="20"/>
        </w:rPr>
        <w:t>.</w:t>
      </w:r>
    </w:p>
    <w:p w14:paraId="55681442" w14:textId="77777777" w:rsidR="0056262B" w:rsidRPr="00275182" w:rsidRDefault="00EA19F2" w:rsidP="0056262B">
      <w:pPr>
        <w:pStyle w:val="BCAuthorAddress"/>
      </w:pPr>
      <w:proofErr w:type="spellStart"/>
      <w:r>
        <w:rPr>
          <w:rFonts w:ascii="Times New Roman" w:hAnsi="Times New Roman"/>
          <w:vertAlign w:val="superscript"/>
          <w:lang w:eastAsia="ko-KR"/>
        </w:rPr>
        <w:t>ҩ</w:t>
      </w:r>
      <w:r w:rsidR="0056262B" w:rsidRPr="00275182">
        <w:t>School</w:t>
      </w:r>
      <w:proofErr w:type="spellEnd"/>
      <w:r w:rsidR="0056262B" w:rsidRPr="00275182">
        <w:t xml:space="preserve"> of Chemical and Biological Engineering and Institute of Chemical Processes, Seoul National University, 1 </w:t>
      </w:r>
      <w:proofErr w:type="spellStart"/>
      <w:r w:rsidR="0056262B" w:rsidRPr="00275182">
        <w:t>Gwanak-ro</w:t>
      </w:r>
      <w:proofErr w:type="spellEnd"/>
      <w:r w:rsidR="0056262B" w:rsidRPr="00275182">
        <w:t xml:space="preserve">, </w:t>
      </w:r>
      <w:proofErr w:type="spellStart"/>
      <w:r w:rsidR="0056262B" w:rsidRPr="00275182">
        <w:t>Gwanak-gu</w:t>
      </w:r>
      <w:proofErr w:type="spellEnd"/>
      <w:r w:rsidR="0056262B" w:rsidRPr="00275182">
        <w:t>, Seoul 08826, Republic of Korea</w:t>
      </w:r>
    </w:p>
    <w:p w14:paraId="14DE086A" w14:textId="77777777" w:rsidR="00A66EDD" w:rsidRPr="007F6792" w:rsidRDefault="00A66EDD" w:rsidP="007F6792">
      <w:pPr>
        <w:pStyle w:val="StyleBIEmailAddress95pt"/>
        <w:sectPr w:rsidR="00A66EDD" w:rsidRPr="007F6792" w:rsidSect="00984F9E">
          <w:footerReference w:type="even" r:id="rId8"/>
          <w:footerReference w:type="default" r:id="rId9"/>
          <w:type w:val="continuous"/>
          <w:pgSz w:w="12240" w:h="15840" w:code="1"/>
          <w:pgMar w:top="720" w:right="1094" w:bottom="720" w:left="1094" w:header="720" w:footer="720" w:gutter="0"/>
          <w:cols w:space="720"/>
          <w:titlePg/>
        </w:sectPr>
      </w:pPr>
    </w:p>
    <w:p w14:paraId="24F57538" w14:textId="77777777" w:rsidR="00552A07" w:rsidRPr="00BE533F" w:rsidRDefault="00552A07" w:rsidP="000D2628">
      <w:pPr>
        <w:pStyle w:val="BDAbstract"/>
      </w:pPr>
      <w:r w:rsidRPr="006532A9">
        <w:rPr>
          <w:rStyle w:val="BDAbstractTitleChar"/>
        </w:rPr>
        <w:t>ABSTRACT</w:t>
      </w:r>
      <w:r w:rsidR="006532A9" w:rsidRPr="006532A9">
        <w:rPr>
          <w:rStyle w:val="BDAbstractTitleChar"/>
        </w:rPr>
        <w:t>:</w:t>
      </w:r>
      <w:r w:rsidR="000D2628">
        <w:t xml:space="preserve"> </w:t>
      </w:r>
      <w:r w:rsidR="000D2628" w:rsidRPr="000D2628">
        <w:t xml:space="preserve">Organosulfur polymers have emerged as promising electrode materials for lithium-sulfur (Li-S) batteries, mainly due to their ability to incorporate and stabilize high sulfur contents. The low ionic and electronic conductivity of these polymers, however, limits their cycling performance at high active mass loadings. Moreover, Li-polysulfide (Li-PS) shuttling, a fatal phenomenon in the cyclability of Li-S batteries, can be mitigated </w:t>
      </w:r>
      <w:r w:rsidR="000D2628" w:rsidRPr="00260030">
        <w:rPr>
          <w:i/>
        </w:rPr>
        <w:t>via</w:t>
      </w:r>
      <w:r w:rsidR="000D2628" w:rsidRPr="000D2628">
        <w:t xml:space="preserve"> the entrapment of Li-PS by utilizing various supramolecular interactions. Here, we report a new approach that incorporates one-dimensional charged polypyrrole into a two-dimensional covalent triazine framework (cPpy-S-CTF) synthesized in the presence of elemental sulfur. The cPpy-S-CTF enabled sulfur loadings up to 83 </w:t>
      </w:r>
      <w:proofErr w:type="spellStart"/>
      <w:r w:rsidR="000D2628" w:rsidRPr="000D2628">
        <w:t>wt</w:t>
      </w:r>
      <w:proofErr w:type="spellEnd"/>
      <w:r w:rsidR="000D2628" w:rsidRPr="000D2628">
        <w:t xml:space="preserve">% thanks to the </w:t>
      </w:r>
      <w:proofErr w:type="spellStart"/>
      <w:r w:rsidR="000D2628" w:rsidRPr="000D2628">
        <w:t>perfluoroaryl</w:t>
      </w:r>
      <w:proofErr w:type="spellEnd"/>
      <w:r w:rsidR="000D2628" w:rsidRPr="000D2628">
        <w:rPr>
          <w:rFonts w:ascii="Cambria Math" w:hAnsi="Cambria Math" w:cs="Cambria Math"/>
        </w:rPr>
        <w:t>‐</w:t>
      </w:r>
      <w:r w:rsidR="000D2628" w:rsidRPr="000D2628">
        <w:t xml:space="preserve">elemental sulfur </w:t>
      </w:r>
      <w:proofErr w:type="spellStart"/>
      <w:r w:rsidR="000D2628" w:rsidRPr="000D2628">
        <w:t>SN</w:t>
      </w:r>
      <w:r w:rsidR="000D2628" w:rsidRPr="00EA19F2">
        <w:rPr>
          <w:vertAlign w:val="subscript"/>
        </w:rPr>
        <w:t>Ar</w:t>
      </w:r>
      <w:proofErr w:type="spellEnd"/>
      <w:r w:rsidR="000D2628" w:rsidRPr="000D2628">
        <w:t xml:space="preserve"> chemistry. Notably, the addition of charged polypyrrole, cPpy, triggered a 3D nanochannel formation in the cPpy-S-CTF with high-affinity anchoring sites towards Li-PS while achieving decent ionic and electronic conductivity. cPpy-S-CTF showed a remarkable electrochemical performance with a specific capacity of 1203.4 </w:t>
      </w:r>
      <w:proofErr w:type="spellStart"/>
      <w:r w:rsidR="000D2628" w:rsidRPr="000D2628">
        <w:t>mAh</w:t>
      </w:r>
      <w:proofErr w:type="spellEnd"/>
      <w:r w:rsidR="000D2628" w:rsidRPr="000D2628">
        <w:t xml:space="preserve"> g</w:t>
      </w:r>
      <w:r w:rsidR="000D2628" w:rsidRPr="00EA19F2">
        <w:rPr>
          <w:vertAlign w:val="superscript"/>
        </w:rPr>
        <w:t>−1</w:t>
      </w:r>
      <w:r w:rsidR="000D2628" w:rsidRPr="000D2628">
        <w:t xml:space="preserve"> at 0.05C, initial Coulombic efficiency of 94.1%, and capacity retention of 86.8% after 500 cycles. These results point to the fact that the incorporation of charged conducting polymers could be a universal strategy to boost the electrochemical performance of organosulfur polymers in Li-S batteries.</w:t>
      </w:r>
    </w:p>
    <w:p w14:paraId="779EAD59" w14:textId="77777777" w:rsidR="004E35E0" w:rsidRDefault="004E35E0" w:rsidP="00025D37">
      <w:pPr>
        <w:pStyle w:val="TAMainText"/>
        <w:sectPr w:rsidR="004E35E0" w:rsidSect="004E35E0">
          <w:type w:val="continuous"/>
          <w:pgSz w:w="12240" w:h="15840"/>
          <w:pgMar w:top="720" w:right="1094" w:bottom="720" w:left="1094" w:header="720" w:footer="720" w:gutter="0"/>
          <w:cols w:space="461"/>
        </w:sectPr>
      </w:pPr>
    </w:p>
    <w:p w14:paraId="1D6D1E87" w14:textId="77777777" w:rsidR="0056262B" w:rsidRPr="00F5511A" w:rsidRDefault="0056262B" w:rsidP="00025D37">
      <w:pPr>
        <w:pStyle w:val="TAMainText"/>
        <w:rPr>
          <w:sz w:val="22"/>
          <w:szCs w:val="22"/>
        </w:rPr>
      </w:pPr>
      <w:r w:rsidRPr="00F5511A">
        <w:t>INTRODUCTION</w:t>
      </w:r>
    </w:p>
    <w:p w14:paraId="7E38E9CB" w14:textId="30EDA79C" w:rsidR="00270E96" w:rsidRDefault="000D2628" w:rsidP="00025D37">
      <w:pPr>
        <w:pStyle w:val="TAMainText"/>
        <w:sectPr w:rsidR="00270E96" w:rsidSect="005D5DF7">
          <w:type w:val="continuous"/>
          <w:pgSz w:w="12240" w:h="15840"/>
          <w:pgMar w:top="720" w:right="1094" w:bottom="720" w:left="1094" w:header="720" w:footer="720" w:gutter="0"/>
          <w:cols w:num="2" w:space="461"/>
        </w:sectPr>
      </w:pPr>
      <w:r>
        <w:t xml:space="preserve">The large-scale adaptation of renewable energy in households and public sectors as well as the timely and broad dissemination of electric vehicles necessitate the development of low-cost, high energy density energy storage systems. In this direction, </w:t>
      </w:r>
      <w:r w:rsidR="001510B6" w:rsidRPr="00B829C3">
        <w:rPr>
          <w:highlight w:val="yellow"/>
        </w:rPr>
        <w:t>lithium-sulfur (</w:t>
      </w:r>
      <w:r w:rsidR="00D36A86" w:rsidRPr="001510B6">
        <w:rPr>
          <w:highlight w:val="yellow"/>
          <w:lang w:eastAsia="ko-KR"/>
        </w:rPr>
        <w:t>Li-S</w:t>
      </w:r>
      <w:r w:rsidR="001510B6" w:rsidRPr="00C17D62">
        <w:rPr>
          <w:highlight w:val="yellow"/>
          <w:lang w:eastAsia="ko-KR"/>
        </w:rPr>
        <w:t>)</w:t>
      </w:r>
      <w:r w:rsidR="000022F1" w:rsidRPr="001510B6">
        <w:rPr>
          <w:highlight w:val="yellow"/>
        </w:rPr>
        <w:t xml:space="preserve"> </w:t>
      </w:r>
      <w:r w:rsidR="000022F1" w:rsidRPr="00B829C3">
        <w:t>batteries</w:t>
      </w:r>
      <w:r>
        <w:t xml:space="preserve"> with the high theoretical specific energy density of 2600 </w:t>
      </w:r>
      <w:proofErr w:type="spellStart"/>
      <w:r>
        <w:t>Wh</w:t>
      </w:r>
      <w:proofErr w:type="spellEnd"/>
      <w:r>
        <w:t xml:space="preserve"> kg</w:t>
      </w:r>
      <w:r w:rsidRPr="000D2628">
        <w:rPr>
          <w:vertAlign w:val="superscript"/>
        </w:rPr>
        <w:t>–1</w:t>
      </w:r>
      <w:r>
        <w:t xml:space="preserve"> and low-cost of raw materials has emerged as a promising candidate.  In addition, the large-scale utilization of elemental sulfur is highly feasible considering the global supply surplus of sulfur due to its involuntary production from the purification of natural gas and oil by a process called “hydrodesulfurization”.</w:t>
      </w:r>
      <w:r w:rsidRPr="000D2628">
        <w:rPr>
          <w:vertAlign w:val="superscript"/>
        </w:rPr>
        <w:t>1-3</w:t>
      </w:r>
      <w:r>
        <w:t xml:space="preserve"> Aside from these noticeable</w:t>
      </w:r>
      <w:r w:rsidR="00A202E0">
        <w:t xml:space="preserve"> characteristics of </w:t>
      </w:r>
      <w:r w:rsidR="00A202E0" w:rsidRPr="00A202E0">
        <w:rPr>
          <w:highlight w:val="yellow"/>
        </w:rPr>
        <w:t>Li-S batte</w:t>
      </w:r>
      <w:r w:rsidR="00A202E0" w:rsidRPr="00A202E0">
        <w:rPr>
          <w:rFonts w:hint="eastAsia"/>
          <w:highlight w:val="yellow"/>
          <w:lang w:eastAsia="ko-KR"/>
        </w:rPr>
        <w:t>ries</w:t>
      </w:r>
      <w:r>
        <w:t>, there is still a significant gap for its broad practical use due to the fact that (1) Li-S chemistry is based on solid-liquid-solid transition that involves the insulating solid phases of elemental sulfur and Li</w:t>
      </w:r>
      <w:r w:rsidRPr="00A21E50">
        <w:rPr>
          <w:vertAlign w:val="subscript"/>
        </w:rPr>
        <w:t>2</w:t>
      </w:r>
      <w:r>
        <w:t>S, thus suffering from the interfacial resistance during charging and discharging, (2) the dissolution of lithium polysulfides (Li-PS) in the electrolyte results in an inevitable shuttling of lithiated reaction products that impairs the reversibility of discharge-charge in each cycle,</w:t>
      </w:r>
      <w:r w:rsidRPr="000D2628">
        <w:rPr>
          <w:vertAlign w:val="superscript"/>
        </w:rPr>
        <w:t>4-</w:t>
      </w:r>
      <w:r w:rsidR="000B6D38" w:rsidRPr="00DD63C6">
        <w:rPr>
          <w:highlight w:val="yellow"/>
          <w:vertAlign w:val="superscript"/>
        </w:rPr>
        <w:t>8</w:t>
      </w:r>
      <w:r>
        <w:t xml:space="preserve"> and (3) volume expansion up to 80%, which makes it nontrivial to keep the mechanical stability of a sulfur electrode.  In order to address these challenges, there have been two main approaches, namely, physical and chemical confinement of sulfur.  The first approach involves the utilization of highly porous conducting hosts such as ordered mesoporous carbon (CMK-3),</w:t>
      </w:r>
      <w:r w:rsidR="00BC618C" w:rsidRPr="00466750">
        <w:rPr>
          <w:vertAlign w:val="superscript"/>
        </w:rPr>
        <w:t>9</w:t>
      </w:r>
      <w:r>
        <w:t xml:space="preserve"> hierarchical porous carbon (HPC),</w:t>
      </w:r>
      <w:r w:rsidR="00BC618C" w:rsidRPr="00466750">
        <w:rPr>
          <w:vertAlign w:val="superscript"/>
        </w:rPr>
        <w:t>9</w:t>
      </w:r>
      <w:r>
        <w:t xml:space="preserve"> carbon nanotubes,</w:t>
      </w:r>
      <w:r w:rsidR="00BC618C">
        <w:rPr>
          <w:vertAlign w:val="superscript"/>
        </w:rPr>
        <w:t>10</w:t>
      </w:r>
      <w:r>
        <w:t xml:space="preserve"> porous carbon fibers,</w:t>
      </w:r>
      <w:r w:rsidRPr="000D2628">
        <w:rPr>
          <w:vertAlign w:val="superscript"/>
        </w:rPr>
        <w:t>1</w:t>
      </w:r>
      <w:r w:rsidR="00BC618C">
        <w:rPr>
          <w:vertAlign w:val="superscript"/>
        </w:rPr>
        <w:t>1</w:t>
      </w:r>
      <w:r>
        <w:t xml:space="preserve"> carbon sphere,</w:t>
      </w:r>
      <w:r w:rsidRPr="000D2628">
        <w:rPr>
          <w:vertAlign w:val="superscript"/>
        </w:rPr>
        <w:t>1</w:t>
      </w:r>
      <w:r w:rsidR="00BC618C">
        <w:rPr>
          <w:vertAlign w:val="superscript"/>
        </w:rPr>
        <w:t>2</w:t>
      </w:r>
      <w:r>
        <w:t xml:space="preserve"> graphene, graphene oxide,</w:t>
      </w:r>
      <w:r w:rsidRPr="000D2628">
        <w:rPr>
          <w:vertAlign w:val="superscript"/>
        </w:rPr>
        <w:t>1</w:t>
      </w:r>
      <w:r w:rsidR="00BC618C">
        <w:rPr>
          <w:vertAlign w:val="superscript"/>
        </w:rPr>
        <w:t>3</w:t>
      </w:r>
      <w:r w:rsidRPr="000D2628">
        <w:rPr>
          <w:vertAlign w:val="superscript"/>
        </w:rPr>
        <w:t>-1</w:t>
      </w:r>
      <w:r w:rsidR="00BC618C">
        <w:rPr>
          <w:vertAlign w:val="superscript"/>
        </w:rPr>
        <w:t>6</w:t>
      </w:r>
      <w:r>
        <w:t xml:space="preserve"> covalent organic framework (COF),</w:t>
      </w:r>
      <w:r w:rsidRPr="000D2628">
        <w:rPr>
          <w:vertAlign w:val="superscript"/>
        </w:rPr>
        <w:t>1</w:t>
      </w:r>
      <w:r w:rsidR="00BC618C">
        <w:rPr>
          <w:vertAlign w:val="superscript"/>
        </w:rPr>
        <w:t>7</w:t>
      </w:r>
      <w:r w:rsidRPr="000D2628">
        <w:rPr>
          <w:vertAlign w:val="superscript"/>
        </w:rPr>
        <w:t>-1</w:t>
      </w:r>
      <w:r w:rsidR="00BC618C">
        <w:rPr>
          <w:vertAlign w:val="superscript"/>
        </w:rPr>
        <w:t>9</w:t>
      </w:r>
      <w:r>
        <w:t xml:space="preserve"> metal-organic framework (MOF),</w:t>
      </w:r>
      <w:r w:rsidR="00BC618C">
        <w:rPr>
          <w:vertAlign w:val="superscript"/>
        </w:rPr>
        <w:t>20-</w:t>
      </w:r>
      <w:r w:rsidR="00BC618C" w:rsidRPr="00DD63C6">
        <w:rPr>
          <w:highlight w:val="yellow"/>
          <w:vertAlign w:val="superscript"/>
        </w:rPr>
        <w:t>23</w:t>
      </w:r>
      <w:r>
        <w:t xml:space="preserve"> porous organic polymers,</w:t>
      </w:r>
      <w:r w:rsidRPr="000D2628">
        <w:rPr>
          <w:vertAlign w:val="superscript"/>
        </w:rPr>
        <w:t>2</w:t>
      </w:r>
      <w:r w:rsidR="00BC618C">
        <w:rPr>
          <w:vertAlign w:val="superscript"/>
        </w:rPr>
        <w:t>4</w:t>
      </w:r>
      <w:r>
        <w:t xml:space="preserve"> and conducting polymers</w:t>
      </w:r>
      <w:r w:rsidRPr="000D2628">
        <w:rPr>
          <w:vertAlign w:val="superscript"/>
        </w:rPr>
        <w:t>2</w:t>
      </w:r>
      <w:r w:rsidR="00BC618C">
        <w:rPr>
          <w:vertAlign w:val="superscript"/>
        </w:rPr>
        <w:t>5</w:t>
      </w:r>
      <w:r w:rsidRPr="000D2628">
        <w:rPr>
          <w:vertAlign w:val="superscript"/>
        </w:rPr>
        <w:t>-2</w:t>
      </w:r>
      <w:r w:rsidR="00BC618C">
        <w:rPr>
          <w:vertAlign w:val="superscript"/>
        </w:rPr>
        <w:t>7</w:t>
      </w:r>
      <w:r w:rsidRPr="000D2628">
        <w:rPr>
          <w:vertAlign w:val="superscript"/>
        </w:rPr>
        <w:t xml:space="preserve"> </w:t>
      </w:r>
      <w:r>
        <w:t xml:space="preserve">as hosts for the </w:t>
      </w:r>
      <w:r>
        <w:t>physical confinement of elemental sulfur. Though these approaches have improved the cycling performance to large extents, the dissolution of Li-PS and its shuttling due to the lack of specific interactions and low binding energy between the host and Li-PS led to a capacity decay especially at high sulfur loadings.</w:t>
      </w:r>
      <w:r w:rsidRPr="000D2628">
        <w:rPr>
          <w:vertAlign w:val="superscript"/>
        </w:rPr>
        <w:t>2</w:t>
      </w:r>
      <w:r w:rsidR="00BC618C">
        <w:rPr>
          <w:vertAlign w:val="superscript"/>
        </w:rPr>
        <w:t>8</w:t>
      </w:r>
      <w:r>
        <w:t xml:space="preserve"> Recently, surface coating of a porous carbon host using a cationic polymer has been shown to alleviate Li-PS shuttling.</w:t>
      </w:r>
      <w:r w:rsidRPr="000D2628">
        <w:rPr>
          <w:vertAlign w:val="superscript"/>
        </w:rPr>
        <w:t>2</w:t>
      </w:r>
      <w:r w:rsidR="00BC618C">
        <w:rPr>
          <w:vertAlign w:val="superscript"/>
        </w:rPr>
        <w:t>9</w:t>
      </w:r>
      <w:r>
        <w:t xml:space="preserve"> In addition, in the context of physical confinement, the coating of a conductive layer on the separator</w:t>
      </w:r>
      <w:r w:rsidR="00BC618C">
        <w:rPr>
          <w:vertAlign w:val="superscript"/>
        </w:rPr>
        <w:t>30</w:t>
      </w:r>
      <w:r w:rsidRPr="000D2628">
        <w:rPr>
          <w:vertAlign w:val="superscript"/>
        </w:rPr>
        <w:t>-3</w:t>
      </w:r>
      <w:r w:rsidR="00BC618C">
        <w:rPr>
          <w:vertAlign w:val="superscript"/>
        </w:rPr>
        <w:t>3</w:t>
      </w:r>
      <w:r w:rsidRPr="000D2628">
        <w:rPr>
          <w:vertAlign w:val="superscript"/>
        </w:rPr>
        <w:t xml:space="preserve"> </w:t>
      </w:r>
      <w:r>
        <w:t>or on the host material</w:t>
      </w:r>
      <w:r w:rsidRPr="000D2628">
        <w:rPr>
          <w:vertAlign w:val="superscript"/>
        </w:rPr>
        <w:t>3</w:t>
      </w:r>
      <w:r w:rsidR="00BC618C">
        <w:rPr>
          <w:vertAlign w:val="superscript"/>
        </w:rPr>
        <w:t>2</w:t>
      </w:r>
      <w:r w:rsidRPr="000D2628">
        <w:rPr>
          <w:vertAlign w:val="superscript"/>
        </w:rPr>
        <w:t>,3</w:t>
      </w:r>
      <w:r w:rsidR="00BC618C">
        <w:rPr>
          <w:vertAlign w:val="superscript"/>
        </w:rPr>
        <w:t>4</w:t>
      </w:r>
      <w:r w:rsidRPr="000D2628">
        <w:rPr>
          <w:vertAlign w:val="superscript"/>
        </w:rPr>
        <w:t xml:space="preserve"> </w:t>
      </w:r>
      <w:r>
        <w:t>has been demonstrated to increase electronic and ionic conductivity.</w:t>
      </w:r>
      <w:r w:rsidRPr="000D2628">
        <w:rPr>
          <w:vertAlign w:val="superscript"/>
        </w:rPr>
        <w:t>3</w:t>
      </w:r>
      <w:r w:rsidR="00BC618C">
        <w:rPr>
          <w:vertAlign w:val="superscript"/>
        </w:rPr>
        <w:t>5</w:t>
      </w:r>
      <w:r w:rsidR="00081E50">
        <w:rPr>
          <w:vertAlign w:val="superscript"/>
        </w:rPr>
        <w:t>,</w:t>
      </w:r>
      <w:r w:rsidRPr="000D2628">
        <w:rPr>
          <w:vertAlign w:val="superscript"/>
        </w:rPr>
        <w:t>3</w:t>
      </w:r>
      <w:r w:rsidR="00BC618C">
        <w:rPr>
          <w:vertAlign w:val="superscript"/>
        </w:rPr>
        <w:t>6</w:t>
      </w:r>
      <w:r>
        <w:t xml:space="preserve"> The second approach is the chemical confinement based on strong chemical bonding between sulfur and polymeric host. This approach is rather promising as it allows homogeneous distribution and efficient stabilization of sulfur.</w:t>
      </w:r>
      <w:r w:rsidRPr="000D2628">
        <w:rPr>
          <w:vertAlign w:val="superscript"/>
        </w:rPr>
        <w:t>3</w:t>
      </w:r>
      <w:r w:rsidR="00BC618C">
        <w:rPr>
          <w:vertAlign w:val="superscript"/>
        </w:rPr>
        <w:t>7</w:t>
      </w:r>
      <w:r w:rsidRPr="000D2628">
        <w:rPr>
          <w:vertAlign w:val="superscript"/>
        </w:rPr>
        <w:t>-</w:t>
      </w:r>
      <w:r w:rsidR="00BC618C" w:rsidRPr="00DD63C6">
        <w:rPr>
          <w:highlight w:val="yellow"/>
          <w:vertAlign w:val="superscript"/>
        </w:rPr>
        <w:t>45</w:t>
      </w:r>
      <w:r>
        <w:t xml:space="preserve"> Having recognized the importance of strong bonding between sulfur and host material, inverse vulcanization strategy has been developed to form sulfur-rich copolymers by </w:t>
      </w:r>
      <w:proofErr w:type="spellStart"/>
      <w:r>
        <w:t>radicalic</w:t>
      </w:r>
      <w:proofErr w:type="spellEnd"/>
      <w:r>
        <w:t xml:space="preserve"> copolymerization of sulfur and organic monomers.</w:t>
      </w:r>
      <w:r w:rsidRPr="000D2628">
        <w:rPr>
          <w:vertAlign w:val="superscript"/>
        </w:rPr>
        <w:t>4</w:t>
      </w:r>
      <w:r w:rsidR="00BC618C">
        <w:rPr>
          <w:vertAlign w:val="superscript"/>
        </w:rPr>
        <w:t>6</w:t>
      </w:r>
      <w:r w:rsidRPr="000D2628">
        <w:rPr>
          <w:vertAlign w:val="superscript"/>
        </w:rPr>
        <w:t>-4</w:t>
      </w:r>
      <w:r w:rsidR="00BC618C">
        <w:rPr>
          <w:vertAlign w:val="superscript"/>
        </w:rPr>
        <w:t>9</w:t>
      </w:r>
      <w:r>
        <w:t xml:space="preserve"> While the chemical confinement approach enabled strong binding for sulfur along with high sulfur contents (&gt; 80 </w:t>
      </w:r>
      <w:proofErr w:type="spellStart"/>
      <w:r>
        <w:t>wt</w:t>
      </w:r>
      <w:proofErr w:type="spellEnd"/>
      <w:r>
        <w:t>%), it is still desired to have multiple conducting pathways involving anchoring sites i.e., the heteroatoms, and charged sites, to facilitate efficient ionic and electronic transport at substantial sulfur loadings.</w:t>
      </w:r>
      <w:r w:rsidR="00BC618C">
        <w:rPr>
          <w:vertAlign w:val="superscript"/>
        </w:rPr>
        <w:t>50</w:t>
      </w:r>
      <w:r>
        <w:t xml:space="preserve"> Recently, elemental sulfur mediated synthesis of a covalent triazine framework</w:t>
      </w:r>
      <w:r w:rsidR="00C470FE">
        <w:t xml:space="preserve"> </w:t>
      </w:r>
      <w:r w:rsidR="00C470FE" w:rsidRPr="0033364C">
        <w:t>(CTF)</w:t>
      </w:r>
      <w:r>
        <w:t xml:space="preserve"> </w:t>
      </w:r>
      <w:r w:rsidRPr="00260030">
        <w:rPr>
          <w:i/>
        </w:rPr>
        <w:t>via</w:t>
      </w:r>
      <w:r>
        <w:t xml:space="preserve"> the trimerization of aromatic nitriles has been reported.</w:t>
      </w:r>
      <w:r w:rsidR="00BC618C">
        <w:rPr>
          <w:vertAlign w:val="superscript"/>
        </w:rPr>
        <w:t>51</w:t>
      </w:r>
      <w:r>
        <w:t xml:space="preserve"> This approach enabled the in-situ formation of a conjugated 2D polymeric host bearing nitrogen atoms as anchoring sites for Li</w:t>
      </w:r>
      <w:r w:rsidRPr="000D2628">
        <w:rPr>
          <w:vertAlign w:val="superscript"/>
        </w:rPr>
        <w:t>+</w:t>
      </w:r>
      <w:r>
        <w:t xml:space="preserve"> while achieving homogeneous distribution of sulfur and its chemical impregnation onto the backbone thorough radical </w:t>
      </w:r>
    </w:p>
    <w:p w14:paraId="686E1F42" w14:textId="77777777" w:rsidR="00270E96" w:rsidRPr="00270E96" w:rsidRDefault="00B05F22" w:rsidP="00025D37">
      <w:pPr>
        <w:pStyle w:val="TAMainText"/>
      </w:pPr>
      <w:r w:rsidRPr="00B05F22">
        <w:rPr>
          <w:noProof/>
          <w:lang w:eastAsia="ko-KR"/>
        </w:rPr>
        <w:lastRenderedPageBreak/>
        <w:drawing>
          <wp:inline distT="0" distB="0" distL="0" distR="0" wp14:anchorId="325B4AA3" wp14:editId="6A0F1F13">
            <wp:extent cx="5768341" cy="3547541"/>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0"/>
                    <a:stretch>
                      <a:fillRect/>
                    </a:stretch>
                  </pic:blipFill>
                  <pic:spPr>
                    <a:xfrm>
                      <a:off x="0" y="0"/>
                      <a:ext cx="5815065" cy="3576276"/>
                    </a:xfrm>
                    <a:prstGeom prst="rect">
                      <a:avLst/>
                    </a:prstGeom>
                  </pic:spPr>
                </pic:pic>
              </a:graphicData>
            </a:graphic>
          </wp:inline>
        </w:drawing>
      </w:r>
    </w:p>
    <w:p w14:paraId="63B21365" w14:textId="24C9FEBA" w:rsidR="00270E96" w:rsidRPr="00270E96" w:rsidRDefault="00270E96" w:rsidP="00025D37">
      <w:pPr>
        <w:pStyle w:val="TAMainText"/>
        <w:rPr>
          <w:b/>
        </w:rPr>
      </w:pPr>
      <w:r w:rsidRPr="00270E96">
        <w:rPr>
          <w:b/>
        </w:rPr>
        <w:t xml:space="preserve">Figure </w:t>
      </w:r>
      <w:r w:rsidRPr="00270E96">
        <w:rPr>
          <w:b/>
        </w:rPr>
        <w:fldChar w:fldCharType="begin"/>
      </w:r>
      <w:r w:rsidRPr="00270E96">
        <w:rPr>
          <w:b/>
        </w:rPr>
        <w:instrText xml:space="preserve"> SEQ Figure \* ARABIC </w:instrText>
      </w:r>
      <w:r w:rsidRPr="00270E96">
        <w:rPr>
          <w:b/>
        </w:rPr>
        <w:fldChar w:fldCharType="separate"/>
      </w:r>
      <w:r w:rsidR="0045687A">
        <w:rPr>
          <w:b/>
          <w:noProof/>
        </w:rPr>
        <w:t>1</w:t>
      </w:r>
      <w:r w:rsidRPr="00270E96">
        <w:fldChar w:fldCharType="end"/>
      </w:r>
      <w:r w:rsidRPr="00270E96">
        <w:rPr>
          <w:b/>
        </w:rPr>
        <w:t xml:space="preserve">. </w:t>
      </w:r>
      <w:r w:rsidRPr="00270E96">
        <w:t xml:space="preserve">Figure 1. Synthetic scheme for the elemental sulfur-mediated synthesis of cPpy-S-CTFs incorporating different amounts of </w:t>
      </w:r>
      <w:proofErr w:type="spellStart"/>
      <w:r w:rsidRPr="00270E96">
        <w:t>cPpy</w:t>
      </w:r>
      <w:proofErr w:type="spellEnd"/>
      <w:r w:rsidRPr="00270E96">
        <w:t xml:space="preserve"> </w:t>
      </w:r>
      <w:r w:rsidRPr="00260030">
        <w:rPr>
          <w:i/>
        </w:rPr>
        <w:t>via</w:t>
      </w:r>
      <w:r w:rsidRPr="00270E96">
        <w:t xml:space="preserve"> </w:t>
      </w:r>
      <w:proofErr w:type="spellStart"/>
      <w:r w:rsidRPr="00270E96">
        <w:t>SN</w:t>
      </w:r>
      <w:r w:rsidRPr="00270E96">
        <w:rPr>
          <w:vertAlign w:val="subscript"/>
        </w:rPr>
        <w:t>Ar</w:t>
      </w:r>
      <w:proofErr w:type="spellEnd"/>
      <w:r w:rsidRPr="00270E96">
        <w:t xml:space="preserve"> chemistry and inverse vulcanization.</w:t>
      </w:r>
    </w:p>
    <w:p w14:paraId="419F0386" w14:textId="77777777" w:rsidR="00270E96" w:rsidRDefault="00270E96" w:rsidP="00025D37">
      <w:pPr>
        <w:pStyle w:val="TAMainText"/>
      </w:pPr>
    </w:p>
    <w:p w14:paraId="0C5712DC" w14:textId="77777777" w:rsidR="00270E96" w:rsidRDefault="00270E96" w:rsidP="00025D37">
      <w:pPr>
        <w:pStyle w:val="TAMainText"/>
        <w:sectPr w:rsidR="00270E96" w:rsidSect="00270E96">
          <w:type w:val="continuous"/>
          <w:pgSz w:w="12240" w:h="15840"/>
          <w:pgMar w:top="720" w:right="1094" w:bottom="720" w:left="1094" w:header="720" w:footer="720" w:gutter="0"/>
          <w:cols w:space="461"/>
        </w:sectPr>
      </w:pPr>
    </w:p>
    <w:p w14:paraId="037B39F9" w14:textId="21BD7E8F" w:rsidR="000D2628" w:rsidRDefault="000D2628" w:rsidP="00025D37">
      <w:pPr>
        <w:pStyle w:val="TAMainText"/>
      </w:pPr>
      <w:r>
        <w:t xml:space="preserve">C-H insertion reaction, leading to a sulfur content of 62 </w:t>
      </w:r>
      <w:proofErr w:type="spellStart"/>
      <w:r>
        <w:t>wt</w:t>
      </w:r>
      <w:proofErr w:type="spellEnd"/>
      <w:r>
        <w:t xml:space="preserve">%. </w:t>
      </w:r>
      <w:r w:rsidR="005229C6">
        <w:t>In</w:t>
      </w:r>
      <w:r w:rsidR="00201CBE">
        <w:rPr>
          <w:rFonts w:hint="eastAsia"/>
          <w:lang w:eastAsia="ko-KR"/>
        </w:rPr>
        <w:t xml:space="preserve"> </w:t>
      </w:r>
      <w:r>
        <w:t xml:space="preserve">order to further increase the sulfur content of the organosulfur polymers, </w:t>
      </w:r>
      <w:proofErr w:type="spellStart"/>
      <w:r>
        <w:t>perfluoroaryl</w:t>
      </w:r>
      <w:proofErr w:type="spellEnd"/>
      <w:r>
        <w:rPr>
          <w:rFonts w:ascii="Cambria Math" w:hAnsi="Cambria Math" w:cs="Cambria Math"/>
        </w:rPr>
        <w:t>‐</w:t>
      </w:r>
      <w:r>
        <w:t>elemental sulfur nucleophilic aromatic substitution reaction (</w:t>
      </w:r>
      <w:proofErr w:type="spellStart"/>
      <w:r>
        <w:t>SN</w:t>
      </w:r>
      <w:r w:rsidRPr="006469F1">
        <w:rPr>
          <w:vertAlign w:val="subscript"/>
        </w:rPr>
        <w:t>Ar</w:t>
      </w:r>
      <w:proofErr w:type="spellEnd"/>
      <w:r>
        <w:t>) chemistry was introduced.</w:t>
      </w:r>
      <w:r w:rsidR="00BC618C">
        <w:rPr>
          <w:vertAlign w:val="superscript"/>
        </w:rPr>
        <w:t>52</w:t>
      </w:r>
      <w:r w:rsidR="00081E50">
        <w:rPr>
          <w:vertAlign w:val="superscript"/>
        </w:rPr>
        <w:t>,</w:t>
      </w:r>
      <w:r w:rsidR="00BC618C">
        <w:rPr>
          <w:vertAlign w:val="superscript"/>
        </w:rPr>
        <w:t>53</w:t>
      </w:r>
      <w:r>
        <w:t xml:space="preserve"> The synthesis of the organosulfur polymer called SF-CTF was achieved by the trimerization of </w:t>
      </w:r>
      <w:proofErr w:type="spellStart"/>
      <w:r>
        <w:t>perfluorinated</w:t>
      </w:r>
      <w:proofErr w:type="spellEnd"/>
      <w:r>
        <w:t xml:space="preserve"> </w:t>
      </w:r>
      <w:proofErr w:type="spellStart"/>
      <w:r>
        <w:t>arylcyanides</w:t>
      </w:r>
      <w:proofErr w:type="spellEnd"/>
      <w:r>
        <w:t xml:space="preserve"> while sulfur is simultaneously impregnated, thus enabling sulfur contents &gt;80 </w:t>
      </w:r>
      <w:proofErr w:type="spellStart"/>
      <w:r>
        <w:t>wt</w:t>
      </w:r>
      <w:proofErr w:type="spellEnd"/>
      <w:r>
        <w:t xml:space="preserve">%. These examples clearly signify the importance of the chemistry of sulfur insertion to achieve </w:t>
      </w:r>
      <w:r w:rsidR="00381243">
        <w:t xml:space="preserve">a </w:t>
      </w:r>
      <w:r>
        <w:t xml:space="preserve">high sulfur content.  Due to the limited conductivity of organosulfur polymers, however, further improvements in mass loading, specific capacity and cycling stability have been hindered. </w:t>
      </w:r>
    </w:p>
    <w:p w14:paraId="296BB3D7" w14:textId="7F5F4AE6" w:rsidR="005229C6" w:rsidRDefault="000D2628" w:rsidP="00025D37">
      <w:pPr>
        <w:pStyle w:val="TAMainText"/>
      </w:pPr>
      <w:r>
        <w:t>Supramolecular chemistry in general can play a major role in Li-S batteries, in particular, for suppressing the Li-PS shuttling by engineering specific binding sites targeting Li</w:t>
      </w:r>
      <w:r w:rsidRPr="006469F1">
        <w:rPr>
          <w:vertAlign w:val="superscript"/>
        </w:rPr>
        <w:t>+</w:t>
      </w:r>
      <w:r>
        <w:t>, S</w:t>
      </w:r>
      <w:r w:rsidRPr="00CE7726">
        <w:rPr>
          <w:vertAlign w:val="subscript"/>
        </w:rPr>
        <w:t>n</w:t>
      </w:r>
      <w:r w:rsidRPr="006469F1">
        <w:rPr>
          <w:vertAlign w:val="superscript"/>
        </w:rPr>
        <w:t>2–</w:t>
      </w:r>
      <w:r>
        <w:t xml:space="preserve"> or both. In this direction, N, O-doped porous organic polymers, N-doped carbon materials,</w:t>
      </w:r>
      <w:r w:rsidRPr="006469F1">
        <w:rPr>
          <w:vertAlign w:val="superscript"/>
        </w:rPr>
        <w:t>5</w:t>
      </w:r>
      <w:r w:rsidR="00BC618C">
        <w:rPr>
          <w:vertAlign w:val="superscript"/>
        </w:rPr>
        <w:t>4-56</w:t>
      </w:r>
      <w:r>
        <w:t xml:space="preserve"> O-doped mesoporous carbon,</w:t>
      </w:r>
      <w:r w:rsidRPr="006469F1">
        <w:rPr>
          <w:vertAlign w:val="superscript"/>
        </w:rPr>
        <w:t>5</w:t>
      </w:r>
      <w:r w:rsidR="00BC618C">
        <w:rPr>
          <w:vertAlign w:val="superscript"/>
        </w:rPr>
        <w:t>7</w:t>
      </w:r>
      <w:r>
        <w:t xml:space="preserve"> Lewis and acid-base interaction</w:t>
      </w:r>
      <w:r w:rsidRPr="006469F1">
        <w:rPr>
          <w:vertAlign w:val="superscript"/>
        </w:rPr>
        <w:t>5</w:t>
      </w:r>
      <w:r w:rsidR="00BC618C">
        <w:rPr>
          <w:vertAlign w:val="superscript"/>
        </w:rPr>
        <w:t>8</w:t>
      </w:r>
      <w:r w:rsidRPr="006469F1">
        <w:rPr>
          <w:vertAlign w:val="superscript"/>
        </w:rPr>
        <w:t>-</w:t>
      </w:r>
      <w:r w:rsidR="00BC618C">
        <w:rPr>
          <w:vertAlign w:val="superscript"/>
        </w:rPr>
        <w:t>60</w:t>
      </w:r>
      <w:r w:rsidRPr="006469F1">
        <w:rPr>
          <w:vertAlign w:val="superscript"/>
        </w:rPr>
        <w:t xml:space="preserve"> </w:t>
      </w:r>
      <w:r>
        <w:t xml:space="preserve">and covalent organic frameworks based on </w:t>
      </w:r>
      <w:proofErr w:type="spellStart"/>
      <w:r>
        <w:t>boronate</w:t>
      </w:r>
      <w:proofErr w:type="spellEnd"/>
      <w:r>
        <w:t>-ester formation have been explored.</w:t>
      </w:r>
      <w:r w:rsidR="00BC618C">
        <w:rPr>
          <w:vertAlign w:val="superscript"/>
        </w:rPr>
        <w:t>61</w:t>
      </w:r>
      <w:r>
        <w:t xml:space="preserve"> However, the ability of these systems </w:t>
      </w:r>
      <w:r w:rsidR="00381243">
        <w:t xml:space="preserve">in </w:t>
      </w:r>
      <w:r>
        <w:t>imped</w:t>
      </w:r>
      <w:r w:rsidR="00381243">
        <w:t>ing</w:t>
      </w:r>
      <w:r>
        <w:t xml:space="preserve"> the Li-PS shuttling was limited mainly due to the moderate binding strength between Li-PS and anchoring sites. In addition, limited sulfur loading and difficulty of fine control in the doping levels further limit the application of these systems. In an effort to </w:t>
      </w:r>
      <w:r w:rsidR="00381243">
        <w:t xml:space="preserve">mitigate </w:t>
      </w:r>
      <w:r>
        <w:t>the shuttling effect of Li-PS, one can benefit from the hard and soft acid-base theory (HSAB), which allows to predict which acids and bases prefer to interact.</w:t>
      </w:r>
      <w:r w:rsidR="00BC618C">
        <w:rPr>
          <w:vertAlign w:val="superscript"/>
        </w:rPr>
        <w:t>62</w:t>
      </w:r>
      <w:r>
        <w:t xml:space="preserve"> Specifically, the most favorable acid-base interactions are from hard-hard and soft-soft pairs. The Li-PS contains a hard acid, Li</w:t>
      </w:r>
      <w:r w:rsidRPr="006469F1">
        <w:rPr>
          <w:vertAlign w:val="superscript"/>
        </w:rPr>
        <w:t>+</w:t>
      </w:r>
      <w:r>
        <w:t>, and a soft base, S</w:t>
      </w:r>
      <w:r w:rsidRPr="00CE7726">
        <w:rPr>
          <w:vertAlign w:val="subscript"/>
        </w:rPr>
        <w:t>n</w:t>
      </w:r>
      <w:r w:rsidRPr="006469F1">
        <w:rPr>
          <w:vertAlign w:val="superscript"/>
        </w:rPr>
        <w:t>2</w:t>
      </w:r>
      <w:r w:rsidRPr="0033364C">
        <w:rPr>
          <w:vertAlign w:val="superscript"/>
        </w:rPr>
        <w:t>–</w:t>
      </w:r>
      <w:r>
        <w:t>, thus targeting S</w:t>
      </w:r>
      <w:r w:rsidRPr="00CE7726">
        <w:rPr>
          <w:vertAlign w:val="subscript"/>
        </w:rPr>
        <w:t>n</w:t>
      </w:r>
      <w:r w:rsidRPr="00955E54">
        <w:rPr>
          <w:vertAlign w:val="superscript"/>
        </w:rPr>
        <w:t>2–</w:t>
      </w:r>
      <w:r>
        <w:t xml:space="preserve"> with a soft acid such as organic cations would be a good direction. All in all, an ideal host material is desired to have 1) high affinity binding sites towards Li-PS, 2) high ionic/electronic conductivity, 3) sufficient void space to compensate volume expansion, 4) a high sulfur content (i.e., &gt; </w:t>
      </w:r>
      <w:r>
        <w:t xml:space="preserve">80 </w:t>
      </w:r>
      <w:proofErr w:type="spellStart"/>
      <w:r>
        <w:t>wt</w:t>
      </w:r>
      <w:proofErr w:type="spellEnd"/>
      <w:r>
        <w:t xml:space="preserve">%). With these specifications in mind, herein, we demonstrate the integration of 1D charged polypyrrole (cPpy) to a 2D CTF (referred to as cPpy-S-CTF) formed upon the trimerization of </w:t>
      </w:r>
      <w:proofErr w:type="spellStart"/>
      <w:r>
        <w:t>tetrafluoroterephthalonitrile</w:t>
      </w:r>
      <w:proofErr w:type="spellEnd"/>
      <w:r>
        <w:t xml:space="preserve"> in the presence of elemental sulfur and simultaneous sulfur insertion </w:t>
      </w:r>
      <w:r w:rsidRPr="00260030">
        <w:rPr>
          <w:i/>
        </w:rPr>
        <w:t>via</w:t>
      </w:r>
      <w:r>
        <w:t xml:space="preserve"> </w:t>
      </w:r>
      <w:proofErr w:type="spellStart"/>
      <w:r>
        <w:t>perfluoroaryl</w:t>
      </w:r>
      <w:proofErr w:type="spellEnd"/>
      <w:r>
        <w:rPr>
          <w:rFonts w:ascii="Cambria Math" w:hAnsi="Cambria Math" w:cs="Cambria Math"/>
        </w:rPr>
        <w:t>‐</w:t>
      </w:r>
      <w:r>
        <w:t xml:space="preserve">elemental sulfur </w:t>
      </w:r>
      <w:proofErr w:type="spellStart"/>
      <w:r>
        <w:t>SN</w:t>
      </w:r>
      <w:r w:rsidRPr="006469F1">
        <w:rPr>
          <w:vertAlign w:val="subscript"/>
        </w:rPr>
        <w:t>Ar</w:t>
      </w:r>
      <w:proofErr w:type="spellEnd"/>
      <w:r w:rsidRPr="006469F1">
        <w:rPr>
          <w:vertAlign w:val="subscript"/>
        </w:rPr>
        <w:t xml:space="preserve"> </w:t>
      </w:r>
      <w:r>
        <w:t xml:space="preserve">chemistry as well as </w:t>
      </w:r>
      <w:proofErr w:type="spellStart"/>
      <w:r>
        <w:t>radicalic</w:t>
      </w:r>
      <w:proofErr w:type="spellEnd"/>
      <w:r>
        <w:t xml:space="preserve"> C-H insertion onto the </w:t>
      </w:r>
      <w:proofErr w:type="spellStart"/>
      <w:r>
        <w:t>cPpy</w:t>
      </w:r>
      <w:proofErr w:type="spellEnd"/>
      <w:r>
        <w:t xml:space="preserve"> backbone. </w:t>
      </w:r>
      <w:r w:rsidR="00627B4A" w:rsidRPr="003911D8">
        <w:rPr>
          <w:highlight w:val="yellow"/>
        </w:rPr>
        <w:t xml:space="preserve">The choice of </w:t>
      </w:r>
      <w:r w:rsidR="0019627A">
        <w:rPr>
          <w:highlight w:val="yellow"/>
        </w:rPr>
        <w:t>cPpy</w:t>
      </w:r>
      <w:r w:rsidR="00627B4A" w:rsidRPr="003911D8">
        <w:rPr>
          <w:highlight w:val="yellow"/>
        </w:rPr>
        <w:t xml:space="preserve"> was </w:t>
      </w:r>
      <w:r w:rsidR="003F2332">
        <w:rPr>
          <w:highlight w:val="yellow"/>
        </w:rPr>
        <w:t xml:space="preserve">based on its unique properties that allow to have 1) decent electronic and ionic conductivity, 2) the ability </w:t>
      </w:r>
      <w:r w:rsidR="00627B4A" w:rsidRPr="003911D8">
        <w:rPr>
          <w:highlight w:val="yellow"/>
        </w:rPr>
        <w:t xml:space="preserve">to bind with Li-PS </w:t>
      </w:r>
      <w:r w:rsidR="00627B4A" w:rsidRPr="00B829C3">
        <w:rPr>
          <w:i/>
          <w:iCs/>
          <w:highlight w:val="yellow"/>
        </w:rPr>
        <w:t>via</w:t>
      </w:r>
      <w:r w:rsidR="00627B4A" w:rsidRPr="003911D8">
        <w:rPr>
          <w:highlight w:val="yellow"/>
        </w:rPr>
        <w:t xml:space="preserve"> </w:t>
      </w:r>
      <w:r w:rsidR="003F2332">
        <w:rPr>
          <w:highlight w:val="yellow"/>
        </w:rPr>
        <w:t xml:space="preserve">the </w:t>
      </w:r>
      <w:r w:rsidR="00627B4A" w:rsidRPr="003911D8">
        <w:rPr>
          <w:highlight w:val="yellow"/>
        </w:rPr>
        <w:t>HSAB</w:t>
      </w:r>
      <w:r w:rsidR="003F2332">
        <w:rPr>
          <w:highlight w:val="yellow"/>
        </w:rPr>
        <w:t xml:space="preserve"> theory, and 3) </w:t>
      </w:r>
      <w:r w:rsidR="00BC4BF9">
        <w:rPr>
          <w:highlight w:val="yellow"/>
        </w:rPr>
        <w:t xml:space="preserve">the capability of releasing the stress of a sulfur composite electrode </w:t>
      </w:r>
      <w:r w:rsidR="00B829C3">
        <w:rPr>
          <w:highlight w:val="yellow"/>
        </w:rPr>
        <w:t>at</w:t>
      </w:r>
      <w:r w:rsidR="00BC4BF9">
        <w:rPr>
          <w:highlight w:val="yellow"/>
        </w:rPr>
        <w:t xml:space="preserve"> high sulfur</w:t>
      </w:r>
      <w:r w:rsidR="00B829C3">
        <w:rPr>
          <w:highlight w:val="yellow"/>
        </w:rPr>
        <w:t xml:space="preserve"> loadings</w:t>
      </w:r>
      <w:r w:rsidR="00627B4A" w:rsidRPr="003911D8">
        <w:rPr>
          <w:highlight w:val="yellow"/>
        </w:rPr>
        <w:t>.</w:t>
      </w:r>
      <w:r w:rsidR="00627B4A" w:rsidRPr="00627B4A">
        <w:t xml:space="preserve"> </w:t>
      </w:r>
      <w:r>
        <w:t xml:space="preserve">The incorporation of </w:t>
      </w:r>
      <w:r>
        <w:t>cPpy</w:t>
      </w:r>
      <w:r w:rsidR="00B8531C">
        <w:rPr>
          <w:vertAlign w:val="superscript"/>
        </w:rPr>
        <w:t>63</w:t>
      </w:r>
      <w:r w:rsidRPr="006469F1">
        <w:rPr>
          <w:vertAlign w:val="superscript"/>
        </w:rPr>
        <w:t>-6</w:t>
      </w:r>
      <w:r w:rsidR="00B8531C">
        <w:rPr>
          <w:vertAlign w:val="superscript"/>
        </w:rPr>
        <w:t>5</w:t>
      </w:r>
      <w:r w:rsidRPr="006469F1">
        <w:rPr>
          <w:vertAlign w:val="superscript"/>
        </w:rPr>
        <w:t xml:space="preserve"> </w:t>
      </w:r>
      <w:r w:rsidR="00992036">
        <w:t xml:space="preserve">within the 2D CTF </w:t>
      </w:r>
      <w:r>
        <w:t xml:space="preserve">led to the formation of 3D interconnected nanochannels with abundant </w:t>
      </w:r>
      <w:r>
        <w:t xml:space="preserve">cationic sites i.e., quaternary nitrogen atoms, as soft acids for efficient </w:t>
      </w:r>
      <w:r w:rsidRPr="006469F1">
        <w:t>S</w:t>
      </w:r>
      <w:r w:rsidRPr="00CE7726">
        <w:rPr>
          <w:vertAlign w:val="subscript"/>
        </w:rPr>
        <w:t>n</w:t>
      </w:r>
      <w:r w:rsidRPr="006469F1">
        <w:rPr>
          <w:vertAlign w:val="superscript"/>
        </w:rPr>
        <w:t xml:space="preserve">2– </w:t>
      </w:r>
      <w:r>
        <w:t xml:space="preserve">binding as well as high ionic and electronic conductivity. Notably, cPpy-S-CTF showed a high sulfur content of 83 </w:t>
      </w:r>
      <w:proofErr w:type="spellStart"/>
      <w:r>
        <w:t>wt</w:t>
      </w:r>
      <w:proofErr w:type="spellEnd"/>
      <w:r>
        <w:t xml:space="preserve">%. The incorporation of only 2.5 </w:t>
      </w:r>
      <w:proofErr w:type="spellStart"/>
      <w:r>
        <w:t>wt</w:t>
      </w:r>
      <w:proofErr w:type="spellEnd"/>
      <w:r>
        <w:t xml:space="preserve">% </w:t>
      </w:r>
      <w:proofErr w:type="spellStart"/>
      <w:r>
        <w:t>cPpy</w:t>
      </w:r>
      <w:proofErr w:type="spellEnd"/>
      <w:r>
        <w:t xml:space="preserve"> improved electrochemical performance significantly, such as the specific capacity of 1203 </w:t>
      </w:r>
      <w:proofErr w:type="spellStart"/>
      <w:r>
        <w:t>mAh</w:t>
      </w:r>
      <w:proofErr w:type="spellEnd"/>
      <w:r>
        <w:t xml:space="preserve"> g</w:t>
      </w:r>
      <w:r w:rsidRPr="006469F1">
        <w:rPr>
          <w:vertAlign w:val="superscript"/>
        </w:rPr>
        <w:t>−1</w:t>
      </w:r>
      <w:r>
        <w:t xml:space="preserve"> at 0.05C, 94.1% initial Coulombic efficiency (ICE) and 86.8% capacity retention after 500 cycles. Also, such robust capacity retention of cPpy-S-CTF was maintained for a high sulfur loading of 4.0 mg</w:t>
      </w:r>
      <w:r w:rsidRPr="006469F1">
        <w:rPr>
          <w:vertAlign w:val="subscript"/>
        </w:rPr>
        <w:t>sulfur</w:t>
      </w:r>
      <w:r>
        <w:t xml:space="preserve"> cm</w:t>
      </w:r>
      <w:r w:rsidRPr="006469F1">
        <w:rPr>
          <w:vertAlign w:val="superscript"/>
        </w:rPr>
        <w:t>–2</w:t>
      </w:r>
      <w:r w:rsidR="00413788">
        <w:t>.</w:t>
      </w:r>
    </w:p>
    <w:p w14:paraId="23DF034B" w14:textId="77777777" w:rsidR="005229C6" w:rsidRDefault="005229C6" w:rsidP="00025D37">
      <w:pPr>
        <w:pStyle w:val="TAMainText"/>
      </w:pPr>
    </w:p>
    <w:p w14:paraId="3D8E12F6" w14:textId="77777777" w:rsidR="0056262B" w:rsidRPr="00F5511A" w:rsidRDefault="002275C8" w:rsidP="00025D37">
      <w:pPr>
        <w:pStyle w:val="TAMainText"/>
      </w:pPr>
      <w:r w:rsidRPr="00F5511A">
        <w:t>EXPERIMENTAL SECTION</w:t>
      </w:r>
    </w:p>
    <w:p w14:paraId="0E7A427C" w14:textId="77777777" w:rsidR="0056262B" w:rsidRPr="00D11C7A" w:rsidRDefault="0056262B" w:rsidP="00025D37">
      <w:pPr>
        <w:pStyle w:val="TAMainText"/>
      </w:pPr>
      <w:r w:rsidRPr="000C7541">
        <w:rPr>
          <w:b/>
        </w:rPr>
        <w:t>Materials</w:t>
      </w:r>
      <w:r w:rsidR="000C7541" w:rsidRPr="000C7541">
        <w:rPr>
          <w:b/>
        </w:rPr>
        <w:t>.</w:t>
      </w:r>
      <w:r w:rsidRPr="00D11C7A">
        <w:t xml:space="preserve"> </w:t>
      </w:r>
      <w:proofErr w:type="spellStart"/>
      <w:r w:rsidR="006469F1" w:rsidRPr="006469F1">
        <w:t>Tetrafluoroterephthalonitrile</w:t>
      </w:r>
      <w:proofErr w:type="spellEnd"/>
      <w:r w:rsidR="006469F1" w:rsidRPr="006469F1">
        <w:t xml:space="preserve"> was purchased from TCI, Japan. 1,3-dioxolane (DOL), dimethyl ether (DME), elemental sulfur, lithium nitrate (LiNO</w:t>
      </w:r>
      <w:r w:rsidR="006469F1" w:rsidRPr="00CE7726">
        <w:rPr>
          <w:vertAlign w:val="subscript"/>
        </w:rPr>
        <w:t>3</w:t>
      </w:r>
      <w:r w:rsidR="006469F1" w:rsidRPr="006469F1">
        <w:t>), lithium bis(</w:t>
      </w:r>
      <w:proofErr w:type="spellStart"/>
      <w:r w:rsidR="006469F1" w:rsidRPr="006469F1">
        <w:t>trifluoromethane</w:t>
      </w:r>
      <w:proofErr w:type="spellEnd"/>
      <w:r w:rsidR="006469F1" w:rsidRPr="006469F1">
        <w:t>)sulfonamide (</w:t>
      </w:r>
      <w:proofErr w:type="spellStart"/>
      <w:r w:rsidR="006469F1" w:rsidRPr="006469F1">
        <w:t>LiTFSI</w:t>
      </w:r>
      <w:proofErr w:type="spellEnd"/>
      <w:r w:rsidR="006469F1" w:rsidRPr="006469F1">
        <w:t xml:space="preserve">), polyvinylidene </w:t>
      </w:r>
      <w:r w:rsidR="00D4064D">
        <w:t>di</w:t>
      </w:r>
      <w:r w:rsidR="006469F1" w:rsidRPr="006469F1">
        <w:t xml:space="preserve">fluoride (PVDF, Mw = 560,000), and polypyrrole were purchased from Sigma-Aldrich, USA. </w:t>
      </w:r>
      <w:r w:rsidR="006469F1" w:rsidRPr="00260030">
        <w:rPr>
          <w:i/>
        </w:rPr>
        <w:t>N</w:t>
      </w:r>
      <w:r w:rsidR="006469F1" w:rsidRPr="006469F1">
        <w:t>-methyl-2-pyrrolidone (NMP) was purcha</w:t>
      </w:r>
      <w:r w:rsidR="006469F1">
        <w:t xml:space="preserve">sed from </w:t>
      </w:r>
      <w:proofErr w:type="spellStart"/>
      <w:r w:rsidR="006469F1">
        <w:t>Junsei</w:t>
      </w:r>
      <w:proofErr w:type="spellEnd"/>
      <w:r w:rsidR="006469F1">
        <w:t xml:space="preserve"> Chemical, Japan</w:t>
      </w:r>
      <w:r w:rsidRPr="00D11C7A">
        <w:t>. All materials were used without further purification.</w:t>
      </w:r>
    </w:p>
    <w:p w14:paraId="03553DBB" w14:textId="64E671D2" w:rsidR="0056262B" w:rsidRPr="00D11C7A" w:rsidRDefault="006469F1" w:rsidP="00025D37">
      <w:pPr>
        <w:pStyle w:val="TAMainText"/>
      </w:pPr>
      <w:r w:rsidRPr="006469F1">
        <w:rPr>
          <w:b/>
        </w:rPr>
        <w:t>Synthesis of cPpy-S-CTFs with varying polypyrrole ratio</w:t>
      </w:r>
      <w:r w:rsidR="00763313">
        <w:rPr>
          <w:b/>
        </w:rPr>
        <w:t>.</w:t>
      </w:r>
      <w:r w:rsidR="0056262B" w:rsidRPr="00D11C7A">
        <w:t xml:space="preserve"> </w:t>
      </w:r>
      <w:r w:rsidRPr="006469F1">
        <w:t xml:space="preserve">cPpy was incorporated into the </w:t>
      </w:r>
      <w:proofErr w:type="spellStart"/>
      <w:r w:rsidRPr="006469F1">
        <w:t>perfluorinated</w:t>
      </w:r>
      <w:proofErr w:type="spellEnd"/>
      <w:r w:rsidRPr="006469F1">
        <w:t xml:space="preserve"> CTFs to form </w:t>
      </w:r>
      <w:r w:rsidRPr="006469F1">
        <w:lastRenderedPageBreak/>
        <w:t xml:space="preserve">cPpy-S-CTFs by reacting </w:t>
      </w:r>
      <w:proofErr w:type="spellStart"/>
      <w:r w:rsidRPr="006469F1">
        <w:t>cPpy</w:t>
      </w:r>
      <w:proofErr w:type="spellEnd"/>
      <w:r w:rsidRPr="006469F1">
        <w:t xml:space="preserve">, </w:t>
      </w:r>
      <w:proofErr w:type="spellStart"/>
      <w:r w:rsidRPr="006469F1">
        <w:t>tetrafluorophthalonitrile</w:t>
      </w:r>
      <w:proofErr w:type="spellEnd"/>
      <w:r w:rsidRPr="006469F1">
        <w:t xml:space="preserve"> and elemental sulfur while the mass ratio of </w:t>
      </w:r>
      <w:proofErr w:type="spellStart"/>
      <w:r w:rsidRPr="006469F1">
        <w:t>tetrafluorophthalonitrile</w:t>
      </w:r>
      <w:proofErr w:type="spellEnd"/>
      <w:r w:rsidRPr="006469F1">
        <w:t xml:space="preserve"> and </w:t>
      </w:r>
      <w:proofErr w:type="spellStart"/>
      <w:r w:rsidRPr="006469F1">
        <w:t>cPpy</w:t>
      </w:r>
      <w:proofErr w:type="spellEnd"/>
      <w:r w:rsidRPr="006469F1">
        <w:t xml:space="preserve"> together to elemental sulfur was fixed at 1:3. cPpy content was varied with respect to </w:t>
      </w:r>
      <w:proofErr w:type="spellStart"/>
      <w:r w:rsidRPr="006469F1">
        <w:t>tetrafluorophthalonitrile</w:t>
      </w:r>
      <w:proofErr w:type="spellEnd"/>
      <w:r w:rsidRPr="006469F1">
        <w:t xml:space="preserve"> content in the mass ratios of 1:99, 2.5:97.5, 5:95, and 10:90. For example, in the case of cPpy-S-CTF 2.5%, 5 mg of cPpy, 0.195 g (0.97</w:t>
      </w:r>
      <w:r w:rsidR="00795554">
        <w:t xml:space="preserve"> </w:t>
      </w:r>
      <w:r w:rsidRPr="006469F1">
        <w:t xml:space="preserve">mmol) of </w:t>
      </w:r>
      <w:proofErr w:type="spellStart"/>
      <w:r w:rsidRPr="006469F1">
        <w:t>tetrafluorophthalonitrile</w:t>
      </w:r>
      <w:proofErr w:type="spellEnd"/>
      <w:r w:rsidRPr="006469F1">
        <w:t xml:space="preserve"> and 0.6 g of elemental sulfur were transferred into a 10 mL </w:t>
      </w:r>
      <w:proofErr w:type="spellStart"/>
      <w:r w:rsidRPr="006469F1">
        <w:t>pyrex</w:t>
      </w:r>
      <w:proofErr w:type="spellEnd"/>
      <w:r w:rsidRPr="006469F1">
        <w:t xml:space="preserve"> ampoule. The ampoule was purged with </w:t>
      </w:r>
      <w:proofErr w:type="spellStart"/>
      <w:r w:rsidRPr="006469F1">
        <w:t>Ar</w:t>
      </w:r>
      <w:proofErr w:type="spellEnd"/>
      <w:r w:rsidRPr="006469F1">
        <w:t xml:space="preserve"> and kept under vacuum while being sealed. The ampoule was heated to 160</w:t>
      </w:r>
      <w:r w:rsidR="00A111DC">
        <w:t xml:space="preserve"> </w:t>
      </w:r>
      <w:proofErr w:type="spellStart"/>
      <w:r w:rsidRPr="006469F1">
        <w:rPr>
          <w:vertAlign w:val="superscript"/>
        </w:rPr>
        <w:t>o</w:t>
      </w:r>
      <w:r w:rsidRPr="006469F1">
        <w:t>C</w:t>
      </w:r>
      <w:proofErr w:type="spellEnd"/>
      <w:r w:rsidRPr="006469F1">
        <w:t xml:space="preserve"> </w:t>
      </w:r>
      <w:r w:rsidRPr="006469F1">
        <w:t xml:space="preserve">with </w:t>
      </w:r>
      <w:r w:rsidR="00A111DC">
        <w:t xml:space="preserve">a </w:t>
      </w:r>
      <w:r w:rsidRPr="006469F1">
        <w:t xml:space="preserve">dwelling </w:t>
      </w:r>
      <w:r w:rsidRPr="006469F1">
        <w:t>time of 20 h at a ramping rate of 1</w:t>
      </w:r>
      <w:r w:rsidR="00535659">
        <w:t xml:space="preserve"> </w:t>
      </w:r>
      <w:proofErr w:type="spellStart"/>
      <w:r w:rsidRPr="006469F1">
        <w:rPr>
          <w:vertAlign w:val="superscript"/>
        </w:rPr>
        <w:t>o</w:t>
      </w:r>
      <w:r w:rsidRPr="006469F1">
        <w:t>C</w:t>
      </w:r>
      <w:proofErr w:type="spellEnd"/>
      <w:r w:rsidRPr="006469F1">
        <w:t xml:space="preserve"> min</w:t>
      </w:r>
      <w:r w:rsidRPr="006469F1">
        <w:rPr>
          <w:vertAlign w:val="superscript"/>
        </w:rPr>
        <w:t>–1</w:t>
      </w:r>
      <w:r w:rsidRPr="006469F1">
        <w:t xml:space="preserve"> in order for the </w:t>
      </w:r>
      <w:proofErr w:type="spellStart"/>
      <w:r w:rsidRPr="006469F1">
        <w:t>SN</w:t>
      </w:r>
      <w:r w:rsidRPr="006469F1">
        <w:rPr>
          <w:vertAlign w:val="subscript"/>
        </w:rPr>
        <w:t>Ar</w:t>
      </w:r>
      <w:proofErr w:type="spellEnd"/>
      <w:r w:rsidRPr="006469F1">
        <w:t xml:space="preserve"> reaction and trimerization of </w:t>
      </w:r>
      <w:proofErr w:type="spellStart"/>
      <w:r w:rsidRPr="006469F1">
        <w:t>tetrafluorophthalonitrile</w:t>
      </w:r>
      <w:proofErr w:type="spellEnd"/>
      <w:r w:rsidRPr="006469F1">
        <w:t xml:space="preserve"> to take place. The temperature was raised to 400</w:t>
      </w:r>
      <w:r w:rsidR="00535659">
        <w:t xml:space="preserve"> </w:t>
      </w:r>
      <w:proofErr w:type="spellStart"/>
      <w:r w:rsidRPr="006469F1">
        <w:rPr>
          <w:vertAlign w:val="superscript"/>
        </w:rPr>
        <w:t>o</w:t>
      </w:r>
      <w:r w:rsidRPr="006469F1">
        <w:t>C</w:t>
      </w:r>
      <w:proofErr w:type="spellEnd"/>
      <w:r w:rsidRPr="006469F1">
        <w:t xml:space="preserve"> with dwelling time of 20 h at a ramping rate 1</w:t>
      </w:r>
      <w:r w:rsidR="00C4069B">
        <w:t xml:space="preserve"> </w:t>
      </w:r>
      <w:proofErr w:type="spellStart"/>
      <w:r w:rsidRPr="006469F1">
        <w:rPr>
          <w:vertAlign w:val="superscript"/>
        </w:rPr>
        <w:t>o</w:t>
      </w:r>
      <w:r w:rsidRPr="006469F1">
        <w:t>C</w:t>
      </w:r>
      <w:proofErr w:type="spellEnd"/>
      <w:r w:rsidRPr="006469F1">
        <w:t xml:space="preserve"> min</w:t>
      </w:r>
      <w:r w:rsidRPr="006469F1">
        <w:rPr>
          <w:vertAlign w:val="superscript"/>
        </w:rPr>
        <w:t>–1</w:t>
      </w:r>
      <w:r w:rsidRPr="006469F1">
        <w:t xml:space="preserve"> to initiate the inverse vulcanization. The ampoule was then cooled down to room temperature producing black powder to be used for chemical and electrochemical characterization</w:t>
      </w:r>
      <w:r w:rsidR="0056262B" w:rsidRPr="00D11C7A">
        <w:t>.</w:t>
      </w:r>
    </w:p>
    <w:p w14:paraId="782DE8A0" w14:textId="5837670F" w:rsidR="007C7DAC" w:rsidRDefault="00813A1E" w:rsidP="00025D37">
      <w:pPr>
        <w:pStyle w:val="TAMainText"/>
      </w:pPr>
      <w:r w:rsidRPr="00813A1E">
        <w:rPr>
          <w:b/>
        </w:rPr>
        <w:t>Synthesis of cPpy-CTFs</w:t>
      </w:r>
      <w:r w:rsidR="00763313">
        <w:rPr>
          <w:b/>
        </w:rPr>
        <w:t>.</w:t>
      </w:r>
      <w:r w:rsidR="0056262B" w:rsidRPr="00D11C7A">
        <w:t xml:space="preserve"> </w:t>
      </w:r>
      <w:r w:rsidR="004D13A8">
        <w:t>S</w:t>
      </w:r>
      <w:r w:rsidR="004D13A8" w:rsidRPr="004D13A8">
        <w:t xml:space="preserve">ulfur-free </w:t>
      </w:r>
      <w:r w:rsidR="00CE7726">
        <w:t>cPpy-CTF 0, 2.5, and 10</w:t>
      </w:r>
      <w:r w:rsidR="00375E33" w:rsidRPr="00375E33">
        <w:t>% were prepared</w:t>
      </w:r>
      <w:r w:rsidR="001338EF">
        <w:t xml:space="preserve"> for control experiment</w:t>
      </w:r>
      <w:r w:rsidR="00375E33" w:rsidRPr="00375E33">
        <w:t xml:space="preserve"> according to the literature</w:t>
      </w:r>
      <w:r w:rsidR="00375E33" w:rsidRPr="00CE7726">
        <w:rPr>
          <w:vertAlign w:val="superscript"/>
        </w:rPr>
        <w:t>80</w:t>
      </w:r>
      <w:r w:rsidR="00375E33" w:rsidRPr="00375E33">
        <w:t xml:space="preserve"> with modified procedures. In a typical synthesis, </w:t>
      </w:r>
      <w:proofErr w:type="spellStart"/>
      <w:r w:rsidR="00375E33" w:rsidRPr="00375E33">
        <w:t>cPpy</w:t>
      </w:r>
      <w:proofErr w:type="spellEnd"/>
      <w:r w:rsidR="00375E33" w:rsidRPr="00375E33">
        <w:t xml:space="preserve"> and </w:t>
      </w:r>
      <w:proofErr w:type="spellStart"/>
      <w:r w:rsidR="00375E33" w:rsidRPr="00375E33">
        <w:t>terephthalonitrile</w:t>
      </w:r>
      <w:proofErr w:type="spellEnd"/>
      <w:r w:rsidR="00375E33" w:rsidRPr="00375E33">
        <w:t xml:space="preserve"> (mass: mass = 0:</w:t>
      </w:r>
      <w:r w:rsidR="00375E33" w:rsidRPr="00375E33">
        <w:t>100,</w:t>
      </w:r>
      <w:r w:rsidR="00023C32">
        <w:t xml:space="preserve"> 1:99, </w:t>
      </w:r>
      <w:r w:rsidR="00375E33" w:rsidRPr="00375E33">
        <w:t>2.5:97.5,</w:t>
      </w:r>
      <w:r w:rsidR="00023C32">
        <w:t xml:space="preserve"> 5:95,</w:t>
      </w:r>
      <w:r w:rsidR="00375E33" w:rsidRPr="00375E33">
        <w:t xml:space="preserve"> </w:t>
      </w:r>
      <w:r w:rsidR="00375E33" w:rsidRPr="00375E33">
        <w:t>10:90) were homogenously mixed with ZnCl</w:t>
      </w:r>
      <w:r w:rsidR="00375E33" w:rsidRPr="007C7DAC">
        <w:rPr>
          <w:vertAlign w:val="subscript"/>
        </w:rPr>
        <w:t>2</w:t>
      </w:r>
      <w:r w:rsidR="00375E33" w:rsidRPr="00375E33">
        <w:t xml:space="preserve"> keeping the mass ratio of 1:5 (</w:t>
      </w:r>
      <w:proofErr w:type="spellStart"/>
      <w:r w:rsidR="00375E33" w:rsidRPr="00375E33">
        <w:t>cPpy</w:t>
      </w:r>
      <w:proofErr w:type="spellEnd"/>
      <w:r w:rsidR="00375E33" w:rsidRPr="00375E33">
        <w:t>/</w:t>
      </w:r>
      <w:proofErr w:type="spellStart"/>
      <w:proofErr w:type="gramStart"/>
      <w:r w:rsidR="00375E33" w:rsidRPr="00375E33">
        <w:t>terephthalonitrile</w:t>
      </w:r>
      <w:proofErr w:type="spellEnd"/>
      <w:r w:rsidR="00375E33" w:rsidRPr="00375E33">
        <w:t xml:space="preserve"> :</w:t>
      </w:r>
      <w:proofErr w:type="gramEnd"/>
      <w:r w:rsidR="00375E33" w:rsidRPr="00375E33">
        <w:t xml:space="preserve"> ZnCl</w:t>
      </w:r>
      <w:r w:rsidR="00375E33" w:rsidRPr="007C7DAC">
        <w:rPr>
          <w:vertAlign w:val="subscript"/>
        </w:rPr>
        <w:t>2</w:t>
      </w:r>
      <w:r w:rsidR="00375E33" w:rsidRPr="00375E33">
        <w:t xml:space="preserve">) and then transferred into a 10 mL </w:t>
      </w:r>
      <w:proofErr w:type="spellStart"/>
      <w:r w:rsidR="00375E33" w:rsidRPr="00375E33">
        <w:t>pyrex</w:t>
      </w:r>
      <w:proofErr w:type="spellEnd"/>
      <w:r w:rsidR="00375E33" w:rsidRPr="00375E33">
        <w:t xml:space="preserve"> ampoule. The ampule was sealed under vacuum and heated at 400 </w:t>
      </w:r>
      <w:proofErr w:type="spellStart"/>
      <w:r w:rsidR="00375E33" w:rsidRPr="007C7DAC">
        <w:rPr>
          <w:vertAlign w:val="superscript"/>
        </w:rPr>
        <w:t>o</w:t>
      </w:r>
      <w:r w:rsidR="00375E33" w:rsidRPr="00375E33">
        <w:t>C</w:t>
      </w:r>
      <w:proofErr w:type="spellEnd"/>
      <w:r w:rsidR="00375E33" w:rsidRPr="00375E33">
        <w:t xml:space="preserve"> for 40 h with a ramping rate of </w:t>
      </w:r>
      <w:r w:rsidR="00375E33" w:rsidRPr="00466750">
        <w:t>1</w:t>
      </w:r>
      <w:r w:rsidR="00023C32" w:rsidRPr="00466750">
        <w:t xml:space="preserve"> </w:t>
      </w:r>
      <w:proofErr w:type="spellStart"/>
      <w:r w:rsidR="00375E33" w:rsidRPr="00466750">
        <w:rPr>
          <w:vertAlign w:val="superscript"/>
        </w:rPr>
        <w:t>o</w:t>
      </w:r>
      <w:r w:rsidR="00375E33" w:rsidRPr="00466750">
        <w:t>C</w:t>
      </w:r>
      <w:proofErr w:type="spellEnd"/>
      <w:r w:rsidR="00375E33" w:rsidRPr="00375E33">
        <w:t xml:space="preserve"> min</w:t>
      </w:r>
      <w:r w:rsidR="00375E33" w:rsidRPr="007C7DAC">
        <w:rPr>
          <w:vertAlign w:val="superscript"/>
        </w:rPr>
        <w:t>–1</w:t>
      </w:r>
      <w:r w:rsidR="00375E33" w:rsidRPr="00375E33">
        <w:t xml:space="preserve">. </w:t>
      </w:r>
      <w:r w:rsidR="00456B38">
        <w:t>Next, t</w:t>
      </w:r>
      <w:r w:rsidR="00456B38" w:rsidRPr="00375E33">
        <w:t xml:space="preserve">he </w:t>
      </w:r>
      <w:r w:rsidR="00375E33" w:rsidRPr="00375E33">
        <w:t>ampoule was cooled down to room temperature. The produced black powder was sequentially washed with DI water, 1</w:t>
      </w:r>
      <w:r w:rsidR="008857FB">
        <w:t xml:space="preserve"> </w:t>
      </w:r>
      <w:r w:rsidR="00375E33" w:rsidRPr="00375E33">
        <w:t xml:space="preserve">M HCl, acetone and ether to remove reaction residues. The obtained powder was kept in a vacuum oven at 120 </w:t>
      </w:r>
      <w:proofErr w:type="spellStart"/>
      <w:r w:rsidR="00375E33" w:rsidRPr="007C7DAC">
        <w:rPr>
          <w:vertAlign w:val="superscript"/>
        </w:rPr>
        <w:t>o</w:t>
      </w:r>
      <w:r w:rsidR="00375E33" w:rsidRPr="00375E33">
        <w:t>C</w:t>
      </w:r>
      <w:proofErr w:type="spellEnd"/>
      <w:r w:rsidR="00375E33" w:rsidRPr="00375E33">
        <w:t xml:space="preserve"> overnight for further analys</w:t>
      </w:r>
      <w:r w:rsidR="00E175E5">
        <w:t>e</w:t>
      </w:r>
      <w:r w:rsidR="00375E33" w:rsidRPr="00375E33">
        <w:t>s.</w:t>
      </w:r>
    </w:p>
    <w:p w14:paraId="14423D16" w14:textId="514EA016" w:rsidR="007C7DAC" w:rsidRPr="00D11C7A" w:rsidRDefault="00F05CC3" w:rsidP="00025D37">
      <w:pPr>
        <w:pStyle w:val="TAMainText"/>
      </w:pPr>
      <w:r w:rsidRPr="00F05CC3">
        <w:rPr>
          <w:b/>
        </w:rPr>
        <w:t>Material characterization</w:t>
      </w:r>
      <w:r w:rsidR="007C7DAC">
        <w:rPr>
          <w:b/>
        </w:rPr>
        <w:t>.</w:t>
      </w:r>
      <w:r w:rsidR="007C7DAC" w:rsidRPr="00D11C7A">
        <w:t xml:space="preserve"> </w:t>
      </w:r>
      <w:r w:rsidR="001D54D5">
        <w:t xml:space="preserve">Fourier </w:t>
      </w:r>
      <w:r w:rsidR="001D54D5" w:rsidRPr="001D54D5">
        <w:t>transform infrared spectroscopy</w:t>
      </w:r>
      <w:r w:rsidR="001D54D5">
        <w:t xml:space="preserve"> (</w:t>
      </w:r>
      <w:r w:rsidRPr="00F05CC3">
        <w:t>FT-IR</w:t>
      </w:r>
      <w:r w:rsidR="001D54D5">
        <w:t>)</w:t>
      </w:r>
      <w:r w:rsidRPr="00F05CC3">
        <w:t xml:space="preserve"> analysis was carried out using TENSOR27 (Bruker, Germany). </w:t>
      </w:r>
      <w:r w:rsidR="001D54D5" w:rsidRPr="001D54D5">
        <w:t>X-ray photoelectron spectroscopy</w:t>
      </w:r>
      <w:r w:rsidR="001D54D5">
        <w:t xml:space="preserve"> (</w:t>
      </w:r>
      <w:r w:rsidRPr="00F05CC3">
        <w:t>XPS</w:t>
      </w:r>
      <w:r w:rsidR="001D54D5">
        <w:t>)</w:t>
      </w:r>
      <w:r w:rsidRPr="00F05CC3">
        <w:t xml:space="preserve"> spectra were recorded on an Axis-Supra (KRATOS, United Kingdom) spectrometer. Raman spectra were attained from a </w:t>
      </w:r>
      <w:proofErr w:type="spellStart"/>
      <w:r w:rsidRPr="00F05CC3">
        <w:t>LabRAM</w:t>
      </w:r>
      <w:proofErr w:type="spellEnd"/>
      <w:r w:rsidRPr="00F05CC3">
        <w:t xml:space="preserve"> HV Evolution (Horiba, Japan) spectrometer.  </w:t>
      </w:r>
      <w:r w:rsidR="001D54D5" w:rsidRPr="001D54D5">
        <w:t>Thermogravimetric analysis</w:t>
      </w:r>
      <w:r w:rsidR="001D54D5">
        <w:t xml:space="preserve"> (</w:t>
      </w:r>
      <w:r w:rsidRPr="00F05CC3">
        <w:t>TGA</w:t>
      </w:r>
      <w:r w:rsidR="001D54D5">
        <w:t>)</w:t>
      </w:r>
      <w:r w:rsidRPr="00F05CC3">
        <w:t xml:space="preserve"> was performed o</w:t>
      </w:r>
      <w:r>
        <w:t>n Mettler Toledo with ramping 5</w:t>
      </w:r>
      <w:r w:rsidR="00023C32">
        <w:t xml:space="preserve"> </w:t>
      </w:r>
      <w:r w:rsidRPr="00F05CC3">
        <w:t>°C min</w:t>
      </w:r>
      <w:r w:rsidRPr="00F05CC3">
        <w:rPr>
          <w:vertAlign w:val="superscript"/>
        </w:rPr>
        <w:t>−1</w:t>
      </w:r>
      <w:r w:rsidRPr="00F05CC3">
        <w:t xml:space="preserve"> under N</w:t>
      </w:r>
      <w:r w:rsidRPr="00F05CC3">
        <w:rPr>
          <w:vertAlign w:val="subscript"/>
        </w:rPr>
        <w:t>2</w:t>
      </w:r>
      <w:r w:rsidRPr="00F05CC3">
        <w:t xml:space="preserve"> atmos</w:t>
      </w:r>
      <w:r>
        <w:t>phere in a range of 25</w:t>
      </w:r>
      <w:r w:rsidR="00023C32">
        <w:t xml:space="preserve"> </w:t>
      </w:r>
      <w:r>
        <w:t>°C to 600</w:t>
      </w:r>
      <w:r w:rsidR="00023C32">
        <w:t xml:space="preserve"> </w:t>
      </w:r>
      <w:r w:rsidRPr="00F05CC3">
        <w:t xml:space="preserve">°C. </w:t>
      </w:r>
      <w:r w:rsidR="001D54D5" w:rsidRPr="001D54D5">
        <w:t>Field emission scanning electron microscopy</w:t>
      </w:r>
      <w:r w:rsidR="001D54D5">
        <w:t xml:space="preserve"> (</w:t>
      </w:r>
      <w:r w:rsidR="003F6625">
        <w:t>FE</w:t>
      </w:r>
      <w:r w:rsidRPr="00F05CC3">
        <w:t>SEM</w:t>
      </w:r>
      <w:r w:rsidR="001D54D5">
        <w:t>)</w:t>
      </w:r>
      <w:r w:rsidRPr="00F05CC3">
        <w:t xml:space="preserve"> analysis was carried out on </w:t>
      </w:r>
      <w:proofErr w:type="spellStart"/>
      <w:r w:rsidRPr="00F05CC3">
        <w:t>Tescan</w:t>
      </w:r>
      <w:proofErr w:type="spellEnd"/>
      <w:r w:rsidRPr="00F05CC3">
        <w:t xml:space="preserve"> Mira3 LM FE. </w:t>
      </w:r>
      <w:proofErr w:type="spellStart"/>
      <w:r w:rsidR="0028188F" w:rsidRPr="00F05CC3">
        <w:t>Brunauer</w:t>
      </w:r>
      <w:proofErr w:type="spellEnd"/>
      <w:r w:rsidR="0028188F" w:rsidRPr="00F05CC3">
        <w:t xml:space="preserve">–Emmett–Teller (BET) </w:t>
      </w:r>
      <w:r w:rsidRPr="00F05CC3">
        <w:t>analysis was performed on a Micrometrics 3flex system and the surface areas were estimated from N</w:t>
      </w:r>
      <w:r w:rsidRPr="00F05CC3">
        <w:rPr>
          <w:vertAlign w:val="subscript"/>
        </w:rPr>
        <w:t>2</w:t>
      </w:r>
      <w:r w:rsidRPr="00F05CC3">
        <w:t xml:space="preserve"> adsorption-desorption isotherms using the BET model</w:t>
      </w:r>
      <w:r w:rsidR="006E2523">
        <w:t>. T</w:t>
      </w:r>
      <w:r w:rsidRPr="00F05CC3">
        <w:t xml:space="preserve">he pressure ranges were obtained from the </w:t>
      </w:r>
      <w:proofErr w:type="spellStart"/>
      <w:r w:rsidRPr="00F05CC3">
        <w:t>Rouquerol</w:t>
      </w:r>
      <w:proofErr w:type="spellEnd"/>
      <w:r w:rsidRPr="00F05CC3">
        <w:t xml:space="preserve"> plots. The pore size distributions were calculated using the Nonlocal Density Functional Theory (NLDFT) method. Ultraviolet-visible </w:t>
      </w:r>
      <w:r w:rsidR="00A34A10">
        <w:t>(</w:t>
      </w:r>
      <w:r w:rsidR="00A34A10">
        <w:rPr>
          <w:lang w:eastAsia="ko-KR"/>
        </w:rPr>
        <w:t>UV-</w:t>
      </w:r>
      <w:r w:rsidR="00F273C4">
        <w:rPr>
          <w:lang w:eastAsia="ko-KR"/>
        </w:rPr>
        <w:t>V</w:t>
      </w:r>
      <w:r w:rsidR="00A34A10">
        <w:rPr>
          <w:lang w:eastAsia="ko-KR"/>
        </w:rPr>
        <w:t xml:space="preserve">is) </w:t>
      </w:r>
      <w:r w:rsidRPr="00F05CC3">
        <w:t xml:space="preserve">spectroscopy analysis was performed using a Lambda 35 UV/vis </w:t>
      </w:r>
      <w:r w:rsidR="006D4D12">
        <w:t>s</w:t>
      </w:r>
      <w:r w:rsidRPr="00F05CC3">
        <w:t>pectrometer (PERKIN ELMER Instruments, US</w:t>
      </w:r>
      <w:r>
        <w:t>A)</w:t>
      </w:r>
      <w:r w:rsidR="007C7DAC" w:rsidRPr="00D11C7A">
        <w:t>.</w:t>
      </w:r>
    </w:p>
    <w:p w14:paraId="4C2E423E" w14:textId="4A70DB82" w:rsidR="007C7DAC" w:rsidRPr="00D11C7A" w:rsidRDefault="00F05CC3" w:rsidP="00025D37">
      <w:pPr>
        <w:pStyle w:val="TAMainText"/>
      </w:pPr>
      <w:r w:rsidRPr="00F05CC3">
        <w:rPr>
          <w:b/>
        </w:rPr>
        <w:t>Polysulfide adsorption test</w:t>
      </w:r>
      <w:r w:rsidR="007C7DAC">
        <w:rPr>
          <w:b/>
        </w:rPr>
        <w:t>.</w:t>
      </w:r>
      <w:r w:rsidR="007C7DAC" w:rsidRPr="00D11C7A">
        <w:t xml:space="preserve"> </w:t>
      </w:r>
      <w:r w:rsidRPr="00F05CC3">
        <w:t>To prepare 50 mM Li</w:t>
      </w:r>
      <w:r w:rsidRPr="00F05CC3">
        <w:rPr>
          <w:vertAlign w:val="subscript"/>
        </w:rPr>
        <w:t>2</w:t>
      </w:r>
      <w:r w:rsidRPr="00F05CC3">
        <w:t>S</w:t>
      </w:r>
      <w:r w:rsidRPr="00F05CC3">
        <w:rPr>
          <w:vertAlign w:val="subscript"/>
        </w:rPr>
        <w:t>6</w:t>
      </w:r>
      <w:r w:rsidRPr="00F05CC3">
        <w:t xml:space="preserve"> solution, stoichiometric amounts of Li</w:t>
      </w:r>
      <w:r w:rsidRPr="00F05CC3">
        <w:rPr>
          <w:vertAlign w:val="subscript"/>
        </w:rPr>
        <w:t>2</w:t>
      </w:r>
      <w:r w:rsidRPr="00F05CC3">
        <w:t>S and elemental sulfur were dissolved in 1,3-dioxolane /1,2-dimethoxyethane solution (1:1 in volume ratio) and stirred at 80</w:t>
      </w:r>
      <w:r w:rsidR="00BD5AFB">
        <w:t xml:space="preserve"> </w:t>
      </w:r>
      <w:proofErr w:type="spellStart"/>
      <w:r w:rsidRPr="00F05CC3">
        <w:rPr>
          <w:vertAlign w:val="superscript"/>
        </w:rPr>
        <w:t>o</w:t>
      </w:r>
      <w:r w:rsidRPr="00F05CC3">
        <w:t>C</w:t>
      </w:r>
      <w:proofErr w:type="spellEnd"/>
      <w:r w:rsidRPr="00F05CC3">
        <w:t xml:space="preserve"> for 72 h. The Li</w:t>
      </w:r>
      <w:r w:rsidRPr="00F05CC3">
        <w:rPr>
          <w:vertAlign w:val="subscript"/>
        </w:rPr>
        <w:t>2</w:t>
      </w:r>
      <w:r w:rsidRPr="00F05CC3">
        <w:t>S</w:t>
      </w:r>
      <w:r w:rsidRPr="00F05CC3">
        <w:rPr>
          <w:vertAlign w:val="subscript"/>
        </w:rPr>
        <w:t>6</w:t>
      </w:r>
      <w:r w:rsidRPr="00F05CC3">
        <w:t xml:space="preserve"> solution was then diluted to 3 mM for adsorption test</w:t>
      </w:r>
      <w:r w:rsidR="00E20526">
        <w:t>s</w:t>
      </w:r>
      <w:r w:rsidRPr="00F05CC3">
        <w:t>. All the cPpy-CTFs were dried under vacuum at 60</w:t>
      </w:r>
      <w:r w:rsidR="00BD5AFB">
        <w:t xml:space="preserve"> </w:t>
      </w:r>
      <w:proofErr w:type="spellStart"/>
      <w:r w:rsidRPr="00F05CC3">
        <w:rPr>
          <w:vertAlign w:val="superscript"/>
        </w:rPr>
        <w:t>o</w:t>
      </w:r>
      <w:r w:rsidRPr="00F05CC3">
        <w:t>C</w:t>
      </w:r>
      <w:proofErr w:type="spellEnd"/>
      <w:r w:rsidRPr="00F05CC3">
        <w:t xml:space="preserve"> overnight prior to the adsorption test</w:t>
      </w:r>
      <w:r w:rsidR="008748A3">
        <w:t>s</w:t>
      </w:r>
      <w:r w:rsidRPr="00F05CC3">
        <w:t>.</w:t>
      </w:r>
    </w:p>
    <w:p w14:paraId="25B028C8" w14:textId="66A1F7B2" w:rsidR="007C7DAC" w:rsidRDefault="00F05CC3" w:rsidP="00025D37">
      <w:pPr>
        <w:pStyle w:val="TAMainText"/>
      </w:pPr>
      <w:r w:rsidRPr="00F05CC3">
        <w:rPr>
          <w:b/>
        </w:rPr>
        <w:t>Electrochemical characterization of cPpy-S-CTFs</w:t>
      </w:r>
      <w:r w:rsidR="007C7DAC">
        <w:rPr>
          <w:b/>
        </w:rPr>
        <w:t>.</w:t>
      </w:r>
      <w:r w:rsidR="007C7DAC" w:rsidRPr="00D11C7A">
        <w:t xml:space="preserve"> </w:t>
      </w:r>
      <w:r w:rsidRPr="00F05CC3">
        <w:t xml:space="preserve">All battery cells were tested in the form of CR2032-type coin cells. The synthesized composites were ground and mixed with carbon black and PVDF binder in NMP (70:20:10 in a mass ratio) to form slurries. The prepared slurries were coated onto aluminum foil (20 m, </w:t>
      </w:r>
      <w:proofErr w:type="spellStart"/>
      <w:r w:rsidRPr="00F05CC3">
        <w:t>Hohsen</w:t>
      </w:r>
      <w:proofErr w:type="spellEnd"/>
      <w:r w:rsidRPr="00F05CC3">
        <w:t>, Japan) using the doctor blade technique and dried overnight in a convection oven at 60</w:t>
      </w:r>
      <w:r w:rsidR="00BD5AFB">
        <w:t xml:space="preserve"> </w:t>
      </w:r>
      <w:proofErr w:type="spellStart"/>
      <w:r w:rsidRPr="00F05CC3">
        <w:rPr>
          <w:vertAlign w:val="superscript"/>
        </w:rPr>
        <w:t>o</w:t>
      </w:r>
      <w:r w:rsidRPr="00F05CC3">
        <w:t>C.</w:t>
      </w:r>
      <w:proofErr w:type="spellEnd"/>
      <w:r w:rsidRPr="00F05CC3">
        <w:t xml:space="preserve"> Each </w:t>
      </w:r>
      <w:r w:rsidRPr="00F05CC3">
        <w:t xml:space="preserve">coin cell was assembled in an </w:t>
      </w:r>
      <w:proofErr w:type="spellStart"/>
      <w:r w:rsidRPr="00F05CC3">
        <w:t>Ar</w:t>
      </w:r>
      <w:proofErr w:type="spellEnd"/>
      <w:r w:rsidRPr="00F05CC3">
        <w:t xml:space="preserve">-filled glove box and a Li metal disc was used as the counter and reference electrode. The electrolyte was </w:t>
      </w:r>
      <w:proofErr w:type="spellStart"/>
      <w:r w:rsidRPr="00F05CC3">
        <w:t>LiTFSI</w:t>
      </w:r>
      <w:proofErr w:type="spellEnd"/>
      <w:r w:rsidRPr="00F05CC3">
        <w:t xml:space="preserve"> (1.0 M) and LiNO</w:t>
      </w:r>
      <w:r w:rsidRPr="00F05CC3">
        <w:rPr>
          <w:vertAlign w:val="subscript"/>
        </w:rPr>
        <w:t>3</w:t>
      </w:r>
      <w:r w:rsidRPr="00F05CC3">
        <w:t xml:space="preserve"> (0.2 M) dissolved in solvent mixture of 1: 1 (v / v) DOL / DME. The polypropylene membrane (</w:t>
      </w:r>
      <w:proofErr w:type="spellStart"/>
      <w:r w:rsidRPr="00F05CC3">
        <w:t>Celgard</w:t>
      </w:r>
      <w:proofErr w:type="spellEnd"/>
      <w:r w:rsidRPr="00F05CC3">
        <w:t xml:space="preserve"> 2400) was used as the separator. The ratio of electrolyte: sulfur was ~15 </w:t>
      </w:r>
      <w:proofErr w:type="spellStart"/>
      <w:r w:rsidRPr="00F05CC3">
        <w:t>mL</w:t>
      </w:r>
      <w:r w:rsidRPr="00A31929">
        <w:rPr>
          <w:vertAlign w:val="subscript"/>
        </w:rPr>
        <w:t>electrolyte</w:t>
      </w:r>
      <w:proofErr w:type="spellEnd"/>
      <w:r w:rsidRPr="00F05CC3">
        <w:t xml:space="preserve"> </w:t>
      </w:r>
      <w:proofErr w:type="spellStart"/>
      <w:r w:rsidRPr="00F05CC3">
        <w:t>g</w:t>
      </w:r>
      <w:r w:rsidRPr="00A31929">
        <w:rPr>
          <w:vertAlign w:val="subscript"/>
        </w:rPr>
        <w:t>sulfur</w:t>
      </w:r>
      <w:proofErr w:type="spellEnd"/>
      <w:r w:rsidRPr="00A31929">
        <w:rPr>
          <w:vertAlign w:val="superscript"/>
        </w:rPr>
        <w:t>–1</w:t>
      </w:r>
      <w:r w:rsidRPr="00F05CC3">
        <w:t xml:space="preserve"> for all measurements. The galvanostatic tests were programed by a PEBC050.01 battery cycler (PNE solution, South Korea). The cycling measurements were performed over a voltage range of 1.8–2.7 V </w:t>
      </w:r>
      <w:r w:rsidRPr="00AB658D">
        <w:rPr>
          <w:i/>
        </w:rPr>
        <w:t>vs</w:t>
      </w:r>
      <w:r w:rsidRPr="00F05CC3">
        <w:t>. Li / Li</w:t>
      </w:r>
      <w:r w:rsidRPr="00A31929">
        <w:rPr>
          <w:vertAlign w:val="superscript"/>
        </w:rPr>
        <w:t>+</w:t>
      </w:r>
      <w:r w:rsidRPr="00F05CC3">
        <w:t xml:space="preserve"> and the EIS analysis was conducted in the frequency range of 1 MHz–0.01 Hz with an amplitude of 10 mV at open circuit potential using VSP (Bio-Logic, France). </w:t>
      </w:r>
      <w:r w:rsidR="008F1F87">
        <w:t>Cyclic voltammetry (</w:t>
      </w:r>
      <w:r w:rsidRPr="00F05CC3">
        <w:t>CV</w:t>
      </w:r>
      <w:r w:rsidR="008F1F87">
        <w:t>)</w:t>
      </w:r>
      <w:r w:rsidRPr="00F05CC3">
        <w:t xml:space="preserve"> measurements were conducted between 1.8–2.7 V </w:t>
      </w:r>
      <w:r w:rsidRPr="00AB658D">
        <w:rPr>
          <w:i/>
        </w:rPr>
        <w:t>vs</w:t>
      </w:r>
      <w:r w:rsidRPr="00F05CC3">
        <w:t>. Li / Li</w:t>
      </w:r>
      <w:r w:rsidRPr="00A31929">
        <w:rPr>
          <w:vertAlign w:val="superscript"/>
        </w:rPr>
        <w:t>+</w:t>
      </w:r>
      <w:r w:rsidRPr="00F05CC3">
        <w:t xml:space="preserve"> at a scan rate of 0.05–0.5 mV s</w:t>
      </w:r>
      <w:r w:rsidRPr="00A31929">
        <w:rPr>
          <w:vertAlign w:val="superscript"/>
        </w:rPr>
        <w:t>–1</w:t>
      </w:r>
      <w:r w:rsidRPr="00F05CC3">
        <w:t xml:space="preserve"> by using a WBCS 3000 battery cycler (</w:t>
      </w:r>
      <w:proofErr w:type="spellStart"/>
      <w:r w:rsidRPr="00F05CC3">
        <w:t>Wonatech</w:t>
      </w:r>
      <w:proofErr w:type="spellEnd"/>
      <w:r w:rsidRPr="00F05CC3">
        <w:t>, South Korea). The current densities and specific capacities were all calculated based on sulfur weight only.</w:t>
      </w:r>
    </w:p>
    <w:p w14:paraId="7219357A" w14:textId="77777777" w:rsidR="00270E96" w:rsidRDefault="00270E96" w:rsidP="00025D37">
      <w:pPr>
        <w:pStyle w:val="TAMainText"/>
      </w:pPr>
    </w:p>
    <w:p w14:paraId="4C258BB2" w14:textId="77777777" w:rsidR="00145150" w:rsidRPr="00F5511A" w:rsidRDefault="00145150" w:rsidP="00025D37">
      <w:pPr>
        <w:pStyle w:val="TAMainText"/>
      </w:pPr>
      <w:r w:rsidRPr="00F5511A">
        <w:t>RESULTS AND DISCUSSION</w:t>
      </w:r>
    </w:p>
    <w:p w14:paraId="576D079A" w14:textId="0BA9C2C6" w:rsidR="00AC527B" w:rsidRDefault="00AC527B" w:rsidP="00025D37">
      <w:pPr>
        <w:pStyle w:val="TAMainText"/>
      </w:pPr>
      <w:r>
        <w:t>Elemental sulfur mediated synthesis of covalent triazine frameworks (S-CTF and SF-CTF) enabled in-situ growth of a conjugated polymeric host while simultaneously leading to homogenous distribution of sulfur and its chemical immobilization to the backbone. The limited conductivity of CTFs synthesized at 400</w:t>
      </w:r>
      <w:r w:rsidR="00BD5AFB">
        <w:t xml:space="preserve"> </w:t>
      </w:r>
      <w:proofErr w:type="spellStart"/>
      <w:r w:rsidRPr="00955E54">
        <w:rPr>
          <w:vertAlign w:val="superscript"/>
        </w:rPr>
        <w:t>o</w:t>
      </w:r>
      <w:r>
        <w:t>C</w:t>
      </w:r>
      <w:proofErr w:type="spellEnd"/>
      <w:r>
        <w:t xml:space="preserve"> and the presence of heteroatoms with moderate binding affinity towards Li</w:t>
      </w:r>
      <w:r w:rsidRPr="00955E54">
        <w:rPr>
          <w:vertAlign w:val="superscript"/>
        </w:rPr>
        <w:t>+</w:t>
      </w:r>
      <w:r>
        <w:t xml:space="preserve"> through ion-dipole interactions limit the electrochemical performance of these systems. The conductivity issue of CTFs can be lessened markedly by in-situ growth of conductive polymer during the synthesis of CTFs, which also enables its uniform distribution within the CTF network. In this sense, we identified cPpy as a conductive polymeric additive due to its high ionic and electronic conductivity and the presence of quaternary N</w:t>
      </w:r>
      <w:r w:rsidRPr="00955E54">
        <w:rPr>
          <w:vertAlign w:val="superscript"/>
        </w:rPr>
        <w:t>+</w:t>
      </w:r>
      <w:r>
        <w:t xml:space="preserve"> sites offering high binding affinity with S</w:t>
      </w:r>
      <w:r w:rsidRPr="00CE7726">
        <w:rPr>
          <w:vertAlign w:val="subscript"/>
        </w:rPr>
        <w:t>n</w:t>
      </w:r>
      <w:r w:rsidRPr="00955E54">
        <w:rPr>
          <w:vertAlign w:val="superscript"/>
        </w:rPr>
        <w:t>2–</w:t>
      </w:r>
      <w:r>
        <w:t xml:space="preserve">. The synthesis of cPpy-S-CTF was accomplished (Figure 1) </w:t>
      </w:r>
      <w:r w:rsidRPr="00AB658D">
        <w:rPr>
          <w:i/>
        </w:rPr>
        <w:t>via</w:t>
      </w:r>
      <w:r>
        <w:t xml:space="preserve"> a simple one-step route, that is, reacting </w:t>
      </w:r>
      <w:proofErr w:type="spellStart"/>
      <w:r>
        <w:t>tetrafluoroterephthalonitrile</w:t>
      </w:r>
      <w:proofErr w:type="spellEnd"/>
      <w:r>
        <w:t xml:space="preserve"> and elemental sulfur initially at 160 °C and afterwards at 400 °C in the presence of different cPpy amounts of 0, 1, 2.5, 5, and 10 </w:t>
      </w:r>
      <w:proofErr w:type="spellStart"/>
      <w:r>
        <w:t>wt</w:t>
      </w:r>
      <w:proofErr w:type="spellEnd"/>
      <w:r>
        <w:t xml:space="preserve">% with respect to </w:t>
      </w:r>
      <w:proofErr w:type="spellStart"/>
      <w:r>
        <w:t>tetrafluoroterephthalonitrile</w:t>
      </w:r>
      <w:proofErr w:type="spellEnd"/>
      <w:r>
        <w:t xml:space="preserve"> weight. Sulfur-to-cPpy/monomer ratio was fixed to be 3:1 for all cPpy-S-CTFs. The formation of CTF backbone through the trimerization of </w:t>
      </w:r>
      <w:proofErr w:type="spellStart"/>
      <w:r>
        <w:t>tetrafluoroterephthalonitrile</w:t>
      </w:r>
      <w:proofErr w:type="spellEnd"/>
      <w:r>
        <w:t xml:space="preserve"> was accompanied by the homogeneous distribution of sulfur and its insertion to both CTF backbone and </w:t>
      </w:r>
      <w:proofErr w:type="spellStart"/>
      <w:r>
        <w:t>cPpy</w:t>
      </w:r>
      <w:proofErr w:type="spellEnd"/>
      <w:r>
        <w:t xml:space="preserve"> </w:t>
      </w:r>
      <w:r w:rsidRPr="00AB658D">
        <w:rPr>
          <w:i/>
        </w:rPr>
        <w:t>via</w:t>
      </w:r>
      <w:r>
        <w:t xml:space="preserve"> </w:t>
      </w:r>
      <w:proofErr w:type="spellStart"/>
      <w:r>
        <w:t>perfluoroaryl</w:t>
      </w:r>
      <w:proofErr w:type="spellEnd"/>
      <w:r>
        <w:rPr>
          <w:rFonts w:ascii="Cambria Math" w:hAnsi="Cambria Math" w:cs="Cambria Math"/>
        </w:rPr>
        <w:t>‐</w:t>
      </w:r>
      <w:r>
        <w:t xml:space="preserve">elemental sulfur </w:t>
      </w:r>
      <w:proofErr w:type="spellStart"/>
      <w:r>
        <w:t>SN</w:t>
      </w:r>
      <w:r w:rsidRPr="00955E54">
        <w:rPr>
          <w:vertAlign w:val="subscript"/>
        </w:rPr>
        <w:t>Ar</w:t>
      </w:r>
      <w:proofErr w:type="spellEnd"/>
      <w:r>
        <w:t xml:space="preserve"> chemistry and </w:t>
      </w:r>
      <w:proofErr w:type="spellStart"/>
      <w:r>
        <w:t>radicalic</w:t>
      </w:r>
      <w:proofErr w:type="spellEnd"/>
      <w:r>
        <w:t xml:space="preserve"> C-H insertion, respectively. As a control experiment, we also synthesized sulfur-free cPpy-CTF by synthesizing CTF in the presence </w:t>
      </w:r>
      <w:r w:rsidR="00E078B6">
        <w:t>of differen</w:t>
      </w:r>
      <w:r w:rsidR="00270E96">
        <w:t xml:space="preserve">t </w:t>
      </w:r>
      <w:r>
        <w:t>cPpy amounts of 0,</w:t>
      </w:r>
      <w:r w:rsidR="00246431">
        <w:t xml:space="preserve"> 1,</w:t>
      </w:r>
      <w:r>
        <w:t xml:space="preserve"> 2.5,</w:t>
      </w:r>
      <w:r w:rsidR="004A3E0C">
        <w:t xml:space="preserve"> 5,</w:t>
      </w:r>
      <w:r>
        <w:t xml:space="preserve"> and 10 </w:t>
      </w:r>
      <w:proofErr w:type="spellStart"/>
      <w:r>
        <w:t>wt</w:t>
      </w:r>
      <w:proofErr w:type="spellEnd"/>
      <w:r>
        <w:t xml:space="preserve">% (with respect to the weight of </w:t>
      </w:r>
      <w:proofErr w:type="spellStart"/>
      <w:r>
        <w:t>terephthalonitrile</w:t>
      </w:r>
      <w:proofErr w:type="spellEnd"/>
      <w:r>
        <w:t xml:space="preserve">) under </w:t>
      </w:r>
      <w:proofErr w:type="spellStart"/>
      <w:r>
        <w:t>ionothermal</w:t>
      </w:r>
      <w:proofErr w:type="spellEnd"/>
      <w:r>
        <w:t xml:space="preserve"> reaction conditions at 400 </w:t>
      </w:r>
      <w:proofErr w:type="spellStart"/>
      <w:r w:rsidRPr="00955E54">
        <w:rPr>
          <w:vertAlign w:val="superscript"/>
        </w:rPr>
        <w:t>o</w:t>
      </w:r>
      <w:r>
        <w:t>C</w:t>
      </w:r>
      <w:proofErr w:type="spellEnd"/>
      <w:r>
        <w:t xml:space="preserve"> for 40 h using ZnCl</w:t>
      </w:r>
      <w:r w:rsidRPr="00955E54">
        <w:rPr>
          <w:vertAlign w:val="subscript"/>
        </w:rPr>
        <w:t>2</w:t>
      </w:r>
      <w:r>
        <w:t>.</w:t>
      </w:r>
    </w:p>
    <w:p w14:paraId="38ECB6CB" w14:textId="4FB429F9" w:rsidR="00F12908" w:rsidRPr="001338EF" w:rsidRDefault="00AC527B" w:rsidP="00F12908">
      <w:pPr>
        <w:pStyle w:val="TAMainText"/>
        <w:sectPr w:rsidR="00F12908" w:rsidRPr="001338EF" w:rsidSect="005D5DF7">
          <w:type w:val="continuous"/>
          <w:pgSz w:w="12240" w:h="15840"/>
          <w:pgMar w:top="720" w:right="1094" w:bottom="720" w:left="1094" w:header="720" w:footer="720" w:gutter="0"/>
          <w:cols w:num="2" w:space="461"/>
        </w:sectPr>
      </w:pPr>
      <w:r>
        <w:t xml:space="preserve">In order to investigate the </w:t>
      </w:r>
      <w:r w:rsidR="00217F63">
        <w:t xml:space="preserve">formation of cPpy-S-CTF, FT-IR </w:t>
      </w:r>
      <w:r>
        <w:t>analysis was conducted</w:t>
      </w:r>
      <w:r w:rsidR="00AB658D">
        <w:t xml:space="preserve"> (Figure 2a)</w:t>
      </w:r>
      <w:r>
        <w:t>. The disappearance of nitrile stretching band at 2218 cm</w:t>
      </w:r>
      <w:r w:rsidRPr="00955E54">
        <w:rPr>
          <w:vertAlign w:val="superscript"/>
        </w:rPr>
        <w:t>–1</w:t>
      </w:r>
      <w:r>
        <w:t xml:space="preserve"> along with the appearance of triazine bands at 1321 and 1509 cm</w:t>
      </w:r>
      <w:r w:rsidRPr="00955E54">
        <w:rPr>
          <w:vertAlign w:val="superscript"/>
        </w:rPr>
        <w:t>–1</w:t>
      </w:r>
      <w:r>
        <w:t xml:space="preserve"> supports the designated synthesis of cPpy-S-CTFs.</w:t>
      </w:r>
      <w:r w:rsidRPr="00955E54">
        <w:rPr>
          <w:vertAlign w:val="superscript"/>
        </w:rPr>
        <w:t>6</w:t>
      </w:r>
      <w:r w:rsidR="00B8531C">
        <w:rPr>
          <w:vertAlign w:val="superscript"/>
        </w:rPr>
        <w:t>6</w:t>
      </w:r>
      <w:r>
        <w:t xml:space="preserve"> The successful integration of cPpy in cPpy-S-CTF was verified by the existence of the quinonoid </w:t>
      </w:r>
      <w:proofErr w:type="spellStart"/>
      <w:r>
        <w:t>bipolaron</w:t>
      </w:r>
      <w:proofErr w:type="spellEnd"/>
      <w:r>
        <w:t xml:space="preserve"> structure of doped cPpy at 973 cm</w:t>
      </w:r>
      <w:r w:rsidRPr="00955E54">
        <w:rPr>
          <w:vertAlign w:val="superscript"/>
        </w:rPr>
        <w:t>–1</w:t>
      </w:r>
      <w:r w:rsidR="00955E54">
        <w:t>,</w:t>
      </w:r>
      <w:r w:rsidR="00955E54" w:rsidRPr="00955E54">
        <w:rPr>
          <w:vertAlign w:val="superscript"/>
        </w:rPr>
        <w:t xml:space="preserve"> 6</w:t>
      </w:r>
      <w:r w:rsidR="00B8531C">
        <w:rPr>
          <w:vertAlign w:val="superscript"/>
        </w:rPr>
        <w:t>7</w:t>
      </w:r>
      <w:r w:rsidRPr="00955E54">
        <w:rPr>
          <w:vertAlign w:val="superscript"/>
        </w:rPr>
        <w:t>-6</w:t>
      </w:r>
      <w:r w:rsidR="00B8531C">
        <w:rPr>
          <w:vertAlign w:val="superscript"/>
        </w:rPr>
        <w:t>9</w:t>
      </w:r>
      <w:r>
        <w:t xml:space="preserve"> which is absent for the S-CTF without cPpy. Moreover, with increasing cPpy content, the stretching vibration of N–H was observed at 2986 cm</w:t>
      </w:r>
      <w:r w:rsidRPr="00955E54">
        <w:rPr>
          <w:vertAlign w:val="superscript"/>
        </w:rPr>
        <w:t>–1</w:t>
      </w:r>
      <w:r>
        <w:t xml:space="preserve"> which further proves the addition and structural integrity of cPpy.</w:t>
      </w:r>
      <w:r w:rsidR="001338EF">
        <w:t xml:space="preserve"> </w:t>
      </w:r>
      <w:r>
        <w:t>Importantly, these data collectively suggest that the presence of cPpy in the reaction mixture did not interrupt</w:t>
      </w:r>
      <w:r w:rsidR="001338EF">
        <w:t xml:space="preserve"> the formation of </w:t>
      </w:r>
      <w:r w:rsidR="001338EF" w:rsidRPr="001338EF">
        <w:t>2D CTF.</w:t>
      </w:r>
      <w:r w:rsidR="00AA273D" w:rsidRPr="00AA273D">
        <w:t xml:space="preserve"> </w:t>
      </w:r>
      <w:r w:rsidR="00AA273D" w:rsidRPr="001338EF">
        <w:t>Dispersive Raman analysis was performed (Figure 2b)</w:t>
      </w:r>
      <w:r w:rsidR="00AA273D" w:rsidRPr="00AA273D">
        <w:t xml:space="preserve"> </w:t>
      </w:r>
      <w:r w:rsidR="00AA273D" w:rsidRPr="001338EF">
        <w:t>to probe the formation of 2D CTF. The</w:t>
      </w:r>
    </w:p>
    <w:p w14:paraId="49057DB8" w14:textId="79975D20" w:rsidR="001338EF" w:rsidRDefault="00F12908" w:rsidP="00DD63C6">
      <w:pPr>
        <w:pStyle w:val="TAMainText"/>
        <w:jc w:val="center"/>
      </w:pPr>
      <w:r>
        <w:rPr>
          <w:noProof/>
          <w:lang w:eastAsia="ko-KR"/>
        </w:rPr>
        <w:lastRenderedPageBreak/>
        <w:drawing>
          <wp:inline distT="0" distB="0" distL="0" distR="0" wp14:anchorId="7C20919B" wp14:editId="776C4B46">
            <wp:extent cx="4565712" cy="5581815"/>
            <wp:effectExtent l="0" t="0" r="6350" b="0"/>
            <wp:docPr id="51" name="그림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02158" cy="5626372"/>
                    </a:xfrm>
                    <a:prstGeom prst="rect">
                      <a:avLst/>
                    </a:prstGeom>
                    <a:noFill/>
                  </pic:spPr>
                </pic:pic>
              </a:graphicData>
            </a:graphic>
          </wp:inline>
        </w:drawing>
      </w:r>
    </w:p>
    <w:p w14:paraId="72B4D9A7" w14:textId="77777777" w:rsidR="001338EF" w:rsidRDefault="001338EF" w:rsidP="00025D37">
      <w:pPr>
        <w:pStyle w:val="TAMainText"/>
      </w:pPr>
      <w:r w:rsidRPr="00270E96">
        <w:rPr>
          <w:b/>
        </w:rPr>
        <w:t>Figure 2.</w:t>
      </w:r>
      <w:r w:rsidRPr="00270E96">
        <w:t xml:space="preserve"> Structural analysis of various cPpy-S-CTFs. (a)  FT-IR spectra.  (b) Raman spectra.  (c) TGA curves obtained under N</w:t>
      </w:r>
      <w:r w:rsidRPr="00FB2251">
        <w:rPr>
          <w:vertAlign w:val="subscript"/>
        </w:rPr>
        <w:t>2</w:t>
      </w:r>
      <w:r w:rsidRPr="00270E96">
        <w:t xml:space="preserve"> atmosphere. TEM images of (d) cPpy-S-CTF 0% cPpy and (e) cPpy-S-CTF 2.5% cPpy. (f) N</w:t>
      </w:r>
      <w:r w:rsidRPr="00FB2251">
        <w:rPr>
          <w:vertAlign w:val="subscript"/>
        </w:rPr>
        <w:t>2</w:t>
      </w:r>
      <w:r w:rsidRPr="00270E96">
        <w:t xml:space="preserve"> adsorption-desorption isotherms measured at 77 K.</w:t>
      </w:r>
    </w:p>
    <w:p w14:paraId="5DDBB786" w14:textId="77777777" w:rsidR="001338EF" w:rsidRDefault="001338EF" w:rsidP="00025D37">
      <w:pPr>
        <w:pStyle w:val="TAMainText"/>
        <w:sectPr w:rsidR="001338EF" w:rsidSect="001338EF">
          <w:type w:val="continuous"/>
          <w:pgSz w:w="12240" w:h="15840"/>
          <w:pgMar w:top="720" w:right="1094" w:bottom="720" w:left="1094" w:header="720" w:footer="720" w:gutter="0"/>
          <w:cols w:space="461"/>
        </w:sectPr>
      </w:pPr>
    </w:p>
    <w:p w14:paraId="3EFBE629" w14:textId="65FE0A3D" w:rsidR="001338EF" w:rsidRDefault="001338EF" w:rsidP="00025D37">
      <w:pPr>
        <w:pStyle w:val="TAMainText"/>
      </w:pPr>
    </w:p>
    <w:p w14:paraId="47321AD0" w14:textId="1FB446FF" w:rsidR="00270E96" w:rsidRDefault="00270E96" w:rsidP="00025D37">
      <w:pPr>
        <w:pStyle w:val="TAMainText"/>
        <w:sectPr w:rsidR="00270E96" w:rsidSect="00270E96">
          <w:type w:val="continuous"/>
          <w:pgSz w:w="12240" w:h="15840"/>
          <w:pgMar w:top="720" w:right="1094" w:bottom="720" w:left="1094" w:header="720" w:footer="720" w:gutter="0"/>
          <w:cols w:space="461"/>
        </w:sectPr>
      </w:pPr>
    </w:p>
    <w:p w14:paraId="683B662A" w14:textId="2C957786" w:rsidR="00270E96" w:rsidRDefault="001338EF" w:rsidP="00025D37">
      <w:pPr>
        <w:pStyle w:val="TAMainText"/>
        <w:sectPr w:rsidR="00270E96" w:rsidSect="005D5DF7">
          <w:type w:val="continuous"/>
          <w:pgSz w:w="12240" w:h="15840"/>
          <w:pgMar w:top="720" w:right="1094" w:bottom="720" w:left="1094" w:header="720" w:footer="720" w:gutter="0"/>
          <w:cols w:num="2" w:space="461"/>
        </w:sectPr>
      </w:pPr>
      <w:r w:rsidRPr="001338EF">
        <w:t xml:space="preserve">appearance of D and G </w:t>
      </w:r>
      <w:r w:rsidR="00AC527B">
        <w:t>bands at 1446 and 1535 cm</w:t>
      </w:r>
      <w:r w:rsidR="00AC527B" w:rsidRPr="00955E54">
        <w:rPr>
          <w:vertAlign w:val="superscript"/>
        </w:rPr>
        <w:t>−1</w:t>
      </w:r>
      <w:r w:rsidR="00AC527B">
        <w:t>, respectively, indicates the graphitic nature of CTF, which was also reflected in the I</w:t>
      </w:r>
      <w:r w:rsidR="00AC527B" w:rsidRPr="00E42613">
        <w:rPr>
          <w:vertAlign w:val="subscript"/>
        </w:rPr>
        <w:t>D</w:t>
      </w:r>
      <w:r w:rsidR="00AC527B">
        <w:t>/I</w:t>
      </w:r>
      <w:r w:rsidR="00AC527B" w:rsidRPr="00E42613">
        <w:rPr>
          <w:vertAlign w:val="subscript"/>
        </w:rPr>
        <w:t>G</w:t>
      </w:r>
      <w:r w:rsidR="00AC527B">
        <w:t xml:space="preserve"> ratios close to 1 (Table S1). Interestingly, since the I</w:t>
      </w:r>
      <w:r w:rsidR="00AC527B" w:rsidRPr="00E42613">
        <w:rPr>
          <w:vertAlign w:val="subscript"/>
        </w:rPr>
        <w:t>D</w:t>
      </w:r>
      <w:r w:rsidR="00AC527B">
        <w:t>/I</w:t>
      </w:r>
      <w:r w:rsidR="00AC527B" w:rsidRPr="00E42613">
        <w:rPr>
          <w:vertAlign w:val="subscript"/>
        </w:rPr>
        <w:t>G</w:t>
      </w:r>
      <w:r w:rsidR="00AC527B">
        <w:t xml:space="preserve"> ratio was unaffected by the addition of cPpy, it further indicates the inert nature of cPpy to the formation of CTF. In addition, C-S stretching bands were observed at 234 and 162 cm</w:t>
      </w:r>
      <w:r w:rsidR="00AC527B" w:rsidRPr="00955E54">
        <w:rPr>
          <w:vertAlign w:val="superscript"/>
        </w:rPr>
        <w:t xml:space="preserve">−1 </w:t>
      </w:r>
      <w:r w:rsidR="00AC527B">
        <w:t>and S-S band at 464 cm</w:t>
      </w:r>
      <w:r w:rsidR="00AC527B" w:rsidRPr="00955E54">
        <w:rPr>
          <w:vertAlign w:val="superscript"/>
        </w:rPr>
        <w:t>−1</w:t>
      </w:r>
      <w:r w:rsidR="00AC527B">
        <w:t>, confirming the covalent bonding of sulfur chains to the cPpy and CTF backbones. We also performed (Figure 2c) TGA under N</w:t>
      </w:r>
      <w:r w:rsidR="00AC527B" w:rsidRPr="00955E54">
        <w:rPr>
          <w:vertAlign w:val="subscript"/>
        </w:rPr>
        <w:t>2</w:t>
      </w:r>
      <w:r w:rsidR="00AC527B">
        <w:t xml:space="preserve"> atmosphere to assess the sulfur contents of cPpy-S-CTFs with different amounts of cPpy. In all the cPpy-S-CTF series with cPpy contents of 0-10 </w:t>
      </w:r>
      <w:proofErr w:type="spellStart"/>
      <w:r w:rsidR="00AC527B">
        <w:t>wt</w:t>
      </w:r>
      <w:proofErr w:type="spellEnd"/>
      <w:r w:rsidR="00AC527B">
        <w:t xml:space="preserve">%, the sulfur contents were found to be in the narrow range of 81 to 83 </w:t>
      </w:r>
      <w:proofErr w:type="spellStart"/>
      <w:r w:rsidR="00AC527B">
        <w:t>wt</w:t>
      </w:r>
      <w:proofErr w:type="spellEnd"/>
      <w:r w:rsidR="00AC527B">
        <w:t xml:space="preserve">%, which points to the insertion of sulfur to the cPpy backbone. TGA analysis of S-cPpy synthesized under the same experimental conditions by reacting cPpy and elemental sulfur showed a relatively low sulfur content of 57 </w:t>
      </w:r>
      <w:proofErr w:type="spellStart"/>
      <w:r w:rsidR="00AC527B">
        <w:t>wt</w:t>
      </w:r>
      <w:proofErr w:type="spellEnd"/>
      <w:r w:rsidR="00AC527B">
        <w:t xml:space="preserve">% indicating the importance of </w:t>
      </w:r>
      <w:proofErr w:type="spellStart"/>
      <w:r w:rsidR="00AC527B">
        <w:t>SN</w:t>
      </w:r>
      <w:r w:rsidR="00AC527B" w:rsidRPr="00955E54">
        <w:rPr>
          <w:vertAlign w:val="subscript"/>
        </w:rPr>
        <w:t>Ar</w:t>
      </w:r>
      <w:proofErr w:type="spellEnd"/>
      <w:r w:rsidR="00AC527B">
        <w:t xml:space="preserve"> chemistry to accomplish the high sulfur loadings of cPpy-S-CTFs. Powder X-ray diffraction </w:t>
      </w:r>
      <w:r w:rsidR="00AC527B">
        <w:t>(PXRD) analysis (Figure S1) elucidated the presence of physically trapped crystalline sulfur domains within the framework.</w:t>
      </w:r>
      <w:r w:rsidR="00B8531C">
        <w:rPr>
          <w:vertAlign w:val="superscript"/>
        </w:rPr>
        <w:t>70</w:t>
      </w:r>
      <w:r w:rsidR="00AC527B">
        <w:t xml:space="preserve"> Furthermore, the bonding nature of cPpy-S-CTFs was examined (Figure S2,</w:t>
      </w:r>
      <w:r w:rsidR="00D31872">
        <w:t xml:space="preserve"> </w:t>
      </w:r>
      <w:r w:rsidR="00AC527B">
        <w:t>S3) by XPS over a range of binding energies corresponding to the C 1s and N 1s. The C 1s spectra of the cPpy-S-CTFs exhibited C−C bonding peaks of the phenyl and pyrrole moieties at 284.8 eV.</w:t>
      </w:r>
      <w:r w:rsidR="00B8531C">
        <w:rPr>
          <w:vertAlign w:val="superscript"/>
        </w:rPr>
        <w:t>71</w:t>
      </w:r>
      <w:r w:rsidR="00AC527B">
        <w:t xml:space="preserve"> Their C 1s spectra also showed C−S and triazine peaks at 285.6 and 286.5 eV, respectively.</w:t>
      </w:r>
      <w:r w:rsidR="00B8531C">
        <w:rPr>
          <w:vertAlign w:val="superscript"/>
        </w:rPr>
        <w:t>52</w:t>
      </w:r>
      <w:r w:rsidR="00AC527B">
        <w:t xml:space="preserve"> On the other hand, the C 1s spectrum of cPpy showed C−C, C−N−H bond and π−π* satellite peaks at 284.8, 286.2 and 290.4 eV, respectively, which were also observed in cPpy-S-CTFs.</w:t>
      </w:r>
      <w:r w:rsidR="00B8531C">
        <w:rPr>
          <w:vertAlign w:val="superscript"/>
        </w:rPr>
        <w:t>72</w:t>
      </w:r>
      <w:r w:rsidR="00AC527B">
        <w:t xml:space="preserve"> In addition, the N 1s spectra of cPpy-S-CTFs revealed triazine </w:t>
      </w:r>
      <w:r w:rsidR="00563A70">
        <w:t>N=C−</w:t>
      </w:r>
      <w:r w:rsidR="00AC527B">
        <w:t>N,  pyrrolic N−H and C−N</w:t>
      </w:r>
      <w:r w:rsidR="00AC527B" w:rsidRPr="00E42613">
        <w:rPr>
          <w:vertAlign w:val="superscript"/>
        </w:rPr>
        <w:t>+</w:t>
      </w:r>
      <w:r w:rsidR="00AC527B">
        <w:t xml:space="preserve"> peaks at 398.4, 399.8 and 401.7 eV, respectively.</w:t>
      </w:r>
      <w:r w:rsidR="00AC527B" w:rsidRPr="00E42613">
        <w:rPr>
          <w:vertAlign w:val="superscript"/>
        </w:rPr>
        <w:t>6</w:t>
      </w:r>
      <w:r w:rsidR="00B8531C">
        <w:rPr>
          <w:vertAlign w:val="superscript"/>
        </w:rPr>
        <w:t>8</w:t>
      </w:r>
      <w:r w:rsidR="00AC527B" w:rsidRPr="00E42613">
        <w:rPr>
          <w:vertAlign w:val="superscript"/>
        </w:rPr>
        <w:t>,</w:t>
      </w:r>
      <w:r w:rsidR="00B8531C">
        <w:rPr>
          <w:vertAlign w:val="superscript"/>
        </w:rPr>
        <w:t>73</w:t>
      </w:r>
      <w:r w:rsidR="00AC527B" w:rsidRPr="00E42613">
        <w:rPr>
          <w:vertAlign w:val="superscript"/>
        </w:rPr>
        <w:t>-7</w:t>
      </w:r>
      <w:r w:rsidR="00B8531C">
        <w:rPr>
          <w:vertAlign w:val="superscript"/>
        </w:rPr>
        <w:t>5</w:t>
      </w:r>
      <w:r w:rsidR="00AC527B">
        <w:t xml:space="preserve"> These data verify the coexistence of CTF and cPpy in the cPpy-S-CTFs. FE-SEM analysis was performed (Figure S4) in order to elucidate the effect of cPpy on the morphology of cPpy-S-CTFs. Notably, </w:t>
      </w:r>
      <w:r>
        <w:t xml:space="preserve">even with the addition of 1 </w:t>
      </w:r>
      <w:proofErr w:type="spellStart"/>
      <w:r>
        <w:t>wt</w:t>
      </w:r>
      <w:proofErr w:type="spellEnd"/>
      <w:r>
        <w:t xml:space="preserve">% </w:t>
      </w:r>
      <w:proofErr w:type="spellStart"/>
      <w:r w:rsidR="00563A70">
        <w:t>c</w:t>
      </w:r>
      <w:r>
        <w:t>Ppy</w:t>
      </w:r>
      <w:proofErr w:type="spellEnd"/>
      <w:r>
        <w:t>,</w:t>
      </w:r>
      <w:r w:rsidRPr="001338EF">
        <w:t xml:space="preserve"> </w:t>
      </w:r>
      <w:r>
        <w:t>significant changes in the morphology of cPpy-S-CTFs were observed.</w:t>
      </w:r>
      <w:r w:rsidRPr="001338EF">
        <w:t xml:space="preserve"> </w:t>
      </w:r>
      <w:r>
        <w:t>In particular,</w:t>
      </w:r>
      <w:r w:rsidRPr="001338EF">
        <w:t xml:space="preserve"> </w:t>
      </w:r>
      <w:r>
        <w:t xml:space="preserve">cPpy-S-CTF 2.5% </w:t>
      </w:r>
    </w:p>
    <w:p w14:paraId="4DD85CD4" w14:textId="2F092779" w:rsidR="000F3A7E" w:rsidRDefault="000F3A7E" w:rsidP="000F3A7E">
      <w:pPr>
        <w:pStyle w:val="TAMainText"/>
        <w:ind w:firstLine="0"/>
      </w:pPr>
    </w:p>
    <w:p w14:paraId="45ED98A2" w14:textId="024C03CC" w:rsidR="000F3A7E" w:rsidRPr="00270E96" w:rsidRDefault="000F3A7E" w:rsidP="000F3A7E">
      <w:pPr>
        <w:pStyle w:val="TAMainText"/>
        <w:ind w:firstLine="0"/>
        <w:jc w:val="center"/>
      </w:pPr>
      <w:r>
        <w:rPr>
          <w:noProof/>
          <w:lang w:eastAsia="ko-KR"/>
        </w:rPr>
        <w:drawing>
          <wp:inline distT="0" distB="0" distL="0" distR="0" wp14:anchorId="371E3AE8" wp14:editId="564C5A6F">
            <wp:extent cx="6378983" cy="3664915"/>
            <wp:effectExtent l="0" t="0" r="0" b="0"/>
            <wp:docPr id="109" name="그림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00465" cy="3677257"/>
                    </a:xfrm>
                    <a:prstGeom prst="rect">
                      <a:avLst/>
                    </a:prstGeom>
                    <a:noFill/>
                  </pic:spPr>
                </pic:pic>
              </a:graphicData>
            </a:graphic>
          </wp:inline>
        </w:drawing>
      </w:r>
    </w:p>
    <w:p w14:paraId="194234E5" w14:textId="77777777" w:rsidR="00270E96" w:rsidRPr="00270E96" w:rsidRDefault="00270E96" w:rsidP="00025D37">
      <w:pPr>
        <w:pStyle w:val="TAMainText"/>
      </w:pPr>
      <w:r w:rsidRPr="00270E96">
        <w:rPr>
          <w:b/>
          <w:bCs/>
        </w:rPr>
        <w:t>Figure 3.</w:t>
      </w:r>
      <w:r w:rsidRPr="00270E96">
        <w:t xml:space="preserve"> Visual effects of the 3 mM Li</w:t>
      </w:r>
      <w:r w:rsidRPr="006F492F">
        <w:rPr>
          <w:vertAlign w:val="subscript"/>
        </w:rPr>
        <w:t>2</w:t>
      </w:r>
      <w:r w:rsidRPr="00270E96">
        <w:t>S</w:t>
      </w:r>
      <w:r w:rsidRPr="006F492F">
        <w:rPr>
          <w:vertAlign w:val="subscript"/>
        </w:rPr>
        <w:t>6</w:t>
      </w:r>
      <w:r w:rsidRPr="00270E96">
        <w:t xml:space="preserve"> in DOL/DME (1:1 v/v) solution when exposed to various cPpy-CTFs over 3, 6 and 24 h (a, b, c). Time dependent UV–Vis absorption spectra of cPpy-CTF</w:t>
      </w:r>
      <w:r w:rsidR="00CE7726">
        <w:t xml:space="preserve"> 0 (d), 2.5 (e), and 10%</w:t>
      </w:r>
      <w:r w:rsidRPr="00270E96">
        <w:t xml:space="preserve"> (f) in 3 mM Li</w:t>
      </w:r>
      <w:r w:rsidRPr="006F492F">
        <w:rPr>
          <w:vertAlign w:val="subscript"/>
        </w:rPr>
        <w:t>2</w:t>
      </w:r>
      <w:r w:rsidRPr="00270E96">
        <w:t>S</w:t>
      </w:r>
      <w:r w:rsidRPr="006F492F">
        <w:rPr>
          <w:vertAlign w:val="subscript"/>
        </w:rPr>
        <w:t>6</w:t>
      </w:r>
      <w:r w:rsidRPr="00270E96">
        <w:t xml:space="preserve"> in DOL/DME (1:1 </w:t>
      </w:r>
      <w:r w:rsidRPr="00FB2251">
        <w:rPr>
          <w:i/>
        </w:rPr>
        <w:t>v</w:t>
      </w:r>
      <w:r w:rsidRPr="00270E96">
        <w:t>/</w:t>
      </w:r>
      <w:r w:rsidRPr="00FB2251">
        <w:rPr>
          <w:i/>
        </w:rPr>
        <w:t>v</w:t>
      </w:r>
      <w:r w:rsidRPr="00270E96">
        <w:t>) solution. (g) Plots of UV–Vis absorbance changes with time.</w:t>
      </w:r>
    </w:p>
    <w:p w14:paraId="1BF3F9FA" w14:textId="77777777" w:rsidR="00270E96" w:rsidRDefault="00270E96" w:rsidP="00025D37">
      <w:pPr>
        <w:pStyle w:val="TAMainText"/>
      </w:pPr>
    </w:p>
    <w:p w14:paraId="79C9BBEA" w14:textId="4C90F85A" w:rsidR="00270E96" w:rsidRDefault="00270E96" w:rsidP="00025D37">
      <w:pPr>
        <w:pStyle w:val="TAMainText"/>
      </w:pPr>
    </w:p>
    <w:p w14:paraId="70946C0F" w14:textId="3E1DD520" w:rsidR="002515EE" w:rsidRDefault="002515EE" w:rsidP="00025D37">
      <w:pPr>
        <w:pStyle w:val="TAMainText"/>
      </w:pPr>
    </w:p>
    <w:p w14:paraId="1985F575" w14:textId="77777777" w:rsidR="002515EE" w:rsidRDefault="002515EE" w:rsidP="00025D37">
      <w:pPr>
        <w:pStyle w:val="TAMainText"/>
        <w:sectPr w:rsidR="002515EE" w:rsidSect="00270E96">
          <w:type w:val="continuous"/>
          <w:pgSz w:w="12240" w:h="15840"/>
          <w:pgMar w:top="720" w:right="1094" w:bottom="720" w:left="1094" w:header="720" w:footer="720" w:gutter="0"/>
          <w:cols w:space="461"/>
        </w:sectPr>
      </w:pPr>
    </w:p>
    <w:p w14:paraId="3283BDC8" w14:textId="45F926FA" w:rsidR="005B2BA8" w:rsidRDefault="00563A70" w:rsidP="00025D37">
      <w:pPr>
        <w:pStyle w:val="TAMainText"/>
        <w:sectPr w:rsidR="005B2BA8" w:rsidSect="005D5DF7">
          <w:type w:val="continuous"/>
          <w:pgSz w:w="12240" w:h="15840"/>
          <w:pgMar w:top="720" w:right="1094" w:bottom="720" w:left="1094" w:header="720" w:footer="720" w:gutter="0"/>
          <w:cols w:num="2" w:space="461"/>
        </w:sectPr>
      </w:pPr>
      <w:r>
        <w:t>showed</w:t>
      </w:r>
      <w:r w:rsidRPr="00AA273D">
        <w:t xml:space="preserve"> </w:t>
      </w:r>
      <w:r>
        <w:t xml:space="preserve">the most </w:t>
      </w:r>
      <w:r w:rsidRPr="00B829C3">
        <w:rPr>
          <w:highlight w:val="yellow"/>
        </w:rPr>
        <w:t>integrated morphology, which is likely to be attributed to homogeneous distribution of cPpy. However, direct analysis</w:t>
      </w:r>
      <w:r>
        <w:rPr>
          <w:highlight w:val="yellow"/>
        </w:rPr>
        <w:t xml:space="preserve"> </w:t>
      </w:r>
      <w:r w:rsidR="00E040CF" w:rsidRPr="00E040CF">
        <w:rPr>
          <w:highlight w:val="yellow"/>
        </w:rPr>
        <w:t xml:space="preserve">of the distribution of cPpy was infeasible because the signal of cPpy in </w:t>
      </w:r>
      <w:r w:rsidR="006F7A00" w:rsidRPr="00E040CF">
        <w:rPr>
          <w:highlight w:val="yellow"/>
        </w:rPr>
        <w:t>energy dispersive X-ray spectroscopy (EDX) was weak</w:t>
      </w:r>
      <w:r w:rsidR="00AC527B" w:rsidRPr="00E040CF">
        <w:rPr>
          <w:highlight w:val="yellow"/>
        </w:rPr>
        <w:t>.</w:t>
      </w:r>
      <w:r w:rsidR="00AC527B">
        <w:t xml:space="preserve"> By contrast, cPpy-S-CTFs with other contents of cPpy displayed particulate or island-like morphology. The formation of the 3D interconnected structure was verified (Figure 2d,</w:t>
      </w:r>
      <w:r w:rsidR="000D669C">
        <w:t xml:space="preserve"> </w:t>
      </w:r>
      <w:r w:rsidR="00AC527B">
        <w:t>e) by transmission electron microscopy (TEM) analysis; while cPpy-S-CTF 0% showed a plain lamella structure reflective of 2D morpho</w:t>
      </w:r>
      <w:r w:rsidR="00BE40D7">
        <w:t>logy of S-CTF, cPpy-S-CTF 2.5</w:t>
      </w:r>
      <w:r w:rsidR="00AC527B">
        <w:t xml:space="preserve">% cPpy revealed certain contrast indicating its porous morphology owing to the formation of nanochannels mediated by cPpy. </w:t>
      </w:r>
      <w:r w:rsidR="008966F9" w:rsidRPr="00B829C3">
        <w:t xml:space="preserve">We have also measured (Figure 2f) </w:t>
      </w:r>
      <w:r w:rsidR="00B829C3">
        <w:t xml:space="preserve">the </w:t>
      </w:r>
      <w:r w:rsidR="008966F9" w:rsidRPr="00B829C3">
        <w:t>surface areas of cPpy-CTF</w:t>
      </w:r>
      <w:r w:rsidR="00A422B3" w:rsidRPr="00B829C3">
        <w:t>s</w:t>
      </w:r>
      <w:r w:rsidR="008966F9" w:rsidRPr="00B829C3">
        <w:t xml:space="preserve"> 0, </w:t>
      </w:r>
      <w:r w:rsidR="008966F9" w:rsidRPr="00BE7702">
        <w:rPr>
          <w:highlight w:val="yellow"/>
        </w:rPr>
        <w:t>1</w:t>
      </w:r>
      <w:r w:rsidR="008966F9" w:rsidRPr="00B829C3">
        <w:t xml:space="preserve">, 2.5, </w:t>
      </w:r>
      <w:r w:rsidR="008966F9" w:rsidRPr="00BE7702">
        <w:rPr>
          <w:highlight w:val="yellow"/>
        </w:rPr>
        <w:t>5</w:t>
      </w:r>
      <w:r w:rsidR="008966F9" w:rsidRPr="00B829C3">
        <w:t xml:space="preserve"> and 10% using N</w:t>
      </w:r>
      <w:r w:rsidR="008966F9" w:rsidRPr="00B829C3">
        <w:rPr>
          <w:vertAlign w:val="subscript"/>
        </w:rPr>
        <w:t>2</w:t>
      </w:r>
      <w:r w:rsidR="008966F9" w:rsidRPr="00B829C3">
        <w:t xml:space="preserve"> adsorption </w:t>
      </w:r>
      <w:r w:rsidR="00D531BE">
        <w:t xml:space="preserve">isotherms measured </w:t>
      </w:r>
      <w:r w:rsidR="008966F9" w:rsidRPr="00B829C3">
        <w:t>at 77 K. The surface areas were in the range of 1483–1561 m</w:t>
      </w:r>
      <w:r w:rsidR="008966F9" w:rsidRPr="00B829C3">
        <w:rPr>
          <w:vertAlign w:val="superscript"/>
        </w:rPr>
        <w:t>2</w:t>
      </w:r>
      <w:r w:rsidR="008966F9" w:rsidRPr="00B829C3">
        <w:t xml:space="preserve"> g</w:t>
      </w:r>
      <w:r w:rsidR="008966F9" w:rsidRPr="00B829C3">
        <w:rPr>
          <w:vertAlign w:val="superscript"/>
        </w:rPr>
        <w:t>−1</w:t>
      </w:r>
      <w:r w:rsidR="008966F9" w:rsidRPr="00B829C3">
        <w:t xml:space="preserve"> for all </w:t>
      </w:r>
      <w:proofErr w:type="spellStart"/>
      <w:r w:rsidR="008966F9" w:rsidRPr="00B829C3">
        <w:t>cPpy</w:t>
      </w:r>
      <w:proofErr w:type="spellEnd"/>
      <w:r w:rsidR="008966F9" w:rsidRPr="00B829C3">
        <w:t>-CTFs (</w:t>
      </w:r>
      <w:r w:rsidR="008966F9" w:rsidRPr="00BE7702">
        <w:rPr>
          <w:highlight w:val="yellow"/>
        </w:rPr>
        <w:t xml:space="preserve">Figure </w:t>
      </w:r>
      <w:r w:rsidR="00743458" w:rsidRPr="00BE7702">
        <w:rPr>
          <w:highlight w:val="yellow"/>
        </w:rPr>
        <w:t>S</w:t>
      </w:r>
      <w:r w:rsidR="00743458">
        <w:rPr>
          <w:highlight w:val="yellow"/>
        </w:rPr>
        <w:t>5</w:t>
      </w:r>
      <w:r w:rsidR="008966F9" w:rsidRPr="00BE7702">
        <w:rPr>
          <w:highlight w:val="yellow"/>
        </w:rPr>
        <w:t>-</w:t>
      </w:r>
      <w:r w:rsidR="00743458" w:rsidRPr="00BE7702">
        <w:rPr>
          <w:highlight w:val="yellow"/>
        </w:rPr>
        <w:t>S</w:t>
      </w:r>
      <w:r w:rsidR="00743458">
        <w:t>9</w:t>
      </w:r>
      <w:r w:rsidR="008966F9" w:rsidRPr="00B829C3">
        <w:t xml:space="preserve">, </w:t>
      </w:r>
      <w:r w:rsidR="008966F9" w:rsidRPr="00BE7702">
        <w:rPr>
          <w:highlight w:val="yellow"/>
        </w:rPr>
        <w:t xml:space="preserve">Table </w:t>
      </w:r>
      <w:r w:rsidR="008966F9" w:rsidRPr="00BE7702">
        <w:rPr>
          <w:highlight w:val="yellow"/>
        </w:rPr>
        <w:t>S2</w:t>
      </w:r>
      <w:r w:rsidR="008966F9" w:rsidRPr="00B829C3">
        <w:t xml:space="preserve">) </w:t>
      </w:r>
      <w:r w:rsidR="008966F9" w:rsidRPr="00781B7B">
        <w:rPr>
          <w:highlight w:val="yellow"/>
        </w:rPr>
        <w:t>while they all showed type I isotherms pointing to the dominant presence of micropores</w:t>
      </w:r>
      <w:r w:rsidR="008966F9" w:rsidRPr="00B829C3">
        <w:t xml:space="preserve">. Interestingly, we also observed growth of H4 hysteresis for cPpy-CTFs with an increase in the cPpy content, which indicates the </w:t>
      </w:r>
      <w:r w:rsidR="003F2BD9" w:rsidRPr="00B829C3">
        <w:t>increased</w:t>
      </w:r>
      <w:r w:rsidR="008966F9" w:rsidRPr="00B829C3">
        <w:t xml:space="preserve"> mesopores. This feature was not observed in the absence of cPpy (cPpy-CTF 0%) due to the efficient stacking of 2D CTF layers. As expected, increasing </w:t>
      </w:r>
      <w:proofErr w:type="spellStart"/>
      <w:r w:rsidR="008966F9" w:rsidRPr="00B829C3">
        <w:t>cPpy</w:t>
      </w:r>
      <w:proofErr w:type="spellEnd"/>
      <w:r w:rsidR="008966F9" w:rsidRPr="00B829C3">
        <w:t xml:space="preserve"> content slightly decreased the surface area and the micropore content, accompanied by an increase in the mesopore content. </w:t>
      </w:r>
      <w:r w:rsidR="008966F9" w:rsidRPr="00781B7B">
        <w:rPr>
          <w:highlight w:val="yellow"/>
        </w:rPr>
        <w:t xml:space="preserve">The pore size distribution analysis using NLDFT also revealed </w:t>
      </w:r>
      <w:r w:rsidR="00FB5A8B" w:rsidRPr="00781B7B">
        <w:rPr>
          <w:highlight w:val="yellow"/>
        </w:rPr>
        <w:t>(</w:t>
      </w:r>
      <w:r w:rsidR="00FB5A8B" w:rsidRPr="00781B7B">
        <w:rPr>
          <w:highlight w:val="yellow"/>
        </w:rPr>
        <w:t xml:space="preserve">Figure </w:t>
      </w:r>
      <w:r w:rsidR="00743458" w:rsidRPr="00781B7B">
        <w:rPr>
          <w:highlight w:val="yellow"/>
        </w:rPr>
        <w:t>S1</w:t>
      </w:r>
      <w:r w:rsidR="00743458">
        <w:rPr>
          <w:highlight w:val="yellow"/>
        </w:rPr>
        <w:t>0</w:t>
      </w:r>
      <w:r w:rsidR="00FB5A8B" w:rsidRPr="00781B7B">
        <w:rPr>
          <w:highlight w:val="yellow"/>
        </w:rPr>
        <w:t xml:space="preserve">) </w:t>
      </w:r>
      <w:r w:rsidR="008966F9" w:rsidRPr="00781B7B">
        <w:rPr>
          <w:highlight w:val="yellow"/>
        </w:rPr>
        <w:t xml:space="preserve">gradual </w:t>
      </w:r>
      <w:r w:rsidR="008966F9" w:rsidRPr="00781B7B">
        <w:rPr>
          <w:highlight w:val="yellow"/>
        </w:rPr>
        <w:t>increase in the mesopore content with increasing cPpy amount</w:t>
      </w:r>
      <w:r w:rsidR="00AC527B">
        <w:t>.</w:t>
      </w:r>
      <w:r w:rsidR="00AD236D">
        <w:t xml:space="preserve"> </w:t>
      </w:r>
      <w:r w:rsidR="00AC527B">
        <w:t xml:space="preserve">In order to probe the impact of cPpy on </w:t>
      </w:r>
      <w:r w:rsidR="00AC527B">
        <w:t xml:space="preserve">the Li-PS affinity of the framework, we performed (Figure 3) a polysulfide absorption test by monitoring the time-dependent change in the PS concentration using the </w:t>
      </w:r>
      <w:r w:rsidR="006F492F">
        <w:t xml:space="preserve">UV–Vis </w:t>
      </w:r>
      <w:r w:rsidR="00840C84">
        <w:t>spectroscopy</w:t>
      </w:r>
      <w:r w:rsidR="006F492F">
        <w:t>. The cPpy-CTF (7 mg) 0, 2.5,</w:t>
      </w:r>
      <w:r w:rsidR="000704D3">
        <w:t xml:space="preserve"> </w:t>
      </w:r>
      <w:r w:rsidR="006F492F">
        <w:t>and 10%</w:t>
      </w:r>
      <w:r w:rsidR="00AC527B">
        <w:t xml:space="preserve"> were added to 3</w:t>
      </w:r>
      <w:r w:rsidR="006B360C">
        <w:t xml:space="preserve"> </w:t>
      </w:r>
      <w:r w:rsidR="00AC527B">
        <w:t>mM Li</w:t>
      </w:r>
      <w:r w:rsidR="00AC527B" w:rsidRPr="00E42613">
        <w:rPr>
          <w:vertAlign w:val="subscript"/>
        </w:rPr>
        <w:t>2</w:t>
      </w:r>
      <w:r w:rsidR="00AC527B">
        <w:t>S</w:t>
      </w:r>
      <w:r w:rsidR="00AC527B" w:rsidRPr="00E42613">
        <w:rPr>
          <w:vertAlign w:val="subscript"/>
        </w:rPr>
        <w:t>6</w:t>
      </w:r>
      <w:r w:rsidR="00AC527B">
        <w:t xml:space="preserve"> in 1,3-dioxolane (DOL) / 1,2-dimethoxyethane (DME) (1:1 </w:t>
      </w:r>
      <w:r w:rsidR="00AC527B" w:rsidRPr="00FB2251">
        <w:rPr>
          <w:i/>
        </w:rPr>
        <w:t>v</w:t>
      </w:r>
      <w:r w:rsidR="00AC527B">
        <w:t>/</w:t>
      </w:r>
      <w:r w:rsidR="00AC527B" w:rsidRPr="00FB2251">
        <w:rPr>
          <w:i/>
        </w:rPr>
        <w:t>v</w:t>
      </w:r>
      <w:r w:rsidR="00AC527B">
        <w:t>) solution and monitored for 3, 6 and 24 h (Figure 3a–c</w:t>
      </w:r>
      <w:r w:rsidR="00AC527B" w:rsidRPr="00D976C5">
        <w:t xml:space="preserve">). </w:t>
      </w:r>
      <w:r w:rsidR="008966F9" w:rsidRPr="00B829C3">
        <w:t>Notably, the presence of cPpy in cPpy-CTFs substantially improved the Li-PS uptake kinetics (Figure 3d–f) originating from strong ionic interactions between a soft acid, quaternary nitrogen, and a soft base, S</w:t>
      </w:r>
      <w:r w:rsidR="008966F9" w:rsidRPr="0033364C">
        <w:rPr>
          <w:vertAlign w:val="subscript"/>
        </w:rPr>
        <w:t>n</w:t>
      </w:r>
      <w:r w:rsidR="008966F9" w:rsidRPr="00B829C3">
        <w:rPr>
          <w:vertAlign w:val="superscript"/>
        </w:rPr>
        <w:t>2–</w:t>
      </w:r>
      <w:r w:rsidR="008966F9" w:rsidRPr="00B829C3">
        <w:t xml:space="preserve">. </w:t>
      </w:r>
      <w:r w:rsidR="00C55972">
        <w:rPr>
          <w:highlight w:val="yellow"/>
        </w:rPr>
        <w:t>T</w:t>
      </w:r>
      <w:r w:rsidR="008966F9" w:rsidRPr="00E040CF">
        <w:rPr>
          <w:highlight w:val="yellow"/>
        </w:rPr>
        <w:t>he Li-PS uptake</w:t>
      </w:r>
      <w:r w:rsidR="00C55972">
        <w:rPr>
          <w:highlight w:val="yellow"/>
        </w:rPr>
        <w:t>s</w:t>
      </w:r>
      <w:r w:rsidR="008966F9" w:rsidRPr="00E040CF">
        <w:rPr>
          <w:highlight w:val="yellow"/>
        </w:rPr>
        <w:t xml:space="preserve"> of </w:t>
      </w:r>
      <w:proofErr w:type="spellStart"/>
      <w:r w:rsidR="00120397" w:rsidRPr="00E040CF">
        <w:rPr>
          <w:highlight w:val="yellow"/>
        </w:rPr>
        <w:t>cPpy</w:t>
      </w:r>
      <w:proofErr w:type="spellEnd"/>
      <w:r w:rsidR="00120397" w:rsidRPr="00E040CF">
        <w:rPr>
          <w:highlight w:val="yellow"/>
        </w:rPr>
        <w:t>-CTF</w:t>
      </w:r>
      <w:r w:rsidR="00120397">
        <w:rPr>
          <w:highlight w:val="yellow"/>
        </w:rPr>
        <w:t>s</w:t>
      </w:r>
      <w:r w:rsidR="00120397" w:rsidRPr="00E040CF">
        <w:rPr>
          <w:highlight w:val="yellow"/>
        </w:rPr>
        <w:t xml:space="preserve"> </w:t>
      </w:r>
      <w:r w:rsidR="008966F9" w:rsidRPr="00E040CF">
        <w:rPr>
          <w:highlight w:val="yellow"/>
        </w:rPr>
        <w:t>1</w:t>
      </w:r>
      <w:r w:rsidR="00957A83">
        <w:rPr>
          <w:highlight w:val="yellow"/>
        </w:rPr>
        <w:t xml:space="preserve"> </w:t>
      </w:r>
      <w:r w:rsidR="008966F9" w:rsidRPr="00E040CF">
        <w:rPr>
          <w:highlight w:val="yellow"/>
        </w:rPr>
        <w:t xml:space="preserve">and 5% were </w:t>
      </w:r>
      <w:r w:rsidR="00C55972">
        <w:rPr>
          <w:highlight w:val="yellow"/>
        </w:rPr>
        <w:t>also compared</w:t>
      </w:r>
      <w:r w:rsidR="008966F9" w:rsidRPr="00E040CF">
        <w:rPr>
          <w:highlight w:val="yellow"/>
        </w:rPr>
        <w:t xml:space="preserve"> (</w:t>
      </w:r>
      <w:r w:rsidR="008966F9" w:rsidRPr="00E040CF">
        <w:rPr>
          <w:highlight w:val="yellow"/>
        </w:rPr>
        <w:t xml:space="preserve">Figure </w:t>
      </w:r>
      <w:r w:rsidR="00743458" w:rsidRPr="00E040CF">
        <w:rPr>
          <w:highlight w:val="yellow"/>
        </w:rPr>
        <w:t>S</w:t>
      </w:r>
      <w:r w:rsidR="00743458">
        <w:rPr>
          <w:highlight w:val="yellow"/>
        </w:rPr>
        <w:t>11</w:t>
      </w:r>
      <w:r w:rsidR="00743458" w:rsidRPr="00E040CF">
        <w:rPr>
          <w:highlight w:val="yellow"/>
        </w:rPr>
        <w:t xml:space="preserve"> </w:t>
      </w:r>
      <w:r w:rsidR="008966F9" w:rsidRPr="00E040CF">
        <w:rPr>
          <w:highlight w:val="yellow"/>
        </w:rPr>
        <w:t>a</w:t>
      </w:r>
      <w:r w:rsidR="00C17D62" w:rsidRPr="00C17D62">
        <w:rPr>
          <w:highlight w:val="yellow"/>
        </w:rPr>
        <w:t>–</w:t>
      </w:r>
      <w:r w:rsidR="008966F9" w:rsidRPr="00E040CF">
        <w:rPr>
          <w:highlight w:val="yellow"/>
        </w:rPr>
        <w:t>g</w:t>
      </w:r>
      <w:r w:rsidR="008966F9" w:rsidRPr="00E040CF">
        <w:rPr>
          <w:highlight w:val="yellow"/>
        </w:rPr>
        <w:t xml:space="preserve">) with </w:t>
      </w:r>
      <w:r w:rsidR="00C55972">
        <w:rPr>
          <w:highlight w:val="yellow"/>
        </w:rPr>
        <w:t xml:space="preserve">those of </w:t>
      </w:r>
      <w:r w:rsidR="00C55972" w:rsidRPr="00E040CF">
        <w:rPr>
          <w:highlight w:val="yellow"/>
        </w:rPr>
        <w:t>cPpy-CTF</w:t>
      </w:r>
      <w:r w:rsidR="00C55972">
        <w:rPr>
          <w:highlight w:val="yellow"/>
        </w:rPr>
        <w:t>s</w:t>
      </w:r>
      <w:r w:rsidR="00C55972" w:rsidRPr="00E040CF">
        <w:rPr>
          <w:highlight w:val="yellow"/>
        </w:rPr>
        <w:t xml:space="preserve"> </w:t>
      </w:r>
      <w:r w:rsidR="008966F9" w:rsidRPr="00E040CF">
        <w:rPr>
          <w:highlight w:val="yellow"/>
        </w:rPr>
        <w:t>0, 2.5, and 10</w:t>
      </w:r>
      <w:r w:rsidR="00C55972">
        <w:rPr>
          <w:highlight w:val="yellow"/>
        </w:rPr>
        <w:t>%</w:t>
      </w:r>
      <w:r w:rsidR="008966F9" w:rsidRPr="00E040CF">
        <w:rPr>
          <w:highlight w:val="yellow"/>
        </w:rPr>
        <w:t xml:space="preserve">. </w:t>
      </w:r>
      <w:r w:rsidR="008966F9" w:rsidRPr="00B829C3">
        <w:t>Remarkably, cPpy-CTF 2.5% showed almost 50% Li-PS uptake in 1 h, whereas the cPpy-CTFs</w:t>
      </w:r>
      <w:r w:rsidR="008966F9" w:rsidRPr="00E040CF">
        <w:rPr>
          <w:highlight w:val="yellow"/>
        </w:rPr>
        <w:t xml:space="preserve"> 0, 1, 5 and 10% </w:t>
      </w:r>
      <w:r w:rsidR="008966F9" w:rsidRPr="00B829C3">
        <w:t xml:space="preserve">showed only </w:t>
      </w:r>
      <w:r w:rsidR="002B68A1" w:rsidRPr="002B68A1">
        <w:rPr>
          <w:highlight w:val="yellow"/>
        </w:rPr>
        <w:t xml:space="preserve">7%, 2%, 18% and 13% </w:t>
      </w:r>
      <w:r w:rsidR="008966F9" w:rsidRPr="00E040CF">
        <w:rPr>
          <w:highlight w:val="yellow"/>
        </w:rPr>
        <w:t xml:space="preserve">Li-PS uptake, </w:t>
      </w:r>
      <w:r w:rsidR="008966F9" w:rsidRPr="00B829C3">
        <w:t xml:space="preserve">respectively, after the same time duration </w:t>
      </w:r>
      <w:r w:rsidR="008966F9" w:rsidRPr="00466750">
        <w:rPr>
          <w:highlight w:val="yellow"/>
        </w:rPr>
        <w:t>(Figure 3g</w:t>
      </w:r>
      <w:r w:rsidR="00466750" w:rsidRPr="00466750">
        <w:rPr>
          <w:highlight w:val="yellow"/>
        </w:rPr>
        <w:t xml:space="preserve"> and Figure S11 g)</w:t>
      </w:r>
      <w:r w:rsidR="008966F9" w:rsidRPr="00B829C3">
        <w:t>. This result is rather significant as it shows that there is an optimal spot in the amount of cPpy to realize efficient interactions with the Li-PS. We speculate that the faster uptake kinetics of cPpy-CTF 2.5% originates from low aggregation and homogeneous dispersion of cPpy within the polymer network.  Interestingly, the Li-PS uptake of cPpy itself was (</w:t>
      </w:r>
      <w:r w:rsidR="008966F9" w:rsidRPr="00B829C3">
        <w:t xml:space="preserve">Figure </w:t>
      </w:r>
      <w:r w:rsidR="00743458" w:rsidRPr="00B829C3">
        <w:t>S</w:t>
      </w:r>
      <w:r w:rsidR="00743458">
        <w:t xml:space="preserve">11 </w:t>
      </w:r>
      <w:r w:rsidR="008966F9" w:rsidRPr="00B829C3">
        <w:t xml:space="preserve">f, g) lower </w:t>
      </w:r>
      <w:r w:rsidR="008966F9" w:rsidRPr="00B829C3">
        <w:t xml:space="preserve">than </w:t>
      </w:r>
      <w:r w:rsidR="00D976C5" w:rsidRPr="00B829C3">
        <w:t xml:space="preserve">those of </w:t>
      </w:r>
      <w:r w:rsidR="008966F9" w:rsidRPr="00B829C3">
        <w:t>all the cPpy-CTFs pointing to the synergistic effect between cPpy and CTF and also the detrimental role of aggregation of cPpy chains in the Li-PS uptake</w:t>
      </w:r>
      <w:r w:rsidR="003C192D" w:rsidRPr="00B829C3">
        <w:t>.</w:t>
      </w:r>
      <w:r w:rsidR="003C192D" w:rsidRPr="005B2BA8">
        <w:t xml:space="preserve"> </w:t>
      </w:r>
    </w:p>
    <w:p w14:paraId="0314658C" w14:textId="50924983" w:rsidR="005B2BA8" w:rsidRPr="005B2BA8" w:rsidRDefault="006D3432" w:rsidP="00025D37">
      <w:pPr>
        <w:pStyle w:val="TAMainText"/>
      </w:pPr>
      <w:r>
        <w:rPr>
          <w:noProof/>
          <w:lang w:eastAsia="ko-KR"/>
        </w:rPr>
        <w:lastRenderedPageBreak/>
        <w:drawing>
          <wp:inline distT="0" distB="0" distL="0" distR="0" wp14:anchorId="193C600C" wp14:editId="51B216CF">
            <wp:extent cx="6251457" cy="5762625"/>
            <wp:effectExtent l="0" t="0" r="0" b="0"/>
            <wp:docPr id="58" name="그림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3145" cy="5782617"/>
                    </a:xfrm>
                    <a:prstGeom prst="rect">
                      <a:avLst/>
                    </a:prstGeom>
                    <a:noFill/>
                  </pic:spPr>
                </pic:pic>
              </a:graphicData>
            </a:graphic>
          </wp:inline>
        </w:drawing>
      </w:r>
    </w:p>
    <w:p w14:paraId="40884EB4" w14:textId="04A0D862" w:rsidR="005B2BA8" w:rsidRDefault="005B2BA8" w:rsidP="00025D37">
      <w:pPr>
        <w:pStyle w:val="TAMainText"/>
      </w:pPr>
      <w:r w:rsidRPr="005B2BA8">
        <w:rPr>
          <w:b/>
        </w:rPr>
        <w:t xml:space="preserve">Figure </w:t>
      </w:r>
      <w:r w:rsidR="002F3151">
        <w:rPr>
          <w:b/>
        </w:rPr>
        <w:t>4</w:t>
      </w:r>
      <w:r w:rsidRPr="005B2BA8">
        <w:rPr>
          <w:b/>
        </w:rPr>
        <w:t>.</w:t>
      </w:r>
      <w:r w:rsidRPr="005B2BA8">
        <w:t xml:space="preserve"> Electrochemical performance of various cPpy-S-CTFs. (a) Comparison of the first discharge-charge profiles of cPpy-S-CTFs at 0.05C in the potential range 1.8–2.7 V (1C=1675 mA g</w:t>
      </w:r>
      <w:r w:rsidRPr="001F137C">
        <w:rPr>
          <w:vertAlign w:val="superscript"/>
        </w:rPr>
        <w:t>–1</w:t>
      </w:r>
      <w:r w:rsidRPr="005B2BA8">
        <w:t xml:space="preserve">). (b) Rate performance of cPpy-S-CTFs </w:t>
      </w:r>
      <w:r w:rsidR="00EF12EB" w:rsidRPr="00D531BE">
        <w:rPr>
          <w:highlight w:val="yellow"/>
        </w:rPr>
        <w:t>(0–10%)</w:t>
      </w:r>
      <w:r w:rsidR="00EF12EB" w:rsidRPr="00EF12EB">
        <w:t xml:space="preserve"> </w:t>
      </w:r>
      <w:r w:rsidRPr="005B2BA8">
        <w:t xml:space="preserve">evaluated at various C-rates (0.1–5C). (c) Cycling performance </w:t>
      </w:r>
      <w:r w:rsidRPr="005B2BA8">
        <w:t xml:space="preserve">and Coulombic efficiencies of </w:t>
      </w:r>
      <w:proofErr w:type="spellStart"/>
      <w:r w:rsidRPr="005B2BA8">
        <w:t>cPpy</w:t>
      </w:r>
      <w:proofErr w:type="spellEnd"/>
      <w:r w:rsidRPr="005B2BA8">
        <w:t>-S-CTFs at 0.5C and 0.8 mg</w:t>
      </w:r>
      <w:r w:rsidRPr="005B2BA8">
        <w:rPr>
          <w:vertAlign w:val="subscript"/>
        </w:rPr>
        <w:t>su</w:t>
      </w:r>
      <w:r w:rsidR="00EE5032">
        <w:rPr>
          <w:vertAlign w:val="subscript"/>
        </w:rPr>
        <w:t>l</w:t>
      </w:r>
      <w:r w:rsidRPr="005B2BA8">
        <w:rPr>
          <w:vertAlign w:val="subscript"/>
        </w:rPr>
        <w:t>fur</w:t>
      </w:r>
      <w:r w:rsidRPr="005B2BA8">
        <w:t xml:space="preserve"> cm</w:t>
      </w:r>
      <w:r w:rsidRPr="005B2BA8">
        <w:rPr>
          <w:vertAlign w:val="superscript"/>
        </w:rPr>
        <w:t>–2</w:t>
      </w:r>
      <w:r w:rsidRPr="005B2BA8">
        <w:t xml:space="preserve"> for 500 cycles. (d) Cycling performance and Coulombic efficiencies </w:t>
      </w:r>
      <w:r w:rsidRPr="005B2BA8">
        <w:t xml:space="preserve">of </w:t>
      </w:r>
      <w:proofErr w:type="spellStart"/>
      <w:r w:rsidRPr="005B2BA8">
        <w:t>cPpy</w:t>
      </w:r>
      <w:proofErr w:type="spellEnd"/>
      <w:r w:rsidRPr="005B2BA8">
        <w:t>-S-CTFs at 0.2C and 4.0 mg</w:t>
      </w:r>
      <w:r w:rsidRPr="005B2BA8">
        <w:rPr>
          <w:vertAlign w:val="subscript"/>
        </w:rPr>
        <w:t>su</w:t>
      </w:r>
      <w:r w:rsidR="00EE5032">
        <w:rPr>
          <w:vertAlign w:val="subscript"/>
        </w:rPr>
        <w:t>l</w:t>
      </w:r>
      <w:r w:rsidRPr="005B2BA8">
        <w:rPr>
          <w:vertAlign w:val="subscript"/>
        </w:rPr>
        <w:t>fur</w:t>
      </w:r>
      <w:r w:rsidRPr="005B2BA8">
        <w:t xml:space="preserve"> cm</w:t>
      </w:r>
      <w:r w:rsidRPr="005B2BA8">
        <w:rPr>
          <w:vertAlign w:val="superscript"/>
        </w:rPr>
        <w:t>–2</w:t>
      </w:r>
      <w:r w:rsidRPr="005B2BA8">
        <w:t xml:space="preserve"> condition for 100 cycles</w:t>
      </w:r>
      <w:r>
        <w:t>.</w:t>
      </w:r>
    </w:p>
    <w:p w14:paraId="484014A0" w14:textId="77777777" w:rsidR="005B2BA8" w:rsidRDefault="005B2BA8" w:rsidP="00025D37">
      <w:pPr>
        <w:pStyle w:val="TAMainText"/>
      </w:pPr>
    </w:p>
    <w:p w14:paraId="5D6428AC" w14:textId="77777777" w:rsidR="005B2BA8" w:rsidRPr="005B2BA8" w:rsidRDefault="005B2BA8" w:rsidP="00025D37">
      <w:pPr>
        <w:pStyle w:val="TAMainText"/>
        <w:sectPr w:rsidR="005B2BA8" w:rsidRPr="005B2BA8" w:rsidSect="005B2BA8">
          <w:type w:val="continuous"/>
          <w:pgSz w:w="12240" w:h="15840"/>
          <w:pgMar w:top="720" w:right="1094" w:bottom="720" w:left="1094" w:header="720" w:footer="720" w:gutter="0"/>
          <w:cols w:space="461"/>
        </w:sectPr>
      </w:pPr>
    </w:p>
    <w:p w14:paraId="66793390" w14:textId="13DCF094" w:rsidR="00AC527B" w:rsidRDefault="00AC527B" w:rsidP="00025D37">
      <w:pPr>
        <w:pStyle w:val="TAMainText"/>
      </w:pPr>
      <w:r>
        <w:t>We investigated (Figure 4) the electrochemical performance of cPpy-S-CTFs as active cathode materials in Li–S batteries through galvanostatic measurements. For these tests, CR2032-type coin cells were prepared by using Li metal as the counter/reference electrode. The first discharge–charge voltage profiles of</w:t>
      </w:r>
      <w:r w:rsidR="00A21E50">
        <w:t xml:space="preserve"> cPpy-S-CTF 0, 1, 2.5, 5, and 10</w:t>
      </w:r>
      <w:r>
        <w:t>% are shown in Figure 4a when tested at a current density of 0.05C (1C=1675 mA g</w:t>
      </w:r>
      <w:r w:rsidRPr="00E42613">
        <w:rPr>
          <w:vertAlign w:val="superscript"/>
        </w:rPr>
        <w:t>–1</w:t>
      </w:r>
      <w:r>
        <w:t>) with 0.8 mg</w:t>
      </w:r>
      <w:r w:rsidRPr="00E42613">
        <w:rPr>
          <w:vertAlign w:val="subscript"/>
        </w:rPr>
        <w:t>sulfur</w:t>
      </w:r>
      <w:r>
        <w:t xml:space="preserve"> cm</w:t>
      </w:r>
      <w:r w:rsidRPr="00E42613">
        <w:rPr>
          <w:vertAlign w:val="superscript"/>
        </w:rPr>
        <w:t>–2</w:t>
      </w:r>
      <w:r>
        <w:t xml:space="preserve"> loading. We observed discharge capacities of 961.2, 1177.6, 1203.4, 1162.9, and 1182.6 </w:t>
      </w:r>
      <w:proofErr w:type="spellStart"/>
      <w:r>
        <w:t>mAh</w:t>
      </w:r>
      <w:proofErr w:type="spellEnd"/>
      <w:r>
        <w:t xml:space="preserve"> g</w:t>
      </w:r>
      <w:r w:rsidRPr="00E42613">
        <w:rPr>
          <w:vertAlign w:val="superscript"/>
        </w:rPr>
        <w:t>–1</w:t>
      </w:r>
      <w:r>
        <w:t xml:space="preserve"> and initial coulombic efficiency (ICE) values of 91.1, 91.5, 94.0, 92.2, and 90.3%, fo</w:t>
      </w:r>
      <w:r w:rsidR="00A21E50">
        <w:t>r cPpy-S-CTF 0, 1, 2.5, 5, and 10%</w:t>
      </w:r>
      <w:r>
        <w:t xml:space="preserve">, respectively. Considering the unique properties of cPpy in cPpy-S-CTFs, namely, high ionic and electronic conductivity as well as ability to bind with polysulfide anions, </w:t>
      </w:r>
      <w:r w:rsidRPr="00EF12EB">
        <w:t>we investigated (Figure 4b) their rate performance by invok</w:t>
      </w:r>
      <w:r w:rsidRPr="001510B6">
        <w:t>ing different C-rates from 0.1C to 5C and compared the performan</w:t>
      </w:r>
      <w:r w:rsidR="00A21E50" w:rsidRPr="00C17D62">
        <w:t xml:space="preserve">ce of cPpy-S-CTF </w:t>
      </w:r>
      <w:r w:rsidR="00A21E50" w:rsidRPr="00EA776B">
        <w:rPr>
          <w:highlight w:val="yellow"/>
        </w:rPr>
        <w:t>0,</w:t>
      </w:r>
      <w:r w:rsidR="00B26CA5" w:rsidRPr="00EA776B">
        <w:rPr>
          <w:highlight w:val="yellow"/>
        </w:rPr>
        <w:t xml:space="preserve"> 1,</w:t>
      </w:r>
      <w:r w:rsidR="00A21E50" w:rsidRPr="00EA776B">
        <w:rPr>
          <w:highlight w:val="yellow"/>
        </w:rPr>
        <w:t xml:space="preserve"> 2.5</w:t>
      </w:r>
      <w:r w:rsidR="00B26CA5" w:rsidRPr="00EA776B">
        <w:rPr>
          <w:highlight w:val="yellow"/>
        </w:rPr>
        <w:t xml:space="preserve">, 5, </w:t>
      </w:r>
      <w:r w:rsidR="00A21E50" w:rsidRPr="00EA776B">
        <w:rPr>
          <w:highlight w:val="yellow"/>
        </w:rPr>
        <w:t xml:space="preserve">and </w:t>
      </w:r>
      <w:r w:rsidR="00B26CA5" w:rsidRPr="00EA776B">
        <w:rPr>
          <w:highlight w:val="yellow"/>
        </w:rPr>
        <w:t>10</w:t>
      </w:r>
      <w:r w:rsidRPr="00EA776B">
        <w:rPr>
          <w:highlight w:val="yellow"/>
        </w:rPr>
        <w:t xml:space="preserve">%. </w:t>
      </w:r>
      <w:r w:rsidRPr="00EF12EB">
        <w:t xml:space="preserve">The impact of cPpy addition was conspicuous as </w:t>
      </w:r>
      <w:r w:rsidRPr="00EA776B">
        <w:t>the rate ca</w:t>
      </w:r>
      <w:r w:rsidR="00CE7726" w:rsidRPr="00EA776B">
        <w:t>pability of cPpy-S-CTF 2.5, 5</w:t>
      </w:r>
      <w:r w:rsidRPr="000027D9">
        <w:t xml:space="preserve">% was clearly superior to that of </w:t>
      </w:r>
      <w:r w:rsidRPr="00EF12EB">
        <w:rPr>
          <w:highlight w:val="yellow"/>
        </w:rPr>
        <w:t>cPpy-S-CTF 0</w:t>
      </w:r>
      <w:r w:rsidR="00B26CA5" w:rsidRPr="00EF12EB">
        <w:rPr>
          <w:highlight w:val="yellow"/>
        </w:rPr>
        <w:t>, 1, and 10</w:t>
      </w:r>
      <w:r w:rsidRPr="00EF12EB">
        <w:rPr>
          <w:highlight w:val="yellow"/>
        </w:rPr>
        <w:t xml:space="preserve">%. </w:t>
      </w:r>
      <w:r w:rsidRPr="00EF12EB">
        <w:t>The distinct capacities observed at high C-rates represent a kinetically efficient (de)lithiation process in cPpy-S-CTFs engaging cPpy.</w:t>
      </w:r>
      <w:r>
        <w:t xml:space="preserve"> </w:t>
      </w:r>
    </w:p>
    <w:p w14:paraId="52BBF66D" w14:textId="4A216CFF" w:rsidR="00AC527B" w:rsidRDefault="00AC527B" w:rsidP="00025D37">
      <w:pPr>
        <w:pStyle w:val="TAMainText"/>
      </w:pPr>
      <w:r>
        <w:t>In an attempt to elucidate the effect of cPpy on the cycling performance of cPpy-S-CTFs, these electrodes with 0.8 mg</w:t>
      </w:r>
      <w:r w:rsidRPr="00A21E50">
        <w:rPr>
          <w:vertAlign w:val="subscript"/>
        </w:rPr>
        <w:t>sulfur</w:t>
      </w:r>
      <w:r>
        <w:t xml:space="preserve"> cm</w:t>
      </w:r>
      <w:r w:rsidRPr="00E42613">
        <w:rPr>
          <w:vertAlign w:val="superscript"/>
        </w:rPr>
        <w:t>–2</w:t>
      </w:r>
      <w:r>
        <w:t xml:space="preserve"> loading were cycled at 0.5C. Accordingly, the initial discharge capacities of cPpy-</w:t>
      </w:r>
      <w:r w:rsidR="00CE7726">
        <w:t>S-CTFs 0, 1, 2.5, 5, 10%</w:t>
      </w:r>
      <w:r>
        <w:t xml:space="preserve"> were found (Figure 4c) to be 582.2, 647.2, 702.9, 683.3, and 667.9 </w:t>
      </w:r>
      <w:proofErr w:type="spellStart"/>
      <w:r>
        <w:t>mAh</w:t>
      </w:r>
      <w:proofErr w:type="spellEnd"/>
      <w:r>
        <w:t xml:space="preserve"> g</w:t>
      </w:r>
      <w:r w:rsidRPr="00E42613">
        <w:rPr>
          <w:vertAlign w:val="superscript"/>
        </w:rPr>
        <w:t>–1</w:t>
      </w:r>
      <w:r>
        <w:t xml:space="preserve"> along with capacity retentions of 86.1, 78.5, 86.8, 79.8, and 72.5% after 500 cycles, respectively. Notably, the cycling performance </w:t>
      </w:r>
      <w:r w:rsidR="00A21E50">
        <w:t>of cPpy-S-CTF 2.5%</w:t>
      </w:r>
      <w:r>
        <w:t xml:space="preserve"> was better than that of all the other samples due to the homogeneous distribution of cPpy and also the accessibility of cationic binding sites for the polysulfide anions, in perfect agreement with the Li-PS uptake experiments. </w:t>
      </w:r>
      <w:r w:rsidR="00D97D67" w:rsidRPr="00EA776B">
        <w:rPr>
          <w:highlight w:val="yellow"/>
        </w:rPr>
        <w:t xml:space="preserve">In an effort to </w:t>
      </w:r>
      <w:r w:rsidR="00EA776B">
        <w:rPr>
          <w:highlight w:val="yellow"/>
        </w:rPr>
        <w:t xml:space="preserve">see the cycling stability </w:t>
      </w:r>
      <w:r w:rsidR="000027D9">
        <w:rPr>
          <w:highlight w:val="yellow"/>
        </w:rPr>
        <w:t>at higher C-rates</w:t>
      </w:r>
      <w:r w:rsidR="00EB7DBB">
        <w:rPr>
          <w:highlight w:val="yellow"/>
        </w:rPr>
        <w:t>,</w:t>
      </w:r>
      <w:r w:rsidR="004923F5" w:rsidRPr="00EA776B">
        <w:rPr>
          <w:highlight w:val="yellow"/>
        </w:rPr>
        <w:t xml:space="preserve"> </w:t>
      </w:r>
      <w:r w:rsidR="00EB7DBB">
        <w:rPr>
          <w:highlight w:val="yellow"/>
        </w:rPr>
        <w:t xml:space="preserve">cyclability tests were carried out </w:t>
      </w:r>
      <w:r w:rsidR="00EB7DBB" w:rsidRPr="00624FDD">
        <w:rPr>
          <w:highlight w:val="yellow"/>
        </w:rPr>
        <w:t>(Figure S12)</w:t>
      </w:r>
      <w:r w:rsidR="00EB7DBB">
        <w:rPr>
          <w:highlight w:val="yellow"/>
        </w:rPr>
        <w:t xml:space="preserve"> at</w:t>
      </w:r>
      <w:r w:rsidR="00D97D67" w:rsidRPr="00624FDD">
        <w:rPr>
          <w:highlight w:val="yellow"/>
        </w:rPr>
        <w:t xml:space="preserve"> 1C and 2C </w:t>
      </w:r>
      <w:r w:rsidR="004923F5" w:rsidRPr="00624FDD">
        <w:rPr>
          <w:highlight w:val="yellow"/>
        </w:rPr>
        <w:t>for</w:t>
      </w:r>
      <w:r w:rsidR="00D97D67" w:rsidRPr="00624FDD">
        <w:rPr>
          <w:highlight w:val="yellow"/>
        </w:rPr>
        <w:t xml:space="preserve"> </w:t>
      </w:r>
      <w:r w:rsidR="004923F5" w:rsidRPr="00624FDD">
        <w:rPr>
          <w:highlight w:val="yellow"/>
        </w:rPr>
        <w:t xml:space="preserve">all </w:t>
      </w:r>
      <w:r w:rsidR="00D97D67" w:rsidRPr="00624FDD">
        <w:rPr>
          <w:highlight w:val="yellow"/>
        </w:rPr>
        <w:lastRenderedPageBreak/>
        <w:t xml:space="preserve">cPpy-S-CTFs </w:t>
      </w:r>
      <w:r w:rsidR="004923F5" w:rsidRPr="00624FDD">
        <w:rPr>
          <w:highlight w:val="yellow"/>
        </w:rPr>
        <w:t>with 0.8 mg cm</w:t>
      </w:r>
      <w:r w:rsidR="004923F5" w:rsidRPr="00624FDD">
        <w:rPr>
          <w:highlight w:val="yellow"/>
          <w:vertAlign w:val="superscript"/>
        </w:rPr>
        <w:t>–2</w:t>
      </w:r>
      <w:r w:rsidR="004923F5" w:rsidRPr="00624FDD">
        <w:rPr>
          <w:highlight w:val="yellow"/>
        </w:rPr>
        <w:t xml:space="preserve"> </w:t>
      </w:r>
      <w:r w:rsidR="00EB7DBB">
        <w:rPr>
          <w:highlight w:val="yellow"/>
        </w:rPr>
        <w:t xml:space="preserve">of sulfur </w:t>
      </w:r>
      <w:r w:rsidR="004923F5" w:rsidRPr="00624FDD">
        <w:rPr>
          <w:highlight w:val="yellow"/>
        </w:rPr>
        <w:t xml:space="preserve">loading. </w:t>
      </w:r>
      <w:r w:rsidR="004923F5" w:rsidRPr="00624FDD">
        <w:rPr>
          <w:highlight w:val="yellow"/>
        </w:rPr>
        <w:t xml:space="preserve">Notably, </w:t>
      </w:r>
      <w:proofErr w:type="spellStart"/>
      <w:r w:rsidR="004923F5" w:rsidRPr="00624FDD">
        <w:rPr>
          <w:highlight w:val="yellow"/>
        </w:rPr>
        <w:t>cPpy</w:t>
      </w:r>
      <w:proofErr w:type="spellEnd"/>
      <w:r w:rsidR="004923F5" w:rsidRPr="00624FDD">
        <w:rPr>
          <w:highlight w:val="yellow"/>
        </w:rPr>
        <w:t xml:space="preserve">-S-CTF 2.5% </w:t>
      </w:r>
      <w:r w:rsidR="00EB7DBB">
        <w:rPr>
          <w:highlight w:val="yellow"/>
        </w:rPr>
        <w:t>achieved</w:t>
      </w:r>
      <w:r w:rsidR="00EB7DBB" w:rsidRPr="00624FDD">
        <w:rPr>
          <w:highlight w:val="yellow"/>
        </w:rPr>
        <w:t xml:space="preserve"> </w:t>
      </w:r>
      <w:r w:rsidR="004923F5" w:rsidRPr="00624FDD">
        <w:rPr>
          <w:highlight w:val="yellow"/>
        </w:rPr>
        <w:t>the highest discharge capacit</w:t>
      </w:r>
      <w:r w:rsidR="00EB7DBB">
        <w:rPr>
          <w:highlight w:val="yellow"/>
        </w:rPr>
        <w:t>ies of</w:t>
      </w:r>
      <w:r w:rsidR="004923F5" w:rsidRPr="00624FDD">
        <w:rPr>
          <w:highlight w:val="yellow"/>
        </w:rPr>
        <w:t xml:space="preserve"> </w:t>
      </w:r>
      <w:r w:rsidR="0019001A" w:rsidRPr="00624FDD">
        <w:rPr>
          <w:highlight w:val="yellow"/>
        </w:rPr>
        <w:t>699.4</w:t>
      </w:r>
      <w:r w:rsidR="00EB7DBB">
        <w:rPr>
          <w:highlight w:val="yellow"/>
        </w:rPr>
        <w:t xml:space="preserve"> and</w:t>
      </w:r>
      <w:r w:rsidR="006D3432" w:rsidRPr="00624FDD">
        <w:rPr>
          <w:highlight w:val="yellow"/>
        </w:rPr>
        <w:t xml:space="preserve"> 631.2 </w:t>
      </w:r>
      <w:proofErr w:type="spellStart"/>
      <w:r w:rsidR="004923F5" w:rsidRPr="00624FDD">
        <w:rPr>
          <w:highlight w:val="yellow"/>
        </w:rPr>
        <w:t>mAh</w:t>
      </w:r>
      <w:proofErr w:type="spellEnd"/>
      <w:r w:rsidR="004923F5" w:rsidRPr="00624FDD">
        <w:rPr>
          <w:highlight w:val="yellow"/>
        </w:rPr>
        <w:t xml:space="preserve"> g</w:t>
      </w:r>
      <w:r w:rsidR="004923F5" w:rsidRPr="00624FDD">
        <w:rPr>
          <w:highlight w:val="yellow"/>
          <w:vertAlign w:val="superscript"/>
        </w:rPr>
        <w:t>–1</w:t>
      </w:r>
      <w:r w:rsidR="00EB7DBB">
        <w:rPr>
          <w:highlight w:val="yellow"/>
        </w:rPr>
        <w:t xml:space="preserve">, respectively, in the initial cycles at 1C and 2C. </w:t>
      </w:r>
      <w:r w:rsidR="00EB7DBB" w:rsidRPr="00624FDD">
        <w:rPr>
          <w:highlight w:val="yellow"/>
        </w:rPr>
        <w:t xml:space="preserve">cPpy-S-CTF 2.5% </w:t>
      </w:r>
      <w:r w:rsidR="00EB7DBB">
        <w:rPr>
          <w:highlight w:val="yellow"/>
        </w:rPr>
        <w:t>also exhibited superior</w:t>
      </w:r>
      <w:r w:rsidR="004923F5" w:rsidRPr="00624FDD">
        <w:rPr>
          <w:highlight w:val="yellow"/>
        </w:rPr>
        <w:t xml:space="preserve"> capacity retention</w:t>
      </w:r>
      <w:r w:rsidR="00EB7DBB">
        <w:rPr>
          <w:highlight w:val="yellow"/>
        </w:rPr>
        <w:t>s</w:t>
      </w:r>
      <w:r w:rsidR="004923F5" w:rsidRPr="00624FDD">
        <w:rPr>
          <w:highlight w:val="yellow"/>
        </w:rPr>
        <w:t xml:space="preserve"> </w:t>
      </w:r>
      <w:r w:rsidR="00EB7DBB">
        <w:rPr>
          <w:highlight w:val="yellow"/>
        </w:rPr>
        <w:t xml:space="preserve">of </w:t>
      </w:r>
      <w:r w:rsidR="006D3432" w:rsidRPr="00624FDD">
        <w:rPr>
          <w:highlight w:val="yellow"/>
        </w:rPr>
        <w:t>97.6</w:t>
      </w:r>
      <w:r w:rsidR="00EB7DBB">
        <w:rPr>
          <w:highlight w:val="yellow"/>
        </w:rPr>
        <w:t xml:space="preserve">% and </w:t>
      </w:r>
      <w:r w:rsidR="006D3432" w:rsidRPr="00624FDD">
        <w:rPr>
          <w:highlight w:val="yellow"/>
        </w:rPr>
        <w:t xml:space="preserve">96.7% </w:t>
      </w:r>
      <w:r w:rsidR="005E25B8" w:rsidRPr="00624FDD">
        <w:rPr>
          <w:highlight w:val="yellow"/>
        </w:rPr>
        <w:t xml:space="preserve">after 500 </w:t>
      </w:r>
      <w:r w:rsidR="00EB7DBB">
        <w:rPr>
          <w:highlight w:val="yellow"/>
        </w:rPr>
        <w:t xml:space="preserve">and 300 </w:t>
      </w:r>
      <w:r w:rsidR="005E25B8" w:rsidRPr="00624FDD">
        <w:rPr>
          <w:highlight w:val="yellow"/>
        </w:rPr>
        <w:t xml:space="preserve">cycles </w:t>
      </w:r>
      <w:r w:rsidR="00EB7DBB">
        <w:rPr>
          <w:highlight w:val="yellow"/>
        </w:rPr>
        <w:t>at</w:t>
      </w:r>
      <w:r w:rsidR="00EB7DBB" w:rsidRPr="00624FDD">
        <w:rPr>
          <w:highlight w:val="yellow"/>
        </w:rPr>
        <w:t xml:space="preserve"> </w:t>
      </w:r>
      <w:r w:rsidR="004923F5" w:rsidRPr="00624FDD">
        <w:rPr>
          <w:highlight w:val="yellow"/>
        </w:rPr>
        <w:t>1C and 2C</w:t>
      </w:r>
      <w:r w:rsidR="0019001A" w:rsidRPr="00624FDD">
        <w:rPr>
          <w:highlight w:val="yellow"/>
        </w:rPr>
        <w:t>,</w:t>
      </w:r>
      <w:r w:rsidR="004923F5" w:rsidRPr="00624FDD">
        <w:rPr>
          <w:highlight w:val="yellow"/>
        </w:rPr>
        <w:t xml:space="preserve"> respectively.</w:t>
      </w:r>
      <w:r w:rsidR="004923F5">
        <w:t xml:space="preserve">  </w:t>
      </w:r>
      <w:r>
        <w:t xml:space="preserve">In order to test electrochemical performance of cPpy-S-CTFs at a higher mass loading, we increased the sulfur loadings to 4.0 </w:t>
      </w:r>
      <w:proofErr w:type="spellStart"/>
      <w:r>
        <w:t>mg</w:t>
      </w:r>
      <w:r w:rsidRPr="00E42613">
        <w:rPr>
          <w:vertAlign w:val="subscript"/>
        </w:rPr>
        <w:t>suflur</w:t>
      </w:r>
      <w:proofErr w:type="spellEnd"/>
      <w:r>
        <w:t xml:space="preserve"> cm</w:t>
      </w:r>
      <w:r w:rsidRPr="00E42613">
        <w:rPr>
          <w:vertAlign w:val="superscript"/>
        </w:rPr>
        <w:t>–2</w:t>
      </w:r>
      <w:r>
        <w:t xml:space="preserve"> and cycled it at 0.2C. The initial discharge capacities of 207.8, 232.2, 570.5, 499.9</w:t>
      </w:r>
      <w:r w:rsidR="001A0622">
        <w:t>,</w:t>
      </w:r>
      <w:r>
        <w:t xml:space="preserve"> and 240.8 </w:t>
      </w:r>
      <w:proofErr w:type="spellStart"/>
      <w:r>
        <w:t>mAh</w:t>
      </w:r>
      <w:proofErr w:type="spellEnd"/>
      <w:r>
        <w:t xml:space="preserve"> g</w:t>
      </w:r>
      <w:r w:rsidRPr="00E42613">
        <w:rPr>
          <w:vertAlign w:val="superscript"/>
        </w:rPr>
        <w:t>–1</w:t>
      </w:r>
      <w:r>
        <w:t xml:space="preserve"> were lower compared to those at the lower sulfur loading of 0.8 mg</w:t>
      </w:r>
      <w:r w:rsidRPr="00E42613">
        <w:rPr>
          <w:vertAlign w:val="subscript"/>
        </w:rPr>
        <w:t>sulfur</w:t>
      </w:r>
      <w:r>
        <w:t xml:space="preserve"> cm</w:t>
      </w:r>
      <w:r w:rsidRPr="00E42613">
        <w:rPr>
          <w:vertAlign w:val="superscript"/>
        </w:rPr>
        <w:t>–2</w:t>
      </w:r>
      <w:r>
        <w:t xml:space="preserve"> for cPpy-S-CTF 0, 1, 2.5, 5 and 10% cPpy, respectively. Neverthele</w:t>
      </w:r>
      <w:r w:rsidR="00A21E50">
        <w:t xml:space="preserve">ss, cPpy incorporation of 2.5 </w:t>
      </w:r>
      <w:proofErr w:type="spellStart"/>
      <w:r w:rsidR="00A21E50">
        <w:t>wt</w:t>
      </w:r>
      <w:proofErr w:type="spellEnd"/>
      <w:r>
        <w:t>% resulted in superior performance to all other samples tested, thus reconfirming the beneficial role of cPpy regardless the loading of active material. The capacity retention was measured after 100 cycles under the same conditions (Figure 4d). The discharge capacities of the cPpy-S-CTF 0, 1, 2.5, 5</w:t>
      </w:r>
      <w:r w:rsidR="00CC3BA7">
        <w:t>,</w:t>
      </w:r>
      <w:r>
        <w:t xml:space="preserve"> and 10% cPpy after 100 cycles were 227.6, 290.0, 612.9, 583.8, and 348.6 </w:t>
      </w:r>
      <w:proofErr w:type="spellStart"/>
      <w:r>
        <w:t>mAh</w:t>
      </w:r>
      <w:proofErr w:type="spellEnd"/>
      <w:r>
        <w:t xml:space="preserve"> g</w:t>
      </w:r>
      <w:r w:rsidRPr="00E42613">
        <w:rPr>
          <w:vertAlign w:val="superscript"/>
        </w:rPr>
        <w:t>–1</w:t>
      </w:r>
      <w:r>
        <w:t>, respectively. Poor electrochemical performance of cPpy alone (Figure S1</w:t>
      </w:r>
      <w:r w:rsidR="007437DA">
        <w:t>3</w:t>
      </w:r>
      <w:r>
        <w:t>) verifies the synergistic effect between cPpy and CTF backbone.</w:t>
      </w:r>
    </w:p>
    <w:p w14:paraId="0FE988A5" w14:textId="656A4EFC" w:rsidR="00AC527B" w:rsidRDefault="00AC527B" w:rsidP="00025D37">
      <w:pPr>
        <w:pStyle w:val="TAMainText"/>
      </w:pPr>
      <w:r>
        <w:t>For in-depth understanding of the effect of cPpy on the Li</w:t>
      </w:r>
      <w:r w:rsidRPr="00E42613">
        <w:rPr>
          <w:vertAlign w:val="superscript"/>
        </w:rPr>
        <w:t>+</w:t>
      </w:r>
      <w:r>
        <w:t xml:space="preserve"> ion diffusion in the framework, we performed CV measurements (Figure </w:t>
      </w:r>
      <w:r w:rsidR="005E25B8">
        <w:t>S14</w:t>
      </w:r>
      <w:r w:rsidR="00CE7726">
        <w:t>) on cPpy-S-CTF 0, 2.5 and 5</w:t>
      </w:r>
      <w:r>
        <w:t>% cPpy at a scan speed from 0.05 to 0.5 mV s</w:t>
      </w:r>
      <w:r w:rsidRPr="00E42613">
        <w:rPr>
          <w:vertAlign w:val="superscript"/>
        </w:rPr>
        <w:t>–1</w:t>
      </w:r>
      <w:r>
        <w:t xml:space="preserve">. Both cathodic and anodic peak currents </w:t>
      </w:r>
      <w:r w:rsidR="00CC3BA7">
        <w:t>we</w:t>
      </w:r>
      <w:r>
        <w:t xml:space="preserve">re proportional to the square root of the scan speeds, which obeys the following </w:t>
      </w:r>
      <w:proofErr w:type="spellStart"/>
      <w:r>
        <w:t>Randles-Sevcik</w:t>
      </w:r>
      <w:proofErr w:type="spellEnd"/>
      <w:r>
        <w:t xml:space="preserve"> equation (Equation 1):</w:t>
      </w:r>
      <w:r w:rsidRPr="00E42613">
        <w:rPr>
          <w:vertAlign w:val="superscript"/>
        </w:rPr>
        <w:t>7</w:t>
      </w:r>
      <w:r w:rsidR="00B8531C">
        <w:rPr>
          <w:vertAlign w:val="superscript"/>
        </w:rPr>
        <w:t>6</w:t>
      </w:r>
    </w:p>
    <w:p w14:paraId="0D2BDBA4" w14:textId="02590DF4" w:rsidR="00E42613" w:rsidRDefault="00B36E1F" w:rsidP="00025D37">
      <w:pPr>
        <w:pStyle w:val="TAMainText"/>
      </w:pPr>
      <m:oMath>
        <m:sSub>
          <m:sSubPr>
            <m:ctrlPr>
              <w:rPr>
                <w:rFonts w:ascii="Cambria Math" w:hAnsi="Cambria Math"/>
              </w:rPr>
            </m:ctrlPr>
          </m:sSubPr>
          <m:e>
            <m:r>
              <w:rPr>
                <w:rFonts w:ascii="Cambria Math" w:hAnsi="Cambria Math"/>
              </w:rPr>
              <m:t>I</m:t>
            </m:r>
          </m:e>
          <m:sub>
            <m:r>
              <w:rPr>
                <w:rFonts w:ascii="Cambria Math" w:hAnsi="Cambria Math"/>
              </w:rPr>
              <m:t>p</m:t>
            </m:r>
          </m:sub>
        </m:sSub>
        <m:r>
          <m:rPr>
            <m:sty m:val="p"/>
          </m:rPr>
          <w:rPr>
            <w:rFonts w:ascii="Cambria Math" w:hAnsi="Cambria Math"/>
          </w:rPr>
          <m:t xml:space="preserve"> =</m:t>
        </m:r>
        <m:d>
          <m:dPr>
            <m:ctrlPr>
              <w:rPr>
                <w:rFonts w:ascii="Cambria Math" w:hAnsi="Cambria Math"/>
              </w:rPr>
            </m:ctrlPr>
          </m:dPr>
          <m:e>
            <m:r>
              <m:rPr>
                <m:sty m:val="p"/>
              </m:rPr>
              <w:rPr>
                <w:rFonts w:ascii="Cambria Math" w:hAnsi="Cambria Math"/>
              </w:rPr>
              <m:t>2.69×</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5</m:t>
                </m:r>
              </m:sup>
            </m:sSup>
          </m:e>
        </m:d>
        <m:sSup>
          <m:sSupPr>
            <m:ctrlPr>
              <w:rPr>
                <w:rFonts w:ascii="Cambria Math" w:hAnsi="Cambria Math"/>
              </w:rPr>
            </m:ctrlPr>
          </m:sSupPr>
          <m:e>
            <m:r>
              <w:rPr>
                <w:rFonts w:ascii="Cambria Math" w:hAnsi="Cambria Math"/>
              </w:rPr>
              <m:t>n</m:t>
            </m:r>
          </m:e>
          <m:sup>
            <m:r>
              <m:rPr>
                <m:sty m:val="p"/>
              </m:rPr>
              <w:rPr>
                <w:rFonts w:ascii="Cambria Math" w:hAnsi="Cambria Math"/>
              </w:rPr>
              <m:t>1.5</m:t>
            </m:r>
          </m:sup>
        </m:sSup>
        <m:r>
          <w:rPr>
            <w:rFonts w:ascii="Cambria Math" w:hAnsi="Cambria Math"/>
          </w:rPr>
          <m:t>a</m:t>
        </m:r>
        <m:sSup>
          <m:sSupPr>
            <m:ctrlPr>
              <w:rPr>
                <w:rFonts w:ascii="Cambria Math" w:hAnsi="Cambria Math"/>
              </w:rPr>
            </m:ctrlPr>
          </m:sSupPr>
          <m:e>
            <m:r>
              <w:rPr>
                <w:rFonts w:ascii="Cambria Math" w:hAnsi="Cambria Math"/>
              </w:rPr>
              <m:t>D</m:t>
            </m:r>
          </m:e>
          <m:sup>
            <m:r>
              <m:rPr>
                <m:sty m:val="p"/>
              </m:rPr>
              <w:rPr>
                <w:rFonts w:ascii="Cambria Math" w:hAnsi="Cambria Math"/>
              </w:rPr>
              <m:t>0.5</m:t>
            </m:r>
          </m:sup>
        </m:sSup>
        <m:sSup>
          <m:sSupPr>
            <m:ctrlPr>
              <w:rPr>
                <w:rFonts w:ascii="Cambria Math" w:hAnsi="Cambria Math"/>
              </w:rPr>
            </m:ctrlPr>
          </m:sSupPr>
          <m:e>
            <m:r>
              <w:rPr>
                <w:rFonts w:ascii="Cambria Math" w:hAnsi="Cambria Math"/>
              </w:rPr>
              <m:t>υ</m:t>
            </m:r>
          </m:e>
          <m:sup>
            <m:r>
              <m:rPr>
                <m:sty m:val="p"/>
              </m:rPr>
              <w:rPr>
                <w:rFonts w:ascii="Cambria Math" w:hAnsi="Cambria Math"/>
              </w:rPr>
              <m:t>0.5</m:t>
            </m:r>
          </m:sup>
        </m:sSup>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o</m:t>
            </m:r>
          </m:sub>
        </m:sSub>
      </m:oMath>
      <w:r w:rsidR="00E42613" w:rsidRPr="00D11C7A">
        <w:tab/>
      </w:r>
      <w:r w:rsidR="00E42613" w:rsidRPr="00D11C7A">
        <w:tab/>
      </w:r>
      <w:r w:rsidR="00E42613" w:rsidRPr="00D11C7A">
        <w:tab/>
      </w:r>
      <w:r w:rsidR="00E42613">
        <w:tab/>
      </w:r>
      <w:r w:rsidR="00E42613">
        <w:tab/>
      </w:r>
      <w:r w:rsidR="00E42613">
        <w:tab/>
      </w:r>
      <w:r w:rsidR="00E42613">
        <w:tab/>
      </w:r>
      <w:r w:rsidR="00E42613" w:rsidRPr="00D11C7A">
        <w:t>(</w:t>
      </w:r>
      <w:r w:rsidR="000A6D63">
        <w:t>1</w:t>
      </w:r>
      <w:r w:rsidR="00E42613" w:rsidRPr="00D11C7A">
        <w:t>)</w:t>
      </w:r>
    </w:p>
    <w:p w14:paraId="6695D0CF" w14:textId="77777777" w:rsidR="00AC527B" w:rsidRDefault="00E42613" w:rsidP="00025D37">
      <w:pPr>
        <w:pStyle w:val="TAMainText"/>
      </w:pPr>
      <w:r>
        <w:t xml:space="preserve"> </w:t>
      </w:r>
      <w:r w:rsidR="00AC527B">
        <w:t>(</w:t>
      </w:r>
      <w:r w:rsidR="00AC527B" w:rsidRPr="00413788">
        <w:rPr>
          <w:i/>
        </w:rPr>
        <w:t>I</w:t>
      </w:r>
      <w:r w:rsidR="00AC527B" w:rsidRPr="00413788">
        <w:rPr>
          <w:i/>
          <w:vertAlign w:val="subscript"/>
        </w:rPr>
        <w:t>p</w:t>
      </w:r>
      <w:r w:rsidR="00AC527B">
        <w:t xml:space="preserve"> = peak current, </w:t>
      </w:r>
      <w:r w:rsidR="00AC527B" w:rsidRPr="00413788">
        <w:rPr>
          <w:i/>
        </w:rPr>
        <w:t>n</w:t>
      </w:r>
      <w:r w:rsidR="00AC527B">
        <w:t xml:space="preserve"> = number of electrons per reaction, </w:t>
      </w:r>
      <w:r w:rsidR="00AC527B" w:rsidRPr="00413788">
        <w:rPr>
          <w:i/>
        </w:rPr>
        <w:t>a</w:t>
      </w:r>
      <w:r w:rsidR="00AC527B">
        <w:t xml:space="preserve"> = active electrode area, </w:t>
      </w:r>
      <w:r w:rsidR="00AC527B" w:rsidRPr="00413788">
        <w:rPr>
          <w:i/>
        </w:rPr>
        <w:t>D</w:t>
      </w:r>
      <w:r w:rsidR="00AC527B">
        <w:t xml:space="preserve"> = diffusion coefficient of Li</w:t>
      </w:r>
      <w:r w:rsidR="00AC527B" w:rsidRPr="0098465F">
        <w:rPr>
          <w:vertAlign w:val="superscript"/>
        </w:rPr>
        <w:t>+</w:t>
      </w:r>
      <w:r w:rsidR="00AC527B">
        <w:t xml:space="preserve">, </w:t>
      </w:r>
      <w:r w:rsidR="00AC527B" w:rsidRPr="00413788">
        <w:rPr>
          <w:i/>
        </w:rPr>
        <w:t>υ</w:t>
      </w:r>
      <w:r w:rsidR="00AC527B">
        <w:t xml:space="preserve"> = scan velocity, </w:t>
      </w:r>
      <w:proofErr w:type="spellStart"/>
      <w:r w:rsidR="00AC527B" w:rsidRPr="00413788">
        <w:rPr>
          <w:i/>
        </w:rPr>
        <w:t>ΔC</w:t>
      </w:r>
      <w:r w:rsidR="00AC527B" w:rsidRPr="00413788">
        <w:rPr>
          <w:i/>
          <w:vertAlign w:val="subscript"/>
        </w:rPr>
        <w:t>o</w:t>
      </w:r>
      <w:proofErr w:type="spellEnd"/>
      <w:r w:rsidR="00AC527B">
        <w:t xml:space="preserve"> = Li-ion concentration gradient during the electrochemical reaction) </w:t>
      </w:r>
    </w:p>
    <w:p w14:paraId="1C7871D0" w14:textId="0ECF2924" w:rsidR="00D24EE7" w:rsidRDefault="00AC527B" w:rsidP="00025D37">
      <w:pPr>
        <w:pStyle w:val="TAMainText"/>
        <w:sectPr w:rsidR="00D24EE7" w:rsidSect="005D5DF7">
          <w:type w:val="continuous"/>
          <w:pgSz w:w="12240" w:h="15840"/>
          <w:pgMar w:top="720" w:right="1094" w:bottom="720" w:left="1094" w:header="720" w:footer="720" w:gutter="0"/>
          <w:cols w:num="2" w:space="461"/>
        </w:sectPr>
      </w:pPr>
      <w:r>
        <w:t xml:space="preserve">Since </w:t>
      </w:r>
      <w:r w:rsidRPr="00413788">
        <w:rPr>
          <w:i/>
        </w:rPr>
        <w:t>n</w:t>
      </w:r>
      <w:r>
        <w:t xml:space="preserve">, </w:t>
      </w:r>
      <w:r w:rsidRPr="00413788">
        <w:rPr>
          <w:i/>
        </w:rPr>
        <w:t>a</w:t>
      </w:r>
      <w:r>
        <w:t xml:space="preserve">, and </w:t>
      </w:r>
      <w:proofErr w:type="spellStart"/>
      <w:r w:rsidRPr="00413788">
        <w:rPr>
          <w:i/>
        </w:rPr>
        <w:t>ΔC</w:t>
      </w:r>
      <w:r w:rsidRPr="00413788">
        <w:rPr>
          <w:i/>
          <w:vertAlign w:val="subscript"/>
        </w:rPr>
        <w:t>o</w:t>
      </w:r>
      <w:proofErr w:type="spellEnd"/>
      <w:r>
        <w:t xml:space="preserve"> are constant values, the peak current </w:t>
      </w:r>
      <w:r w:rsidRPr="00413788">
        <w:rPr>
          <w:i/>
        </w:rPr>
        <w:t>I</w:t>
      </w:r>
      <w:r w:rsidRPr="00413788">
        <w:rPr>
          <w:i/>
          <w:vertAlign w:val="subscript"/>
        </w:rPr>
        <w:t>p</w:t>
      </w:r>
      <w:r>
        <w:t xml:space="preserve"> and the square root of the scan velocity, </w:t>
      </w:r>
      <w:r w:rsidRPr="00413788">
        <w:rPr>
          <w:i/>
        </w:rPr>
        <w:t>υ</w:t>
      </w:r>
      <w:r w:rsidRPr="00413788">
        <w:rPr>
          <w:vertAlign w:val="superscript"/>
        </w:rPr>
        <w:t>0.</w:t>
      </w:r>
      <w:r w:rsidRPr="00624FDD">
        <w:rPr>
          <w:vertAlign w:val="superscript"/>
        </w:rPr>
        <w:t>5</w:t>
      </w:r>
      <w:r w:rsidRPr="00624FDD">
        <w:t xml:space="preserve"> </w:t>
      </w:r>
      <w:r w:rsidRPr="00B829C3">
        <w:t xml:space="preserve">are proportional to each other and the slope is associated with the square root of the diffusivity of the Li ion (Figure </w:t>
      </w:r>
      <w:r w:rsidR="00343752" w:rsidRPr="00B829C3">
        <w:t xml:space="preserve">S14 </w:t>
      </w:r>
      <w:r w:rsidRPr="00B829C3">
        <w:t xml:space="preserve">a–c). </w:t>
      </w:r>
      <w:r w:rsidRPr="00624FDD">
        <w:rPr>
          <w:highlight w:val="yellow"/>
        </w:rPr>
        <w:t>Markedly, cPpy-S-CTF 2.5% exhibited the highest slope value</w:t>
      </w:r>
      <w:r w:rsidR="001A356D" w:rsidRPr="00624FDD">
        <w:rPr>
          <w:highlight w:val="yellow"/>
        </w:rPr>
        <w:t>s</w:t>
      </w:r>
      <w:r w:rsidRPr="00624FDD">
        <w:rPr>
          <w:highlight w:val="yellow"/>
        </w:rPr>
        <w:t xml:space="preserve"> </w:t>
      </w:r>
      <w:r w:rsidR="00624FDD">
        <w:rPr>
          <w:highlight w:val="yellow"/>
        </w:rPr>
        <w:t>for</w:t>
      </w:r>
      <w:r w:rsidR="00624FDD" w:rsidRPr="00624FDD">
        <w:rPr>
          <w:highlight w:val="yellow"/>
        </w:rPr>
        <w:t xml:space="preserve"> </w:t>
      </w:r>
      <w:r w:rsidRPr="00624FDD">
        <w:rPr>
          <w:highlight w:val="yellow"/>
        </w:rPr>
        <w:t xml:space="preserve">all of </w:t>
      </w:r>
      <w:r w:rsidR="00624FDD">
        <w:rPr>
          <w:highlight w:val="yellow"/>
        </w:rPr>
        <w:t xml:space="preserve">the </w:t>
      </w:r>
      <w:r w:rsidRPr="00624FDD">
        <w:rPr>
          <w:highlight w:val="yellow"/>
        </w:rPr>
        <w:t xml:space="preserve">cathodic and anodic reactions, which implies </w:t>
      </w:r>
      <w:r w:rsidR="00624FDD">
        <w:rPr>
          <w:highlight w:val="yellow"/>
        </w:rPr>
        <w:t xml:space="preserve">that </w:t>
      </w:r>
      <w:r w:rsidRPr="00624FDD">
        <w:rPr>
          <w:highlight w:val="yellow"/>
        </w:rPr>
        <w:t>the Li</w:t>
      </w:r>
      <w:r w:rsidRPr="00624FDD">
        <w:rPr>
          <w:highlight w:val="yellow"/>
          <w:vertAlign w:val="superscript"/>
        </w:rPr>
        <w:t>+</w:t>
      </w:r>
      <w:r w:rsidRPr="00624FDD">
        <w:rPr>
          <w:highlight w:val="yellow"/>
        </w:rPr>
        <w:t xml:space="preserve"> </w:t>
      </w:r>
      <w:r w:rsidR="00A27F84" w:rsidRPr="00624FDD">
        <w:rPr>
          <w:highlight w:val="yellow"/>
        </w:rPr>
        <w:t>diffusi</w:t>
      </w:r>
      <w:r w:rsidR="00A27F84">
        <w:rPr>
          <w:highlight w:val="yellow"/>
        </w:rPr>
        <w:t>on</w:t>
      </w:r>
      <w:r w:rsidR="00A27F84" w:rsidRPr="00624FDD">
        <w:rPr>
          <w:highlight w:val="yellow"/>
        </w:rPr>
        <w:t xml:space="preserve"> </w:t>
      </w:r>
      <w:r w:rsidR="00A27F84">
        <w:rPr>
          <w:highlight w:val="yellow"/>
        </w:rPr>
        <w:t>at this cPpy content is most facile</w:t>
      </w:r>
      <w:r w:rsidRPr="00624FDD">
        <w:rPr>
          <w:highlight w:val="yellow"/>
        </w:rPr>
        <w:t>.</w:t>
      </w:r>
    </w:p>
    <w:p w14:paraId="53B2FF85" w14:textId="2951B632" w:rsidR="00D24EE7" w:rsidRPr="00D24EE7" w:rsidRDefault="00D36A86" w:rsidP="00DD63C6">
      <w:pPr>
        <w:pStyle w:val="TAMainText"/>
        <w:jc w:val="center"/>
      </w:pPr>
      <w:r>
        <w:rPr>
          <w:noProof/>
          <w:lang w:eastAsia="ko-KR"/>
        </w:rPr>
        <w:drawing>
          <wp:inline distT="0" distB="0" distL="0" distR="0" wp14:anchorId="3EC76572" wp14:editId="0A3B3459">
            <wp:extent cx="2990328" cy="5640019"/>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97705" cy="5653933"/>
                    </a:xfrm>
                    <a:prstGeom prst="rect">
                      <a:avLst/>
                    </a:prstGeom>
                    <a:noFill/>
                  </pic:spPr>
                </pic:pic>
              </a:graphicData>
            </a:graphic>
          </wp:inline>
        </w:drawing>
      </w:r>
    </w:p>
    <w:p w14:paraId="15016BAF" w14:textId="145A11BF" w:rsidR="00D24EE7" w:rsidRPr="00D24EE7" w:rsidRDefault="00D24EE7" w:rsidP="00D24EE7">
      <w:pPr>
        <w:widowControl w:val="0"/>
        <w:wordWrap w:val="0"/>
        <w:autoSpaceDE w:val="0"/>
        <w:autoSpaceDN w:val="0"/>
        <w:spacing w:after="160" w:line="259" w:lineRule="auto"/>
        <w:rPr>
          <w:rFonts w:ascii="arno pro" w:eastAsia="맑은 고딕" w:hAnsi="arno pro"/>
          <w:bCs/>
          <w:kern w:val="2"/>
          <w:sz w:val="19"/>
          <w:szCs w:val="19"/>
          <w:lang w:eastAsia="ko-KR"/>
        </w:rPr>
      </w:pPr>
      <w:r w:rsidRPr="00D24EE7">
        <w:rPr>
          <w:rFonts w:ascii="arno pro" w:eastAsia="맑은 고딕" w:hAnsi="arno pro"/>
          <w:b/>
          <w:bCs/>
          <w:kern w:val="2"/>
          <w:sz w:val="19"/>
          <w:szCs w:val="19"/>
          <w:lang w:eastAsia="ko-KR"/>
        </w:rPr>
        <w:t xml:space="preserve">Figure </w:t>
      </w:r>
      <w:r w:rsidR="002F3151">
        <w:rPr>
          <w:rFonts w:ascii="arno pro" w:eastAsia="맑은 고딕" w:hAnsi="arno pro"/>
          <w:b/>
          <w:bCs/>
          <w:kern w:val="2"/>
          <w:sz w:val="19"/>
          <w:szCs w:val="19"/>
          <w:lang w:eastAsia="ko-KR"/>
        </w:rPr>
        <w:t>5</w:t>
      </w:r>
      <w:r w:rsidRPr="00D24EE7">
        <w:rPr>
          <w:rFonts w:ascii="arno pro" w:eastAsia="맑은 고딕" w:hAnsi="arno pro"/>
          <w:b/>
          <w:bCs/>
          <w:kern w:val="2"/>
          <w:sz w:val="19"/>
          <w:szCs w:val="19"/>
          <w:lang w:eastAsia="ko-KR"/>
        </w:rPr>
        <w:t>.</w:t>
      </w:r>
      <w:r w:rsidRPr="00D24EE7">
        <w:rPr>
          <w:rFonts w:ascii="arno pro" w:eastAsia="맑은 고딕" w:hAnsi="arno pro"/>
          <w:bCs/>
          <w:kern w:val="2"/>
          <w:sz w:val="19"/>
          <w:szCs w:val="19"/>
          <w:lang w:eastAsia="ko-KR"/>
        </w:rPr>
        <w:t xml:space="preserve"> Nyquist plots </w:t>
      </w:r>
      <w:r w:rsidR="00A21E50">
        <w:rPr>
          <w:rFonts w:ascii="arno pro" w:eastAsia="맑은 고딕" w:hAnsi="arno pro"/>
          <w:bCs/>
          <w:kern w:val="2"/>
          <w:sz w:val="19"/>
          <w:szCs w:val="19"/>
          <w:lang w:eastAsia="ko-KR"/>
        </w:rPr>
        <w:t>of cPpy-S-CTF 0 and 2.5%</w:t>
      </w:r>
      <w:r w:rsidRPr="00D24EE7">
        <w:rPr>
          <w:rFonts w:ascii="arno pro" w:eastAsia="맑은 고딕" w:hAnsi="arno pro"/>
          <w:bCs/>
          <w:kern w:val="2"/>
          <w:sz w:val="19"/>
          <w:szCs w:val="19"/>
          <w:lang w:eastAsia="ko-KR"/>
        </w:rPr>
        <w:t>. (a) Before cycling, (b) after 100th charge</w:t>
      </w:r>
      <w:r w:rsidR="004E0A87">
        <w:rPr>
          <w:rFonts w:ascii="arno pro" w:eastAsia="맑은 고딕" w:hAnsi="arno pro"/>
          <w:bCs/>
          <w:kern w:val="2"/>
          <w:sz w:val="19"/>
          <w:szCs w:val="19"/>
          <w:lang w:eastAsia="ko-KR"/>
        </w:rPr>
        <w:t>,</w:t>
      </w:r>
      <w:r w:rsidRPr="00D24EE7">
        <w:rPr>
          <w:rFonts w:ascii="arno pro" w:eastAsia="맑은 고딕" w:hAnsi="arno pro"/>
          <w:bCs/>
          <w:kern w:val="2"/>
          <w:sz w:val="19"/>
          <w:szCs w:val="19"/>
          <w:lang w:eastAsia="ko-KR"/>
        </w:rPr>
        <w:t xml:space="preserve"> and (c) after 100</w:t>
      </w:r>
      <w:r w:rsidRPr="00D24EE7">
        <w:rPr>
          <w:rFonts w:ascii="arno pro" w:eastAsia="맑은 고딕" w:hAnsi="arno pro"/>
          <w:bCs/>
          <w:kern w:val="2"/>
          <w:sz w:val="19"/>
          <w:szCs w:val="19"/>
          <w:vertAlign w:val="superscript"/>
          <w:lang w:eastAsia="ko-KR"/>
        </w:rPr>
        <w:t>th</w:t>
      </w:r>
      <w:r w:rsidRPr="00D24EE7">
        <w:rPr>
          <w:rFonts w:ascii="arno pro" w:eastAsia="맑은 고딕" w:hAnsi="arno pro"/>
          <w:bCs/>
          <w:kern w:val="2"/>
          <w:sz w:val="19"/>
          <w:szCs w:val="19"/>
          <w:lang w:eastAsia="ko-KR"/>
        </w:rPr>
        <w:t xml:space="preserve"> discharge.</w:t>
      </w:r>
    </w:p>
    <w:p w14:paraId="728CCE4C" w14:textId="77777777" w:rsidR="00D24EE7" w:rsidRDefault="00D24EE7" w:rsidP="00025D37">
      <w:pPr>
        <w:pStyle w:val="TAMainText"/>
        <w:sectPr w:rsidR="00D24EE7" w:rsidSect="00D24EE7">
          <w:type w:val="continuous"/>
          <w:pgSz w:w="12240" w:h="15840"/>
          <w:pgMar w:top="720" w:right="1094" w:bottom="720" w:left="1094" w:header="720" w:footer="720" w:gutter="0"/>
          <w:cols w:space="461"/>
        </w:sectPr>
      </w:pPr>
    </w:p>
    <w:p w14:paraId="1ED31C84" w14:textId="2D7907E8" w:rsidR="005229C6" w:rsidRDefault="00AC527B" w:rsidP="00025D37">
      <w:pPr>
        <w:pStyle w:val="TAMainText"/>
      </w:pPr>
      <w:r>
        <w:lastRenderedPageBreak/>
        <w:t>We also performed (Figure 5a–c) electrochemical impedance spectroscopy (EIS) measurements on cPpy-S-CTF 0% and cPpy-S-CTF 2.5%. The Nyquist plots of the two electrodes prior to cycling showed semicircles in the high and mid-frequency regimes and sloping lines in the low-frequency regime (Figure 5a). The high-frequency intercept of the real axis represents the bulk resistance (</w:t>
      </w:r>
      <w:r w:rsidRPr="00413788">
        <w:rPr>
          <w:i/>
        </w:rPr>
        <w:t>R</w:t>
      </w:r>
      <w:r w:rsidRPr="00413788">
        <w:rPr>
          <w:i/>
          <w:vertAlign w:val="subscript"/>
        </w:rPr>
        <w:t>o</w:t>
      </w:r>
      <w:r>
        <w:t>) of the cell composed of the electrolyte and electrode resistance.</w:t>
      </w:r>
      <w:r w:rsidRPr="0098465F">
        <w:rPr>
          <w:vertAlign w:val="superscript"/>
        </w:rPr>
        <w:t>7</w:t>
      </w:r>
      <w:r w:rsidR="00B8531C">
        <w:rPr>
          <w:vertAlign w:val="superscript"/>
        </w:rPr>
        <w:t>7</w:t>
      </w:r>
      <w:r>
        <w:t xml:space="preserve"> The semicircle in the middle to the high-frequency regime represents the interface charge transfer resistance (</w:t>
      </w:r>
      <w:proofErr w:type="spellStart"/>
      <w:r w:rsidRPr="00413788">
        <w:rPr>
          <w:i/>
        </w:rPr>
        <w:t>R</w:t>
      </w:r>
      <w:r w:rsidRPr="00413788">
        <w:rPr>
          <w:i/>
          <w:vertAlign w:val="subscript"/>
        </w:rPr>
        <w:t>ct</w:t>
      </w:r>
      <w:proofErr w:type="spellEnd"/>
      <w:r>
        <w:t>),</w:t>
      </w:r>
      <w:r w:rsidR="000B6D38" w:rsidRPr="0098465F">
        <w:rPr>
          <w:vertAlign w:val="superscript"/>
        </w:rPr>
        <w:t>7</w:t>
      </w:r>
      <w:r w:rsidR="00B8531C">
        <w:rPr>
          <w:vertAlign w:val="superscript"/>
        </w:rPr>
        <w:t>8</w:t>
      </w:r>
      <w:r w:rsidR="000B6D38">
        <w:t xml:space="preserve"> </w:t>
      </w:r>
      <w:r>
        <w:t>and the sloping line in the low-frequency regime relates to Li-ion diffusion at the cathode, called Warburg impedance (</w:t>
      </w:r>
      <w:r w:rsidRPr="00413788">
        <w:rPr>
          <w:i/>
        </w:rPr>
        <w:t>W</w:t>
      </w:r>
      <w:r w:rsidRPr="00413788">
        <w:rPr>
          <w:i/>
          <w:vertAlign w:val="subscript"/>
        </w:rPr>
        <w:t>o</w:t>
      </w:r>
      <w:r>
        <w:t xml:space="preserve">). Prior to cycling, </w:t>
      </w:r>
      <w:proofErr w:type="spellStart"/>
      <w:r w:rsidRPr="00CE7726">
        <w:rPr>
          <w:i/>
        </w:rPr>
        <w:t>R</w:t>
      </w:r>
      <w:r w:rsidRPr="00331F5F">
        <w:rPr>
          <w:i/>
          <w:vertAlign w:val="subscript"/>
        </w:rPr>
        <w:t>ct</w:t>
      </w:r>
      <w:proofErr w:type="spellEnd"/>
      <w:r>
        <w:t xml:space="preserve"> of </w:t>
      </w:r>
      <w:proofErr w:type="spellStart"/>
      <w:r>
        <w:t>cPpy</w:t>
      </w:r>
      <w:proofErr w:type="spellEnd"/>
      <w:r>
        <w:t xml:space="preserve">-S-CTF 2.5% cPpy was slightly lower than that of cPpy-S-CTF 0%. After 100 cycles (Figure 5c), cPpy-S-CTF 0% showed drastically increased bulk resistance compared to that of cPpy-S-CTF 2.5% cPpy (40.3 </w:t>
      </w:r>
      <w:r w:rsidRPr="00260030">
        <w:rPr>
          <w:i/>
        </w:rPr>
        <w:t>vs</w:t>
      </w:r>
      <w:r>
        <w:t>. 8.7 Ω). This phenomenon is attributed to the fact that polysulfides adsorption by cPpy prevents</w:t>
      </w:r>
      <w:r w:rsidRPr="0098465F">
        <w:rPr>
          <w:vertAlign w:val="superscript"/>
        </w:rPr>
        <w:t>2</w:t>
      </w:r>
      <w:r w:rsidR="00B8531C">
        <w:rPr>
          <w:vertAlign w:val="superscript"/>
        </w:rPr>
        <w:t>7</w:t>
      </w:r>
      <w:r w:rsidRPr="0098465F">
        <w:rPr>
          <w:vertAlign w:val="superscript"/>
        </w:rPr>
        <w:t>,</w:t>
      </w:r>
      <w:r w:rsidR="000B6D38">
        <w:rPr>
          <w:vertAlign w:val="superscript"/>
        </w:rPr>
        <w:t>7</w:t>
      </w:r>
      <w:r w:rsidR="00B8531C">
        <w:rPr>
          <w:vertAlign w:val="superscript"/>
        </w:rPr>
        <w:t>9</w:t>
      </w:r>
      <w:r w:rsidRPr="0098465F">
        <w:rPr>
          <w:vertAlign w:val="superscript"/>
        </w:rPr>
        <w:t xml:space="preserve"> </w:t>
      </w:r>
      <w:r>
        <w:t xml:space="preserve">from increasing the viscosity of the electrolyte by Li-PS dissolution </w:t>
      </w:r>
      <w:r w:rsidR="00D166FE">
        <w:t xml:space="preserve">more effectively </w:t>
      </w:r>
      <w:r>
        <w:t xml:space="preserve">compared to the case of cPpy-S-CTF 0%. Moreover, after cycling, the semicircles of both cells were split into two small semicircles, both of which were clearly smaller for </w:t>
      </w:r>
      <w:proofErr w:type="spellStart"/>
      <w:r>
        <w:t>cPpy</w:t>
      </w:r>
      <w:proofErr w:type="spellEnd"/>
      <w:r>
        <w:t>-S-CTF 2.5%. The semicircle in the high-frequency regime relates to surface resistance (</w:t>
      </w:r>
      <w:r w:rsidRPr="00413788">
        <w:rPr>
          <w:i/>
        </w:rPr>
        <w:t>R</w:t>
      </w:r>
      <w:r w:rsidRPr="00413788">
        <w:rPr>
          <w:i/>
          <w:vertAlign w:val="subscript"/>
        </w:rPr>
        <w:t>s</w:t>
      </w:r>
      <w:r>
        <w:t>) corresponding the deposition on the surface of the electrode and the agglomeration of Li</w:t>
      </w:r>
      <w:r w:rsidRPr="0098465F">
        <w:rPr>
          <w:vertAlign w:val="subscript"/>
        </w:rPr>
        <w:t>2</w:t>
      </w:r>
      <w:r>
        <w:t>S</w:t>
      </w:r>
      <w:r w:rsidRPr="0098465F">
        <w:rPr>
          <w:vertAlign w:val="subscript"/>
        </w:rPr>
        <w:t>2</w:t>
      </w:r>
      <w:r>
        <w:t xml:space="preserve"> / Li</w:t>
      </w:r>
      <w:r w:rsidRPr="0098465F">
        <w:rPr>
          <w:vertAlign w:val="subscript"/>
        </w:rPr>
        <w:t>2</w:t>
      </w:r>
      <w:r>
        <w:t>S layer.</w:t>
      </w:r>
      <w:r w:rsidR="00B8531C">
        <w:rPr>
          <w:vertAlign w:val="superscript"/>
        </w:rPr>
        <w:t>80</w:t>
      </w:r>
      <w:r>
        <w:t xml:space="preserve"> The semicircle in the intermediate frequency regime relates to the charge transfer process at the conductive interface.</w:t>
      </w:r>
      <w:r w:rsidR="00B8531C">
        <w:rPr>
          <w:vertAlign w:val="superscript"/>
        </w:rPr>
        <w:t>81</w:t>
      </w:r>
      <w:r>
        <w:t xml:space="preserve"> </w:t>
      </w:r>
      <w:r w:rsidRPr="00B829C3">
        <w:t xml:space="preserve">Thus, the smaller semicircles of cPpy-S-CTF 2.5% reflect its lower </w:t>
      </w:r>
      <w:r w:rsidRPr="00B829C3">
        <w:rPr>
          <w:i/>
        </w:rPr>
        <w:t>R</w:t>
      </w:r>
      <w:r w:rsidRPr="00B829C3">
        <w:rPr>
          <w:i/>
          <w:vertAlign w:val="subscript"/>
        </w:rPr>
        <w:t>s</w:t>
      </w:r>
      <w:r w:rsidRPr="00B829C3">
        <w:t xml:space="preserve"> and </w:t>
      </w:r>
      <w:proofErr w:type="spellStart"/>
      <w:r w:rsidRPr="00B829C3">
        <w:rPr>
          <w:i/>
        </w:rPr>
        <w:t>R</w:t>
      </w:r>
      <w:r w:rsidRPr="00B829C3">
        <w:rPr>
          <w:i/>
          <w:vertAlign w:val="subscript"/>
        </w:rPr>
        <w:t>ct</w:t>
      </w:r>
      <w:proofErr w:type="spellEnd"/>
      <w:r w:rsidRPr="00B829C3">
        <w:t xml:space="preserve"> during cycling</w:t>
      </w:r>
      <w:r w:rsidR="00A644E8" w:rsidRPr="00B829C3">
        <w:t xml:space="preserve"> than </w:t>
      </w:r>
      <w:r w:rsidR="00624FDD" w:rsidRPr="00B829C3">
        <w:t xml:space="preserve">that of </w:t>
      </w:r>
      <w:r w:rsidR="00A644E8" w:rsidRPr="00B829C3">
        <w:t>cPpy-S-CTF 0%</w:t>
      </w:r>
      <w:r w:rsidRPr="00B829C3">
        <w:t xml:space="preserve">. </w:t>
      </w:r>
      <w:r w:rsidR="00A51D60" w:rsidRPr="00624FDD">
        <w:rPr>
          <w:highlight w:val="yellow"/>
        </w:rPr>
        <w:t xml:space="preserve">In order to study the effect </w:t>
      </w:r>
      <w:r w:rsidR="008370B5">
        <w:rPr>
          <w:highlight w:val="yellow"/>
        </w:rPr>
        <w:t xml:space="preserve">of the </w:t>
      </w:r>
      <w:r w:rsidR="00A51D60" w:rsidRPr="00624FDD">
        <w:rPr>
          <w:highlight w:val="yellow"/>
        </w:rPr>
        <w:t>cPpy concentration</w:t>
      </w:r>
      <w:r w:rsidR="005C6A62">
        <w:rPr>
          <w:highlight w:val="yellow"/>
        </w:rPr>
        <w:t xml:space="preserve"> more comprehensively</w:t>
      </w:r>
      <w:r w:rsidR="00A51D60" w:rsidRPr="00624FDD">
        <w:rPr>
          <w:highlight w:val="yellow"/>
        </w:rPr>
        <w:t xml:space="preserve">, </w:t>
      </w:r>
      <w:r w:rsidR="008370B5">
        <w:rPr>
          <w:highlight w:val="yellow"/>
        </w:rPr>
        <w:t xml:space="preserve">the EIS data of </w:t>
      </w:r>
      <w:r w:rsidR="00A51D60" w:rsidRPr="00624FDD">
        <w:rPr>
          <w:highlight w:val="yellow"/>
        </w:rPr>
        <w:t>cPpy-S-CTFs with varying cPpy contents were compared (Figure S15</w:t>
      </w:r>
      <w:r w:rsidR="00A51D60" w:rsidRPr="005C6A62">
        <w:rPr>
          <w:highlight w:val="yellow"/>
        </w:rPr>
        <w:t>). Notably, cPpy-S-CTF 2.5% exhibited (Table S3) the lowest</w:t>
      </w:r>
      <w:r w:rsidR="005C6A62">
        <w:rPr>
          <w:highlight w:val="yellow"/>
        </w:rPr>
        <w:t xml:space="preserve"> bulk (</w:t>
      </w:r>
      <w:r w:rsidR="00A51D60" w:rsidRPr="005C6A62">
        <w:rPr>
          <w:i/>
          <w:iCs/>
          <w:highlight w:val="yellow"/>
        </w:rPr>
        <w:t>R</w:t>
      </w:r>
      <w:r w:rsidR="00A51D60" w:rsidRPr="005C6A62">
        <w:rPr>
          <w:i/>
          <w:iCs/>
          <w:highlight w:val="yellow"/>
          <w:vertAlign w:val="subscript"/>
        </w:rPr>
        <w:t>o</w:t>
      </w:r>
      <w:r w:rsidR="005C6A62">
        <w:rPr>
          <w:highlight w:val="yellow"/>
        </w:rPr>
        <w:t>) and interfacial (</w:t>
      </w:r>
      <w:r w:rsidR="00A51D60" w:rsidRPr="005C6A62">
        <w:rPr>
          <w:i/>
          <w:iCs/>
          <w:highlight w:val="yellow"/>
        </w:rPr>
        <w:t>R</w:t>
      </w:r>
      <w:r w:rsidR="00A51D60" w:rsidRPr="005C6A62">
        <w:rPr>
          <w:i/>
          <w:iCs/>
          <w:highlight w:val="yellow"/>
          <w:vertAlign w:val="subscript"/>
        </w:rPr>
        <w:t>s</w:t>
      </w:r>
      <w:r w:rsidR="00A51D60" w:rsidRPr="005C6A62">
        <w:rPr>
          <w:highlight w:val="yellow"/>
        </w:rPr>
        <w:t xml:space="preserve"> </w:t>
      </w:r>
      <w:r w:rsidR="008370B5">
        <w:rPr>
          <w:highlight w:val="yellow"/>
        </w:rPr>
        <w:t>+</w:t>
      </w:r>
      <w:r w:rsidR="008370B5" w:rsidRPr="005C6A62">
        <w:rPr>
          <w:highlight w:val="yellow"/>
        </w:rPr>
        <w:t xml:space="preserve"> </w:t>
      </w:r>
      <w:proofErr w:type="spellStart"/>
      <w:r w:rsidR="00A51D60" w:rsidRPr="005C6A62">
        <w:rPr>
          <w:i/>
          <w:iCs/>
          <w:highlight w:val="yellow"/>
        </w:rPr>
        <w:t>R</w:t>
      </w:r>
      <w:r w:rsidR="00A51D60" w:rsidRPr="005C6A62">
        <w:rPr>
          <w:i/>
          <w:iCs/>
          <w:highlight w:val="yellow"/>
          <w:vertAlign w:val="subscript"/>
        </w:rPr>
        <w:t>ct</w:t>
      </w:r>
      <w:proofErr w:type="spellEnd"/>
      <w:r w:rsidR="005C6A62">
        <w:rPr>
          <w:highlight w:val="yellow"/>
        </w:rPr>
        <w:t>) resistance</w:t>
      </w:r>
      <w:r w:rsidR="00A51D60" w:rsidRPr="005C6A62">
        <w:rPr>
          <w:highlight w:val="yellow"/>
        </w:rPr>
        <w:t xml:space="preserve"> </w:t>
      </w:r>
      <w:r w:rsidR="005C6A62">
        <w:rPr>
          <w:highlight w:val="yellow"/>
        </w:rPr>
        <w:t xml:space="preserve">among all the cPpy contents tested. </w:t>
      </w:r>
      <w:r w:rsidR="00A51D60" w:rsidRPr="00624FDD">
        <w:rPr>
          <w:highlight w:val="yellow"/>
        </w:rPr>
        <w:t>These results demonstrate th</w:t>
      </w:r>
      <w:r w:rsidR="00E23FEF">
        <w:rPr>
          <w:highlight w:val="yellow"/>
        </w:rPr>
        <w:t xml:space="preserve">at 2.5% cPpy is the optimal condition for </w:t>
      </w:r>
      <w:r w:rsidR="008370B5">
        <w:rPr>
          <w:highlight w:val="yellow"/>
        </w:rPr>
        <w:t xml:space="preserve">achieving </w:t>
      </w:r>
      <w:r w:rsidR="00E23FEF">
        <w:rPr>
          <w:highlight w:val="yellow"/>
        </w:rPr>
        <w:t xml:space="preserve">the </w:t>
      </w:r>
      <w:r w:rsidR="008370B5">
        <w:rPr>
          <w:highlight w:val="yellow"/>
        </w:rPr>
        <w:t xml:space="preserve">facile </w:t>
      </w:r>
      <w:r w:rsidR="00A51D60" w:rsidRPr="00B829C3">
        <w:rPr>
          <w:highlight w:val="yellow"/>
        </w:rPr>
        <w:t xml:space="preserve">electronic and ionic </w:t>
      </w:r>
      <w:r w:rsidR="00051177">
        <w:rPr>
          <w:highlight w:val="yellow"/>
        </w:rPr>
        <w:t>transport</w:t>
      </w:r>
      <w:r w:rsidRPr="00B829C3">
        <w:rPr>
          <w:highlight w:val="yellow"/>
        </w:rPr>
        <w:t>.</w:t>
      </w:r>
    </w:p>
    <w:p w14:paraId="23F9C4CE" w14:textId="77777777" w:rsidR="00270E96" w:rsidRDefault="00270E96" w:rsidP="00025D37">
      <w:pPr>
        <w:pStyle w:val="TAMainText"/>
      </w:pPr>
    </w:p>
    <w:p w14:paraId="3FFFC5F0" w14:textId="77777777" w:rsidR="0056262B" w:rsidRPr="00F5511A" w:rsidRDefault="002E290A" w:rsidP="00025D37">
      <w:pPr>
        <w:pStyle w:val="TAMainText"/>
      </w:pPr>
      <w:r w:rsidRPr="00F5511A">
        <w:t>CONCLUSIONS</w:t>
      </w:r>
    </w:p>
    <w:p w14:paraId="52595D61" w14:textId="30E58D3D" w:rsidR="0056262B" w:rsidRDefault="00E22113" w:rsidP="00025D37">
      <w:pPr>
        <w:pStyle w:val="TAMainText"/>
      </w:pPr>
      <w:r w:rsidRPr="00E22113">
        <w:t xml:space="preserve">In summary, we have introduced a 3D hybrid polymer composite in which 1D charged conducting polymer is blended with sulfur-embedded 2D conjugated porous polymer network. The in-situ formation of CTF backbone in the presence of elemental sulfur facilitated the homogeneous distributions of sulfur domains </w:t>
      </w:r>
      <w:r w:rsidR="00AF4F56">
        <w:t>alongside</w:t>
      </w:r>
      <w:r w:rsidRPr="00E22113">
        <w:t xml:space="preserve"> </w:t>
      </w:r>
      <w:proofErr w:type="spellStart"/>
      <w:r w:rsidRPr="00E22113">
        <w:t>cPpy</w:t>
      </w:r>
      <w:proofErr w:type="spellEnd"/>
      <w:r w:rsidRPr="00E22113">
        <w:t xml:space="preserve"> and also enabled high sulfur contents above 80% through the </w:t>
      </w:r>
      <w:proofErr w:type="spellStart"/>
      <w:r w:rsidRPr="00E22113">
        <w:t>perfluoroaryl</w:t>
      </w:r>
      <w:proofErr w:type="spellEnd"/>
      <w:r w:rsidRPr="00E22113">
        <w:rPr>
          <w:rFonts w:ascii="Cambria Math" w:hAnsi="Cambria Math" w:cs="Cambria Math"/>
        </w:rPr>
        <w:t>‐</w:t>
      </w:r>
      <w:r w:rsidRPr="00E22113">
        <w:t xml:space="preserve">elemental sulfur </w:t>
      </w:r>
      <w:proofErr w:type="spellStart"/>
      <w:r w:rsidRPr="00E22113">
        <w:t>SN</w:t>
      </w:r>
      <w:r w:rsidRPr="00BE40D7">
        <w:rPr>
          <w:vertAlign w:val="subscript"/>
        </w:rPr>
        <w:t>Ar</w:t>
      </w:r>
      <w:proofErr w:type="spellEnd"/>
      <w:r w:rsidRPr="00E22113">
        <w:t xml:space="preserve"> chemistry. Notably, cPpy incorporation presented not only high affinity cationic anchoring sites for Li-PS but also well-defined conducting pathways to expedite the Li-ion and electron transport. The homogenous distribution of </w:t>
      </w:r>
      <w:r w:rsidR="00AF4F56" w:rsidRPr="00E22113">
        <w:t xml:space="preserve">2.5 </w:t>
      </w:r>
      <w:proofErr w:type="spellStart"/>
      <w:r w:rsidR="00AF4F56" w:rsidRPr="00E22113">
        <w:t>wt</w:t>
      </w:r>
      <w:proofErr w:type="spellEnd"/>
      <w:r w:rsidR="00AF4F56" w:rsidRPr="00E22113">
        <w:t xml:space="preserve">% </w:t>
      </w:r>
      <w:proofErr w:type="spellStart"/>
      <w:r w:rsidRPr="00E22113">
        <w:t>cPpy</w:t>
      </w:r>
      <w:proofErr w:type="spellEnd"/>
      <w:r w:rsidRPr="00E22113">
        <w:t xml:space="preserve"> in the new framework were found to be optimal in realizing the efficient binding between soft acid N</w:t>
      </w:r>
      <w:r w:rsidRPr="00E22113">
        <w:rPr>
          <w:vertAlign w:val="superscript"/>
        </w:rPr>
        <w:t>+</w:t>
      </w:r>
      <w:r w:rsidRPr="00E22113">
        <w:t xml:space="preserve"> and soft base S</w:t>
      </w:r>
      <w:r w:rsidRPr="00CE7726">
        <w:rPr>
          <w:vertAlign w:val="subscript"/>
        </w:rPr>
        <w:t>n</w:t>
      </w:r>
      <w:r w:rsidRPr="00E22113">
        <w:rPr>
          <w:vertAlign w:val="superscript"/>
        </w:rPr>
        <w:t>2–</w:t>
      </w:r>
      <w:r w:rsidRPr="00E22113">
        <w:t>. In a broader context, this study reveals the potential of supramolecular chemistry in Li-S batteries, wherein the optimal binding affinity for polysulfide anions as well as the accessibility of the binding sites are critical in sustaining electrode frameworks and achieving long-term cyclability. In addition, the present strategy represents a major leap for organosulfur polymers suffering from low electronic/ionic conductivity at substantial sulfur mass loadings. Beyond sulfur cathodes, the findings in this study are generally applicable to post-LIB electrodes that undergo large volume change and unwanted dissolution of reaction products.</w:t>
      </w:r>
    </w:p>
    <w:p w14:paraId="4960403C" w14:textId="77777777" w:rsidR="00D24EE7" w:rsidRDefault="00D24EE7" w:rsidP="00025D37">
      <w:pPr>
        <w:pStyle w:val="TAMainText"/>
      </w:pPr>
    </w:p>
    <w:p w14:paraId="0C8D0A27" w14:textId="77777777" w:rsidR="00D24EE7" w:rsidRDefault="00D24EE7" w:rsidP="00025D37">
      <w:pPr>
        <w:pStyle w:val="TAMainText"/>
      </w:pPr>
    </w:p>
    <w:p w14:paraId="19CB312B" w14:textId="77777777" w:rsidR="00D24EE7" w:rsidRPr="00D11C7A" w:rsidRDefault="00D24EE7" w:rsidP="00025D37">
      <w:pPr>
        <w:pStyle w:val="TAMainText"/>
      </w:pPr>
    </w:p>
    <w:p w14:paraId="2329FE89" w14:textId="77777777" w:rsidR="00D24EE7" w:rsidRDefault="00D24EE7" w:rsidP="00D24EE7">
      <w:pPr>
        <w:pStyle w:val="AuthorInformationTitle"/>
      </w:pPr>
      <w:r>
        <w:t>ASSOCIATED CONTENT</w:t>
      </w:r>
    </w:p>
    <w:p w14:paraId="1D16A54A" w14:textId="77777777" w:rsidR="00D24EE7" w:rsidRDefault="00D24EE7" w:rsidP="00D24EE7">
      <w:pPr>
        <w:pStyle w:val="TESupportingInformation"/>
      </w:pPr>
      <w:r w:rsidRPr="00157E12">
        <w:rPr>
          <w:b/>
        </w:rPr>
        <w:t>Supporting Information</w:t>
      </w:r>
      <w:r>
        <w:t xml:space="preserve">. </w:t>
      </w:r>
    </w:p>
    <w:p w14:paraId="08CFC15B" w14:textId="77777777" w:rsidR="00A66EDD" w:rsidRDefault="003E5207" w:rsidP="00157E12">
      <w:pPr>
        <w:pStyle w:val="TESupportingInformation"/>
      </w:pPr>
      <w:r>
        <w:t xml:space="preserve">This material is available free of charge via the Internet at </w:t>
      </w:r>
      <w:r w:rsidRPr="003E5207">
        <w:t>http://pubs.acs.org</w:t>
      </w:r>
      <w:r>
        <w:t>.</w:t>
      </w:r>
      <w:r w:rsidR="00A66EDD">
        <w:t xml:space="preserve"> </w:t>
      </w:r>
    </w:p>
    <w:p w14:paraId="25397FC0" w14:textId="77777777" w:rsidR="007331FF" w:rsidRDefault="007331FF" w:rsidP="00835CBD">
      <w:pPr>
        <w:pStyle w:val="AuthorInformationTitle"/>
      </w:pPr>
      <w:r>
        <w:t>A</w:t>
      </w:r>
      <w:r w:rsidR="00835CBD">
        <w:t>UTHOR INFORMATION</w:t>
      </w:r>
    </w:p>
    <w:p w14:paraId="29E6AB5D" w14:textId="77777777" w:rsidR="00E75388" w:rsidRDefault="00101D1F" w:rsidP="005D2065">
      <w:pPr>
        <w:pStyle w:val="FAAuthorInfoSubtitle"/>
      </w:pPr>
      <w:r>
        <w:t>Corresponding Author</w:t>
      </w:r>
    </w:p>
    <w:p w14:paraId="1148D49F" w14:textId="77777777" w:rsidR="00564CA3" w:rsidRPr="00FF0C83" w:rsidRDefault="005327A4" w:rsidP="00873FAA">
      <w:pPr>
        <w:pStyle w:val="StyleFACorrespondingAuthorFootnote7pt"/>
      </w:pPr>
      <w:r w:rsidRPr="00FF0C83">
        <w:t xml:space="preserve">* </w:t>
      </w:r>
      <w:r w:rsidR="00564CA3" w:rsidRPr="00FF0C83">
        <w:t xml:space="preserve">E-mail: </w:t>
      </w:r>
      <w:hyperlink r:id="rId15" w:history="1">
        <w:r w:rsidR="00873FAA" w:rsidRPr="00FF0C83">
          <w:rPr>
            <w:rStyle w:val="a6"/>
          </w:rPr>
          <w:t>sychung@kaist.ac.kr</w:t>
        </w:r>
      </w:hyperlink>
      <w:r w:rsidR="00873FAA" w:rsidRPr="00FF0C83">
        <w:t xml:space="preserve"> </w:t>
      </w:r>
      <w:r w:rsidR="00564CA3" w:rsidRPr="00FF0C83">
        <w:t>(K.C.).</w:t>
      </w:r>
    </w:p>
    <w:p w14:paraId="32119654" w14:textId="77777777" w:rsidR="00564CA3" w:rsidRPr="00106EFF" w:rsidRDefault="00564CA3" w:rsidP="00873FAA">
      <w:pPr>
        <w:pStyle w:val="StyleFACorrespondingAuthorFootnote7pt"/>
        <w:rPr>
          <w:lang w:val="fr-FR"/>
        </w:rPr>
      </w:pPr>
      <w:r w:rsidRPr="00106EFF">
        <w:rPr>
          <w:lang w:val="fr-FR"/>
        </w:rPr>
        <w:t xml:space="preserve">* </w:t>
      </w:r>
      <w:proofErr w:type="gramStart"/>
      <w:r w:rsidRPr="00106EFF">
        <w:rPr>
          <w:lang w:val="fr-FR"/>
        </w:rPr>
        <w:t>E-mail:</w:t>
      </w:r>
      <w:proofErr w:type="gramEnd"/>
      <w:r w:rsidRPr="00106EFF">
        <w:rPr>
          <w:lang w:val="fr-FR"/>
        </w:rPr>
        <w:t xml:space="preserve"> </w:t>
      </w:r>
      <w:hyperlink r:id="rId16" w:history="1">
        <w:r w:rsidR="00106EFF" w:rsidRPr="00F67A6F">
          <w:rPr>
            <w:rStyle w:val="a6"/>
            <w:lang w:val="fr-FR"/>
          </w:rPr>
          <w:t>ali.coskun@unifr.ch</w:t>
        </w:r>
      </w:hyperlink>
      <w:r w:rsidRPr="00106EFF">
        <w:rPr>
          <w:lang w:val="fr-FR"/>
        </w:rPr>
        <w:t xml:space="preserve"> (</w:t>
      </w:r>
      <w:r w:rsidR="00873FAA">
        <w:rPr>
          <w:lang w:val="fr-FR"/>
        </w:rPr>
        <w:t>A</w:t>
      </w:r>
      <w:r w:rsidRPr="00106EFF">
        <w:rPr>
          <w:lang w:val="fr-FR"/>
        </w:rPr>
        <w:t>.</w:t>
      </w:r>
      <w:r w:rsidR="00873FAA">
        <w:rPr>
          <w:lang w:val="fr-FR"/>
        </w:rPr>
        <w:t>C</w:t>
      </w:r>
      <w:r w:rsidRPr="00106EFF">
        <w:rPr>
          <w:lang w:val="fr-FR"/>
        </w:rPr>
        <w:t>.).</w:t>
      </w:r>
    </w:p>
    <w:p w14:paraId="67C0E1B1" w14:textId="77777777" w:rsidR="00564CA3" w:rsidRDefault="00564CA3" w:rsidP="00564CA3">
      <w:pPr>
        <w:pStyle w:val="StyleFACorrespondingAuthorFootnote7pt"/>
      </w:pPr>
      <w:r w:rsidRPr="003E5207">
        <w:t xml:space="preserve">* </w:t>
      </w:r>
      <w:r>
        <w:t xml:space="preserve">E-mail: </w:t>
      </w:r>
      <w:hyperlink r:id="rId17" w:history="1">
        <w:r w:rsidRPr="000D2628">
          <w:rPr>
            <w:rStyle w:val="a6"/>
          </w:rPr>
          <w:t>jangwookchoi@snu.ac.kr</w:t>
        </w:r>
      </w:hyperlink>
      <w:r>
        <w:t xml:space="preserve"> (J.W.C.).</w:t>
      </w:r>
    </w:p>
    <w:p w14:paraId="6D9F2096" w14:textId="77777777" w:rsidR="005327A4" w:rsidRDefault="008D567C" w:rsidP="005D2065">
      <w:pPr>
        <w:pStyle w:val="FAAuthorInfoSubtitle"/>
      </w:pPr>
      <w:r>
        <w:t>Author Contributions</w:t>
      </w:r>
    </w:p>
    <w:p w14:paraId="0CB1F9CE" w14:textId="77777777" w:rsidR="005327A4" w:rsidRDefault="00B71491" w:rsidP="00873FAA">
      <w:pPr>
        <w:pStyle w:val="StyleFACorrespondingAuthorFootnote7pt"/>
      </w:pPr>
      <w:r>
        <w:rPr>
          <w:rFonts w:ascii="Times New Roman" w:hAnsi="Times New Roman"/>
        </w:rPr>
        <w:t>‡</w:t>
      </w:r>
      <w:r w:rsidR="0057548D" w:rsidRPr="0057548D">
        <w:rPr>
          <w:rFonts w:eastAsia="맑은 고딕"/>
          <w:color w:val="333333"/>
          <w:shd w:val="clear" w:color="auto" w:fill="FFFFFF"/>
          <w:lang w:eastAsia="ko-KR"/>
        </w:rPr>
        <w:t xml:space="preserve"> </w:t>
      </w:r>
      <w:r w:rsidR="00873FAA" w:rsidRPr="00873FAA">
        <w:rPr>
          <w:rFonts w:eastAsia="맑은 고딕"/>
          <w:color w:val="333333"/>
          <w:shd w:val="clear" w:color="auto" w:fill="FFFFFF"/>
          <w:lang w:eastAsia="ko-KR"/>
        </w:rPr>
        <w:t>J. Kim and A. Elabd contributed equally to this work</w:t>
      </w:r>
      <w:r>
        <w:t>.</w:t>
      </w:r>
    </w:p>
    <w:p w14:paraId="22C9091D" w14:textId="77777777" w:rsidR="008D567C" w:rsidRDefault="008D567C" w:rsidP="003E5207">
      <w:pPr>
        <w:pStyle w:val="StyleFACorrespondingAuthorFootnote7pt"/>
      </w:pPr>
      <w:r>
        <w:br/>
      </w:r>
      <w:r w:rsidRPr="000D2D84">
        <w:rPr>
          <w:rStyle w:val="FAAuthorInfoSubtitleChar"/>
        </w:rPr>
        <w:t>Notes</w:t>
      </w:r>
      <w:r w:rsidRPr="000D2D84">
        <w:rPr>
          <w:rStyle w:val="FAAuthorInfoSubtitleChar"/>
        </w:rPr>
        <w:br/>
      </w:r>
      <w:r w:rsidR="0057548D" w:rsidRPr="00571B70">
        <w:t>The authors declare no competing financial interest</w:t>
      </w:r>
      <w:r w:rsidR="0057548D" w:rsidRPr="008D567C">
        <w:t xml:space="preserve"> </w:t>
      </w:r>
    </w:p>
    <w:p w14:paraId="156F56A2" w14:textId="77777777" w:rsidR="007331FF" w:rsidRDefault="007331FF" w:rsidP="007331FF">
      <w:pPr>
        <w:pStyle w:val="TDAckTitle"/>
      </w:pPr>
      <w:r w:rsidRPr="00A71C00">
        <w:t>ACKNOWLEDGMENT</w:t>
      </w:r>
      <w:r w:rsidRPr="00BE533F">
        <w:t xml:space="preserve"> </w:t>
      </w:r>
    </w:p>
    <w:p w14:paraId="6B5B480F" w14:textId="31AF0784" w:rsidR="007331FF" w:rsidRDefault="00E22113" w:rsidP="00E22113">
      <w:pPr>
        <w:pStyle w:val="TDAcknowledgments"/>
      </w:pPr>
      <w:r w:rsidRPr="00E22113">
        <w:rPr>
          <w:color w:val="333333"/>
          <w:shd w:val="clear" w:color="auto" w:fill="FFFFFF"/>
        </w:rPr>
        <w:t>A.C. acknowledges the support from the Swiss National Science Foundation (SNF) for funding of this research (200021-188572). J. W. C.  acknowledges financial support from a National Research Foundation of Korea grant (NRF-2018R1A2A1A19023146, NRF-2018M1A2A2063340</w:t>
      </w:r>
      <w:r w:rsidR="009F718B">
        <w:rPr>
          <w:color w:val="333333"/>
          <w:shd w:val="clear" w:color="auto" w:fill="FFFFFF"/>
        </w:rPr>
        <w:t>,</w:t>
      </w:r>
      <w:r w:rsidRPr="00E22113">
        <w:rPr>
          <w:color w:val="333333"/>
          <w:shd w:val="clear" w:color="auto" w:fill="FFFFFF"/>
        </w:rPr>
        <w:t xml:space="preserve"> and NRF-2017M1A2A2044504)</w:t>
      </w:r>
      <w:r w:rsidR="00425212" w:rsidRPr="00425212">
        <w:rPr>
          <w:color w:val="333333"/>
          <w:shd w:val="clear" w:color="auto" w:fill="FFFFFF"/>
        </w:rPr>
        <w:t xml:space="preserve"> and generous support from Institute of Engineering Research (IER) at Seoul National University.</w:t>
      </w:r>
    </w:p>
    <w:p w14:paraId="27E86508" w14:textId="77777777" w:rsidR="00101D1F" w:rsidRPr="00101D1F" w:rsidRDefault="00101D1F" w:rsidP="00101D1F">
      <w:pPr>
        <w:pStyle w:val="TDAckTitle"/>
      </w:pPr>
      <w:r>
        <w:t>REFERENCES</w:t>
      </w:r>
    </w:p>
    <w:p w14:paraId="1978A7DE" w14:textId="114715BA" w:rsidR="001801D1" w:rsidRPr="00FF0C83" w:rsidRDefault="001801D1" w:rsidP="001801D1">
      <w:pPr>
        <w:pStyle w:val="TFReferencesSection"/>
        <w:rPr>
          <w:lang w:val="de-CH"/>
        </w:rPr>
      </w:pPr>
      <w:r w:rsidRPr="001801D1">
        <w:fldChar w:fldCharType="begin"/>
      </w:r>
      <w:r w:rsidRPr="001801D1">
        <w:instrText xml:space="preserve"> ADDIN EN.REFLIST </w:instrText>
      </w:r>
      <w:r w:rsidRPr="001801D1">
        <w:fldChar w:fldCharType="separate"/>
      </w:r>
      <w:r w:rsidRPr="001801D1">
        <w:t xml:space="preserve"> (1) Peramunage, D.; Licht, S. A solid sulfur cathode for aqueous batteries. </w:t>
      </w:r>
      <w:r w:rsidRPr="00FF0C83">
        <w:rPr>
          <w:i/>
          <w:lang w:val="de-CH"/>
        </w:rPr>
        <w:t xml:space="preserve">Sci. </w:t>
      </w:r>
      <w:r w:rsidRPr="00FF0C83">
        <w:rPr>
          <w:b/>
          <w:lang w:val="de-CH"/>
        </w:rPr>
        <w:t>1993,</w:t>
      </w:r>
      <w:r w:rsidRPr="00FF0C83">
        <w:rPr>
          <w:lang w:val="de-CH"/>
        </w:rPr>
        <w:t xml:space="preserve"> </w:t>
      </w:r>
      <w:r w:rsidRPr="00FF0C83">
        <w:rPr>
          <w:i/>
          <w:lang w:val="de-CH"/>
        </w:rPr>
        <w:t>261</w:t>
      </w:r>
      <w:r w:rsidRPr="00FF0C83">
        <w:rPr>
          <w:lang w:val="de-CH"/>
        </w:rPr>
        <w:t>, 1029-1032.</w:t>
      </w:r>
    </w:p>
    <w:p w14:paraId="44CCBFD2" w14:textId="77777777" w:rsidR="001801D1" w:rsidRPr="001801D1" w:rsidRDefault="001801D1" w:rsidP="001801D1">
      <w:pPr>
        <w:pStyle w:val="TFReferencesSection"/>
      </w:pPr>
      <w:r w:rsidRPr="00FF0C83">
        <w:rPr>
          <w:lang w:val="de-CH"/>
        </w:rPr>
        <w:t xml:space="preserve">(2) Manthiram, A.; Fu, Y.; Chung, S.-H.; Zu, C.; Su, Y.-S. Rechargeable lithium–sulfur batteries. </w:t>
      </w:r>
      <w:r w:rsidRPr="001801D1">
        <w:rPr>
          <w:i/>
        </w:rPr>
        <w:t xml:space="preserve">Chem. Rev. </w:t>
      </w:r>
      <w:r w:rsidRPr="001801D1">
        <w:rPr>
          <w:b/>
        </w:rPr>
        <w:t>2014,</w:t>
      </w:r>
      <w:r w:rsidRPr="001801D1">
        <w:t xml:space="preserve"> </w:t>
      </w:r>
      <w:r w:rsidRPr="001801D1">
        <w:rPr>
          <w:i/>
        </w:rPr>
        <w:t>114</w:t>
      </w:r>
      <w:r w:rsidRPr="001801D1">
        <w:t>, 11751-11787.</w:t>
      </w:r>
    </w:p>
    <w:p w14:paraId="7DE7C2C3" w14:textId="77777777" w:rsidR="001801D1" w:rsidRPr="001801D1" w:rsidRDefault="001801D1" w:rsidP="001801D1">
      <w:pPr>
        <w:pStyle w:val="TFReferencesSection"/>
      </w:pPr>
      <w:r w:rsidRPr="001801D1">
        <w:t xml:space="preserve">(3) Cleaver, T.; Kovacik, P.; Marinescu, M.; Zhang, T.; Offer, G. Perspective—commercializing lithium sulfur batteries: are we doing the right research? </w:t>
      </w:r>
      <w:r w:rsidRPr="001801D1">
        <w:rPr>
          <w:i/>
        </w:rPr>
        <w:t xml:space="preserve">J. Electrochem. Soc. </w:t>
      </w:r>
      <w:r w:rsidRPr="001801D1">
        <w:rPr>
          <w:b/>
        </w:rPr>
        <w:t>2018,</w:t>
      </w:r>
      <w:r w:rsidRPr="001801D1">
        <w:t xml:space="preserve"> </w:t>
      </w:r>
      <w:r w:rsidRPr="001801D1">
        <w:rPr>
          <w:i/>
        </w:rPr>
        <w:t>165</w:t>
      </w:r>
      <w:r w:rsidRPr="001801D1">
        <w:t>, A6029-A6033.</w:t>
      </w:r>
    </w:p>
    <w:p w14:paraId="3F27AD20" w14:textId="77777777" w:rsidR="001801D1" w:rsidRPr="001801D1" w:rsidRDefault="001801D1" w:rsidP="001801D1">
      <w:pPr>
        <w:pStyle w:val="TFReferencesSection"/>
      </w:pPr>
      <w:r w:rsidRPr="001801D1">
        <w:t xml:space="preserve">(4) Choi, J. W.; Aurbach, D. Promise and reality of post-lithium-ion batteries with high energy densities. </w:t>
      </w:r>
      <w:r w:rsidRPr="001801D1">
        <w:rPr>
          <w:i/>
        </w:rPr>
        <w:t xml:space="preserve">Nat. Rev. Mater. </w:t>
      </w:r>
      <w:r w:rsidRPr="001801D1">
        <w:rPr>
          <w:b/>
        </w:rPr>
        <w:t>2016,</w:t>
      </w:r>
      <w:r w:rsidRPr="001801D1">
        <w:t xml:space="preserve"> </w:t>
      </w:r>
      <w:r w:rsidRPr="001801D1">
        <w:rPr>
          <w:i/>
        </w:rPr>
        <w:t>1</w:t>
      </w:r>
      <w:r w:rsidRPr="001801D1">
        <w:t>, 16013.</w:t>
      </w:r>
    </w:p>
    <w:p w14:paraId="702968E2" w14:textId="77777777" w:rsidR="001801D1" w:rsidRPr="001801D1" w:rsidRDefault="001801D1" w:rsidP="001801D1">
      <w:pPr>
        <w:pStyle w:val="TFReferencesSection"/>
      </w:pPr>
      <w:r w:rsidRPr="001801D1">
        <w:t xml:space="preserve">(5) Dong, C.; Gao, W.; Jin, B.; Jiang, Q. Advances in cathode materials for high-performance lithium-sulfur batteries. </w:t>
      </w:r>
      <w:r w:rsidRPr="001801D1">
        <w:rPr>
          <w:i/>
        </w:rPr>
        <w:t xml:space="preserve">iScience </w:t>
      </w:r>
      <w:r w:rsidRPr="001801D1">
        <w:rPr>
          <w:b/>
        </w:rPr>
        <w:t>2018</w:t>
      </w:r>
      <w:r w:rsidRPr="001801D1">
        <w:t>.</w:t>
      </w:r>
    </w:p>
    <w:p w14:paraId="7FA99225" w14:textId="77777777" w:rsidR="001801D1" w:rsidRPr="001801D1" w:rsidRDefault="001801D1" w:rsidP="001801D1">
      <w:pPr>
        <w:pStyle w:val="TFReferencesSection"/>
      </w:pPr>
      <w:r w:rsidRPr="001801D1">
        <w:t xml:space="preserve">(6) Zhu, W.; Paolella, A.; Kim, C.-S.; Liu, D.; Feng, Z.; Gagnon, C.; Trottier, J.; Vijh, A.; Guerfi, A.; Mauger, A. Investigation of the reaction mechanism of lithium sulfur batteries in different electrolyte systems by in situ Raman spectroscopy and in situ X-ray diffraction. </w:t>
      </w:r>
      <w:r w:rsidRPr="001801D1">
        <w:rPr>
          <w:i/>
        </w:rPr>
        <w:t xml:space="preserve">Sustain. Energy Fuels </w:t>
      </w:r>
      <w:r w:rsidRPr="001801D1">
        <w:rPr>
          <w:b/>
        </w:rPr>
        <w:t>2017,</w:t>
      </w:r>
      <w:r w:rsidRPr="001801D1">
        <w:t xml:space="preserve"> </w:t>
      </w:r>
      <w:r w:rsidRPr="001801D1">
        <w:rPr>
          <w:i/>
        </w:rPr>
        <w:t>1</w:t>
      </w:r>
      <w:r w:rsidRPr="001801D1">
        <w:t>, 737-747.</w:t>
      </w:r>
    </w:p>
    <w:p w14:paraId="275892F3" w14:textId="1C484911" w:rsidR="001801D1" w:rsidRDefault="001801D1" w:rsidP="001801D1">
      <w:pPr>
        <w:pStyle w:val="TFReferencesSection"/>
      </w:pPr>
      <w:r w:rsidRPr="001801D1">
        <w:t xml:space="preserve">(7) Wild, M.; O'neill, L.; Zhang, T.; Purkayastha, R.; Minton, G.; Marinescu, M.; Offer, G. Lithium sulfur batteries, a mechanistic review. </w:t>
      </w:r>
      <w:r w:rsidRPr="001801D1">
        <w:rPr>
          <w:i/>
        </w:rPr>
        <w:t xml:space="preserve">Energy Environ. Sci. </w:t>
      </w:r>
      <w:r w:rsidRPr="001801D1">
        <w:rPr>
          <w:b/>
        </w:rPr>
        <w:t>2015,</w:t>
      </w:r>
      <w:r w:rsidRPr="001801D1">
        <w:t xml:space="preserve"> </w:t>
      </w:r>
      <w:r w:rsidRPr="001801D1">
        <w:rPr>
          <w:i/>
        </w:rPr>
        <w:t>8</w:t>
      </w:r>
      <w:r w:rsidRPr="001801D1">
        <w:t>, 3477-3494.</w:t>
      </w:r>
    </w:p>
    <w:p w14:paraId="302E2BF8" w14:textId="3F4C00EA" w:rsidR="00B8531C" w:rsidRPr="00B02909" w:rsidRDefault="00B8531C" w:rsidP="00B8531C">
      <w:pPr>
        <w:pStyle w:val="TFReferencesSection"/>
      </w:pPr>
      <w:r w:rsidRPr="00E817F6">
        <w:rPr>
          <w:highlight w:val="yellow"/>
        </w:rPr>
        <w:t>(</w:t>
      </w:r>
      <w:r>
        <w:rPr>
          <w:highlight w:val="yellow"/>
        </w:rPr>
        <w:t>8</w:t>
      </w:r>
      <w:r w:rsidRPr="00E817F6">
        <w:rPr>
          <w:highlight w:val="yellow"/>
        </w:rPr>
        <w:t xml:space="preserve">) Song, Y.; Cai, W.; Kong, L.; Cai, J.; Zhang, Q.; Sun, J. Rationalizing Electrocatalysis of Li–S Chemistry by Mediator Design: Progress and Prospects. </w:t>
      </w:r>
      <w:r w:rsidRPr="00E817F6">
        <w:rPr>
          <w:i/>
          <w:highlight w:val="yellow"/>
        </w:rPr>
        <w:t xml:space="preserve">Adv. Energy Mater. </w:t>
      </w:r>
      <w:r w:rsidRPr="00E817F6">
        <w:rPr>
          <w:b/>
          <w:highlight w:val="yellow"/>
        </w:rPr>
        <w:t>2020</w:t>
      </w:r>
      <w:r w:rsidRPr="00E817F6">
        <w:rPr>
          <w:highlight w:val="yellow"/>
        </w:rPr>
        <w:t xml:space="preserve">, </w:t>
      </w:r>
      <w:r w:rsidRPr="00E817F6">
        <w:rPr>
          <w:i/>
          <w:highlight w:val="yellow"/>
        </w:rPr>
        <w:t>10</w:t>
      </w:r>
      <w:r w:rsidRPr="00E817F6">
        <w:rPr>
          <w:highlight w:val="yellow"/>
        </w:rPr>
        <w:t>, 1901075.</w:t>
      </w:r>
    </w:p>
    <w:p w14:paraId="0C0A3159" w14:textId="61CBE4ED" w:rsidR="001801D1" w:rsidRPr="001801D1" w:rsidRDefault="001801D1" w:rsidP="001801D1">
      <w:pPr>
        <w:pStyle w:val="TFReferencesSection"/>
      </w:pPr>
      <w:r w:rsidRPr="001801D1">
        <w:t>(</w:t>
      </w:r>
      <w:r w:rsidR="00B8531C">
        <w:t>9</w:t>
      </w:r>
      <w:r w:rsidRPr="001801D1">
        <w:t xml:space="preserve">) Zhang, C.; Wu, H. B.; Yuan, C.; Guo, Z.; Lou, X. W. Confining sulfur in double‐shelled hollow carbon spheres for lithium–sulfur batteries. </w:t>
      </w:r>
      <w:r w:rsidRPr="001801D1">
        <w:rPr>
          <w:i/>
        </w:rPr>
        <w:t xml:space="preserve">Angew. Chem. Int. Ed. </w:t>
      </w:r>
      <w:r w:rsidRPr="001801D1">
        <w:rPr>
          <w:b/>
        </w:rPr>
        <w:t>2012,</w:t>
      </w:r>
      <w:r w:rsidRPr="001801D1">
        <w:t xml:space="preserve"> </w:t>
      </w:r>
      <w:r w:rsidRPr="001801D1">
        <w:rPr>
          <w:i/>
        </w:rPr>
        <w:t>51</w:t>
      </w:r>
      <w:r w:rsidRPr="001801D1">
        <w:t>, 9592-9595.</w:t>
      </w:r>
    </w:p>
    <w:p w14:paraId="7E13D83A" w14:textId="661A42B8" w:rsidR="001801D1" w:rsidRPr="001801D1" w:rsidRDefault="001801D1" w:rsidP="001801D1">
      <w:pPr>
        <w:pStyle w:val="TFReferencesSection"/>
      </w:pPr>
      <w:r w:rsidRPr="001801D1">
        <w:t>(</w:t>
      </w:r>
      <w:r w:rsidR="00B8531C">
        <w:t>10</w:t>
      </w:r>
      <w:r w:rsidRPr="001801D1">
        <w:t xml:space="preserve">) Guo, J.; Xu, Y.; Wang, C. Sulfur-impregnated disordered carbon nanotubes cathode for lithium–sulfur batteries. </w:t>
      </w:r>
      <w:r w:rsidRPr="001801D1">
        <w:rPr>
          <w:i/>
        </w:rPr>
        <w:t xml:space="preserve">Nano Lett. </w:t>
      </w:r>
      <w:r w:rsidRPr="001801D1">
        <w:rPr>
          <w:b/>
        </w:rPr>
        <w:t>2011,</w:t>
      </w:r>
      <w:r w:rsidRPr="001801D1">
        <w:t xml:space="preserve"> </w:t>
      </w:r>
      <w:r w:rsidRPr="001801D1">
        <w:rPr>
          <w:i/>
        </w:rPr>
        <w:t>11</w:t>
      </w:r>
      <w:r w:rsidRPr="001801D1">
        <w:t>, 4288-4294.</w:t>
      </w:r>
    </w:p>
    <w:p w14:paraId="5A5B326A" w14:textId="187E78E5" w:rsidR="001801D1" w:rsidRPr="001801D1" w:rsidRDefault="001801D1" w:rsidP="001801D1">
      <w:pPr>
        <w:pStyle w:val="TFReferencesSection"/>
      </w:pPr>
      <w:r w:rsidRPr="001801D1">
        <w:t>(1</w:t>
      </w:r>
      <w:r w:rsidR="00B8531C">
        <w:t>1</w:t>
      </w:r>
      <w:r w:rsidRPr="001801D1">
        <w:t xml:space="preserve">) Ji, L.; Rao, M.; Aloni, S.; Wang, L.; Cairns, E. J.; Zhang, Y. Porous carbon nanofiber–sulfur composite electrodes for lithium/sulfur cells. </w:t>
      </w:r>
      <w:r w:rsidRPr="001801D1">
        <w:rPr>
          <w:i/>
        </w:rPr>
        <w:t xml:space="preserve">Energy Environ. Sci. </w:t>
      </w:r>
      <w:r w:rsidRPr="001801D1">
        <w:rPr>
          <w:b/>
        </w:rPr>
        <w:t>2011,</w:t>
      </w:r>
      <w:r w:rsidRPr="001801D1">
        <w:t xml:space="preserve"> </w:t>
      </w:r>
      <w:r w:rsidRPr="001801D1">
        <w:rPr>
          <w:i/>
        </w:rPr>
        <w:t>4</w:t>
      </w:r>
      <w:r w:rsidRPr="001801D1">
        <w:t>, 5053-5059.</w:t>
      </w:r>
    </w:p>
    <w:p w14:paraId="77A9E465" w14:textId="46F099D2" w:rsidR="001801D1" w:rsidRPr="001801D1" w:rsidRDefault="001801D1" w:rsidP="001801D1">
      <w:pPr>
        <w:pStyle w:val="TFReferencesSection"/>
      </w:pPr>
      <w:r w:rsidRPr="001801D1">
        <w:t>(1</w:t>
      </w:r>
      <w:r w:rsidR="00B8531C">
        <w:t>2</w:t>
      </w:r>
      <w:r w:rsidRPr="001801D1">
        <w:t xml:space="preserve">) Nan, C.; Lin, Z.; Liao, H.; Song, M.-K.; Li, Y.; Cairns, E. J. Durable carbon-coated Li2S core–shell spheres for high performance lithium/sulfur cells. </w:t>
      </w:r>
      <w:r w:rsidRPr="001801D1">
        <w:rPr>
          <w:i/>
        </w:rPr>
        <w:t xml:space="preserve">J. Am. Chem. Soc. </w:t>
      </w:r>
      <w:r w:rsidRPr="001801D1">
        <w:rPr>
          <w:b/>
        </w:rPr>
        <w:t>2014,</w:t>
      </w:r>
      <w:r w:rsidRPr="001801D1">
        <w:t xml:space="preserve"> </w:t>
      </w:r>
      <w:r w:rsidRPr="001801D1">
        <w:rPr>
          <w:i/>
        </w:rPr>
        <w:t>136</w:t>
      </w:r>
      <w:r w:rsidRPr="001801D1">
        <w:t>, 4659-4663.</w:t>
      </w:r>
    </w:p>
    <w:p w14:paraId="4BABF95E" w14:textId="1749E2B6" w:rsidR="001801D1" w:rsidRPr="001801D1" w:rsidRDefault="001801D1" w:rsidP="001801D1">
      <w:pPr>
        <w:pStyle w:val="TFReferencesSection"/>
      </w:pPr>
      <w:r w:rsidRPr="001801D1">
        <w:t>(1</w:t>
      </w:r>
      <w:r w:rsidR="00B8531C">
        <w:t>3</w:t>
      </w:r>
      <w:r w:rsidRPr="001801D1">
        <w:t xml:space="preserve">) Li, B.; Li, S.; Liu, J.; Wang, B.; Yang, S. Vertically aligned sulfur–graphene nanowalls on substrates for ultrafast lithium–sulfur batteries. </w:t>
      </w:r>
      <w:r w:rsidRPr="001801D1">
        <w:rPr>
          <w:i/>
        </w:rPr>
        <w:t xml:space="preserve">Nano Lett. </w:t>
      </w:r>
      <w:r w:rsidRPr="001801D1">
        <w:rPr>
          <w:b/>
        </w:rPr>
        <w:t>2015,</w:t>
      </w:r>
      <w:r w:rsidRPr="001801D1">
        <w:t xml:space="preserve"> </w:t>
      </w:r>
      <w:r w:rsidRPr="001801D1">
        <w:rPr>
          <w:i/>
        </w:rPr>
        <w:t>15</w:t>
      </w:r>
      <w:r w:rsidRPr="001801D1">
        <w:t>, 3073-3079.</w:t>
      </w:r>
    </w:p>
    <w:p w14:paraId="1F8A5C99" w14:textId="088B164B" w:rsidR="001801D1" w:rsidRPr="001801D1" w:rsidRDefault="001801D1" w:rsidP="001801D1">
      <w:pPr>
        <w:pStyle w:val="TFReferencesSection"/>
      </w:pPr>
      <w:r w:rsidRPr="001801D1">
        <w:lastRenderedPageBreak/>
        <w:t>(1</w:t>
      </w:r>
      <w:r w:rsidR="00B8531C">
        <w:t>4</w:t>
      </w:r>
      <w:r w:rsidRPr="001801D1">
        <w:t xml:space="preserve">) Qiu, Y.; Li, W.; Zhao, W.; Li, G.; Hou, Y.; Liu, M.; Zhou, L.; Ye, F.; Li, H.; Wei, Z. High-rate, ultralong cycle-life lithium/sulfur batteries enabled by nitrogen-doped graphene. </w:t>
      </w:r>
      <w:r w:rsidRPr="001801D1">
        <w:rPr>
          <w:i/>
        </w:rPr>
        <w:t xml:space="preserve">Nano Lett. </w:t>
      </w:r>
      <w:r w:rsidRPr="001801D1">
        <w:rPr>
          <w:b/>
        </w:rPr>
        <w:t>2014,</w:t>
      </w:r>
      <w:r w:rsidRPr="001801D1">
        <w:t xml:space="preserve"> </w:t>
      </w:r>
      <w:r w:rsidRPr="001801D1">
        <w:rPr>
          <w:i/>
        </w:rPr>
        <w:t>14</w:t>
      </w:r>
      <w:r w:rsidRPr="001801D1">
        <w:t>, 4821-4827.</w:t>
      </w:r>
    </w:p>
    <w:p w14:paraId="1A0F1E12" w14:textId="5AE2FB3C" w:rsidR="001801D1" w:rsidRPr="001801D1" w:rsidRDefault="001801D1" w:rsidP="001801D1">
      <w:pPr>
        <w:pStyle w:val="TFReferencesSection"/>
      </w:pPr>
      <w:r w:rsidRPr="001801D1">
        <w:t>(1</w:t>
      </w:r>
      <w:r w:rsidR="00B8531C">
        <w:t>5</w:t>
      </w:r>
      <w:r w:rsidRPr="001801D1">
        <w:t xml:space="preserve">) Zhou, G.; Pei, S.; Li, L.; Wang, D. W.; Wang, S.; Huang, K.; Yin, L. C.; Li, F.; Cheng, H. M. A graphene–pure‐sulfur sandwich structure for ultrafast, long‐life lithium–sulfur batteries. </w:t>
      </w:r>
      <w:r w:rsidRPr="001801D1">
        <w:rPr>
          <w:i/>
        </w:rPr>
        <w:t xml:space="preserve">Adv. Mater. </w:t>
      </w:r>
      <w:r w:rsidRPr="001801D1">
        <w:rPr>
          <w:b/>
        </w:rPr>
        <w:t>2014,</w:t>
      </w:r>
      <w:r w:rsidRPr="001801D1">
        <w:t xml:space="preserve"> </w:t>
      </w:r>
      <w:r w:rsidRPr="001801D1">
        <w:rPr>
          <w:i/>
        </w:rPr>
        <w:t>26</w:t>
      </w:r>
      <w:r w:rsidRPr="001801D1">
        <w:t>, 625-631.</w:t>
      </w:r>
    </w:p>
    <w:p w14:paraId="51014CC3" w14:textId="50CD0B48" w:rsidR="001801D1" w:rsidRPr="001801D1" w:rsidRDefault="001801D1" w:rsidP="001801D1">
      <w:pPr>
        <w:pStyle w:val="TFReferencesSection"/>
      </w:pPr>
      <w:r w:rsidRPr="001801D1">
        <w:t>(1</w:t>
      </w:r>
      <w:r w:rsidR="00B8531C">
        <w:t>6</w:t>
      </w:r>
      <w:r w:rsidRPr="001801D1">
        <w:t xml:space="preserve">) Park, J.; Kim, E. T.; Kim, C.; Pyun, J.; Jang, H.-S.; Shin, J.; Choi, J. W.; Char, K.; Sung, Y.-E. The Importance of Confined Sulfur Nanodomains and Adjoining Electron Conductive Pathways in Subreaction Regimes of Li-S Batteries. </w:t>
      </w:r>
      <w:r w:rsidRPr="001801D1">
        <w:rPr>
          <w:i/>
        </w:rPr>
        <w:t>Adv. Energy Mater</w:t>
      </w:r>
      <w:r w:rsidRPr="001801D1">
        <w:t>.</w:t>
      </w:r>
      <w:r w:rsidRPr="001801D1">
        <w:rPr>
          <w:i/>
        </w:rPr>
        <w:t xml:space="preserve"> </w:t>
      </w:r>
      <w:r w:rsidRPr="001801D1">
        <w:rPr>
          <w:b/>
        </w:rPr>
        <w:t>2017,</w:t>
      </w:r>
      <w:r w:rsidRPr="001801D1">
        <w:t xml:space="preserve"> </w:t>
      </w:r>
      <w:r w:rsidRPr="001801D1">
        <w:rPr>
          <w:i/>
        </w:rPr>
        <w:t>7</w:t>
      </w:r>
      <w:r w:rsidRPr="001801D1">
        <w:t>, 1700074.</w:t>
      </w:r>
    </w:p>
    <w:p w14:paraId="39EAC5D5" w14:textId="6536A4DE" w:rsidR="001801D1" w:rsidRPr="001801D1" w:rsidRDefault="001801D1" w:rsidP="001801D1">
      <w:pPr>
        <w:pStyle w:val="TFReferencesSection"/>
      </w:pPr>
      <w:r w:rsidRPr="001801D1">
        <w:t>(1</w:t>
      </w:r>
      <w:r w:rsidR="00B8531C">
        <w:t>7</w:t>
      </w:r>
      <w:r w:rsidRPr="001801D1">
        <w:t xml:space="preserve">) Liao, H.; Wang, H.; Ding, H.; Meng, X.; Xu, H.; Wang, B.; Ai, X.; Wang, C. A 2D porous porphyrin-based covalent organic framework for sulfur storage in lithium–sulfur batteries. </w:t>
      </w:r>
      <w:r w:rsidR="00B855EB" w:rsidRPr="001801D1">
        <w:rPr>
          <w:i/>
        </w:rPr>
        <w:t>J. Mater. Chem. A</w:t>
      </w:r>
      <w:r w:rsidR="00B855EB" w:rsidRPr="001801D1" w:rsidDel="00B855EB">
        <w:rPr>
          <w:i/>
        </w:rPr>
        <w:t xml:space="preserve"> </w:t>
      </w:r>
      <w:r w:rsidRPr="001801D1">
        <w:rPr>
          <w:i/>
        </w:rPr>
        <w:t xml:space="preserve"> </w:t>
      </w:r>
      <w:r w:rsidRPr="001801D1">
        <w:rPr>
          <w:b/>
        </w:rPr>
        <w:t>2016,</w:t>
      </w:r>
      <w:r w:rsidRPr="001801D1">
        <w:t xml:space="preserve"> </w:t>
      </w:r>
      <w:r w:rsidRPr="001801D1">
        <w:rPr>
          <w:i/>
        </w:rPr>
        <w:t>4</w:t>
      </w:r>
      <w:r w:rsidRPr="001801D1">
        <w:t>, 7416-7421.</w:t>
      </w:r>
    </w:p>
    <w:p w14:paraId="7EB452EB" w14:textId="7C5FBF12" w:rsidR="001801D1" w:rsidRPr="001801D1" w:rsidRDefault="001801D1" w:rsidP="001801D1">
      <w:pPr>
        <w:pStyle w:val="TFReferencesSection"/>
      </w:pPr>
      <w:r w:rsidRPr="001801D1">
        <w:t>(1</w:t>
      </w:r>
      <w:r w:rsidR="00B8531C">
        <w:t>8</w:t>
      </w:r>
      <w:r w:rsidRPr="001801D1">
        <w:t xml:space="preserve">) Meng, Y.; Lin, G.; Ding, H.; Liao, H.; Wang, C. Impregnation of sulfur into a 2D pyrene-based covalent organic framework for high-rate lithium–sulfur batteries. </w:t>
      </w:r>
      <w:r w:rsidRPr="001801D1">
        <w:rPr>
          <w:i/>
        </w:rPr>
        <w:t xml:space="preserve">J. Mater. Chem. A </w:t>
      </w:r>
      <w:r w:rsidRPr="001801D1">
        <w:rPr>
          <w:b/>
        </w:rPr>
        <w:t>2018,</w:t>
      </w:r>
      <w:r w:rsidRPr="001801D1">
        <w:t xml:space="preserve"> </w:t>
      </w:r>
      <w:r w:rsidRPr="001801D1">
        <w:rPr>
          <w:i/>
        </w:rPr>
        <w:t>6</w:t>
      </w:r>
      <w:r w:rsidRPr="001801D1">
        <w:t>, 17186-17191.</w:t>
      </w:r>
    </w:p>
    <w:p w14:paraId="66DDF9B4" w14:textId="0032215C" w:rsidR="001801D1" w:rsidRPr="001801D1" w:rsidRDefault="001801D1" w:rsidP="001801D1">
      <w:pPr>
        <w:pStyle w:val="TFReferencesSection"/>
      </w:pPr>
      <w:r w:rsidRPr="001801D1">
        <w:t>(1</w:t>
      </w:r>
      <w:r w:rsidR="00B8531C">
        <w:t>9</w:t>
      </w:r>
      <w:r w:rsidRPr="001801D1">
        <w:t xml:space="preserve">) Ghazi, Z. A.; Zhu, L.; Wang, H.; Naeem, A.; Khattak, A. M.; Liang, B.; Khan, N. A.; Wei, Z.; Li, L.; Tang, Z. Efficient Polysulfide Chemisorption in Covalent Organic Frameworks for High‐Performance Lithium‐Sulfur Batteries. </w:t>
      </w:r>
      <w:r w:rsidRPr="001801D1">
        <w:rPr>
          <w:i/>
        </w:rPr>
        <w:t>Adv. Energy Mater</w:t>
      </w:r>
      <w:r w:rsidRPr="001801D1">
        <w:t>.</w:t>
      </w:r>
      <w:r w:rsidRPr="001801D1">
        <w:rPr>
          <w:i/>
        </w:rPr>
        <w:t xml:space="preserve"> </w:t>
      </w:r>
      <w:r w:rsidRPr="001801D1">
        <w:rPr>
          <w:b/>
        </w:rPr>
        <w:t>2016,</w:t>
      </w:r>
      <w:r w:rsidRPr="001801D1">
        <w:t xml:space="preserve"> </w:t>
      </w:r>
      <w:r w:rsidRPr="001801D1">
        <w:rPr>
          <w:i/>
        </w:rPr>
        <w:t>6</w:t>
      </w:r>
      <w:r w:rsidRPr="001801D1">
        <w:t>, 1601250.</w:t>
      </w:r>
    </w:p>
    <w:p w14:paraId="6CC163CD" w14:textId="1E3677CD" w:rsidR="001801D1" w:rsidRPr="001801D1" w:rsidRDefault="001801D1" w:rsidP="001801D1">
      <w:pPr>
        <w:pStyle w:val="TFReferencesSection"/>
      </w:pPr>
      <w:r w:rsidRPr="001801D1">
        <w:t>(</w:t>
      </w:r>
      <w:r w:rsidR="00B8531C">
        <w:t>20</w:t>
      </w:r>
      <w:r w:rsidRPr="001801D1">
        <w:t xml:space="preserve">) Jiang, H.; Liu, X. C.; Wu, Y.; Shu, Y.; Gong, X.; Ke, F. S.; Deng, H. Metal–Organic Frameworks for High Charge–Discharge Rates in Lithium–Sulfur Batteries. </w:t>
      </w:r>
      <w:r w:rsidRPr="001801D1">
        <w:rPr>
          <w:i/>
        </w:rPr>
        <w:t xml:space="preserve">Angew. Chem. Int. Ed. </w:t>
      </w:r>
      <w:r w:rsidRPr="001801D1">
        <w:rPr>
          <w:b/>
        </w:rPr>
        <w:t>2018,</w:t>
      </w:r>
      <w:r w:rsidRPr="001801D1">
        <w:t xml:space="preserve"> </w:t>
      </w:r>
      <w:r w:rsidRPr="001801D1">
        <w:rPr>
          <w:i/>
        </w:rPr>
        <w:t>57</w:t>
      </w:r>
      <w:r w:rsidRPr="001801D1">
        <w:t>, 3916-3921.</w:t>
      </w:r>
    </w:p>
    <w:p w14:paraId="521EA183" w14:textId="2A9EC1DA" w:rsidR="001801D1" w:rsidRPr="001801D1" w:rsidRDefault="001801D1" w:rsidP="001801D1">
      <w:pPr>
        <w:pStyle w:val="TFReferencesSection"/>
      </w:pPr>
      <w:r w:rsidRPr="001801D1">
        <w:t>(2</w:t>
      </w:r>
      <w:r w:rsidR="00B8531C">
        <w:t>1</w:t>
      </w:r>
      <w:r w:rsidRPr="001801D1">
        <w:t xml:space="preserve">) Zhong, Y.; Xu, X.; Liu, Y.; Wang, W.; Shao, Z. Recent progress in metal–organic frameworks for lithium–sulfur batteries. </w:t>
      </w:r>
      <w:r w:rsidRPr="001801D1">
        <w:rPr>
          <w:i/>
        </w:rPr>
        <w:t xml:space="preserve">Polyhedron </w:t>
      </w:r>
      <w:r w:rsidRPr="001801D1">
        <w:rPr>
          <w:b/>
        </w:rPr>
        <w:t>2018</w:t>
      </w:r>
      <w:r w:rsidRPr="001801D1">
        <w:t>.</w:t>
      </w:r>
    </w:p>
    <w:p w14:paraId="7C270A1C" w14:textId="277F89E9" w:rsidR="001801D1" w:rsidRDefault="001801D1" w:rsidP="001801D1">
      <w:pPr>
        <w:pStyle w:val="TFReferencesSection"/>
      </w:pPr>
      <w:r w:rsidRPr="001801D1">
        <w:t>(2</w:t>
      </w:r>
      <w:r w:rsidR="00B8531C">
        <w:t>2</w:t>
      </w:r>
      <w:r w:rsidRPr="001801D1">
        <w:t xml:space="preserve">) Li, F.; Zhang, X.; Liu, X.; Zhao, M. Novel Conductive Metal–Organic Framework for a High-Performance Lithium–Sulfur Battery Host: 2D Cu-Benzenehexathial (BHT). </w:t>
      </w:r>
      <w:r w:rsidRPr="001801D1">
        <w:rPr>
          <w:i/>
        </w:rPr>
        <w:t xml:space="preserve">ACS Appl. Mater. Interfaces </w:t>
      </w:r>
      <w:r w:rsidRPr="001801D1">
        <w:rPr>
          <w:b/>
        </w:rPr>
        <w:t>2018,</w:t>
      </w:r>
      <w:r w:rsidRPr="001801D1">
        <w:t xml:space="preserve"> </w:t>
      </w:r>
      <w:r w:rsidRPr="001801D1">
        <w:rPr>
          <w:i/>
        </w:rPr>
        <w:t>10</w:t>
      </w:r>
      <w:r w:rsidRPr="001801D1">
        <w:t>, 15012-15020.</w:t>
      </w:r>
    </w:p>
    <w:p w14:paraId="6DB8D73C" w14:textId="70D13A25" w:rsidR="00B8531C" w:rsidRPr="00235E71" w:rsidRDefault="00B8531C" w:rsidP="00B8531C">
      <w:pPr>
        <w:pStyle w:val="TFReferencesSection"/>
        <w:rPr>
          <w:highlight w:val="yellow"/>
        </w:rPr>
      </w:pPr>
      <w:r w:rsidRPr="00235E71">
        <w:rPr>
          <w:highlight w:val="yellow"/>
        </w:rPr>
        <w:t>(</w:t>
      </w:r>
      <w:r>
        <w:rPr>
          <w:highlight w:val="yellow"/>
        </w:rPr>
        <w:t>23</w:t>
      </w:r>
      <w:r w:rsidRPr="00235E71">
        <w:rPr>
          <w:highlight w:val="yellow"/>
        </w:rPr>
        <w:t xml:space="preserve">) </w:t>
      </w:r>
      <w:r w:rsidRPr="00235E71">
        <w:rPr>
          <w:noProof/>
          <w:highlight w:val="yellow"/>
        </w:rPr>
        <w:t xml:space="preserve">Jin, J.; Cai, W.; Cai, J.; Shao, Y.; Song, Y.; Xia, Z.; Zhang, Q.; Sun, J. MOF-derived hierarchical CoP nanoflakes anchored on vertically erected graphene scaffolds as self-supported and flexible hosts for lithium–sulfur batteries. </w:t>
      </w:r>
      <w:r w:rsidRPr="00235E71">
        <w:rPr>
          <w:i/>
          <w:highlight w:val="yellow"/>
        </w:rPr>
        <w:t>J. Mater. Chem. A</w:t>
      </w:r>
      <w:r w:rsidRPr="00235E71">
        <w:rPr>
          <w:i/>
          <w:noProof/>
          <w:highlight w:val="yellow"/>
        </w:rPr>
        <w:t xml:space="preserve"> </w:t>
      </w:r>
      <w:r w:rsidRPr="00235E71">
        <w:rPr>
          <w:b/>
          <w:noProof/>
          <w:highlight w:val="yellow"/>
        </w:rPr>
        <w:t>2020,</w:t>
      </w:r>
      <w:r w:rsidRPr="00235E71">
        <w:rPr>
          <w:noProof/>
          <w:highlight w:val="yellow"/>
        </w:rPr>
        <w:t xml:space="preserve"> </w:t>
      </w:r>
      <w:r w:rsidRPr="00235E71">
        <w:rPr>
          <w:i/>
          <w:noProof/>
          <w:highlight w:val="yellow"/>
        </w:rPr>
        <w:t>8</w:t>
      </w:r>
      <w:r w:rsidRPr="00235E71">
        <w:rPr>
          <w:noProof/>
          <w:highlight w:val="yellow"/>
        </w:rPr>
        <w:t>, 3027-3034.</w:t>
      </w:r>
    </w:p>
    <w:p w14:paraId="00BBC71E" w14:textId="25B08C7D" w:rsidR="001801D1" w:rsidRPr="001801D1" w:rsidRDefault="001801D1" w:rsidP="001801D1">
      <w:pPr>
        <w:pStyle w:val="TFReferencesSection"/>
      </w:pPr>
      <w:r w:rsidRPr="001801D1">
        <w:t>(2</w:t>
      </w:r>
      <w:r w:rsidR="00B8531C">
        <w:t>4</w:t>
      </w:r>
      <w:r w:rsidRPr="001801D1">
        <w:t xml:space="preserve">) Liao, H.; Ding, H.; Li, B.; Ai, X.; Wang, C. Covalent-organic frameworks: potential host materials for sulfur impregnation in lithium–sulfur batteries. </w:t>
      </w:r>
      <w:r w:rsidRPr="001801D1">
        <w:rPr>
          <w:i/>
        </w:rPr>
        <w:t xml:space="preserve">J. Mater. Chem. A </w:t>
      </w:r>
      <w:r w:rsidRPr="001801D1">
        <w:rPr>
          <w:b/>
        </w:rPr>
        <w:t>2014,</w:t>
      </w:r>
      <w:r w:rsidRPr="001801D1">
        <w:t xml:space="preserve"> </w:t>
      </w:r>
      <w:r w:rsidRPr="001801D1">
        <w:rPr>
          <w:i/>
        </w:rPr>
        <w:t>2</w:t>
      </w:r>
      <w:r w:rsidRPr="001801D1">
        <w:t>, 8854-8858.</w:t>
      </w:r>
    </w:p>
    <w:p w14:paraId="3ED26F96" w14:textId="010A5262" w:rsidR="001801D1" w:rsidRPr="001801D1" w:rsidRDefault="001801D1" w:rsidP="001801D1">
      <w:pPr>
        <w:pStyle w:val="TFReferencesSection"/>
      </w:pPr>
      <w:r w:rsidRPr="001801D1">
        <w:t>(2</w:t>
      </w:r>
      <w:r w:rsidR="00B8531C">
        <w:t>5</w:t>
      </w:r>
      <w:r w:rsidRPr="001801D1">
        <w:t xml:space="preserve">) Choudhury, S.; Agrawal, M.; Formanek, P.; Jehnichen, D.; Fischer, D.; Krause, B.; Albrecht, V.; Stamm, M.; Ionov, L. Nanoporous cathodes for high-energy Li–S batteries from gyroid block copolymer templates. </w:t>
      </w:r>
      <w:r w:rsidRPr="001801D1">
        <w:rPr>
          <w:i/>
        </w:rPr>
        <w:t xml:space="preserve">ACS nano </w:t>
      </w:r>
      <w:r w:rsidRPr="001801D1">
        <w:rPr>
          <w:b/>
        </w:rPr>
        <w:t>2015,</w:t>
      </w:r>
      <w:r w:rsidRPr="001801D1">
        <w:t xml:space="preserve"> </w:t>
      </w:r>
      <w:r w:rsidRPr="001801D1">
        <w:rPr>
          <w:i/>
        </w:rPr>
        <w:t>9</w:t>
      </w:r>
      <w:r w:rsidRPr="001801D1">
        <w:t>, 6147-6157.</w:t>
      </w:r>
    </w:p>
    <w:p w14:paraId="2A0FB558" w14:textId="04072B35" w:rsidR="001801D1" w:rsidRPr="001801D1" w:rsidRDefault="001801D1" w:rsidP="001801D1">
      <w:pPr>
        <w:pStyle w:val="TFReferencesSection"/>
      </w:pPr>
      <w:r w:rsidRPr="001801D1">
        <w:t>(2</w:t>
      </w:r>
      <w:r w:rsidR="00B8531C">
        <w:t>6</w:t>
      </w:r>
      <w:r w:rsidRPr="001801D1">
        <w:t xml:space="preserve">) Yang, Y.; Yu, G.; Cha, J. J.; Wu, H.; Vosgueritchian, M.; Yao, Y.; Bao, Z.; Cui, Y. Improving the performance of lithium–sulfur batteries by conductive polymer coating. </w:t>
      </w:r>
      <w:r w:rsidRPr="001801D1">
        <w:rPr>
          <w:i/>
        </w:rPr>
        <w:t xml:space="preserve">ACS nano </w:t>
      </w:r>
      <w:r w:rsidRPr="001801D1">
        <w:rPr>
          <w:b/>
        </w:rPr>
        <w:t>2011,</w:t>
      </w:r>
      <w:r w:rsidRPr="001801D1">
        <w:t xml:space="preserve"> </w:t>
      </w:r>
      <w:r w:rsidRPr="001801D1">
        <w:rPr>
          <w:i/>
        </w:rPr>
        <w:t>5</w:t>
      </w:r>
      <w:r w:rsidRPr="001801D1">
        <w:t>, 9187-9193.</w:t>
      </w:r>
    </w:p>
    <w:p w14:paraId="37ACCCD5" w14:textId="22114D2D" w:rsidR="001801D1" w:rsidRPr="001801D1" w:rsidRDefault="001801D1" w:rsidP="001801D1">
      <w:pPr>
        <w:pStyle w:val="TFReferencesSection"/>
      </w:pPr>
      <w:r w:rsidRPr="001801D1">
        <w:t>(2</w:t>
      </w:r>
      <w:r w:rsidR="00B8531C">
        <w:t>7</w:t>
      </w:r>
      <w:r w:rsidRPr="001801D1">
        <w:t xml:space="preserve">) Fu, Y.; Manthiram, A. Enhanced cyclability of lithium–sulfur batteries by a polymer acid-doped polypyrrole mixed ionic–electronic conductor. </w:t>
      </w:r>
      <w:r w:rsidRPr="001801D1">
        <w:rPr>
          <w:i/>
        </w:rPr>
        <w:t xml:space="preserve">Chem. Mater. </w:t>
      </w:r>
      <w:r w:rsidRPr="001801D1">
        <w:rPr>
          <w:b/>
        </w:rPr>
        <w:t>2012,</w:t>
      </w:r>
      <w:r w:rsidRPr="001801D1">
        <w:t xml:space="preserve"> </w:t>
      </w:r>
      <w:r w:rsidRPr="001801D1">
        <w:rPr>
          <w:i/>
        </w:rPr>
        <w:t>24</w:t>
      </w:r>
      <w:r w:rsidRPr="001801D1">
        <w:t>, 3081-3087.</w:t>
      </w:r>
    </w:p>
    <w:p w14:paraId="7B3AD560" w14:textId="0CCA69D0" w:rsidR="001801D1" w:rsidRPr="001801D1" w:rsidRDefault="001801D1" w:rsidP="001801D1">
      <w:pPr>
        <w:pStyle w:val="TFReferencesSection"/>
      </w:pPr>
      <w:r w:rsidRPr="001801D1">
        <w:t>(2</w:t>
      </w:r>
      <w:r w:rsidR="00B8531C">
        <w:t>8</w:t>
      </w:r>
      <w:r w:rsidRPr="001801D1">
        <w:t xml:space="preserve">) Zheng, G.; Zhang, Q.; Cha, J. J.; Yang, Y.; Li, W.; Seh, Z. W.; Cui, Y. Amphiphilic surface modification of hollow carbon nanofibers for improved cycle life of lithium sulfur batteries. </w:t>
      </w:r>
      <w:r w:rsidRPr="001801D1">
        <w:rPr>
          <w:i/>
        </w:rPr>
        <w:t xml:space="preserve">Nano Lett. </w:t>
      </w:r>
      <w:r w:rsidRPr="001801D1">
        <w:rPr>
          <w:b/>
        </w:rPr>
        <w:t>2013,</w:t>
      </w:r>
      <w:r w:rsidRPr="001801D1">
        <w:t xml:space="preserve"> </w:t>
      </w:r>
      <w:r w:rsidRPr="001801D1">
        <w:rPr>
          <w:i/>
        </w:rPr>
        <w:t>13</w:t>
      </w:r>
      <w:r w:rsidRPr="001801D1">
        <w:t>, 1265-1270.</w:t>
      </w:r>
    </w:p>
    <w:p w14:paraId="1B18C774" w14:textId="4C49F610" w:rsidR="001801D1" w:rsidRPr="001801D1" w:rsidRDefault="001801D1" w:rsidP="001801D1">
      <w:pPr>
        <w:pStyle w:val="TFReferencesSection"/>
      </w:pPr>
      <w:r w:rsidRPr="001801D1">
        <w:t>(2</w:t>
      </w:r>
      <w:r w:rsidR="00B8531C">
        <w:t>9</w:t>
      </w:r>
      <w:r w:rsidRPr="001801D1">
        <w:t xml:space="preserve">) Li, L.; Pascal, T. A.; Connell, J. G.; Fan, F. Y.; Meckler, S. M.; Ma, L.; Chiang, Y.-M.; Prendergast, D.; Helms, B. A. Molecular understanding of polyelectrolyte binders that actively regulate ion transport in sulfur cathodes. </w:t>
      </w:r>
      <w:r w:rsidRPr="001801D1">
        <w:rPr>
          <w:i/>
        </w:rPr>
        <w:t xml:space="preserve">Nat. Commun. </w:t>
      </w:r>
      <w:r w:rsidRPr="001801D1">
        <w:rPr>
          <w:b/>
        </w:rPr>
        <w:t>2017,</w:t>
      </w:r>
      <w:r w:rsidRPr="001801D1">
        <w:t xml:space="preserve"> </w:t>
      </w:r>
      <w:r w:rsidRPr="001801D1">
        <w:rPr>
          <w:i/>
        </w:rPr>
        <w:t>8</w:t>
      </w:r>
      <w:r w:rsidRPr="001801D1">
        <w:t>, 2277.</w:t>
      </w:r>
    </w:p>
    <w:p w14:paraId="20A85F1F" w14:textId="4C71AD6C" w:rsidR="001801D1" w:rsidRPr="001801D1" w:rsidRDefault="001801D1" w:rsidP="001801D1">
      <w:pPr>
        <w:pStyle w:val="TFReferencesSection"/>
      </w:pPr>
      <w:r w:rsidRPr="001801D1">
        <w:t>(</w:t>
      </w:r>
      <w:r w:rsidR="00B8531C">
        <w:t>30</w:t>
      </w:r>
      <w:r w:rsidRPr="001801D1">
        <w:t xml:space="preserve">) Yao, H.; Yan, K.; Li, W.; Zheng, G.; Kong, D.; Seh, Z. W.; Narasimhan, V. K.; Liang, Z.; Cui, Y. Improved lithium–sulfur batteries with a conductive coating on the separator to prevent the accumulation of inactive S-related species at the cathode–separator interface. </w:t>
      </w:r>
      <w:r w:rsidRPr="001801D1">
        <w:rPr>
          <w:i/>
        </w:rPr>
        <w:t xml:space="preserve">Energy Environ. Sci. </w:t>
      </w:r>
      <w:r w:rsidRPr="001801D1">
        <w:rPr>
          <w:b/>
        </w:rPr>
        <w:t>2014,</w:t>
      </w:r>
      <w:r w:rsidRPr="001801D1">
        <w:t xml:space="preserve"> </w:t>
      </w:r>
      <w:r w:rsidRPr="001801D1">
        <w:rPr>
          <w:i/>
        </w:rPr>
        <w:t>7</w:t>
      </w:r>
      <w:r w:rsidRPr="001801D1">
        <w:t>, 3381-3390.</w:t>
      </w:r>
    </w:p>
    <w:p w14:paraId="7655E1A7" w14:textId="4016F614" w:rsidR="001801D1" w:rsidRPr="001801D1" w:rsidRDefault="001801D1" w:rsidP="001801D1">
      <w:pPr>
        <w:pStyle w:val="TFReferencesSection"/>
      </w:pPr>
      <w:r w:rsidRPr="001801D1">
        <w:t>(</w:t>
      </w:r>
      <w:r w:rsidR="00B8531C">
        <w:t>31</w:t>
      </w:r>
      <w:r w:rsidRPr="001801D1">
        <w:t xml:space="preserve">) Jin, J.; Wen, Z.; Wang, Q.; Gu, S.; Huang, X.; Chen, C. Protected sulfur cathode with mixed conductive coating layer for lithium sulfur battery. </w:t>
      </w:r>
      <w:r w:rsidRPr="001801D1">
        <w:rPr>
          <w:i/>
        </w:rPr>
        <w:t xml:space="preserve">JOM </w:t>
      </w:r>
      <w:r w:rsidRPr="001801D1">
        <w:rPr>
          <w:b/>
        </w:rPr>
        <w:t>2016,</w:t>
      </w:r>
      <w:r w:rsidRPr="001801D1">
        <w:t xml:space="preserve"> </w:t>
      </w:r>
      <w:r w:rsidRPr="001801D1">
        <w:rPr>
          <w:i/>
        </w:rPr>
        <w:t>68</w:t>
      </w:r>
      <w:r w:rsidRPr="001801D1">
        <w:t>, 2601-2606.</w:t>
      </w:r>
    </w:p>
    <w:p w14:paraId="57BEC91D" w14:textId="4BEB420B" w:rsidR="001801D1" w:rsidRPr="001801D1" w:rsidRDefault="001801D1" w:rsidP="001801D1">
      <w:pPr>
        <w:pStyle w:val="TFReferencesSection"/>
      </w:pPr>
      <w:r w:rsidRPr="001801D1">
        <w:t>(3</w:t>
      </w:r>
      <w:r w:rsidR="00B8531C">
        <w:t>2</w:t>
      </w:r>
      <w:r w:rsidRPr="001801D1">
        <w:t xml:space="preserve">) Wang, Q.; Wen, Z.; Yang, J.; Jin, J.; Huang, X.; Wu, X.; Han, J. Electronic and ionic co-conductive coating on the separator towards </w:t>
      </w:r>
      <w:r w:rsidRPr="001801D1">
        <w:t xml:space="preserve">high-performance lithium–sulfur batteries. </w:t>
      </w:r>
      <w:r w:rsidRPr="001801D1">
        <w:rPr>
          <w:i/>
        </w:rPr>
        <w:t xml:space="preserve">J. Power Sources </w:t>
      </w:r>
      <w:r w:rsidRPr="001801D1">
        <w:rPr>
          <w:b/>
        </w:rPr>
        <w:t>2016,</w:t>
      </w:r>
      <w:r w:rsidRPr="001801D1">
        <w:t xml:space="preserve"> </w:t>
      </w:r>
      <w:r w:rsidRPr="001801D1">
        <w:rPr>
          <w:i/>
        </w:rPr>
        <w:t>306</w:t>
      </w:r>
      <w:r w:rsidRPr="001801D1">
        <w:t>, 347-353.</w:t>
      </w:r>
    </w:p>
    <w:p w14:paraId="4D364AB5" w14:textId="1B51859A" w:rsidR="001801D1" w:rsidRPr="001801D1" w:rsidRDefault="001801D1" w:rsidP="001801D1">
      <w:pPr>
        <w:pStyle w:val="TFReferencesSection"/>
      </w:pPr>
      <w:r w:rsidRPr="001801D1">
        <w:t>(3</w:t>
      </w:r>
      <w:r w:rsidR="00B8531C">
        <w:t>3</w:t>
      </w:r>
      <w:r w:rsidRPr="001801D1">
        <w:t xml:space="preserve">) Yim, T.; Han, S. H.; Park, N. H.; Park, M.-S.; Lee, J. H.; Shin, J.; Choi, J. W.; Jung, Y.; Jo, Y. N.; Yu, J.-S.; Kim, K. J. Effective Polysulfide Rejection by Dipole-Aligned BaTiO3 Coated Separator in Lithium–Sulfur Batteries. </w:t>
      </w:r>
      <w:r w:rsidRPr="001801D1">
        <w:rPr>
          <w:i/>
        </w:rPr>
        <w:t xml:space="preserve">Adv. Funct. Mater. </w:t>
      </w:r>
      <w:r w:rsidRPr="001801D1">
        <w:rPr>
          <w:b/>
        </w:rPr>
        <w:t>2016,</w:t>
      </w:r>
      <w:r w:rsidRPr="001801D1">
        <w:t xml:space="preserve"> </w:t>
      </w:r>
      <w:r w:rsidRPr="001801D1">
        <w:rPr>
          <w:i/>
        </w:rPr>
        <w:t>26</w:t>
      </w:r>
      <w:r w:rsidRPr="001801D1">
        <w:t>, 7817-7823.</w:t>
      </w:r>
    </w:p>
    <w:p w14:paraId="36DCCE2F" w14:textId="217F241D" w:rsidR="001801D1" w:rsidRPr="001801D1" w:rsidRDefault="001801D1" w:rsidP="001801D1">
      <w:pPr>
        <w:pStyle w:val="TFReferencesSection"/>
      </w:pPr>
      <w:r w:rsidRPr="001801D1">
        <w:t>(3</w:t>
      </w:r>
      <w:r w:rsidR="00B8531C">
        <w:t>4</w:t>
      </w:r>
      <w:r w:rsidRPr="001801D1">
        <w:t xml:space="preserve">) Jeong, T.-G.; Lee, Y.-S.; Cho, B. W.; Kim, Y.-T.; Jung, H.-G.; Chung, K. Y. Improved performance of dual-conducting polymer-coated sulfur composite with high sulfur utilization for lithium-sulfur batteries. </w:t>
      </w:r>
      <w:r w:rsidRPr="001801D1">
        <w:rPr>
          <w:i/>
        </w:rPr>
        <w:t xml:space="preserve">J. Alloys Compd. </w:t>
      </w:r>
      <w:r w:rsidRPr="001801D1">
        <w:rPr>
          <w:b/>
        </w:rPr>
        <w:t>2018,</w:t>
      </w:r>
      <w:r w:rsidRPr="001801D1">
        <w:t xml:space="preserve"> </w:t>
      </w:r>
      <w:r w:rsidRPr="001801D1">
        <w:rPr>
          <w:i/>
        </w:rPr>
        <w:t>742</w:t>
      </w:r>
      <w:r w:rsidRPr="001801D1">
        <w:t>, 868-876.</w:t>
      </w:r>
    </w:p>
    <w:p w14:paraId="4FDE9F0A" w14:textId="259924BC" w:rsidR="001801D1" w:rsidRPr="001801D1" w:rsidRDefault="001801D1" w:rsidP="001801D1">
      <w:pPr>
        <w:pStyle w:val="TFReferencesSection"/>
      </w:pPr>
      <w:r w:rsidRPr="001801D1">
        <w:t>(3</w:t>
      </w:r>
      <w:r w:rsidR="00B8531C">
        <w:t>5</w:t>
      </w:r>
      <w:r w:rsidRPr="001801D1">
        <w:t xml:space="preserve">) Milroy, C.; Manthiram, A. An elastic, conductive, electroactive nanocomposite binder for flexible sulfur cathodes in lithium–sulfur batteries. </w:t>
      </w:r>
      <w:r w:rsidRPr="001801D1">
        <w:rPr>
          <w:i/>
        </w:rPr>
        <w:t xml:space="preserve">Adv. Mater. </w:t>
      </w:r>
      <w:r w:rsidRPr="001801D1">
        <w:rPr>
          <w:b/>
        </w:rPr>
        <w:t>2016,</w:t>
      </w:r>
      <w:r w:rsidRPr="001801D1">
        <w:t xml:space="preserve"> </w:t>
      </w:r>
      <w:r w:rsidRPr="001801D1">
        <w:rPr>
          <w:i/>
        </w:rPr>
        <w:t>28</w:t>
      </w:r>
      <w:r w:rsidRPr="001801D1">
        <w:t>, 9744-9751.</w:t>
      </w:r>
    </w:p>
    <w:p w14:paraId="2A8824CA" w14:textId="7F22FC9C" w:rsidR="001801D1" w:rsidRPr="001801D1" w:rsidRDefault="001801D1" w:rsidP="001801D1">
      <w:pPr>
        <w:pStyle w:val="TFReferencesSection"/>
      </w:pPr>
      <w:r w:rsidRPr="001801D1">
        <w:t>(3</w:t>
      </w:r>
      <w:r w:rsidR="00B8531C">
        <w:t>6</w:t>
      </w:r>
      <w:r w:rsidRPr="001801D1">
        <w:t xml:space="preserve">) Yuan, H.; Huang, J. Q.; Peng, H. J.; Titirici, M. M.; Xiang, R.; Chen, R.; Liu, Q.; Zhang, Q. A review of functional binders in lithium–sulfur batteries. </w:t>
      </w:r>
      <w:r w:rsidRPr="001801D1">
        <w:rPr>
          <w:i/>
        </w:rPr>
        <w:t xml:space="preserve">Adv. Energy Mater. </w:t>
      </w:r>
      <w:r w:rsidRPr="001801D1">
        <w:rPr>
          <w:b/>
        </w:rPr>
        <w:t>2018,</w:t>
      </w:r>
      <w:r w:rsidRPr="001801D1">
        <w:t xml:space="preserve"> </w:t>
      </w:r>
      <w:r w:rsidRPr="001801D1">
        <w:rPr>
          <w:i/>
        </w:rPr>
        <w:t>8</w:t>
      </w:r>
      <w:r w:rsidRPr="001801D1">
        <w:t>, 1802107.</w:t>
      </w:r>
    </w:p>
    <w:p w14:paraId="43F83146" w14:textId="7C41F556" w:rsidR="001801D1" w:rsidRPr="001801D1" w:rsidRDefault="001801D1" w:rsidP="001801D1">
      <w:pPr>
        <w:pStyle w:val="TFReferencesSection"/>
      </w:pPr>
      <w:r w:rsidRPr="001801D1">
        <w:t>(3</w:t>
      </w:r>
      <w:r w:rsidR="00B8531C">
        <w:t>7</w:t>
      </w:r>
      <w:r w:rsidRPr="001801D1">
        <w:t xml:space="preserve">) Crockett, M. P.; Evans, A. M.; Worthington, M. J.; Albuquerque, I. S.; Slattery, A. D.; Gibson, C. T.; Campbell, J. A.; Lewis, D. A.; Bernardes, G. J.; Chalker, J. M. Sulfur‐Limonene Polysulfide: A Material Synthesized Entirely from Industrial By‐Products and Its Use in Removing Toxic Metals from Water and Soil. </w:t>
      </w:r>
      <w:r w:rsidRPr="001801D1">
        <w:rPr>
          <w:i/>
        </w:rPr>
        <w:t xml:space="preserve">Angew. Chem. Int. Ed. </w:t>
      </w:r>
      <w:r w:rsidRPr="001801D1">
        <w:rPr>
          <w:b/>
        </w:rPr>
        <w:t>2016,</w:t>
      </w:r>
      <w:r w:rsidRPr="001801D1">
        <w:t xml:space="preserve"> </w:t>
      </w:r>
      <w:r w:rsidRPr="001801D1">
        <w:rPr>
          <w:i/>
        </w:rPr>
        <w:t>55</w:t>
      </w:r>
      <w:r w:rsidRPr="001801D1">
        <w:t>, 1714-1718.</w:t>
      </w:r>
    </w:p>
    <w:p w14:paraId="238726BE" w14:textId="096DF070" w:rsidR="001801D1" w:rsidRPr="001801D1" w:rsidRDefault="001801D1" w:rsidP="001801D1">
      <w:pPr>
        <w:pStyle w:val="TFReferencesSection"/>
      </w:pPr>
      <w:r w:rsidRPr="001801D1">
        <w:t>(3</w:t>
      </w:r>
      <w:r w:rsidR="00B8531C">
        <w:t>8</w:t>
      </w:r>
      <w:r w:rsidRPr="001801D1">
        <w:t xml:space="preserve">) Boyd, D. A. Sulfur and its role in modern materials science. </w:t>
      </w:r>
      <w:r w:rsidRPr="001801D1">
        <w:rPr>
          <w:i/>
        </w:rPr>
        <w:t xml:space="preserve">Angew. Chem. Int. Ed. </w:t>
      </w:r>
      <w:r w:rsidRPr="001801D1">
        <w:rPr>
          <w:b/>
        </w:rPr>
        <w:t>2016,</w:t>
      </w:r>
      <w:r w:rsidRPr="001801D1">
        <w:t xml:space="preserve"> </w:t>
      </w:r>
      <w:r w:rsidRPr="001801D1">
        <w:rPr>
          <w:i/>
        </w:rPr>
        <w:t>55</w:t>
      </w:r>
      <w:r w:rsidRPr="001801D1">
        <w:t>, 15486-15502.</w:t>
      </w:r>
    </w:p>
    <w:p w14:paraId="12E61879" w14:textId="59ADA678" w:rsidR="001801D1" w:rsidRPr="001801D1" w:rsidRDefault="001801D1" w:rsidP="001801D1">
      <w:pPr>
        <w:pStyle w:val="TFReferencesSection"/>
      </w:pPr>
      <w:r w:rsidRPr="001801D1">
        <w:t>(3</w:t>
      </w:r>
      <w:r w:rsidR="00B8531C">
        <w:t>9</w:t>
      </w:r>
      <w:r w:rsidRPr="001801D1">
        <w:t xml:space="preserve">) Worthington, M. J.; Kucera, R. L.; Albuquerque, I. S.; Gibson, C. T.; Sibley, A.; Slattery, A. D.; Campbell, J. A.; Alboaiji, S. F.; Muller, K. A.; Young, J. Laying waste to mercury: inexpensive sorbents made from sulfur and recycled cooking oils. </w:t>
      </w:r>
      <w:r w:rsidRPr="001801D1">
        <w:rPr>
          <w:i/>
        </w:rPr>
        <w:t xml:space="preserve">Chem. Eur. J. </w:t>
      </w:r>
      <w:r w:rsidRPr="001801D1">
        <w:rPr>
          <w:b/>
        </w:rPr>
        <w:t>2017,</w:t>
      </w:r>
      <w:r w:rsidRPr="001801D1">
        <w:t xml:space="preserve"> </w:t>
      </w:r>
      <w:r w:rsidRPr="001801D1">
        <w:rPr>
          <w:i/>
        </w:rPr>
        <w:t>23</w:t>
      </w:r>
      <w:r w:rsidRPr="001801D1">
        <w:t>, 16219-16230.</w:t>
      </w:r>
    </w:p>
    <w:p w14:paraId="20459E72" w14:textId="75D822C1" w:rsidR="001801D1" w:rsidRPr="001801D1" w:rsidRDefault="001801D1" w:rsidP="001801D1">
      <w:pPr>
        <w:pStyle w:val="TFReferencesSection"/>
      </w:pPr>
      <w:r w:rsidRPr="001801D1">
        <w:t>(</w:t>
      </w:r>
      <w:r w:rsidR="00B8531C">
        <w:t>40</w:t>
      </w:r>
      <w:r w:rsidRPr="001801D1">
        <w:t xml:space="preserve">) Je, S. H.; Buyukcakir, O.; Kim, D.; Coskun, A. Direct utilization of elemental sulfur in the synthesis of microporous polymers for natural gas sweetening. </w:t>
      </w:r>
      <w:r w:rsidRPr="001801D1">
        <w:rPr>
          <w:i/>
        </w:rPr>
        <w:t xml:space="preserve">Chem </w:t>
      </w:r>
      <w:r w:rsidRPr="001801D1">
        <w:rPr>
          <w:b/>
        </w:rPr>
        <w:t>2016,</w:t>
      </w:r>
      <w:r w:rsidRPr="001801D1">
        <w:t xml:space="preserve"> </w:t>
      </w:r>
      <w:r w:rsidRPr="001801D1">
        <w:rPr>
          <w:i/>
        </w:rPr>
        <w:t>1</w:t>
      </w:r>
      <w:r w:rsidRPr="001801D1">
        <w:t>, 482-493.</w:t>
      </w:r>
    </w:p>
    <w:p w14:paraId="29DC2FA4" w14:textId="7FBA4C28" w:rsidR="001801D1" w:rsidRPr="001801D1" w:rsidRDefault="001801D1" w:rsidP="001801D1">
      <w:pPr>
        <w:pStyle w:val="TFReferencesSection"/>
      </w:pPr>
      <w:r w:rsidRPr="001801D1">
        <w:t>(</w:t>
      </w:r>
      <w:r w:rsidR="00B8531C">
        <w:t>41</w:t>
      </w:r>
      <w:r w:rsidRPr="001801D1">
        <w:t xml:space="preserve">) Parker, D.; Jones, H.; Petcher, S.; Cervini, L.; Griffin, J.; Akhtar, R.; Hasell, T. Low cost and renewable sulfur-polymers by inverse vulcanisation, and their potential for mercury capture. </w:t>
      </w:r>
      <w:r w:rsidRPr="001801D1">
        <w:rPr>
          <w:i/>
        </w:rPr>
        <w:t xml:space="preserve">J. Mater. Chem. A </w:t>
      </w:r>
      <w:r w:rsidRPr="001801D1">
        <w:rPr>
          <w:b/>
        </w:rPr>
        <w:t>2017,</w:t>
      </w:r>
      <w:r w:rsidRPr="001801D1">
        <w:t xml:space="preserve"> </w:t>
      </w:r>
      <w:r w:rsidRPr="001801D1">
        <w:rPr>
          <w:i/>
        </w:rPr>
        <w:t>5</w:t>
      </w:r>
      <w:r w:rsidRPr="001801D1">
        <w:t>, 11682-11692.</w:t>
      </w:r>
    </w:p>
    <w:p w14:paraId="7F1C7134" w14:textId="29089916" w:rsidR="001801D1" w:rsidRPr="001801D1" w:rsidRDefault="001801D1" w:rsidP="001801D1">
      <w:pPr>
        <w:pStyle w:val="TFReferencesSection"/>
      </w:pPr>
      <w:r w:rsidRPr="001801D1">
        <w:t>(4</w:t>
      </w:r>
      <w:r w:rsidR="00B8531C">
        <w:t>2</w:t>
      </w:r>
      <w:r w:rsidRPr="001801D1">
        <w:t xml:space="preserve">) Kim, J.-S.; Hwang, T. H.; Kim, B. G.; Min, J.; Choi, J. W. A Lithium-Sulfur Battery with a High Areal Energy Density. </w:t>
      </w:r>
      <w:r w:rsidRPr="001801D1">
        <w:rPr>
          <w:i/>
        </w:rPr>
        <w:t xml:space="preserve">Adv. Funct. Mater. </w:t>
      </w:r>
      <w:r w:rsidRPr="001801D1">
        <w:rPr>
          <w:b/>
        </w:rPr>
        <w:t>2014,</w:t>
      </w:r>
      <w:r w:rsidRPr="001801D1">
        <w:t xml:space="preserve"> </w:t>
      </w:r>
      <w:r w:rsidRPr="001801D1">
        <w:rPr>
          <w:i/>
        </w:rPr>
        <w:t>24</w:t>
      </w:r>
      <w:r w:rsidRPr="001801D1">
        <w:t>, 5359-5367.</w:t>
      </w:r>
    </w:p>
    <w:p w14:paraId="012FD4CD" w14:textId="49E5B2E3" w:rsidR="001801D1" w:rsidRDefault="001801D1" w:rsidP="001801D1">
      <w:pPr>
        <w:pStyle w:val="TFReferencesSection"/>
      </w:pPr>
      <w:r w:rsidRPr="001801D1">
        <w:t>(4</w:t>
      </w:r>
      <w:r w:rsidR="00B8531C">
        <w:t>3</w:t>
      </w:r>
      <w:r w:rsidRPr="001801D1">
        <w:t xml:space="preserve">) Hwang, T. H.; Jung, D. S.; Kim, J.-S.; Kim, B. G.; Choi, J. W. One-Dimensional Carbon–Sulfur Composite Fibers for Na–S Rechargeable Batteries Operating at Room Temperature. </w:t>
      </w:r>
      <w:r w:rsidRPr="001801D1">
        <w:rPr>
          <w:i/>
        </w:rPr>
        <w:t xml:space="preserve">Nano Lett. </w:t>
      </w:r>
      <w:r w:rsidRPr="001801D1">
        <w:rPr>
          <w:b/>
        </w:rPr>
        <w:t>2013,</w:t>
      </w:r>
      <w:r w:rsidRPr="001801D1">
        <w:t xml:space="preserve"> </w:t>
      </w:r>
      <w:r w:rsidRPr="001801D1">
        <w:rPr>
          <w:i/>
        </w:rPr>
        <w:t>13</w:t>
      </w:r>
      <w:r w:rsidRPr="001801D1">
        <w:t>, 4532-4538.</w:t>
      </w:r>
    </w:p>
    <w:p w14:paraId="0918711D" w14:textId="375E4A38" w:rsidR="00B8531C" w:rsidRPr="00235E71" w:rsidRDefault="00B8531C" w:rsidP="00B8531C">
      <w:pPr>
        <w:pStyle w:val="TFReferencesSection"/>
        <w:rPr>
          <w:highlight w:val="yellow"/>
        </w:rPr>
      </w:pPr>
      <w:r w:rsidRPr="00235E71">
        <w:rPr>
          <w:highlight w:val="yellow"/>
        </w:rPr>
        <w:t>(</w:t>
      </w:r>
      <w:r>
        <w:rPr>
          <w:highlight w:val="yellow"/>
        </w:rPr>
        <w:t>44</w:t>
      </w:r>
      <w:r w:rsidRPr="00235E71">
        <w:rPr>
          <w:highlight w:val="yellow"/>
        </w:rPr>
        <w:t xml:space="preserve">) Wang, M.; Song, Y.; Sun, Z.; Shao, Y.; Wei, C.; Xia, Z.; Tian, Z.; Liu, Z.; Sun, J. Conductive and Catalytic VTe2@MgO Heterostructure as Effective Polysulfide Promotor for Lithium–Sulfur Batteries. </w:t>
      </w:r>
      <w:r w:rsidRPr="00235E71">
        <w:rPr>
          <w:i/>
          <w:highlight w:val="yellow"/>
        </w:rPr>
        <w:t xml:space="preserve">ACS Nano </w:t>
      </w:r>
      <w:r w:rsidRPr="00235E71">
        <w:rPr>
          <w:b/>
          <w:highlight w:val="yellow"/>
        </w:rPr>
        <w:t>2019</w:t>
      </w:r>
      <w:r w:rsidRPr="00235E71">
        <w:rPr>
          <w:highlight w:val="yellow"/>
        </w:rPr>
        <w:t xml:space="preserve">, </w:t>
      </w:r>
      <w:r w:rsidRPr="00235E71">
        <w:rPr>
          <w:i/>
          <w:highlight w:val="yellow"/>
        </w:rPr>
        <w:t>13</w:t>
      </w:r>
      <w:r w:rsidRPr="00235E71">
        <w:rPr>
          <w:highlight w:val="yellow"/>
        </w:rPr>
        <w:t>, 13235-13243.</w:t>
      </w:r>
    </w:p>
    <w:p w14:paraId="53FCE270" w14:textId="66A2CA9A" w:rsidR="00B8531C" w:rsidRPr="00B8531C" w:rsidRDefault="00B8531C">
      <w:pPr>
        <w:pStyle w:val="TFReferencesSection"/>
      </w:pPr>
      <w:r w:rsidRPr="00E817F6">
        <w:rPr>
          <w:highlight w:val="yellow"/>
        </w:rPr>
        <w:t>(</w:t>
      </w:r>
      <w:r>
        <w:rPr>
          <w:highlight w:val="yellow"/>
        </w:rPr>
        <w:t>45</w:t>
      </w:r>
      <w:r w:rsidRPr="00E817F6">
        <w:rPr>
          <w:highlight w:val="yellow"/>
        </w:rPr>
        <w:t xml:space="preserve">) Song, Y.; Zhao, W.; Kong, L.; Zhang, L.; Zhu, X.; Shao, Y.; Ding, F.; Zhang, Q.; Sun, J.; Liu, Z. Synchronous immobilization and conversion of polysulfides on a VO2–VN binary host targeting high sulfur load Li–S batteries. </w:t>
      </w:r>
      <w:r w:rsidRPr="00E817F6">
        <w:rPr>
          <w:i/>
          <w:highlight w:val="yellow"/>
        </w:rPr>
        <w:t xml:space="preserve">Energy Environ. Sci. </w:t>
      </w:r>
      <w:r w:rsidRPr="00E817F6">
        <w:rPr>
          <w:b/>
          <w:highlight w:val="yellow"/>
        </w:rPr>
        <w:t>2018</w:t>
      </w:r>
      <w:r w:rsidRPr="00E817F6">
        <w:rPr>
          <w:highlight w:val="yellow"/>
        </w:rPr>
        <w:t xml:space="preserve">, </w:t>
      </w:r>
      <w:r w:rsidRPr="00E817F6">
        <w:rPr>
          <w:i/>
          <w:highlight w:val="yellow"/>
        </w:rPr>
        <w:t>11</w:t>
      </w:r>
      <w:r w:rsidRPr="00E817F6">
        <w:rPr>
          <w:highlight w:val="yellow"/>
        </w:rPr>
        <w:t>, 2620-2630.</w:t>
      </w:r>
    </w:p>
    <w:p w14:paraId="23036828" w14:textId="0C0C9CC3" w:rsidR="001801D1" w:rsidRPr="001801D1" w:rsidRDefault="001801D1" w:rsidP="001801D1">
      <w:pPr>
        <w:pStyle w:val="TFReferencesSection"/>
      </w:pPr>
      <w:r w:rsidRPr="001801D1">
        <w:t>(4</w:t>
      </w:r>
      <w:r w:rsidR="00B8531C">
        <w:t>6</w:t>
      </w:r>
      <w:r w:rsidRPr="001801D1">
        <w:t xml:space="preserve">) Chung, W. J.; Griebel, J. J.; Kim, E. T.; Yoon, H.; Simmonds, A. G.; Ji, H. J.; Dirlam, P. T.; Glass, R. S.; Wie, J. J.; Nguyen, N. A. The use of elemental sulfur as an alternative feedstock for polymeric materials. </w:t>
      </w:r>
      <w:r w:rsidRPr="001801D1">
        <w:rPr>
          <w:i/>
        </w:rPr>
        <w:t xml:space="preserve">Nat. Chem. </w:t>
      </w:r>
      <w:r w:rsidRPr="001801D1">
        <w:rPr>
          <w:b/>
        </w:rPr>
        <w:t>2013,</w:t>
      </w:r>
      <w:r w:rsidRPr="001801D1">
        <w:t xml:space="preserve"> </w:t>
      </w:r>
      <w:r w:rsidRPr="001801D1">
        <w:rPr>
          <w:i/>
        </w:rPr>
        <w:t>5</w:t>
      </w:r>
      <w:r w:rsidRPr="001801D1">
        <w:t>, 518.</w:t>
      </w:r>
    </w:p>
    <w:p w14:paraId="54BF9C66" w14:textId="5AE6A6B3" w:rsidR="001801D1" w:rsidRPr="001801D1" w:rsidRDefault="001801D1" w:rsidP="001801D1">
      <w:pPr>
        <w:pStyle w:val="TFReferencesSection"/>
      </w:pPr>
      <w:r w:rsidRPr="001801D1">
        <w:t>(4</w:t>
      </w:r>
      <w:r w:rsidR="00B8531C">
        <w:t>7</w:t>
      </w:r>
      <w:r w:rsidRPr="001801D1">
        <w:t xml:space="preserve">) Je, S. H.; Hwang, T. H.; Talapaneni, S. N.; Buyukcakir, O.; Kim, H. J.; Yu, J.-S.; Woo, S.-G.; Jang, M. C.; Son, B. K.; Coskun, A. Rational sulfur cathode design for lithium–sulfur batteries: sulfur-embedded benzoxazine polymers. </w:t>
      </w:r>
      <w:r w:rsidRPr="001801D1">
        <w:rPr>
          <w:i/>
        </w:rPr>
        <w:t xml:space="preserve">ACS Energy Lett. </w:t>
      </w:r>
      <w:r w:rsidRPr="001801D1">
        <w:rPr>
          <w:b/>
        </w:rPr>
        <w:t>2016,</w:t>
      </w:r>
      <w:r w:rsidRPr="001801D1">
        <w:t xml:space="preserve"> </w:t>
      </w:r>
      <w:r w:rsidRPr="001801D1">
        <w:rPr>
          <w:i/>
        </w:rPr>
        <w:t>1</w:t>
      </w:r>
      <w:r w:rsidRPr="001801D1">
        <w:t>, 566-572.</w:t>
      </w:r>
    </w:p>
    <w:p w14:paraId="55DFE08A" w14:textId="5D961444" w:rsidR="001801D1" w:rsidRPr="001801D1" w:rsidRDefault="001801D1" w:rsidP="001801D1">
      <w:pPr>
        <w:pStyle w:val="TFReferencesSection"/>
      </w:pPr>
      <w:r w:rsidRPr="001801D1">
        <w:t>(4</w:t>
      </w:r>
      <w:r w:rsidR="00B8531C">
        <w:t>8</w:t>
      </w:r>
      <w:r w:rsidRPr="001801D1">
        <w:t xml:space="preserve">) Simmonds, A. G.; Griebel, J. J.; Park, J.; Kim, K. R.; Chung, W. J.; Oleshko, V. P.; Kim, J.; Kim, E. T.; Glass, R. S.; Soles, C. L. Inverse vulcanization of elemental sulfur to prepare polymeric electrode materials for Li–S batteries. </w:t>
      </w:r>
      <w:r w:rsidRPr="001801D1">
        <w:rPr>
          <w:i/>
        </w:rPr>
        <w:t xml:space="preserve">ACS Macro Lett. </w:t>
      </w:r>
      <w:r w:rsidRPr="001801D1">
        <w:rPr>
          <w:b/>
        </w:rPr>
        <w:t>2014,</w:t>
      </w:r>
      <w:r w:rsidRPr="001801D1">
        <w:t xml:space="preserve"> </w:t>
      </w:r>
      <w:r w:rsidRPr="001801D1">
        <w:rPr>
          <w:i/>
        </w:rPr>
        <w:t>3</w:t>
      </w:r>
      <w:r w:rsidRPr="001801D1">
        <w:t>, 229-232.</w:t>
      </w:r>
    </w:p>
    <w:p w14:paraId="08B5EA73" w14:textId="61945C7A" w:rsidR="001801D1" w:rsidRPr="001801D1" w:rsidRDefault="001801D1" w:rsidP="001801D1">
      <w:pPr>
        <w:pStyle w:val="TFReferencesSection"/>
      </w:pPr>
      <w:r w:rsidRPr="001801D1">
        <w:t>(4</w:t>
      </w:r>
      <w:r w:rsidR="00B8531C">
        <w:t>9</w:t>
      </w:r>
      <w:r w:rsidRPr="001801D1">
        <w:t xml:space="preserve">) Kim, H.; Lee, J.; Ahn, H.; Kim, O.; Park, M. J. Synthesis of three-dimensionally interconnected sulfur-rich polymers for cathode materials of high-rate lithium–sulfur batteries. </w:t>
      </w:r>
      <w:r w:rsidRPr="001801D1">
        <w:rPr>
          <w:i/>
        </w:rPr>
        <w:t xml:space="preserve">Nat. Commun. </w:t>
      </w:r>
      <w:r w:rsidRPr="001801D1">
        <w:rPr>
          <w:b/>
        </w:rPr>
        <w:t>2015,</w:t>
      </w:r>
      <w:r w:rsidRPr="001801D1">
        <w:t xml:space="preserve"> </w:t>
      </w:r>
      <w:r w:rsidRPr="001801D1">
        <w:rPr>
          <w:i/>
        </w:rPr>
        <w:t>6</w:t>
      </w:r>
      <w:r w:rsidRPr="001801D1">
        <w:t>, 7278.</w:t>
      </w:r>
    </w:p>
    <w:p w14:paraId="45EFE8DC" w14:textId="13ACA41E" w:rsidR="001801D1" w:rsidRPr="001801D1" w:rsidRDefault="001801D1" w:rsidP="001801D1">
      <w:pPr>
        <w:pStyle w:val="TFReferencesSection"/>
      </w:pPr>
      <w:r w:rsidRPr="001801D1">
        <w:t>(</w:t>
      </w:r>
      <w:r w:rsidR="00B8531C">
        <w:t>50</w:t>
      </w:r>
      <w:r w:rsidRPr="001801D1">
        <w:t xml:space="preserve">) Zeng, Z.; Liu, X. Sulfur immobilization by “chemical anchor” to suppress the diffusion of polysulfides in lithium–sulfur batteries. </w:t>
      </w:r>
      <w:r w:rsidRPr="001801D1">
        <w:rPr>
          <w:i/>
        </w:rPr>
        <w:t xml:space="preserve">Adv. Mater. Interfaces </w:t>
      </w:r>
      <w:r w:rsidRPr="001801D1">
        <w:rPr>
          <w:b/>
        </w:rPr>
        <w:t>2018,</w:t>
      </w:r>
      <w:r w:rsidRPr="001801D1">
        <w:t xml:space="preserve"> </w:t>
      </w:r>
      <w:r w:rsidRPr="001801D1">
        <w:rPr>
          <w:i/>
        </w:rPr>
        <w:t>5</w:t>
      </w:r>
      <w:r w:rsidRPr="001801D1">
        <w:t>, 1701274.</w:t>
      </w:r>
    </w:p>
    <w:p w14:paraId="1FC52AC6" w14:textId="6120C6AC" w:rsidR="001801D1" w:rsidRPr="001801D1" w:rsidRDefault="001801D1" w:rsidP="001801D1">
      <w:pPr>
        <w:pStyle w:val="TFReferencesSection"/>
      </w:pPr>
      <w:r w:rsidRPr="001801D1">
        <w:lastRenderedPageBreak/>
        <w:t>(</w:t>
      </w:r>
      <w:r w:rsidR="00B8531C">
        <w:t>51</w:t>
      </w:r>
      <w:r w:rsidRPr="001801D1">
        <w:t xml:space="preserve">) Talapaneni, S. N.; Hwang, T. H.; Je, S. H.; Buyukcakir, O.; Choi, J. W.; Coskun, A. Elemental‐Sulfur‐Mediated Facile Synthesis of a Covalent Triazine Framework for High‐Performance Lithium–Sulfur Batteries. </w:t>
      </w:r>
      <w:r w:rsidRPr="001801D1">
        <w:rPr>
          <w:i/>
        </w:rPr>
        <w:t xml:space="preserve">Angew. Chem. Int. Ed. </w:t>
      </w:r>
      <w:r w:rsidRPr="001801D1">
        <w:rPr>
          <w:b/>
        </w:rPr>
        <w:t>2016,</w:t>
      </w:r>
      <w:r w:rsidRPr="001801D1">
        <w:t xml:space="preserve"> </w:t>
      </w:r>
      <w:r w:rsidRPr="001801D1">
        <w:rPr>
          <w:i/>
        </w:rPr>
        <w:t>55</w:t>
      </w:r>
      <w:r w:rsidRPr="001801D1">
        <w:t>, 3106-3111.</w:t>
      </w:r>
    </w:p>
    <w:p w14:paraId="6A06A227" w14:textId="4172A208" w:rsidR="001801D1" w:rsidRPr="001801D1" w:rsidRDefault="001801D1" w:rsidP="001801D1">
      <w:pPr>
        <w:pStyle w:val="TFReferencesSection"/>
      </w:pPr>
      <w:r w:rsidRPr="001801D1">
        <w:t>(</w:t>
      </w:r>
      <w:r w:rsidR="00B8531C">
        <w:t>52</w:t>
      </w:r>
      <w:r w:rsidRPr="001801D1">
        <w:t xml:space="preserve">) Je, S. H.; Kim, H. J.; Kim, J.; Choi, J. W.; Coskun, A. Perfluoroaryl-Elemental Sulfur SNAr Chemistry in Covalent Triazine Frameworks with High Sulfur Contents for Lithium–Sulfur Batteries. </w:t>
      </w:r>
      <w:r w:rsidRPr="001801D1">
        <w:rPr>
          <w:i/>
        </w:rPr>
        <w:t xml:space="preserve">Adv. Funct. Mater. </w:t>
      </w:r>
      <w:r w:rsidRPr="001801D1">
        <w:rPr>
          <w:b/>
        </w:rPr>
        <w:t>2017,</w:t>
      </w:r>
      <w:r w:rsidRPr="001801D1">
        <w:t xml:space="preserve"> </w:t>
      </w:r>
      <w:r w:rsidRPr="001801D1">
        <w:rPr>
          <w:i/>
        </w:rPr>
        <w:t>27</w:t>
      </w:r>
      <w:r w:rsidRPr="001801D1">
        <w:t>, 1703947.</w:t>
      </w:r>
    </w:p>
    <w:p w14:paraId="1B87A32A" w14:textId="65BED5CF" w:rsidR="001801D1" w:rsidRPr="001801D1" w:rsidRDefault="001801D1" w:rsidP="001801D1">
      <w:pPr>
        <w:pStyle w:val="TFReferencesSection"/>
      </w:pPr>
      <w:r w:rsidRPr="001801D1">
        <w:t>(</w:t>
      </w:r>
      <w:r w:rsidR="00B8531C">
        <w:t>53</w:t>
      </w:r>
      <w:r w:rsidRPr="001801D1">
        <w:t xml:space="preserve">) Shin, H.; Kim, D.; Kim, H. J.; Kim, J.; Char, K.; Yavuz, C. T.; Choi, J. W. Fluorinated Covalent Organic Polymers for High Performance Sulfur Cathodes in Lithium–Sulfur Batteries. </w:t>
      </w:r>
      <w:r w:rsidRPr="001801D1">
        <w:rPr>
          <w:i/>
        </w:rPr>
        <w:t xml:space="preserve">Chem. Mater. </w:t>
      </w:r>
      <w:r w:rsidRPr="001801D1">
        <w:rPr>
          <w:b/>
        </w:rPr>
        <w:t>2019,</w:t>
      </w:r>
      <w:r w:rsidRPr="001801D1">
        <w:t xml:space="preserve"> </w:t>
      </w:r>
      <w:r w:rsidRPr="001801D1">
        <w:rPr>
          <w:i/>
        </w:rPr>
        <w:t>31</w:t>
      </w:r>
      <w:r w:rsidRPr="001801D1">
        <w:t>, 7910-7921.</w:t>
      </w:r>
    </w:p>
    <w:p w14:paraId="3D8B3270" w14:textId="651D5C49" w:rsidR="001801D1" w:rsidRPr="001801D1" w:rsidRDefault="001801D1" w:rsidP="001801D1">
      <w:pPr>
        <w:pStyle w:val="TFReferencesSection"/>
      </w:pPr>
      <w:r w:rsidRPr="001801D1">
        <w:t>(5</w:t>
      </w:r>
      <w:r w:rsidR="00B8531C">
        <w:t>4</w:t>
      </w:r>
      <w:r w:rsidRPr="001801D1">
        <w:t xml:space="preserve">) Song, J.; Gordin, M. L.; Xu, T.; Chen, S.; Yu, Z.; Sohn, H.; Lu, J.; Ren, Y.; Duan, Y.; Wang, D. Strong lithium polysulfide chemisorption on electroactive sites of nitrogen‐doped carbon composites for high‐performance lithium–sulfur battery cathodes. </w:t>
      </w:r>
      <w:r w:rsidRPr="001801D1">
        <w:rPr>
          <w:i/>
        </w:rPr>
        <w:t xml:space="preserve">Angew. Chem. Int. Ed. </w:t>
      </w:r>
      <w:r w:rsidRPr="001801D1">
        <w:rPr>
          <w:b/>
        </w:rPr>
        <w:t>2015,</w:t>
      </w:r>
      <w:r w:rsidRPr="001801D1">
        <w:t xml:space="preserve"> </w:t>
      </w:r>
      <w:r w:rsidRPr="001801D1">
        <w:rPr>
          <w:i/>
        </w:rPr>
        <w:t>54</w:t>
      </w:r>
      <w:r w:rsidRPr="001801D1">
        <w:t>, 4325-4329.</w:t>
      </w:r>
    </w:p>
    <w:p w14:paraId="201AC4A9" w14:textId="326A408D" w:rsidR="001801D1" w:rsidRPr="001801D1" w:rsidRDefault="001801D1" w:rsidP="001801D1">
      <w:pPr>
        <w:pStyle w:val="TFReferencesSection"/>
      </w:pPr>
      <w:r w:rsidRPr="001801D1">
        <w:t>(5</w:t>
      </w:r>
      <w:r w:rsidR="00B8531C">
        <w:t>5</w:t>
      </w:r>
      <w:r w:rsidRPr="001801D1">
        <w:t xml:space="preserve">) Schneider, A.; Weidmann, C.; Suchomski, C.; Sommer, H.; Janek, J. r.; Brezesinski, T. Ionic Liquid-Derived Nitrogen-Enriched Carbon/Sulfur Composite Cathodes with Hierarchical Microstructure —A Step Toward Durable High-Energy and High-Performance Lithium–Sulfur Batteries. </w:t>
      </w:r>
      <w:r w:rsidRPr="001801D1">
        <w:rPr>
          <w:i/>
        </w:rPr>
        <w:t xml:space="preserve">Chem. Mater. </w:t>
      </w:r>
      <w:r w:rsidRPr="001801D1">
        <w:rPr>
          <w:b/>
        </w:rPr>
        <w:t>2015,</w:t>
      </w:r>
      <w:r w:rsidRPr="001801D1">
        <w:t xml:space="preserve"> </w:t>
      </w:r>
      <w:r w:rsidRPr="001801D1">
        <w:rPr>
          <w:i/>
        </w:rPr>
        <w:t>27</w:t>
      </w:r>
      <w:r w:rsidRPr="001801D1">
        <w:t>, 1674-1683.</w:t>
      </w:r>
    </w:p>
    <w:p w14:paraId="3DF7564B" w14:textId="313B2782" w:rsidR="001801D1" w:rsidRPr="001801D1" w:rsidRDefault="001801D1" w:rsidP="001801D1">
      <w:pPr>
        <w:pStyle w:val="TFReferencesSection"/>
      </w:pPr>
      <w:r w:rsidRPr="001801D1">
        <w:t>(5</w:t>
      </w:r>
      <w:r w:rsidR="00B8531C">
        <w:t>6</w:t>
      </w:r>
      <w:r w:rsidRPr="001801D1">
        <w:t xml:space="preserve">) Tang, C.; Zhang, Q.; Zhao, M. Q.; Huang, J. Q.; Cheng, X. B.; Tian, G. L.; Peng, H. J.; Wei, F. Nitrogen‐Doped Aligned Carbon Nanotube/Graphene Sandwiches: Facile Catalytic Growth on Bifunctional Natural Catalysts and Their Applications as Scaffolds for High‐Rate Lithium‐Sulfur Batteries. </w:t>
      </w:r>
      <w:r w:rsidRPr="001801D1">
        <w:rPr>
          <w:i/>
        </w:rPr>
        <w:t xml:space="preserve">Adv. Mater. </w:t>
      </w:r>
      <w:r w:rsidRPr="001801D1">
        <w:rPr>
          <w:b/>
        </w:rPr>
        <w:t>2014,</w:t>
      </w:r>
      <w:r w:rsidRPr="001801D1">
        <w:t xml:space="preserve"> </w:t>
      </w:r>
      <w:r w:rsidRPr="001801D1">
        <w:rPr>
          <w:i/>
        </w:rPr>
        <w:t>26</w:t>
      </w:r>
      <w:r w:rsidRPr="001801D1">
        <w:t>, 6100-6105.</w:t>
      </w:r>
    </w:p>
    <w:p w14:paraId="54B65F59" w14:textId="4567683D" w:rsidR="001801D1" w:rsidRPr="001801D1" w:rsidRDefault="001801D1" w:rsidP="001801D1">
      <w:pPr>
        <w:pStyle w:val="TFReferencesSection"/>
      </w:pPr>
      <w:r w:rsidRPr="001801D1">
        <w:t>(5</w:t>
      </w:r>
      <w:r w:rsidR="00B8531C">
        <w:t>7</w:t>
      </w:r>
      <w:r w:rsidRPr="001801D1">
        <w:t xml:space="preserve">) Demir-Cakan, R.; Morcrette, M.; Nouar, F.; Davoisne, C.; Devic, T.; Gonbeau, D.; Dominko, R.; Serre, C.; Férey, G.; Tarascon, J.-M. Cathode Composites for Li–S Batteries via the Use of Oxygenated Porous Architectures. </w:t>
      </w:r>
      <w:r w:rsidRPr="001801D1">
        <w:rPr>
          <w:i/>
        </w:rPr>
        <w:t xml:space="preserve">J. Am. Chem. Soc. </w:t>
      </w:r>
      <w:r w:rsidRPr="001801D1">
        <w:rPr>
          <w:b/>
        </w:rPr>
        <w:t>2011,</w:t>
      </w:r>
      <w:r w:rsidRPr="001801D1">
        <w:t xml:space="preserve"> </w:t>
      </w:r>
      <w:r w:rsidRPr="001801D1">
        <w:rPr>
          <w:i/>
        </w:rPr>
        <w:t>133</w:t>
      </w:r>
      <w:r w:rsidRPr="001801D1">
        <w:t>, 16154-16160.</w:t>
      </w:r>
    </w:p>
    <w:p w14:paraId="7374CCF2" w14:textId="2B16C6FA" w:rsidR="001801D1" w:rsidRPr="001801D1" w:rsidRDefault="001801D1" w:rsidP="001801D1">
      <w:pPr>
        <w:pStyle w:val="TFReferencesSection"/>
      </w:pPr>
      <w:r w:rsidRPr="001801D1">
        <w:t>(5</w:t>
      </w:r>
      <w:r w:rsidR="00B8531C">
        <w:t>8</w:t>
      </w:r>
      <w:r w:rsidRPr="001801D1">
        <w:t xml:space="preserve">) Zheng, J.; Tian, J.; Wu, D.; Gu, M.; Xu, W.; Wang, C.; Gao, F.; Engelhard, M. H.; Zhang, J.-G.; Liu, J.; Xiao, J. Lewis Acid–Base Interactions between Polysulfides and Metal Organic Framework in Lithium Sulfur Batteries. </w:t>
      </w:r>
      <w:r w:rsidRPr="001801D1">
        <w:rPr>
          <w:i/>
        </w:rPr>
        <w:t xml:space="preserve">Nano Lett. </w:t>
      </w:r>
      <w:r w:rsidRPr="001801D1">
        <w:rPr>
          <w:b/>
        </w:rPr>
        <w:t>2014,</w:t>
      </w:r>
      <w:r w:rsidRPr="001801D1">
        <w:t xml:space="preserve"> </w:t>
      </w:r>
      <w:r w:rsidRPr="001801D1">
        <w:rPr>
          <w:i/>
        </w:rPr>
        <w:t>14</w:t>
      </w:r>
      <w:r w:rsidRPr="001801D1">
        <w:t>, 2345-2352.</w:t>
      </w:r>
    </w:p>
    <w:p w14:paraId="62E7442B" w14:textId="23DC1DFE" w:rsidR="001801D1" w:rsidRPr="001801D1" w:rsidRDefault="001801D1" w:rsidP="001801D1">
      <w:pPr>
        <w:pStyle w:val="TFReferencesSection"/>
      </w:pPr>
      <w:r w:rsidRPr="001801D1">
        <w:t>(5</w:t>
      </w:r>
      <w:r w:rsidR="00B8531C">
        <w:t>9</w:t>
      </w:r>
      <w:r w:rsidRPr="001801D1">
        <w:t xml:space="preserve">) Zhou, J.; Li, R.; Fan, X.; Chen, Y.; Han, R.; Li, W.; Zheng, J.; Wang, B.; Li, X. Rational design of a metal–organic framework host for sulfur storage in fast, long-cycle Li–S batteries. </w:t>
      </w:r>
      <w:r w:rsidRPr="001801D1">
        <w:rPr>
          <w:i/>
        </w:rPr>
        <w:t xml:space="preserve">Energy Environ. Sci. </w:t>
      </w:r>
      <w:r w:rsidRPr="001801D1">
        <w:rPr>
          <w:b/>
        </w:rPr>
        <w:t>2014,</w:t>
      </w:r>
      <w:r w:rsidRPr="001801D1">
        <w:t xml:space="preserve"> </w:t>
      </w:r>
      <w:r w:rsidRPr="001801D1">
        <w:rPr>
          <w:i/>
        </w:rPr>
        <w:t>7</w:t>
      </w:r>
      <w:r w:rsidRPr="001801D1">
        <w:t>, 2715-2724.</w:t>
      </w:r>
    </w:p>
    <w:p w14:paraId="5D2F00F5" w14:textId="552F2C3C" w:rsidR="001801D1" w:rsidRPr="001801D1" w:rsidRDefault="001801D1" w:rsidP="001801D1">
      <w:pPr>
        <w:pStyle w:val="TFReferencesSection"/>
      </w:pPr>
      <w:r w:rsidRPr="001801D1">
        <w:t>(</w:t>
      </w:r>
      <w:r w:rsidR="00B8531C">
        <w:t>60</w:t>
      </w:r>
      <w:r w:rsidRPr="001801D1">
        <w:t xml:space="preserve">) Kwon, T.-w.; Choi, J. W.; Coskun, A. Prospect for Supramolecular Chemistry in High-Energy-Density Rechargeable Batteries. </w:t>
      </w:r>
      <w:r w:rsidRPr="001801D1">
        <w:rPr>
          <w:i/>
        </w:rPr>
        <w:t xml:space="preserve">Joule </w:t>
      </w:r>
      <w:r w:rsidRPr="001801D1">
        <w:rPr>
          <w:b/>
        </w:rPr>
        <w:t>2019</w:t>
      </w:r>
      <w:r w:rsidRPr="001801D1">
        <w:t>.</w:t>
      </w:r>
    </w:p>
    <w:p w14:paraId="6F44A0F3" w14:textId="0DC0E480" w:rsidR="001801D1" w:rsidRPr="001801D1" w:rsidRDefault="001801D1" w:rsidP="001801D1">
      <w:pPr>
        <w:pStyle w:val="TFReferencesSection"/>
      </w:pPr>
      <w:r w:rsidRPr="001801D1">
        <w:t>(</w:t>
      </w:r>
      <w:r w:rsidR="00B8531C">
        <w:t>61</w:t>
      </w:r>
      <w:r w:rsidRPr="001801D1">
        <w:t xml:space="preserve">) Ghazi, Z. A.; Zhu, L.; Wang, H.; Naeem, A.; Khattak, A. M.; Liang, B.; Khan, N. A.; Wei, Z.; Li, L.; Tang, Z. Efficient Polysulfide Chemisorption in Covalent Organic Frameworks for High-Performance Lithium-Sulfur Batteries. </w:t>
      </w:r>
      <w:r w:rsidRPr="001801D1">
        <w:rPr>
          <w:i/>
        </w:rPr>
        <w:t xml:space="preserve">Adv. Energy Mater. </w:t>
      </w:r>
      <w:r w:rsidRPr="001801D1">
        <w:rPr>
          <w:b/>
        </w:rPr>
        <w:t>2016,</w:t>
      </w:r>
      <w:r w:rsidRPr="001801D1">
        <w:t xml:space="preserve"> </w:t>
      </w:r>
      <w:r w:rsidRPr="001801D1">
        <w:rPr>
          <w:i/>
        </w:rPr>
        <w:t>6</w:t>
      </w:r>
      <w:r w:rsidRPr="001801D1">
        <w:t>, 1601250.</w:t>
      </w:r>
    </w:p>
    <w:p w14:paraId="36DF8456" w14:textId="3C0AA8CA" w:rsidR="001801D1" w:rsidRPr="001801D1" w:rsidRDefault="001801D1" w:rsidP="001801D1">
      <w:pPr>
        <w:pStyle w:val="TFReferencesSection"/>
      </w:pPr>
      <w:r w:rsidRPr="001801D1">
        <w:t>(</w:t>
      </w:r>
      <w:r w:rsidR="00B8531C">
        <w:t>62</w:t>
      </w:r>
      <w:r w:rsidRPr="001801D1">
        <w:t xml:space="preserve">) Pearson, R. G. Hard and soft acids and bases. </w:t>
      </w:r>
      <w:r w:rsidRPr="001801D1">
        <w:rPr>
          <w:i/>
        </w:rPr>
        <w:t xml:space="preserve">J. Am. Chem. Soc. </w:t>
      </w:r>
      <w:r w:rsidRPr="001801D1">
        <w:rPr>
          <w:b/>
        </w:rPr>
        <w:t>1963,</w:t>
      </w:r>
      <w:r w:rsidRPr="001801D1">
        <w:t xml:space="preserve"> </w:t>
      </w:r>
      <w:r w:rsidRPr="001801D1">
        <w:rPr>
          <w:i/>
        </w:rPr>
        <w:t>85</w:t>
      </w:r>
      <w:r w:rsidRPr="001801D1">
        <w:t>, 3533-3539.</w:t>
      </w:r>
    </w:p>
    <w:p w14:paraId="37E4AD09" w14:textId="7FFA2040" w:rsidR="001801D1" w:rsidRPr="001801D1" w:rsidRDefault="001801D1" w:rsidP="001801D1">
      <w:pPr>
        <w:pStyle w:val="TFReferencesSection"/>
      </w:pPr>
      <w:r w:rsidRPr="001801D1">
        <w:t>(</w:t>
      </w:r>
      <w:r w:rsidR="00B8531C">
        <w:t>63</w:t>
      </w:r>
      <w:r w:rsidRPr="001801D1">
        <w:t xml:space="preserve">) Yin, F.; Liu, X.; Zhang, Y.; Zhao, Y.; Menbayeva, A.; Bakenov, Z.; Wang, X. Well-dispersed sulfur anchored on interconnected polypyrrole nanofiber network as high performance cathode for lithium-sulfur batteries. </w:t>
      </w:r>
      <w:r w:rsidRPr="001801D1">
        <w:rPr>
          <w:i/>
        </w:rPr>
        <w:t xml:space="preserve">Solid State Sci. </w:t>
      </w:r>
      <w:r w:rsidRPr="001801D1">
        <w:rPr>
          <w:b/>
        </w:rPr>
        <w:t>2017,</w:t>
      </w:r>
      <w:r w:rsidRPr="001801D1">
        <w:t xml:space="preserve"> </w:t>
      </w:r>
      <w:r w:rsidRPr="001801D1">
        <w:rPr>
          <w:i/>
        </w:rPr>
        <w:t>66</w:t>
      </w:r>
      <w:r w:rsidRPr="001801D1">
        <w:t>, 44-49.</w:t>
      </w:r>
    </w:p>
    <w:p w14:paraId="5ACF0B48" w14:textId="39B43368" w:rsidR="001801D1" w:rsidRPr="001801D1" w:rsidRDefault="001801D1" w:rsidP="001801D1">
      <w:pPr>
        <w:pStyle w:val="TFReferencesSection"/>
      </w:pPr>
      <w:r w:rsidRPr="001801D1">
        <w:t>(</w:t>
      </w:r>
      <w:r w:rsidR="00B8531C">
        <w:t>64</w:t>
      </w:r>
      <w:r w:rsidRPr="001801D1">
        <w:t xml:space="preserve">) Liu, X.; Qian, T.; Liu, J.; Tian, J.; Zhang, L.; Yan, C. Greatly Improved Conductivity of Double‐Chain Polymer Network Binder for High Sulfur Loading Lithium–Sulfur Batteries with a Low Electrolyte/Sulfur Ratio. </w:t>
      </w:r>
      <w:r w:rsidRPr="001801D1">
        <w:rPr>
          <w:i/>
        </w:rPr>
        <w:t xml:space="preserve">Small </w:t>
      </w:r>
      <w:r w:rsidRPr="001801D1">
        <w:rPr>
          <w:b/>
        </w:rPr>
        <w:t>2018,</w:t>
      </w:r>
      <w:r w:rsidRPr="001801D1">
        <w:t xml:space="preserve"> </w:t>
      </w:r>
      <w:r w:rsidRPr="001801D1">
        <w:rPr>
          <w:i/>
        </w:rPr>
        <w:t>14</w:t>
      </w:r>
      <w:r w:rsidRPr="001801D1">
        <w:t>, 1801536.</w:t>
      </w:r>
    </w:p>
    <w:p w14:paraId="53F0C144" w14:textId="5124F5DF" w:rsidR="001801D1" w:rsidRPr="001801D1" w:rsidRDefault="001801D1" w:rsidP="001801D1">
      <w:pPr>
        <w:pStyle w:val="TFReferencesSection"/>
      </w:pPr>
      <w:r w:rsidRPr="001801D1">
        <w:t>(</w:t>
      </w:r>
      <w:r w:rsidR="00B8531C">
        <w:t>65</w:t>
      </w:r>
      <w:r w:rsidRPr="001801D1">
        <w:t xml:space="preserve">) Wang, J.; Lu, L.; Shi, D.; Tandiono, R.; Wang, Z.; Konstantinov, K.; Liu, H. A Conductive Polypyrrole‐Coated, Sulfur–Carbon Nanotube Composite for Use in Lithium–Sulfur Batteries. </w:t>
      </w:r>
      <w:r w:rsidRPr="001801D1">
        <w:rPr>
          <w:i/>
        </w:rPr>
        <w:t xml:space="preserve">ChemPlusChem </w:t>
      </w:r>
      <w:r w:rsidRPr="001801D1">
        <w:rPr>
          <w:b/>
        </w:rPr>
        <w:t>2013,</w:t>
      </w:r>
      <w:r w:rsidRPr="001801D1">
        <w:t xml:space="preserve"> </w:t>
      </w:r>
      <w:r w:rsidRPr="001801D1">
        <w:rPr>
          <w:i/>
        </w:rPr>
        <w:t>78</w:t>
      </w:r>
      <w:r w:rsidRPr="001801D1">
        <w:t>, 318-324.</w:t>
      </w:r>
    </w:p>
    <w:p w14:paraId="56332E0F" w14:textId="11F944BB" w:rsidR="001801D1" w:rsidRPr="001801D1" w:rsidRDefault="001801D1" w:rsidP="001801D1">
      <w:pPr>
        <w:pStyle w:val="TFReferencesSection"/>
      </w:pPr>
      <w:r w:rsidRPr="001801D1">
        <w:t>(6</w:t>
      </w:r>
      <w:r w:rsidR="00B8531C">
        <w:t>6</w:t>
      </w:r>
      <w:r w:rsidRPr="001801D1">
        <w:t xml:space="preserve">) Kuhn, P.; Antonietti, M.; Thomas, A. Porous, covalent triazine‐based frameworks prepared by ionothermal synthesis. </w:t>
      </w:r>
      <w:r w:rsidRPr="001801D1">
        <w:rPr>
          <w:i/>
        </w:rPr>
        <w:t xml:space="preserve">Angew. Chem., Int. Ed. </w:t>
      </w:r>
      <w:r w:rsidRPr="001801D1">
        <w:rPr>
          <w:b/>
        </w:rPr>
        <w:t>2008,</w:t>
      </w:r>
      <w:r w:rsidRPr="001801D1">
        <w:t xml:space="preserve"> </w:t>
      </w:r>
      <w:r w:rsidRPr="001801D1">
        <w:rPr>
          <w:i/>
        </w:rPr>
        <w:t>47</w:t>
      </w:r>
      <w:r w:rsidRPr="001801D1">
        <w:t>, 3450-3453.</w:t>
      </w:r>
    </w:p>
    <w:p w14:paraId="047AE5EC" w14:textId="22CE6FCF" w:rsidR="001801D1" w:rsidRPr="001801D1" w:rsidRDefault="001801D1" w:rsidP="001801D1">
      <w:pPr>
        <w:pStyle w:val="TFReferencesSection"/>
      </w:pPr>
      <w:r w:rsidRPr="001801D1">
        <w:t>(6</w:t>
      </w:r>
      <w:r w:rsidR="00B8531C">
        <w:t>7</w:t>
      </w:r>
      <w:r w:rsidRPr="001801D1">
        <w:t xml:space="preserve">) Chougule, M. A.; Pawar, S. G.; Godse, P. R.; Mulik, R. N.; Sen, S.; Patil, V. B. Synthesis and characterization of polypyrrole (PPy) thin films. </w:t>
      </w:r>
      <w:r w:rsidRPr="001801D1">
        <w:rPr>
          <w:i/>
        </w:rPr>
        <w:t xml:space="preserve">Soft Nanosci. Lett. </w:t>
      </w:r>
      <w:r w:rsidRPr="001801D1">
        <w:rPr>
          <w:b/>
        </w:rPr>
        <w:t>2011,</w:t>
      </w:r>
      <w:r w:rsidRPr="001801D1">
        <w:t xml:space="preserve"> </w:t>
      </w:r>
      <w:r w:rsidRPr="001801D1">
        <w:rPr>
          <w:i/>
        </w:rPr>
        <w:t>1</w:t>
      </w:r>
      <w:r w:rsidRPr="001801D1">
        <w:t>, 6.</w:t>
      </w:r>
    </w:p>
    <w:p w14:paraId="79D3347F" w14:textId="64A422AD" w:rsidR="001801D1" w:rsidRPr="001801D1" w:rsidRDefault="001801D1" w:rsidP="001801D1">
      <w:pPr>
        <w:pStyle w:val="TFReferencesSection"/>
      </w:pPr>
      <w:r w:rsidRPr="001801D1">
        <w:t>(6</w:t>
      </w:r>
      <w:r w:rsidR="00B8531C">
        <w:t>8</w:t>
      </w:r>
      <w:r w:rsidRPr="001801D1">
        <w:t xml:space="preserve">) Su, N.; Li, H.; Yuan, S.; Yi, S.; Yin, E. Synthesis and characterization of polypyrrole doped with anionic spherical polyelectrolyte brushes. </w:t>
      </w:r>
      <w:r w:rsidRPr="001801D1">
        <w:rPr>
          <w:i/>
        </w:rPr>
        <w:t xml:space="preserve">eXPRESS Polym. Lett. </w:t>
      </w:r>
      <w:r w:rsidRPr="001801D1">
        <w:rPr>
          <w:b/>
        </w:rPr>
        <w:t>2012,</w:t>
      </w:r>
      <w:r w:rsidRPr="001801D1">
        <w:t xml:space="preserve"> </w:t>
      </w:r>
      <w:r w:rsidRPr="001801D1">
        <w:rPr>
          <w:i/>
        </w:rPr>
        <w:t>6</w:t>
      </w:r>
      <w:r w:rsidRPr="001801D1">
        <w:t>.</w:t>
      </w:r>
    </w:p>
    <w:p w14:paraId="3691DAF5" w14:textId="07D335D2" w:rsidR="001801D1" w:rsidRPr="001801D1" w:rsidRDefault="001801D1" w:rsidP="001801D1">
      <w:pPr>
        <w:pStyle w:val="TFReferencesSection"/>
      </w:pPr>
      <w:r w:rsidRPr="001801D1">
        <w:t>(6</w:t>
      </w:r>
      <w:r w:rsidR="00B8531C">
        <w:t>9</w:t>
      </w:r>
      <w:r w:rsidRPr="001801D1">
        <w:t xml:space="preserve">) Yuan, X.; Zeng, X.; Zhang, H.-J.; Ma, Z.-F.; Wang, C.-Y. Improved performance of proton exchange membrane fuel cells with p-toluenesulfonic acid-doped Co-PPy/C as cathode electrocatalyst. </w:t>
      </w:r>
      <w:r w:rsidRPr="001801D1">
        <w:rPr>
          <w:i/>
        </w:rPr>
        <w:t xml:space="preserve">J. Am. Chem. Soc </w:t>
      </w:r>
      <w:r w:rsidRPr="001801D1">
        <w:rPr>
          <w:b/>
        </w:rPr>
        <w:t>2010,</w:t>
      </w:r>
      <w:r w:rsidRPr="001801D1">
        <w:t xml:space="preserve"> </w:t>
      </w:r>
      <w:r w:rsidRPr="001801D1">
        <w:rPr>
          <w:i/>
        </w:rPr>
        <w:t>132</w:t>
      </w:r>
      <w:r w:rsidRPr="001801D1">
        <w:t>, 1754-1755.</w:t>
      </w:r>
    </w:p>
    <w:p w14:paraId="1489B55C" w14:textId="4CC46D24" w:rsidR="001801D1" w:rsidRPr="001801D1" w:rsidRDefault="001801D1" w:rsidP="001801D1">
      <w:pPr>
        <w:pStyle w:val="TFReferencesSection"/>
      </w:pPr>
      <w:r w:rsidRPr="001801D1">
        <w:t>(</w:t>
      </w:r>
      <w:r w:rsidR="00B8531C">
        <w:t>70</w:t>
      </w:r>
      <w:r w:rsidRPr="001801D1">
        <w:t xml:space="preserve">) Smith, J. A.; Wu, X.; Berry, N. G.; Hasell, T. High sulfur content polymers: The effect of crosslinker structure on inverse vulcanization. </w:t>
      </w:r>
      <w:r w:rsidRPr="001801D1">
        <w:rPr>
          <w:i/>
        </w:rPr>
        <w:t xml:space="preserve">J. Polym. Sci. Pol. Chem. </w:t>
      </w:r>
      <w:r w:rsidRPr="001801D1">
        <w:rPr>
          <w:b/>
        </w:rPr>
        <w:t>2018,</w:t>
      </w:r>
      <w:r w:rsidRPr="001801D1">
        <w:t xml:space="preserve"> </w:t>
      </w:r>
      <w:r w:rsidRPr="001801D1">
        <w:rPr>
          <w:i/>
        </w:rPr>
        <w:t>56</w:t>
      </w:r>
      <w:r w:rsidRPr="001801D1">
        <w:t>, 1777-1781.</w:t>
      </w:r>
    </w:p>
    <w:p w14:paraId="01FF416C" w14:textId="269BCC3B" w:rsidR="001801D1" w:rsidRPr="001801D1" w:rsidRDefault="001801D1" w:rsidP="001801D1">
      <w:pPr>
        <w:pStyle w:val="TFReferencesSection"/>
      </w:pPr>
      <w:r w:rsidRPr="001801D1">
        <w:t>(</w:t>
      </w:r>
      <w:r w:rsidR="00B8531C">
        <w:t>71</w:t>
      </w:r>
      <w:r w:rsidRPr="001801D1">
        <w:t xml:space="preserve">) Li, Z.; Zhang, S.; Zhang, C.; Ueno, K.; Yasuda, T.; Tatara, R.; Dokko, K.; Watanabe, M. One-pot pyrolysis of lithium sulfate and graphene nanoplatelet aggregates: in situ formed Li 2 S/graphene composite for lithium–sulfur batteries. </w:t>
      </w:r>
      <w:r w:rsidRPr="001801D1">
        <w:rPr>
          <w:i/>
        </w:rPr>
        <w:t xml:space="preserve">Nanoscale </w:t>
      </w:r>
      <w:r w:rsidRPr="001801D1">
        <w:rPr>
          <w:b/>
        </w:rPr>
        <w:t>2015,</w:t>
      </w:r>
      <w:r w:rsidRPr="001801D1">
        <w:t xml:space="preserve"> </w:t>
      </w:r>
      <w:r w:rsidRPr="001801D1">
        <w:rPr>
          <w:i/>
        </w:rPr>
        <w:t>7</w:t>
      </w:r>
      <w:r w:rsidRPr="001801D1">
        <w:t>, 14385-14392.</w:t>
      </w:r>
    </w:p>
    <w:p w14:paraId="387D8C26" w14:textId="41F6B838" w:rsidR="001801D1" w:rsidRPr="001801D1" w:rsidRDefault="001801D1" w:rsidP="001801D1">
      <w:pPr>
        <w:pStyle w:val="TFReferencesSection"/>
      </w:pPr>
      <w:r w:rsidRPr="001801D1">
        <w:t>(</w:t>
      </w:r>
      <w:r w:rsidR="00B8531C">
        <w:t>72</w:t>
      </w:r>
      <w:r w:rsidRPr="001801D1">
        <w:t xml:space="preserve">) Nam, D.-H.; Kim, M.-J.; Lim, S.-J.; Song, I.-S.; Kwon, H.-S. Single-step synthesis of polypyrrole nanowires by cathodic electropolymerization. </w:t>
      </w:r>
      <w:r w:rsidRPr="001801D1">
        <w:rPr>
          <w:i/>
        </w:rPr>
        <w:t xml:space="preserve">J. Mater. Chem. A </w:t>
      </w:r>
      <w:r w:rsidRPr="001801D1">
        <w:rPr>
          <w:b/>
        </w:rPr>
        <w:t>2013,</w:t>
      </w:r>
      <w:r w:rsidRPr="001801D1">
        <w:t xml:space="preserve"> </w:t>
      </w:r>
      <w:r w:rsidRPr="001801D1">
        <w:rPr>
          <w:i/>
        </w:rPr>
        <w:t>1</w:t>
      </w:r>
      <w:r w:rsidRPr="001801D1">
        <w:t>, 8061-8068.</w:t>
      </w:r>
    </w:p>
    <w:p w14:paraId="43766553" w14:textId="31060C71" w:rsidR="001801D1" w:rsidRPr="001801D1" w:rsidRDefault="001801D1" w:rsidP="001801D1">
      <w:pPr>
        <w:pStyle w:val="TFReferencesSection"/>
      </w:pPr>
      <w:r w:rsidRPr="001801D1">
        <w:t>(</w:t>
      </w:r>
      <w:r w:rsidR="00B8531C">
        <w:t>73</w:t>
      </w:r>
      <w:r w:rsidRPr="001801D1">
        <w:t xml:space="preserve">) Ruangchuay, L.; Schwank, J.; Sirivat, A. Surface degradation of α-naphthalene sulfonate-doped polypyrrole during XPS characterization. </w:t>
      </w:r>
      <w:r w:rsidRPr="001801D1">
        <w:rPr>
          <w:i/>
        </w:rPr>
        <w:t xml:space="preserve">Appl. Surf. Sci. </w:t>
      </w:r>
      <w:r w:rsidRPr="001801D1">
        <w:rPr>
          <w:b/>
        </w:rPr>
        <w:t>2002,</w:t>
      </w:r>
      <w:r w:rsidRPr="001801D1">
        <w:t xml:space="preserve"> </w:t>
      </w:r>
      <w:r w:rsidRPr="001801D1">
        <w:rPr>
          <w:i/>
        </w:rPr>
        <w:t>199</w:t>
      </w:r>
      <w:r w:rsidRPr="001801D1">
        <w:t>, 128-137.</w:t>
      </w:r>
    </w:p>
    <w:p w14:paraId="3019F1A0" w14:textId="50182B8F" w:rsidR="001801D1" w:rsidRPr="001801D1" w:rsidRDefault="001801D1" w:rsidP="001801D1">
      <w:pPr>
        <w:pStyle w:val="TFReferencesSection"/>
      </w:pPr>
      <w:r w:rsidRPr="001801D1">
        <w:t>(7</w:t>
      </w:r>
      <w:r w:rsidR="00B8531C">
        <w:t>4</w:t>
      </w:r>
      <w:r w:rsidRPr="001801D1">
        <w:t xml:space="preserve">) Tabačiarová, J.; Mičušík, M.; Fedorko, P.; Omastová, M. Study of polypyrrole aging by XPS, FTIR and conductivity measurements. </w:t>
      </w:r>
      <w:r w:rsidRPr="001801D1">
        <w:rPr>
          <w:i/>
        </w:rPr>
        <w:t xml:space="preserve">Polym. Degrad. Stabl. </w:t>
      </w:r>
      <w:r w:rsidRPr="001801D1">
        <w:rPr>
          <w:b/>
        </w:rPr>
        <w:t>2015,</w:t>
      </w:r>
      <w:r w:rsidRPr="001801D1">
        <w:t xml:space="preserve"> </w:t>
      </w:r>
      <w:r w:rsidRPr="001801D1">
        <w:rPr>
          <w:i/>
        </w:rPr>
        <w:t>120</w:t>
      </w:r>
      <w:r w:rsidRPr="001801D1">
        <w:t>, 392-401.</w:t>
      </w:r>
    </w:p>
    <w:p w14:paraId="6E57641C" w14:textId="4A4BE4FD" w:rsidR="001801D1" w:rsidRPr="001801D1" w:rsidRDefault="001801D1" w:rsidP="001801D1">
      <w:pPr>
        <w:pStyle w:val="TFReferencesSection"/>
      </w:pPr>
      <w:r w:rsidRPr="001801D1">
        <w:t>(7</w:t>
      </w:r>
      <w:r w:rsidR="00B8531C">
        <w:t>5</w:t>
      </w:r>
      <w:r w:rsidRPr="001801D1">
        <w:t xml:space="preserve">) Wei, Y.; Li, L.; Yang, X.; Pan, G.; Yan, G.; Yu, X. One-Step UV-Induced Synthesis of Polypyrrole/Ag Nanocomposites at the Water/Ionic Liquid Interface. </w:t>
      </w:r>
      <w:r w:rsidRPr="001801D1">
        <w:rPr>
          <w:i/>
        </w:rPr>
        <w:t xml:space="preserve">Nanoscale Res. Lett. </w:t>
      </w:r>
      <w:r w:rsidRPr="001801D1">
        <w:rPr>
          <w:b/>
        </w:rPr>
        <w:t>2009,</w:t>
      </w:r>
      <w:r w:rsidRPr="001801D1">
        <w:t xml:space="preserve"> </w:t>
      </w:r>
      <w:r w:rsidRPr="001801D1">
        <w:rPr>
          <w:i/>
        </w:rPr>
        <w:t>5</w:t>
      </w:r>
      <w:r w:rsidRPr="001801D1">
        <w:t>, 433.</w:t>
      </w:r>
    </w:p>
    <w:p w14:paraId="36712ED9" w14:textId="5C9CA828" w:rsidR="001801D1" w:rsidRPr="001801D1" w:rsidRDefault="001801D1">
      <w:pPr>
        <w:pStyle w:val="TFReferencesSection"/>
      </w:pPr>
      <w:r w:rsidRPr="001801D1">
        <w:t>(7</w:t>
      </w:r>
      <w:r w:rsidR="00B8531C">
        <w:t>6</w:t>
      </w:r>
      <w:r w:rsidRPr="001801D1">
        <w:t xml:space="preserve">) Gewirth, A. A. Inorganic Electrochemistry:  Theory, Practice and Application By Piero Zanello (University of Siena, Italy). Royal Society of Chemistry:  Cambridge. 2003. xiv + 616 pp. $199.00. ISBN 0-85404-661-5. </w:t>
      </w:r>
      <w:r w:rsidRPr="001801D1">
        <w:rPr>
          <w:i/>
        </w:rPr>
        <w:t xml:space="preserve">J. Am. Chem. Soc. </w:t>
      </w:r>
      <w:r w:rsidRPr="001801D1">
        <w:rPr>
          <w:b/>
        </w:rPr>
        <w:t>2004,</w:t>
      </w:r>
      <w:r w:rsidRPr="001801D1">
        <w:t xml:space="preserve"> </w:t>
      </w:r>
      <w:r w:rsidRPr="001801D1">
        <w:rPr>
          <w:i/>
        </w:rPr>
        <w:t>126</w:t>
      </w:r>
      <w:r w:rsidRPr="001801D1">
        <w:t>, 4743-4744.</w:t>
      </w:r>
    </w:p>
    <w:p w14:paraId="2F1F17BF" w14:textId="00EBF61B" w:rsidR="001801D1" w:rsidRPr="001801D1" w:rsidRDefault="001801D1" w:rsidP="001801D1">
      <w:pPr>
        <w:pStyle w:val="TFReferencesSection"/>
      </w:pPr>
      <w:r w:rsidRPr="001801D1">
        <w:t>(7</w:t>
      </w:r>
      <w:r w:rsidR="00B8531C">
        <w:t>7</w:t>
      </w:r>
      <w:r w:rsidRPr="001801D1">
        <w:t xml:space="preserve">) Zhang, S. S.; Xu, K.; Jow, T. R. Electrochemical impedance study on the low temperature of Li-ion batteries. </w:t>
      </w:r>
      <w:r w:rsidRPr="001801D1">
        <w:rPr>
          <w:i/>
        </w:rPr>
        <w:t xml:space="preserve">Electrochim. Acta </w:t>
      </w:r>
      <w:r w:rsidRPr="001801D1">
        <w:rPr>
          <w:b/>
        </w:rPr>
        <w:t>2004,</w:t>
      </w:r>
      <w:r w:rsidRPr="001801D1">
        <w:t xml:space="preserve"> </w:t>
      </w:r>
      <w:r w:rsidRPr="001801D1">
        <w:rPr>
          <w:i/>
        </w:rPr>
        <w:t>49</w:t>
      </w:r>
      <w:r w:rsidRPr="001801D1">
        <w:t>, 1057-1061.</w:t>
      </w:r>
    </w:p>
    <w:p w14:paraId="56DEB6DA" w14:textId="774D08AD" w:rsidR="001801D1" w:rsidRPr="001801D1" w:rsidRDefault="001801D1" w:rsidP="001801D1">
      <w:pPr>
        <w:pStyle w:val="TFReferencesSection"/>
      </w:pPr>
      <w:r w:rsidRPr="001801D1">
        <w:t>(7</w:t>
      </w:r>
      <w:r w:rsidR="00B8531C">
        <w:t>8</w:t>
      </w:r>
      <w:r w:rsidRPr="001801D1">
        <w:t xml:space="preserve">) Kolosnitsyn, V. S.; Kuzmina, E. V.; Karaseva, E. V.; Mochalov, S. E. A study of the electrochemical processes in lithium–sulphur cells by impedance spectroscopy. </w:t>
      </w:r>
      <w:r w:rsidRPr="001801D1">
        <w:rPr>
          <w:i/>
        </w:rPr>
        <w:t xml:space="preserve">J. Power Sources </w:t>
      </w:r>
      <w:r w:rsidRPr="001801D1">
        <w:rPr>
          <w:b/>
        </w:rPr>
        <w:t>2011,</w:t>
      </w:r>
      <w:r w:rsidRPr="001801D1">
        <w:t xml:space="preserve"> </w:t>
      </w:r>
      <w:r w:rsidRPr="001801D1">
        <w:rPr>
          <w:i/>
        </w:rPr>
        <w:t>196</w:t>
      </w:r>
      <w:r w:rsidRPr="001801D1">
        <w:t>, 1478-1482.</w:t>
      </w:r>
    </w:p>
    <w:p w14:paraId="3919B970" w14:textId="6152CEC1" w:rsidR="001801D1" w:rsidRPr="001801D1" w:rsidRDefault="001801D1" w:rsidP="001801D1">
      <w:pPr>
        <w:pStyle w:val="TFReferencesSection"/>
      </w:pPr>
      <w:r w:rsidRPr="001801D1">
        <w:t>(7</w:t>
      </w:r>
      <w:r w:rsidR="00B8531C">
        <w:t>9</w:t>
      </w:r>
      <w:r w:rsidRPr="001801D1">
        <w:t xml:space="preserve">) Fu, Y.; Manthiram, A. Orthorhombic Bipyramidal Sulfur Coated with Polypyrrole Nanolayers As a Cathode Material for Lithium–Sulfur Batteries. </w:t>
      </w:r>
      <w:r w:rsidRPr="001801D1">
        <w:rPr>
          <w:i/>
        </w:rPr>
        <w:t xml:space="preserve">J. Phys. Chem. C </w:t>
      </w:r>
      <w:r w:rsidRPr="001801D1">
        <w:rPr>
          <w:b/>
        </w:rPr>
        <w:t>2012,</w:t>
      </w:r>
      <w:r w:rsidRPr="001801D1">
        <w:t xml:space="preserve"> </w:t>
      </w:r>
      <w:r w:rsidRPr="001801D1">
        <w:rPr>
          <w:i/>
        </w:rPr>
        <w:t>116</w:t>
      </w:r>
      <w:r w:rsidRPr="001801D1">
        <w:t>, 8910-8915.</w:t>
      </w:r>
    </w:p>
    <w:p w14:paraId="2AEBDB46" w14:textId="6F7E3A38" w:rsidR="001801D1" w:rsidRPr="001801D1" w:rsidRDefault="001801D1" w:rsidP="001801D1">
      <w:pPr>
        <w:pStyle w:val="TFReferencesSection"/>
      </w:pPr>
      <w:r w:rsidRPr="001801D1">
        <w:t>(</w:t>
      </w:r>
      <w:r w:rsidR="00B8531C">
        <w:t>80</w:t>
      </w:r>
      <w:r w:rsidRPr="001801D1">
        <w:t xml:space="preserve">) Zhang, Z.; Kong, L.-L.; Liu, S.; Li, G.-R.; Gao, X.-P. A High-Efficiency Sulfur/Carbon Composite Based on 3D Graphene Nanosheet@Carbon Nanotube Matrix as Cathode for Lithium–Sulfur Battery. </w:t>
      </w:r>
      <w:r w:rsidRPr="001801D1">
        <w:rPr>
          <w:i/>
        </w:rPr>
        <w:t xml:space="preserve">Adv. Energy Mater. </w:t>
      </w:r>
      <w:r w:rsidRPr="001801D1">
        <w:rPr>
          <w:b/>
        </w:rPr>
        <w:t>2017,</w:t>
      </w:r>
      <w:r w:rsidRPr="001801D1">
        <w:t xml:space="preserve"> </w:t>
      </w:r>
      <w:r w:rsidRPr="001801D1">
        <w:rPr>
          <w:i/>
        </w:rPr>
        <w:t>7</w:t>
      </w:r>
      <w:r w:rsidRPr="001801D1">
        <w:t>, 1602543.</w:t>
      </w:r>
    </w:p>
    <w:p w14:paraId="1CFFC6E5" w14:textId="588C58E0" w:rsidR="00B02909" w:rsidRDefault="001801D1" w:rsidP="00B02909">
      <w:pPr>
        <w:pStyle w:val="TFReferencesSection"/>
      </w:pPr>
      <w:r w:rsidRPr="001801D1">
        <w:t>(</w:t>
      </w:r>
      <w:r w:rsidR="00B8531C">
        <w:t>81</w:t>
      </w:r>
      <w:r w:rsidRPr="001801D1">
        <w:t xml:space="preserve">) Zhang, X.-Q.; Sun, Q.; Dong, W.; Li, D.; Lu, A.-H.; Mu, J.-Q.; Li, W.-C. Synthesis of superior carbon nanofibers with large aspect ratio and tunable porosity for electrochemical energy storage. </w:t>
      </w:r>
      <w:r w:rsidRPr="001801D1">
        <w:rPr>
          <w:i/>
        </w:rPr>
        <w:t xml:space="preserve">J. Mater. Chem. A </w:t>
      </w:r>
      <w:r w:rsidRPr="001801D1">
        <w:rPr>
          <w:b/>
        </w:rPr>
        <w:t>2013,</w:t>
      </w:r>
      <w:r w:rsidRPr="001801D1">
        <w:t xml:space="preserve"> </w:t>
      </w:r>
      <w:r w:rsidRPr="001801D1">
        <w:rPr>
          <w:i/>
        </w:rPr>
        <w:t>1</w:t>
      </w:r>
      <w:r w:rsidRPr="001801D1">
        <w:t>, 9449-9455.</w:t>
      </w:r>
      <w:r w:rsidR="00B02909">
        <w:t xml:space="preserve"> </w:t>
      </w:r>
    </w:p>
    <w:p w14:paraId="3F2B2052" w14:textId="7D2EF855" w:rsidR="00B02909" w:rsidRPr="00B02909" w:rsidRDefault="00B8531C" w:rsidP="005A3E91">
      <w:pPr>
        <w:pStyle w:val="TFReferencesSection"/>
        <w:ind w:firstLine="0"/>
      </w:pPr>
      <w:r w:rsidRPr="00235E71" w:rsidDel="00B8531C">
        <w:rPr>
          <w:highlight w:val="yellow"/>
        </w:rPr>
        <w:t xml:space="preserve"> </w:t>
      </w:r>
    </w:p>
    <w:p w14:paraId="433EB37F" w14:textId="10FB3C5A" w:rsidR="00B02909" w:rsidRPr="00B02909" w:rsidRDefault="001801D1" w:rsidP="005A3E91">
      <w:pPr>
        <w:pStyle w:val="TFReferencesSection"/>
        <w:ind w:firstLine="0"/>
      </w:pPr>
      <w:r w:rsidRPr="001801D1">
        <w:fldChar w:fldCharType="end"/>
      </w:r>
    </w:p>
    <w:p w14:paraId="371D2BC4" w14:textId="3D3E5ED4" w:rsidR="00B02909" w:rsidRPr="00B02909" w:rsidRDefault="00B02909" w:rsidP="005A3E91">
      <w:pPr>
        <w:pStyle w:val="TFReferencesSection"/>
        <w:ind w:firstLine="0"/>
      </w:pPr>
    </w:p>
    <w:p w14:paraId="7A3ACC7A" w14:textId="669915B7" w:rsidR="00B02909" w:rsidRPr="002110E2" w:rsidRDefault="00B02909" w:rsidP="005A3E91">
      <w:pPr>
        <w:pStyle w:val="TFReferencesSection"/>
        <w:ind w:firstLine="0"/>
      </w:pPr>
    </w:p>
    <w:p w14:paraId="3A3CCA6F" w14:textId="56356898" w:rsidR="00B02909" w:rsidRPr="00B02909" w:rsidRDefault="00B02909" w:rsidP="005A3E91">
      <w:pPr>
        <w:pStyle w:val="TFReferencesSection"/>
        <w:ind w:firstLine="0"/>
      </w:pPr>
    </w:p>
    <w:p w14:paraId="0A569361" w14:textId="77777777" w:rsidR="00DD29EF" w:rsidRDefault="000D2D84" w:rsidP="00C06CFC">
      <w:pPr>
        <w:pStyle w:val="SNSynopsisTOC"/>
        <w:sectPr w:rsidR="00DD29EF" w:rsidSect="005D5DF7">
          <w:type w:val="continuous"/>
          <w:pgSz w:w="12240" w:h="15840"/>
          <w:pgMar w:top="720" w:right="1094" w:bottom="720" w:left="1094" w:header="720" w:footer="720" w:gutter="0"/>
          <w:cols w:num="2" w:space="461"/>
        </w:sectPr>
      </w:pPr>
      <w:r>
        <w:br w:type="page"/>
      </w:r>
    </w:p>
    <w:p w14:paraId="3660A55D" w14:textId="77777777" w:rsidR="00DD29EF" w:rsidRPr="00F8537A" w:rsidRDefault="00DD29EF" w:rsidP="00C06CFC">
      <w:pPr>
        <w:pStyle w:val="SNSynopsisTOC"/>
      </w:pPr>
    </w:p>
    <w:p w14:paraId="34B4B24F" w14:textId="77777777" w:rsidR="00A66EDD" w:rsidRDefault="00A66EDD" w:rsidP="00865479">
      <w:pPr>
        <w:pStyle w:val="TFReferencesSection"/>
        <w:rPr>
          <w:rStyle w:val="aa"/>
        </w:rPr>
        <w:sectPr w:rsidR="00A66EDD" w:rsidSect="00984F9E">
          <w:type w:val="continuous"/>
          <w:pgSz w:w="12240" w:h="15840"/>
          <w:pgMar w:top="720" w:right="1094" w:bottom="720" w:left="1094" w:header="720" w:footer="720" w:gutter="0"/>
          <w:cols w:space="461"/>
        </w:sectPr>
      </w:pPr>
    </w:p>
    <w:p w14:paraId="13294C28" w14:textId="77777777" w:rsidR="00B05F22" w:rsidRDefault="00B36E1F" w:rsidP="00A66EDD">
      <w:pPr>
        <w:pBdr>
          <w:bottom w:val="single" w:sz="4" w:space="1" w:color="auto"/>
        </w:pBdr>
        <w:spacing w:after="240"/>
        <w:jc w:val="center"/>
        <w:rPr>
          <w:rFonts w:ascii="arno pro" w:hAnsi="arno pro"/>
        </w:rPr>
      </w:pPr>
      <w:r>
        <w:rPr>
          <w:rFonts w:ascii="arno pro" w:hAnsi="arno pro"/>
          <w:noProof/>
        </w:rPr>
        <w:pict w14:anchorId="1B181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191213_TOC_3" style="width:123pt;height:111pt;mso-width-percent:0;mso-height-percent:0;mso-width-percent:0;mso-height-percent:0">
            <v:imagedata r:id="rId18" o:title="191213_TOC_3"/>
            <o:lock v:ext="edit" aspectratio="f"/>
          </v:shape>
        </w:pict>
      </w:r>
    </w:p>
    <w:sectPr w:rsidR="00B05F22" w:rsidSect="00984F9E">
      <w:headerReference w:type="even" r:id="rId19"/>
      <w:footerReference w:type="even" r:id="rId20"/>
      <w:footerReference w:type="default" r:id="rId21"/>
      <w:type w:val="continuous"/>
      <w:pgSz w:w="12240" w:h="15840"/>
      <w:pgMar w:top="720" w:right="1094" w:bottom="720" w:left="1094" w:header="0" w:footer="0" w:gutter="0"/>
      <w:cols w:space="47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83622D" w14:textId="77777777" w:rsidR="00B36E1F" w:rsidRDefault="00B36E1F">
      <w:r>
        <w:separator/>
      </w:r>
    </w:p>
    <w:p w14:paraId="2C5A4106" w14:textId="77777777" w:rsidR="00B36E1F" w:rsidRDefault="00B36E1F"/>
  </w:endnote>
  <w:endnote w:type="continuationSeparator" w:id="0">
    <w:p w14:paraId="6BF94AE9" w14:textId="77777777" w:rsidR="00B36E1F" w:rsidRDefault="00B36E1F">
      <w:r>
        <w:continuationSeparator/>
      </w:r>
    </w:p>
    <w:p w14:paraId="55BBBEAF" w14:textId="77777777" w:rsidR="00B36E1F" w:rsidRDefault="00B36E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embedRegular r:id="rId1" w:subsetted="1" w:fontKey="{8DFD7991-2EAD-BA4A-9055-6BA4FCCB9CCE}"/>
  </w:font>
  <w:font w:name="New York">
    <w:altName w:val="Times New Roman"/>
    <w:panose1 w:val="020B0604020202020204"/>
    <w:charset w:val="00"/>
    <w:family w:val="roman"/>
    <w:pitch w:val="variable"/>
    <w:sig w:usb0="00000003" w:usb1="00000000" w:usb2="00000000" w:usb3="00000000" w:csb0="00000001" w:csb1="00000000"/>
  </w:font>
  <w:font w:name="맑은 고딕">
    <w:panose1 w:val="020B0503020000020004"/>
    <w:charset w:val="81"/>
    <w:family w:val="swiss"/>
    <w:pitch w:val="variable"/>
    <w:sig w:usb0="9000002F" w:usb1="29D77CFB" w:usb2="00000012" w:usb3="00000000" w:csb0="00080001" w:csb1="00000000"/>
  </w:font>
  <w:font w:name="Times">
    <w:panose1 w:val="00000500000000020000"/>
    <w:charset w:val="00"/>
    <w:family w:val="auto"/>
    <w:pitch w:val="variable"/>
    <w:sig w:usb0="E00002FF" w:usb1="5000205A" w:usb2="00000000" w:usb3="00000000" w:csb0="0000019F" w:csb1="00000000"/>
  </w:font>
  <w:font w:name="Myriad Pro Light">
    <w:altName w:val="Calibri"/>
    <w:panose1 w:val="020B0604020202020204"/>
    <w:charset w:val="00"/>
    <w:family w:val="swiss"/>
    <w:pitch w:val="variable"/>
    <w:sig w:usb0="A00002AF" w:usb1="5000204B" w:usb2="00000000" w:usb3="00000000" w:csb0="0000019F" w:csb1="00000000"/>
  </w:font>
  <w:font w:name="Arial">
    <w:panose1 w:val="020B0604020202020204"/>
    <w:charset w:val="00"/>
    <w:family w:val="swiss"/>
    <w:pitch w:val="variable"/>
    <w:sig w:usb0="E0002AFF" w:usb1="C0007843" w:usb2="00000009" w:usb3="00000000" w:csb0="000001FF" w:csb1="00000000"/>
  </w:font>
  <w:font w:name="arno pro">
    <w:altName w:val="Times New Roman"/>
    <w:panose1 w:val="020B0604020202020204"/>
    <w:charset w:val="00"/>
    <w:family w:val="roman"/>
    <w:pitch w:val="variable"/>
    <w:sig w:usb0="00000001" w:usb1="00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embedRegular r:id="rId7" w:fontKey="{077F095B-C2CB-0243-A869-0AC1BAE06E60}"/>
    <w:embedItalic r:id="rId8" w:fontKey="{5209487D-F3B2-4743-8368-9463CEFAF40B}"/>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2E626B" w14:textId="77777777" w:rsidR="00145150" w:rsidRDefault="00145150">
    <w:pPr>
      <w:framePr w:wrap="around" w:vAnchor="text" w:hAnchor="margin" w:xAlign="right" w:y="1"/>
      <w:rPr>
        <w:rStyle w:val="a8"/>
      </w:rPr>
    </w:pPr>
    <w:r>
      <w:rPr>
        <w:rStyle w:val="a8"/>
      </w:rPr>
      <w:t xml:space="preserve">PAGE  </w:t>
    </w:r>
    <w:r>
      <w:rPr>
        <w:rStyle w:val="a8"/>
        <w:noProof/>
      </w:rPr>
      <w:t>2</w:t>
    </w:r>
  </w:p>
  <w:p w14:paraId="62827C69" w14:textId="77777777" w:rsidR="00145150" w:rsidRDefault="00145150">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0B2E35" w14:textId="77777777" w:rsidR="00145150" w:rsidRDefault="00145150">
    <w:pP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22F559" w14:textId="77777777" w:rsidR="00145150" w:rsidRDefault="00145150">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Pr>
        <w:rStyle w:val="a8"/>
        <w:noProof/>
      </w:rPr>
      <w:t>1</w:t>
    </w:r>
    <w:r>
      <w:rPr>
        <w:rStyle w:val="a8"/>
      </w:rPr>
      <w:fldChar w:fldCharType="end"/>
    </w:r>
  </w:p>
  <w:p w14:paraId="762B2867" w14:textId="77777777" w:rsidR="00145150" w:rsidRDefault="00145150">
    <w:pPr>
      <w:pStyle w:val="a7"/>
      <w:ind w:right="360"/>
    </w:pPr>
  </w:p>
  <w:p w14:paraId="70B9E5C9" w14:textId="77777777" w:rsidR="00145150" w:rsidRDefault="00145150"/>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D5C9AE" w14:textId="77777777" w:rsidR="00145150" w:rsidRDefault="00145150">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Pr>
        <w:rStyle w:val="a8"/>
        <w:noProof/>
      </w:rPr>
      <w:t>4</w:t>
    </w:r>
    <w:r>
      <w:rPr>
        <w:rStyle w:val="a8"/>
      </w:rPr>
      <w:fldChar w:fldCharType="end"/>
    </w:r>
  </w:p>
  <w:p w14:paraId="3CA70336" w14:textId="77777777" w:rsidR="00145150" w:rsidRDefault="00145150">
    <w:pPr>
      <w:pStyle w:val="a7"/>
      <w:ind w:right="360"/>
    </w:pPr>
  </w:p>
  <w:p w14:paraId="6E32F0C7" w14:textId="77777777" w:rsidR="00145150" w:rsidRDefault="0014515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42E2C1" w14:textId="77777777" w:rsidR="00B36E1F" w:rsidRDefault="00B36E1F">
      <w:r>
        <w:separator/>
      </w:r>
    </w:p>
    <w:p w14:paraId="2301EC8B" w14:textId="77777777" w:rsidR="00B36E1F" w:rsidRDefault="00B36E1F"/>
  </w:footnote>
  <w:footnote w:type="continuationSeparator" w:id="0">
    <w:p w14:paraId="6DE60515" w14:textId="77777777" w:rsidR="00B36E1F" w:rsidRDefault="00B36E1F">
      <w:r>
        <w:continuationSeparator/>
      </w:r>
    </w:p>
    <w:p w14:paraId="2C5DDD6F" w14:textId="77777777" w:rsidR="00B36E1F" w:rsidRDefault="00B36E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45FBCE" w14:textId="77777777" w:rsidR="00145150" w:rsidRDefault="0014515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67B2852"/>
    <w:multiLevelType w:val="hybridMultilevel"/>
    <w:tmpl w:val="8B246742"/>
    <w:lvl w:ilvl="0" w:tplc="119CD87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1A1A1C38"/>
    <w:multiLevelType w:val="hybridMultilevel"/>
    <w:tmpl w:val="141CC990"/>
    <w:lvl w:ilvl="0" w:tplc="37843A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3"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4"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5"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6"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7"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8" w15:restartNumberingAfterBreak="0">
    <w:nsid w:val="5A7C1214"/>
    <w:multiLevelType w:val="hybridMultilevel"/>
    <w:tmpl w:val="25F6D76C"/>
    <w:lvl w:ilvl="0" w:tplc="C70EFFE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9" w15:restartNumberingAfterBreak="0">
    <w:nsid w:val="5D931D5E"/>
    <w:multiLevelType w:val="hybridMultilevel"/>
    <w:tmpl w:val="19E25BDA"/>
    <w:lvl w:ilvl="0" w:tplc="C1F4689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6"/>
  </w:num>
  <w:num w:numId="2">
    <w:abstractNumId w:val="4"/>
  </w:num>
  <w:num w:numId="3">
    <w:abstractNumId w:val="7"/>
  </w:num>
  <w:num w:numId="4">
    <w:abstractNumId w:val="5"/>
  </w:num>
  <w:num w:numId="5">
    <w:abstractNumId w:val="3"/>
  </w:num>
  <w:num w:numId="6">
    <w:abstractNumId w:val="2"/>
  </w:num>
  <w:num w:numId="7">
    <w:abstractNumId w:val="0"/>
  </w:num>
  <w:num w:numId="8">
    <w:abstractNumId w:val="1"/>
  </w:num>
  <w:num w:numId="9">
    <w:abstractNumId w:val="8"/>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embedTrueTypeFonts/>
  <w:saveSubsetFonts/>
  <w:bordersDoNotSurroundHeader/>
  <w:bordersDoNotSurroundFooter/>
  <w:activeWritingStyle w:appName="MSWord" w:lang="en-US" w:vendorID="64" w:dllVersion="6" w:nlCheck="1" w:checkStyle="0"/>
  <w:activeWritingStyle w:appName="MSWord" w:lang="en-US" w:vendorID="64" w:dllVersion="4096" w:nlCheck="1" w:checkStyle="0"/>
  <w:activeWritingStyle w:appName="MSWord" w:lang="ko-KR" w:vendorID="64" w:dllVersion="4096" w:nlCheck="1" w:checkStyle="0"/>
  <w:activeWritingStyle w:appName="MSWord" w:lang="de-DE" w:vendorID="64" w:dllVersion="6" w:nlCheck="1" w:checkStyle="0"/>
  <w:activeWritingStyle w:appName="MSWord" w:lang="fr-FR" w:vendorID="64" w:dllVersion="6" w:nlCheck="1" w:checkStyle="0"/>
  <w:activeWritingStyle w:appName="MSWord" w:lang="en-US" w:vendorID="64" w:dllVersion="0" w:nlCheck="1" w:checkStyle="0"/>
  <w:activeWritingStyle w:appName="MSWord" w:lang="fr-FR" w:vendorID="64" w:dllVersion="0" w:nlCheck="1" w:checkStyle="0"/>
  <w:activeWritingStyle w:appName="MSWord" w:lang="fr-FR" w:vendorID="64" w:dllVersion="4096" w:nlCheck="1" w:checkStyle="0"/>
  <w:activeWritingStyle w:appName="MSWord" w:lang="ko-KR" w:vendorID="64" w:dllVersion="5" w:nlCheck="1" w:checkStyle="1"/>
  <w:activeWritingStyle w:appName="MSWord" w:lang="de-DE" w:vendorID="64" w:dllVersion="4096" w:nlCheck="1" w:checkStyle="0"/>
  <w:activeWritingStyle w:appName="MSWord" w:lang="de-CH"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YztTAzM7S0sDA0MbBU0lEKTi0uzszPAykwqgUAsHFj0iwAAAA="/>
    <w:docVar w:name="EN.InstantFormat" w:val="&lt;ENInstantFormat&gt;&lt;Enabled&gt;0&lt;/Enabled&gt;&lt;ScanUnformatted&gt;1&lt;/ScanUnformatted&gt;&lt;ScanChanges&gt;1&lt;/ScanChanges&gt;&lt;Suspended&gt;0&lt;/Suspended&gt;&lt;/ENInstantFormat&gt;"/>
    <w:docVar w:name="EN.Layout" w:val="&lt;ENLayout&gt;&lt;Style&gt;ACS Chemistry of Materials edited&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2xzzwwaedapdxerwz7p20x7295wsv95tve0&quot;&gt;COP-99_Ref&lt;record-ids&gt;&lt;item&gt;1&lt;/item&gt;&lt;item&gt;2&lt;/item&gt;&lt;item&gt;3&lt;/item&gt;&lt;item&gt;4&lt;/item&gt;&lt;item&gt;5&lt;/item&gt;&lt;item&gt;6&lt;/item&gt;&lt;item&gt;7&lt;/item&gt;&lt;item&gt;8&lt;/item&gt;&lt;item&gt;9&lt;/item&gt;&lt;item&gt;10&lt;/item&gt;&lt;item&gt;11&lt;/item&gt;&lt;item&gt;14&lt;/item&gt;&lt;item&gt;15&lt;/item&gt;&lt;item&gt;16&lt;/item&gt;&lt;item&gt;17&lt;/item&gt;&lt;item&gt;18&lt;/item&gt;&lt;item&gt;19&lt;/item&gt;&lt;item&gt;20&lt;/item&gt;&lt;item&gt;21&lt;/item&gt;&lt;item&gt;22&lt;/item&gt;&lt;item&gt;24&lt;/item&gt;&lt;item&gt;25&lt;/item&gt;&lt;item&gt;27&lt;/item&gt;&lt;item&gt;28&lt;/item&gt;&lt;item&gt;29&lt;/item&gt;&lt;item&gt;30&lt;/item&gt;&lt;item&gt;31&lt;/item&gt;&lt;item&gt;32&lt;/item&gt;&lt;item&gt;33&lt;/item&gt;&lt;item&gt;34&lt;/item&gt;&lt;item&gt;35&lt;/item&gt;&lt;item&gt;36&lt;/item&gt;&lt;item&gt;38&lt;/item&gt;&lt;item&gt;39&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item&gt;59&lt;/item&gt;&lt;item&gt;61&lt;/item&gt;&lt;item&gt;62&lt;/item&gt;&lt;item&gt;63&lt;/item&gt;&lt;item&gt;64&lt;/item&gt;&lt;item&gt;65&lt;/item&gt;&lt;item&gt;66&lt;/item&gt;&lt;item&gt;67&lt;/item&gt;&lt;item&gt;68&lt;/item&gt;&lt;item&gt;69&lt;/item&gt;&lt;item&gt;70&lt;/item&gt;&lt;item&gt;71&lt;/item&gt;&lt;item&gt;72&lt;/item&gt;&lt;item&gt;73&lt;/item&gt;&lt;item&gt;74&lt;/item&gt;&lt;item&gt;76&lt;/item&gt;&lt;item&gt;77&lt;/item&gt;&lt;item&gt;78&lt;/item&gt;&lt;item&gt;79&lt;/item&gt;&lt;item&gt;80&lt;/item&gt;&lt;item&gt;81&lt;/item&gt;&lt;item&gt;82&lt;/item&gt;&lt;item&gt;83&lt;/item&gt;&lt;item&gt;85&lt;/item&gt;&lt;item&gt;86&lt;/item&gt;&lt;item&gt;87&lt;/item&gt;&lt;item&gt;88&lt;/item&gt;&lt;item&gt;89&lt;/item&gt;&lt;item&gt;90&lt;/item&gt;&lt;item&gt;91&lt;/item&gt;&lt;item&gt;92&lt;/item&gt;&lt;item&gt;93&lt;/item&gt;&lt;item&gt;94&lt;/item&gt;&lt;item&gt;95&lt;/item&gt;&lt;item&gt;96&lt;/item&gt;&lt;item&gt;99&lt;/item&gt;&lt;item&gt;100&lt;/item&gt;&lt;item&gt;101&lt;/item&gt;&lt;/record-ids&gt;&lt;/item&gt;&lt;/Libraries&gt;"/>
  </w:docVars>
  <w:rsids>
    <w:rsidRoot w:val="00D2345F"/>
    <w:rsid w:val="000022F1"/>
    <w:rsid w:val="000027D9"/>
    <w:rsid w:val="000201D0"/>
    <w:rsid w:val="00023C32"/>
    <w:rsid w:val="00025D37"/>
    <w:rsid w:val="0003046A"/>
    <w:rsid w:val="00032D5B"/>
    <w:rsid w:val="000508BA"/>
    <w:rsid w:val="00051177"/>
    <w:rsid w:val="00060725"/>
    <w:rsid w:val="000614F5"/>
    <w:rsid w:val="000704D3"/>
    <w:rsid w:val="00073A59"/>
    <w:rsid w:val="00081E50"/>
    <w:rsid w:val="00084C7E"/>
    <w:rsid w:val="00097B76"/>
    <w:rsid w:val="000A0B43"/>
    <w:rsid w:val="000A65BB"/>
    <w:rsid w:val="000A6D63"/>
    <w:rsid w:val="000A7051"/>
    <w:rsid w:val="000B189C"/>
    <w:rsid w:val="000B6D38"/>
    <w:rsid w:val="000C1C0B"/>
    <w:rsid w:val="000C4153"/>
    <w:rsid w:val="000C7541"/>
    <w:rsid w:val="000D2628"/>
    <w:rsid w:val="000D2D84"/>
    <w:rsid w:val="000D669C"/>
    <w:rsid w:val="000E75E3"/>
    <w:rsid w:val="000F3A7E"/>
    <w:rsid w:val="000F62C9"/>
    <w:rsid w:val="00101D1F"/>
    <w:rsid w:val="00106EFF"/>
    <w:rsid w:val="00107FA9"/>
    <w:rsid w:val="00115F19"/>
    <w:rsid w:val="00120397"/>
    <w:rsid w:val="00122B9C"/>
    <w:rsid w:val="00126152"/>
    <w:rsid w:val="001338EF"/>
    <w:rsid w:val="001379DD"/>
    <w:rsid w:val="00141659"/>
    <w:rsid w:val="00145150"/>
    <w:rsid w:val="0015109A"/>
    <w:rsid w:val="001510B6"/>
    <w:rsid w:val="0015633E"/>
    <w:rsid w:val="00157E12"/>
    <w:rsid w:val="00160BB1"/>
    <w:rsid w:val="00161C76"/>
    <w:rsid w:val="001801D1"/>
    <w:rsid w:val="001866E4"/>
    <w:rsid w:val="0019001A"/>
    <w:rsid w:val="0019627A"/>
    <w:rsid w:val="001A0622"/>
    <w:rsid w:val="001A356D"/>
    <w:rsid w:val="001A6A5C"/>
    <w:rsid w:val="001D54D5"/>
    <w:rsid w:val="001E451C"/>
    <w:rsid w:val="001F137C"/>
    <w:rsid w:val="001F4487"/>
    <w:rsid w:val="001F7EE8"/>
    <w:rsid w:val="00201CBE"/>
    <w:rsid w:val="00201DC7"/>
    <w:rsid w:val="002031A2"/>
    <w:rsid w:val="00204963"/>
    <w:rsid w:val="00214050"/>
    <w:rsid w:val="00217F63"/>
    <w:rsid w:val="0022001A"/>
    <w:rsid w:val="002275C8"/>
    <w:rsid w:val="0023247F"/>
    <w:rsid w:val="00233734"/>
    <w:rsid w:val="00235E71"/>
    <w:rsid w:val="0024409A"/>
    <w:rsid w:val="00246431"/>
    <w:rsid w:val="002515EE"/>
    <w:rsid w:val="00260030"/>
    <w:rsid w:val="00263342"/>
    <w:rsid w:val="002679EE"/>
    <w:rsid w:val="00270E96"/>
    <w:rsid w:val="002729FB"/>
    <w:rsid w:val="0027343B"/>
    <w:rsid w:val="00275182"/>
    <w:rsid w:val="0028188F"/>
    <w:rsid w:val="00286F6A"/>
    <w:rsid w:val="002A497E"/>
    <w:rsid w:val="002A7098"/>
    <w:rsid w:val="002A7D96"/>
    <w:rsid w:val="002B37A3"/>
    <w:rsid w:val="002B4346"/>
    <w:rsid w:val="002B68A1"/>
    <w:rsid w:val="002C3431"/>
    <w:rsid w:val="002C41FC"/>
    <w:rsid w:val="002C4439"/>
    <w:rsid w:val="002C4B65"/>
    <w:rsid w:val="002C56E7"/>
    <w:rsid w:val="002C7440"/>
    <w:rsid w:val="002E290A"/>
    <w:rsid w:val="002F299C"/>
    <w:rsid w:val="002F3151"/>
    <w:rsid w:val="002F4217"/>
    <w:rsid w:val="00310911"/>
    <w:rsid w:val="00331F5F"/>
    <w:rsid w:val="0033364C"/>
    <w:rsid w:val="00343752"/>
    <w:rsid w:val="00343DAD"/>
    <w:rsid w:val="0035002E"/>
    <w:rsid w:val="003547B0"/>
    <w:rsid w:val="00357396"/>
    <w:rsid w:val="003679A1"/>
    <w:rsid w:val="00375E33"/>
    <w:rsid w:val="00377953"/>
    <w:rsid w:val="00380BE4"/>
    <w:rsid w:val="00381243"/>
    <w:rsid w:val="00383E03"/>
    <w:rsid w:val="003911D8"/>
    <w:rsid w:val="003A0F5F"/>
    <w:rsid w:val="003A5AEF"/>
    <w:rsid w:val="003B2E53"/>
    <w:rsid w:val="003B4AF3"/>
    <w:rsid w:val="003B60A1"/>
    <w:rsid w:val="003C192D"/>
    <w:rsid w:val="003C2BE3"/>
    <w:rsid w:val="003E3645"/>
    <w:rsid w:val="003E5207"/>
    <w:rsid w:val="003F2332"/>
    <w:rsid w:val="003F2BD9"/>
    <w:rsid w:val="003F6625"/>
    <w:rsid w:val="00400B91"/>
    <w:rsid w:val="00405B12"/>
    <w:rsid w:val="0041079D"/>
    <w:rsid w:val="00413788"/>
    <w:rsid w:val="00422950"/>
    <w:rsid w:val="00425212"/>
    <w:rsid w:val="00426CCF"/>
    <w:rsid w:val="00427112"/>
    <w:rsid w:val="004564CF"/>
    <w:rsid w:val="0045687A"/>
    <w:rsid w:val="00456B38"/>
    <w:rsid w:val="0046051C"/>
    <w:rsid w:val="00466750"/>
    <w:rsid w:val="004762A7"/>
    <w:rsid w:val="00476504"/>
    <w:rsid w:val="00484DA6"/>
    <w:rsid w:val="004923F5"/>
    <w:rsid w:val="0049449E"/>
    <w:rsid w:val="00496B72"/>
    <w:rsid w:val="00497E3E"/>
    <w:rsid w:val="004A3E0C"/>
    <w:rsid w:val="004A742B"/>
    <w:rsid w:val="004A7B8C"/>
    <w:rsid w:val="004B3F0C"/>
    <w:rsid w:val="004D13A8"/>
    <w:rsid w:val="004D1EF2"/>
    <w:rsid w:val="004E0A87"/>
    <w:rsid w:val="004E35E0"/>
    <w:rsid w:val="00507D53"/>
    <w:rsid w:val="005229C6"/>
    <w:rsid w:val="005327A4"/>
    <w:rsid w:val="005329C7"/>
    <w:rsid w:val="00535659"/>
    <w:rsid w:val="00545751"/>
    <w:rsid w:val="00550B6E"/>
    <w:rsid w:val="00551789"/>
    <w:rsid w:val="00552A07"/>
    <w:rsid w:val="00557D3A"/>
    <w:rsid w:val="0056262B"/>
    <w:rsid w:val="00563A70"/>
    <w:rsid w:val="00564CA3"/>
    <w:rsid w:val="005654CB"/>
    <w:rsid w:val="00571F87"/>
    <w:rsid w:val="0057548D"/>
    <w:rsid w:val="005754B8"/>
    <w:rsid w:val="00575965"/>
    <w:rsid w:val="0058406F"/>
    <w:rsid w:val="0059005B"/>
    <w:rsid w:val="00591A57"/>
    <w:rsid w:val="0059535F"/>
    <w:rsid w:val="005A3E91"/>
    <w:rsid w:val="005B2BA8"/>
    <w:rsid w:val="005B57D6"/>
    <w:rsid w:val="005B77F9"/>
    <w:rsid w:val="005C6A62"/>
    <w:rsid w:val="005D0C10"/>
    <w:rsid w:val="005D2065"/>
    <w:rsid w:val="005D5BD1"/>
    <w:rsid w:val="005D5DF7"/>
    <w:rsid w:val="005E1AD5"/>
    <w:rsid w:val="005E25B8"/>
    <w:rsid w:val="005E2E64"/>
    <w:rsid w:val="005E700E"/>
    <w:rsid w:val="005F37B4"/>
    <w:rsid w:val="005F5C5C"/>
    <w:rsid w:val="00600969"/>
    <w:rsid w:val="00604E00"/>
    <w:rsid w:val="00604F23"/>
    <w:rsid w:val="00614F2E"/>
    <w:rsid w:val="00616D68"/>
    <w:rsid w:val="00624FDD"/>
    <w:rsid w:val="00627B4A"/>
    <w:rsid w:val="00630518"/>
    <w:rsid w:val="00631B3F"/>
    <w:rsid w:val="00631E32"/>
    <w:rsid w:val="0064353C"/>
    <w:rsid w:val="006435AC"/>
    <w:rsid w:val="006469F1"/>
    <w:rsid w:val="006532A9"/>
    <w:rsid w:val="00657CB2"/>
    <w:rsid w:val="00692B9F"/>
    <w:rsid w:val="00694154"/>
    <w:rsid w:val="006A44D8"/>
    <w:rsid w:val="006B2581"/>
    <w:rsid w:val="006B360C"/>
    <w:rsid w:val="006D3432"/>
    <w:rsid w:val="006D4D12"/>
    <w:rsid w:val="006E2523"/>
    <w:rsid w:val="006E6BC5"/>
    <w:rsid w:val="006F268D"/>
    <w:rsid w:val="006F3C33"/>
    <w:rsid w:val="006F492F"/>
    <w:rsid w:val="006F4935"/>
    <w:rsid w:val="006F7A00"/>
    <w:rsid w:val="007009DA"/>
    <w:rsid w:val="00701AF9"/>
    <w:rsid w:val="007054A0"/>
    <w:rsid w:val="0071182A"/>
    <w:rsid w:val="007130C0"/>
    <w:rsid w:val="00713918"/>
    <w:rsid w:val="007179F0"/>
    <w:rsid w:val="00724EA2"/>
    <w:rsid w:val="00725E67"/>
    <w:rsid w:val="0073142B"/>
    <w:rsid w:val="007331FF"/>
    <w:rsid w:val="00741553"/>
    <w:rsid w:val="00741AC9"/>
    <w:rsid w:val="00743458"/>
    <w:rsid w:val="007437DA"/>
    <w:rsid w:val="007543E3"/>
    <w:rsid w:val="007629D3"/>
    <w:rsid w:val="00763313"/>
    <w:rsid w:val="0076393C"/>
    <w:rsid w:val="00781B7B"/>
    <w:rsid w:val="007916C0"/>
    <w:rsid w:val="00795554"/>
    <w:rsid w:val="007A0EA1"/>
    <w:rsid w:val="007A4313"/>
    <w:rsid w:val="007A5095"/>
    <w:rsid w:val="007B4B18"/>
    <w:rsid w:val="007C1383"/>
    <w:rsid w:val="007C3CE9"/>
    <w:rsid w:val="007C7DAC"/>
    <w:rsid w:val="007D50C1"/>
    <w:rsid w:val="007E19EA"/>
    <w:rsid w:val="007F3FDD"/>
    <w:rsid w:val="007F6792"/>
    <w:rsid w:val="00802912"/>
    <w:rsid w:val="00802B32"/>
    <w:rsid w:val="00803489"/>
    <w:rsid w:val="008059BB"/>
    <w:rsid w:val="00813A1E"/>
    <w:rsid w:val="00817B53"/>
    <w:rsid w:val="0082067F"/>
    <w:rsid w:val="008348A2"/>
    <w:rsid w:val="00835CBD"/>
    <w:rsid w:val="008370B5"/>
    <w:rsid w:val="00840C84"/>
    <w:rsid w:val="008423ED"/>
    <w:rsid w:val="00853059"/>
    <w:rsid w:val="00862826"/>
    <w:rsid w:val="00863157"/>
    <w:rsid w:val="00865479"/>
    <w:rsid w:val="008655C0"/>
    <w:rsid w:val="00865B0F"/>
    <w:rsid w:val="00873FAA"/>
    <w:rsid w:val="008748A3"/>
    <w:rsid w:val="008847DD"/>
    <w:rsid w:val="008857FB"/>
    <w:rsid w:val="008966F9"/>
    <w:rsid w:val="008B3498"/>
    <w:rsid w:val="008B7738"/>
    <w:rsid w:val="008D2DFE"/>
    <w:rsid w:val="008D3D15"/>
    <w:rsid w:val="008D567C"/>
    <w:rsid w:val="008F094C"/>
    <w:rsid w:val="008F1F87"/>
    <w:rsid w:val="008F4332"/>
    <w:rsid w:val="0092037A"/>
    <w:rsid w:val="009246AD"/>
    <w:rsid w:val="00927CDC"/>
    <w:rsid w:val="00941E74"/>
    <w:rsid w:val="009527B5"/>
    <w:rsid w:val="00955E54"/>
    <w:rsid w:val="009568DB"/>
    <w:rsid w:val="00957A83"/>
    <w:rsid w:val="00957C0B"/>
    <w:rsid w:val="00966E99"/>
    <w:rsid w:val="00967927"/>
    <w:rsid w:val="00970C67"/>
    <w:rsid w:val="00980134"/>
    <w:rsid w:val="00981DEE"/>
    <w:rsid w:val="00982A56"/>
    <w:rsid w:val="0098465F"/>
    <w:rsid w:val="00984F9E"/>
    <w:rsid w:val="00991D95"/>
    <w:rsid w:val="00992036"/>
    <w:rsid w:val="009D520E"/>
    <w:rsid w:val="009E3467"/>
    <w:rsid w:val="009F718B"/>
    <w:rsid w:val="00A016D3"/>
    <w:rsid w:val="00A02D62"/>
    <w:rsid w:val="00A10BA4"/>
    <w:rsid w:val="00A111DC"/>
    <w:rsid w:val="00A202E0"/>
    <w:rsid w:val="00A21E50"/>
    <w:rsid w:val="00A24EB1"/>
    <w:rsid w:val="00A269C9"/>
    <w:rsid w:val="00A27F84"/>
    <w:rsid w:val="00A31661"/>
    <w:rsid w:val="00A31929"/>
    <w:rsid w:val="00A34A10"/>
    <w:rsid w:val="00A422B3"/>
    <w:rsid w:val="00A444E1"/>
    <w:rsid w:val="00A460B5"/>
    <w:rsid w:val="00A46209"/>
    <w:rsid w:val="00A46C91"/>
    <w:rsid w:val="00A51D60"/>
    <w:rsid w:val="00A644E8"/>
    <w:rsid w:val="00A655D5"/>
    <w:rsid w:val="00A66999"/>
    <w:rsid w:val="00A66EDD"/>
    <w:rsid w:val="00A66F0E"/>
    <w:rsid w:val="00A71C00"/>
    <w:rsid w:val="00A956A3"/>
    <w:rsid w:val="00AA273D"/>
    <w:rsid w:val="00AB658D"/>
    <w:rsid w:val="00AC1839"/>
    <w:rsid w:val="00AC527B"/>
    <w:rsid w:val="00AC5F97"/>
    <w:rsid w:val="00AC6438"/>
    <w:rsid w:val="00AD236D"/>
    <w:rsid w:val="00AD5A1F"/>
    <w:rsid w:val="00AE4B97"/>
    <w:rsid w:val="00AF1765"/>
    <w:rsid w:val="00AF2AD1"/>
    <w:rsid w:val="00AF4001"/>
    <w:rsid w:val="00AF4F56"/>
    <w:rsid w:val="00B02909"/>
    <w:rsid w:val="00B05F22"/>
    <w:rsid w:val="00B26CA5"/>
    <w:rsid w:val="00B36E1F"/>
    <w:rsid w:val="00B42C29"/>
    <w:rsid w:val="00B563D9"/>
    <w:rsid w:val="00B61CB4"/>
    <w:rsid w:val="00B71491"/>
    <w:rsid w:val="00B75C6D"/>
    <w:rsid w:val="00B7618D"/>
    <w:rsid w:val="00B81B08"/>
    <w:rsid w:val="00B829C3"/>
    <w:rsid w:val="00B8345A"/>
    <w:rsid w:val="00B8531C"/>
    <w:rsid w:val="00B855EB"/>
    <w:rsid w:val="00B875D7"/>
    <w:rsid w:val="00B9472B"/>
    <w:rsid w:val="00B97259"/>
    <w:rsid w:val="00BA19A1"/>
    <w:rsid w:val="00BB1134"/>
    <w:rsid w:val="00BC3E2A"/>
    <w:rsid w:val="00BC4BF9"/>
    <w:rsid w:val="00BC618C"/>
    <w:rsid w:val="00BD0668"/>
    <w:rsid w:val="00BD1B1B"/>
    <w:rsid w:val="00BD5122"/>
    <w:rsid w:val="00BD5AFB"/>
    <w:rsid w:val="00BE40D7"/>
    <w:rsid w:val="00BE533F"/>
    <w:rsid w:val="00BE7702"/>
    <w:rsid w:val="00C06CFC"/>
    <w:rsid w:val="00C168F2"/>
    <w:rsid w:val="00C17D62"/>
    <w:rsid w:val="00C25C3B"/>
    <w:rsid w:val="00C30403"/>
    <w:rsid w:val="00C4069B"/>
    <w:rsid w:val="00C45E7B"/>
    <w:rsid w:val="00C470FE"/>
    <w:rsid w:val="00C53DE7"/>
    <w:rsid w:val="00C55972"/>
    <w:rsid w:val="00C702C5"/>
    <w:rsid w:val="00C72D78"/>
    <w:rsid w:val="00C7658C"/>
    <w:rsid w:val="00C77856"/>
    <w:rsid w:val="00C77B4C"/>
    <w:rsid w:val="00C9140C"/>
    <w:rsid w:val="00C919F7"/>
    <w:rsid w:val="00CA15CA"/>
    <w:rsid w:val="00CB70E1"/>
    <w:rsid w:val="00CB7153"/>
    <w:rsid w:val="00CC3BA7"/>
    <w:rsid w:val="00CD6F65"/>
    <w:rsid w:val="00CE18AC"/>
    <w:rsid w:val="00CE1C3F"/>
    <w:rsid w:val="00CE226E"/>
    <w:rsid w:val="00CE7726"/>
    <w:rsid w:val="00CF6341"/>
    <w:rsid w:val="00CF7181"/>
    <w:rsid w:val="00D04259"/>
    <w:rsid w:val="00D0596F"/>
    <w:rsid w:val="00D13B1B"/>
    <w:rsid w:val="00D166FE"/>
    <w:rsid w:val="00D2345F"/>
    <w:rsid w:val="00D24EE7"/>
    <w:rsid w:val="00D25687"/>
    <w:rsid w:val="00D31872"/>
    <w:rsid w:val="00D36A86"/>
    <w:rsid w:val="00D4064D"/>
    <w:rsid w:val="00D46861"/>
    <w:rsid w:val="00D531BE"/>
    <w:rsid w:val="00D61DBF"/>
    <w:rsid w:val="00D66756"/>
    <w:rsid w:val="00D77133"/>
    <w:rsid w:val="00D80431"/>
    <w:rsid w:val="00D806D3"/>
    <w:rsid w:val="00D81310"/>
    <w:rsid w:val="00D86677"/>
    <w:rsid w:val="00D928D2"/>
    <w:rsid w:val="00D976C5"/>
    <w:rsid w:val="00D97D67"/>
    <w:rsid w:val="00DA2830"/>
    <w:rsid w:val="00DD1177"/>
    <w:rsid w:val="00DD1EEC"/>
    <w:rsid w:val="00DD29EF"/>
    <w:rsid w:val="00DD3489"/>
    <w:rsid w:val="00DD63C6"/>
    <w:rsid w:val="00DE222F"/>
    <w:rsid w:val="00DE2895"/>
    <w:rsid w:val="00DE7360"/>
    <w:rsid w:val="00DE78D2"/>
    <w:rsid w:val="00DF4100"/>
    <w:rsid w:val="00DF59F4"/>
    <w:rsid w:val="00DF683D"/>
    <w:rsid w:val="00DF7381"/>
    <w:rsid w:val="00E040CF"/>
    <w:rsid w:val="00E07064"/>
    <w:rsid w:val="00E074F2"/>
    <w:rsid w:val="00E076E1"/>
    <w:rsid w:val="00E078B6"/>
    <w:rsid w:val="00E175E5"/>
    <w:rsid w:val="00E20526"/>
    <w:rsid w:val="00E22113"/>
    <w:rsid w:val="00E2340D"/>
    <w:rsid w:val="00E23FEF"/>
    <w:rsid w:val="00E32A18"/>
    <w:rsid w:val="00E4005C"/>
    <w:rsid w:val="00E42613"/>
    <w:rsid w:val="00E46BD3"/>
    <w:rsid w:val="00E518E3"/>
    <w:rsid w:val="00E65825"/>
    <w:rsid w:val="00E74067"/>
    <w:rsid w:val="00E75388"/>
    <w:rsid w:val="00E817F6"/>
    <w:rsid w:val="00E84CB9"/>
    <w:rsid w:val="00E93E00"/>
    <w:rsid w:val="00E94BC6"/>
    <w:rsid w:val="00E96302"/>
    <w:rsid w:val="00EA19F2"/>
    <w:rsid w:val="00EA282F"/>
    <w:rsid w:val="00EA630F"/>
    <w:rsid w:val="00EA776B"/>
    <w:rsid w:val="00EA7996"/>
    <w:rsid w:val="00EB426C"/>
    <w:rsid w:val="00EB447B"/>
    <w:rsid w:val="00EB7DBB"/>
    <w:rsid w:val="00ED3059"/>
    <w:rsid w:val="00EE0480"/>
    <w:rsid w:val="00EE301C"/>
    <w:rsid w:val="00EE5032"/>
    <w:rsid w:val="00EF12EB"/>
    <w:rsid w:val="00F01E6F"/>
    <w:rsid w:val="00F05CC3"/>
    <w:rsid w:val="00F07DCE"/>
    <w:rsid w:val="00F103D7"/>
    <w:rsid w:val="00F10E56"/>
    <w:rsid w:val="00F12908"/>
    <w:rsid w:val="00F23AA8"/>
    <w:rsid w:val="00F273C4"/>
    <w:rsid w:val="00F32DD0"/>
    <w:rsid w:val="00F35947"/>
    <w:rsid w:val="00F40CFC"/>
    <w:rsid w:val="00F5334B"/>
    <w:rsid w:val="00F5421E"/>
    <w:rsid w:val="00F5511A"/>
    <w:rsid w:val="00F66057"/>
    <w:rsid w:val="00F8189B"/>
    <w:rsid w:val="00F8537A"/>
    <w:rsid w:val="00F86CA8"/>
    <w:rsid w:val="00F9551D"/>
    <w:rsid w:val="00F97782"/>
    <w:rsid w:val="00FA7F70"/>
    <w:rsid w:val="00FB1896"/>
    <w:rsid w:val="00FB2251"/>
    <w:rsid w:val="00FB5A8B"/>
    <w:rsid w:val="00FC3CD1"/>
    <w:rsid w:val="00FE74B0"/>
    <w:rsid w:val="00FF0C83"/>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9B4D64B"/>
  <w15:docId w15:val="{1DFA601E-2CDB-694E-A3F7-DBCFA94E4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New York" w:eastAsiaTheme="minorEastAsia" w:hAnsi="New York"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spacing w:after="200"/>
      <w:jc w:val="both"/>
    </w:pPr>
    <w:rPr>
      <w:rFonts w:ascii="Times" w:hAnsi="Times"/>
      <w:sz w:val="24"/>
    </w:rPr>
  </w:style>
  <w:style w:type="paragraph" w:styleId="1">
    <w:name w:val="heading 1"/>
    <w:basedOn w:val="a"/>
    <w:next w:val="a"/>
    <w:qFormat/>
    <w:rsid w:val="00865479"/>
    <w:pPr>
      <w:keepNext/>
      <w:spacing w:before="180" w:after="60"/>
      <w:ind w:left="480" w:hanging="240"/>
      <w:outlineLvl w:val="0"/>
    </w:pPr>
    <w:rPr>
      <w:rFonts w:ascii="Myriad Pro Light" w:hAnsi="Myriad Pro Light" w:cs="Arial"/>
      <w:b/>
      <w:bCs/>
      <w:kern w:val="32"/>
      <w:sz w:val="22"/>
      <w:szCs w:val="32"/>
    </w:rPr>
  </w:style>
  <w:style w:type="paragraph" w:styleId="2">
    <w:name w:val="heading 2"/>
    <w:basedOn w:val="a"/>
    <w:next w:val="a"/>
    <w:qFormat/>
    <w:rsid w:val="00865479"/>
    <w:pPr>
      <w:keepNext/>
      <w:spacing w:before="60" w:after="60"/>
      <w:outlineLvl w:val="1"/>
    </w:pPr>
    <w:rPr>
      <w:rFonts w:ascii="Myriad Pro Light" w:hAnsi="Myriad Pro Light" w:cs="Arial"/>
      <w:b/>
      <w:bCs/>
      <w:iCs/>
      <w:sz w:val="20"/>
      <w:szCs w:val="28"/>
    </w:rPr>
  </w:style>
  <w:style w:type="paragraph" w:styleId="3">
    <w:name w:val="heading 3"/>
    <w:basedOn w:val="a"/>
    <w:next w:val="a"/>
    <w:qFormat/>
    <w:rsid w:val="00865479"/>
    <w:pPr>
      <w:keepNext/>
      <w:spacing w:before="60" w:after="60"/>
      <w:ind w:left="180"/>
      <w:outlineLvl w:val="2"/>
    </w:pPr>
    <w:rPr>
      <w:rFonts w:ascii="Myriad Pro Light" w:hAnsi="Myriad Pro Light" w:cs="Arial"/>
      <w:b/>
      <w:bCs/>
      <w:sz w:val="20"/>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rPr>
      <w:color w:val="800080"/>
      <w:u w:val="single"/>
    </w:rPr>
  </w:style>
  <w:style w:type="paragraph" w:styleId="a4">
    <w:name w:val="Body Text"/>
    <w:basedOn w:val="a"/>
    <w:pPr>
      <w:jc w:val="center"/>
    </w:pPr>
    <w:rPr>
      <w:b/>
      <w:sz w:val="40"/>
    </w:rPr>
  </w:style>
  <w:style w:type="paragraph" w:styleId="a5">
    <w:name w:val="footnote text"/>
    <w:basedOn w:val="a"/>
    <w:next w:val="TFReferencesSection"/>
    <w:link w:val="Char"/>
    <w:semiHidden/>
  </w:style>
  <w:style w:type="paragraph" w:customStyle="1" w:styleId="TFReferencesSection">
    <w:name w:val="TF_References_Section"/>
    <w:basedOn w:val="a"/>
    <w:next w:val="a"/>
    <w:autoRedefine/>
    <w:rsid w:val="00AC5F97"/>
    <w:pPr>
      <w:spacing w:after="0"/>
      <w:ind w:firstLine="187"/>
    </w:pPr>
    <w:rPr>
      <w:rFonts w:ascii="arno pro" w:hAnsi="arno pro"/>
      <w:kern w:val="19"/>
      <w:sz w:val="17"/>
      <w:szCs w:val="14"/>
    </w:rPr>
  </w:style>
  <w:style w:type="paragraph" w:customStyle="1" w:styleId="TAMainText">
    <w:name w:val="TA_Main_Text"/>
    <w:basedOn w:val="a"/>
    <w:autoRedefine/>
    <w:rsid w:val="00025D37"/>
    <w:pPr>
      <w:spacing w:after="0"/>
      <w:ind w:firstLine="238"/>
    </w:pPr>
    <w:rPr>
      <w:rFonts w:ascii="arno pro" w:hAnsi="arno pro"/>
      <w:kern w:val="21"/>
      <w:sz w:val="19"/>
    </w:rPr>
  </w:style>
  <w:style w:type="paragraph" w:customStyle="1" w:styleId="BATitle">
    <w:name w:val="BA_Title"/>
    <w:basedOn w:val="a"/>
    <w:next w:val="BBAuthorName"/>
    <w:autoRedefine/>
    <w:rsid w:val="00427112"/>
    <w:pPr>
      <w:spacing w:before="1400" w:after="180"/>
      <w:jc w:val="left"/>
    </w:pPr>
    <w:rPr>
      <w:rFonts w:ascii="Myriad Pro Light" w:hAnsi="Myriad Pro Light"/>
      <w:b/>
      <w:kern w:val="36"/>
      <w:sz w:val="34"/>
    </w:rPr>
  </w:style>
  <w:style w:type="paragraph" w:customStyle="1" w:styleId="BBAuthorName">
    <w:name w:val="BB_Author_Name"/>
    <w:basedOn w:val="a"/>
    <w:next w:val="BCAuthorAddress"/>
    <w:autoRedefine/>
    <w:rsid w:val="000E75E3"/>
    <w:pPr>
      <w:spacing w:after="180"/>
      <w:jc w:val="left"/>
    </w:pPr>
    <w:rPr>
      <w:rFonts w:ascii="arno pro" w:hAnsi="arno pro"/>
      <w:kern w:val="26"/>
    </w:rPr>
  </w:style>
  <w:style w:type="paragraph" w:customStyle="1" w:styleId="BCAuthorAddress">
    <w:name w:val="BC_Author_Address"/>
    <w:basedOn w:val="a"/>
    <w:next w:val="BIEmailAddress"/>
    <w:autoRedefine/>
    <w:rsid w:val="00AC5F97"/>
    <w:pPr>
      <w:spacing w:after="60"/>
      <w:jc w:val="left"/>
    </w:pPr>
    <w:rPr>
      <w:rFonts w:ascii="arno pro" w:hAnsi="arno pro"/>
      <w:kern w:val="22"/>
      <w:sz w:val="20"/>
    </w:rPr>
  </w:style>
  <w:style w:type="paragraph" w:customStyle="1" w:styleId="BIEmailAddress">
    <w:name w:val="BI_Email_Address"/>
    <w:basedOn w:val="a"/>
    <w:next w:val="AIReceivedDate"/>
    <w:autoRedefine/>
    <w:rsid w:val="003A0F5F"/>
    <w:pPr>
      <w:spacing w:after="100"/>
      <w:jc w:val="left"/>
    </w:pPr>
    <w:rPr>
      <w:rFonts w:ascii="arno pro" w:hAnsi="arno pro"/>
      <w:sz w:val="18"/>
    </w:rPr>
  </w:style>
  <w:style w:type="paragraph" w:customStyle="1" w:styleId="AIReceivedDate">
    <w:name w:val="AI_Received_Date"/>
    <w:basedOn w:val="a"/>
    <w:next w:val="a"/>
    <w:autoRedefine/>
    <w:rsid w:val="00A444E1"/>
    <w:pPr>
      <w:spacing w:after="100"/>
      <w:jc w:val="left"/>
    </w:pPr>
    <w:rPr>
      <w:rFonts w:ascii="arno pro" w:hAnsi="arno pro"/>
      <w:sz w:val="18"/>
    </w:rPr>
  </w:style>
  <w:style w:type="paragraph" w:customStyle="1" w:styleId="BDAbstract">
    <w:name w:val="BD_Abstract"/>
    <w:basedOn w:val="a"/>
    <w:next w:val="TAMainText"/>
    <w:link w:val="BDAbstractChar"/>
    <w:autoRedefine/>
    <w:rsid w:val="000E75E3"/>
    <w:pPr>
      <w:pBdr>
        <w:top w:val="single" w:sz="4" w:space="1" w:color="auto"/>
        <w:bottom w:val="single" w:sz="4" w:space="1" w:color="auto"/>
      </w:pBdr>
      <w:spacing w:before="100" w:after="600"/>
    </w:pPr>
    <w:rPr>
      <w:rFonts w:ascii="arno pro" w:hAnsi="arno pro"/>
      <w:kern w:val="21"/>
      <w:sz w:val="19"/>
    </w:rPr>
  </w:style>
  <w:style w:type="paragraph" w:customStyle="1" w:styleId="TDAcknowledgments">
    <w:name w:val="TD_Acknowledgments"/>
    <w:basedOn w:val="a"/>
    <w:next w:val="a"/>
    <w:link w:val="TDAcknowledgmentsChar"/>
    <w:autoRedefine/>
    <w:rsid w:val="00E75388"/>
    <w:pPr>
      <w:spacing w:after="0"/>
    </w:pPr>
    <w:rPr>
      <w:rFonts w:ascii="arno pro" w:hAnsi="arno pro"/>
      <w:kern w:val="20"/>
      <w:sz w:val="18"/>
    </w:rPr>
  </w:style>
  <w:style w:type="paragraph" w:customStyle="1" w:styleId="TESupportingInformation">
    <w:name w:val="TE_Supporting_Information"/>
    <w:basedOn w:val="a"/>
    <w:next w:val="a"/>
    <w:autoRedefine/>
    <w:rsid w:val="00157E12"/>
    <w:pPr>
      <w:spacing w:after="0"/>
    </w:pPr>
    <w:rPr>
      <w:rFonts w:ascii="arno pro" w:hAnsi="arno pro"/>
      <w:kern w:val="20"/>
      <w:sz w:val="18"/>
    </w:rPr>
  </w:style>
  <w:style w:type="paragraph" w:customStyle="1" w:styleId="VCSchemeTitle">
    <w:name w:val="VC_Scheme_Title"/>
    <w:basedOn w:val="a"/>
    <w:next w:val="a"/>
    <w:autoRedefine/>
    <w:rsid w:val="00427112"/>
    <w:pPr>
      <w:spacing w:after="180"/>
    </w:pPr>
    <w:rPr>
      <w:rFonts w:ascii="arno pro" w:hAnsi="arno pro"/>
      <w:b/>
      <w:kern w:val="21"/>
      <w:sz w:val="19"/>
    </w:rPr>
  </w:style>
  <w:style w:type="paragraph" w:customStyle="1" w:styleId="VDTableTitle">
    <w:name w:val="VD_Table_Title"/>
    <w:basedOn w:val="a"/>
    <w:next w:val="a"/>
    <w:autoRedefine/>
    <w:rsid w:val="00427112"/>
    <w:pPr>
      <w:spacing w:after="180"/>
    </w:pPr>
    <w:rPr>
      <w:rFonts w:ascii="arno pro" w:hAnsi="arno pro"/>
      <w:b/>
      <w:kern w:val="21"/>
      <w:sz w:val="19"/>
      <w:szCs w:val="19"/>
    </w:rPr>
  </w:style>
  <w:style w:type="paragraph" w:customStyle="1" w:styleId="VAFigureCaption">
    <w:name w:val="VA_Figure_Caption"/>
    <w:basedOn w:val="a"/>
    <w:next w:val="a"/>
    <w:autoRedefine/>
    <w:rsid w:val="000E75E3"/>
    <w:pPr>
      <w:spacing w:before="200" w:after="120"/>
    </w:pPr>
    <w:rPr>
      <w:rFonts w:ascii="arno pro" w:hAnsi="arno pro"/>
      <w:kern w:val="20"/>
      <w:sz w:val="18"/>
    </w:rPr>
  </w:style>
  <w:style w:type="paragraph" w:customStyle="1" w:styleId="VBChartTitle">
    <w:name w:val="VB_Chart_Title"/>
    <w:basedOn w:val="a"/>
    <w:next w:val="a"/>
    <w:autoRedefine/>
    <w:rsid w:val="00427112"/>
    <w:pPr>
      <w:spacing w:after="180"/>
    </w:pPr>
    <w:rPr>
      <w:rFonts w:ascii="arno pro" w:hAnsi="arno pro"/>
      <w:b/>
      <w:kern w:val="21"/>
      <w:sz w:val="19"/>
    </w:rPr>
  </w:style>
  <w:style w:type="paragraph" w:customStyle="1" w:styleId="FETableFootnote">
    <w:name w:val="FE_Table_Footnote"/>
    <w:basedOn w:val="a"/>
    <w:next w:val="a"/>
    <w:autoRedefine/>
    <w:rsid w:val="000E75E3"/>
    <w:pPr>
      <w:spacing w:before="60" w:after="120"/>
      <w:ind w:firstLine="187"/>
    </w:pPr>
    <w:rPr>
      <w:rFonts w:ascii="arno pro" w:hAnsi="arno pro"/>
      <w:sz w:val="18"/>
    </w:rPr>
  </w:style>
  <w:style w:type="paragraph" w:customStyle="1" w:styleId="FCChartFootnote">
    <w:name w:val="FC_Chart_Footnote"/>
    <w:basedOn w:val="a"/>
    <w:next w:val="a"/>
    <w:autoRedefine/>
    <w:rsid w:val="00157E12"/>
    <w:pPr>
      <w:spacing w:before="60" w:after="120"/>
      <w:ind w:firstLine="187"/>
    </w:pPr>
    <w:rPr>
      <w:rFonts w:ascii="arno pro" w:hAnsi="arno pro"/>
      <w:sz w:val="18"/>
    </w:rPr>
  </w:style>
  <w:style w:type="paragraph" w:customStyle="1" w:styleId="FDSchemeFootnote">
    <w:name w:val="FD_Scheme_Footnote"/>
    <w:basedOn w:val="a"/>
    <w:next w:val="a"/>
    <w:autoRedefine/>
    <w:rsid w:val="00157E12"/>
    <w:pPr>
      <w:spacing w:before="60" w:after="120"/>
      <w:ind w:firstLine="187"/>
    </w:pPr>
    <w:rPr>
      <w:rFonts w:ascii="arno pro" w:hAnsi="arno pro"/>
      <w:sz w:val="18"/>
    </w:rPr>
  </w:style>
  <w:style w:type="paragraph" w:customStyle="1" w:styleId="TCTableBody">
    <w:name w:val="TC_Table_Body"/>
    <w:basedOn w:val="a"/>
    <w:next w:val="a"/>
    <w:link w:val="TCTableBodyChar"/>
    <w:autoRedefine/>
    <w:rsid w:val="000E75E3"/>
    <w:pPr>
      <w:spacing w:before="20" w:after="60"/>
    </w:pPr>
    <w:rPr>
      <w:rFonts w:ascii="arno pro" w:hAnsi="arno pro"/>
      <w:kern w:val="20"/>
      <w:sz w:val="18"/>
    </w:rPr>
  </w:style>
  <w:style w:type="paragraph" w:customStyle="1" w:styleId="StyleFACorrespondingAuthorFootnote7pt">
    <w:name w:val="Style FA_Corresponding_Author_Footnote + 7 pt"/>
    <w:basedOn w:val="a"/>
    <w:next w:val="BGKeywords"/>
    <w:link w:val="StyleFACorrespondingAuthorFootnote7ptChar"/>
    <w:autoRedefine/>
    <w:rsid w:val="000D2D84"/>
    <w:pPr>
      <w:spacing w:after="0"/>
      <w:jc w:val="left"/>
    </w:pPr>
    <w:rPr>
      <w:rFonts w:ascii="arno pro" w:hAnsi="arno pro"/>
      <w:kern w:val="20"/>
      <w:sz w:val="18"/>
    </w:rPr>
  </w:style>
  <w:style w:type="paragraph" w:customStyle="1" w:styleId="BEAuthorBiography">
    <w:name w:val="BE_Author_Biography"/>
    <w:basedOn w:val="a"/>
    <w:autoRedefine/>
    <w:rsid w:val="003A0F5F"/>
    <w:rPr>
      <w:rFonts w:ascii="arno pro" w:hAnsi="arno pro"/>
      <w:sz w:val="22"/>
    </w:rPr>
  </w:style>
  <w:style w:type="paragraph" w:customStyle="1" w:styleId="StyleBIEmailAddress95pt">
    <w:name w:val="Style BI_Email_Address + 9.5 pt"/>
    <w:basedOn w:val="BIEmailAddress"/>
    <w:rsid w:val="007F6792"/>
    <w:pPr>
      <w:spacing w:after="60"/>
    </w:pPr>
    <w:rPr>
      <w:sz w:val="19"/>
    </w:rPr>
  </w:style>
  <w:style w:type="paragraph" w:customStyle="1" w:styleId="SNSynopsisTOC">
    <w:name w:val="SN_Synopsis_TOC"/>
    <w:basedOn w:val="a"/>
    <w:next w:val="a"/>
    <w:autoRedefine/>
    <w:rsid w:val="000E75E3"/>
    <w:pPr>
      <w:spacing w:after="60"/>
    </w:pPr>
    <w:rPr>
      <w:rFonts w:ascii="arno pro" w:hAnsi="arno pro"/>
      <w:kern w:val="22"/>
      <w:sz w:val="20"/>
    </w:rPr>
  </w:style>
  <w:style w:type="character" w:styleId="a6">
    <w:name w:val="Hyperlink"/>
    <w:uiPriority w:val="99"/>
    <w:rPr>
      <w:color w:val="0000FF"/>
      <w:u w:val="single"/>
    </w:rPr>
  </w:style>
  <w:style w:type="paragraph" w:styleId="a7">
    <w:name w:val="footer"/>
    <w:basedOn w:val="a"/>
    <w:link w:val="Char0"/>
    <w:uiPriority w:val="99"/>
    <w:pPr>
      <w:tabs>
        <w:tab w:val="center" w:pos="4320"/>
        <w:tab w:val="right" w:pos="8640"/>
      </w:tabs>
    </w:pPr>
  </w:style>
  <w:style w:type="paragraph" w:customStyle="1" w:styleId="BGKeywords">
    <w:name w:val="BG_Keywords"/>
    <w:basedOn w:val="a"/>
    <w:next w:val="BHBriefs"/>
    <w:autoRedefine/>
    <w:rsid w:val="00AC5F97"/>
    <w:pPr>
      <w:spacing w:after="220"/>
      <w:jc w:val="left"/>
    </w:pPr>
    <w:rPr>
      <w:rFonts w:ascii="arno pro" w:hAnsi="arno pro"/>
      <w:i/>
      <w:kern w:val="22"/>
      <w:sz w:val="20"/>
    </w:rPr>
  </w:style>
  <w:style w:type="paragraph" w:customStyle="1" w:styleId="BHBriefs">
    <w:name w:val="BH_Briefs"/>
    <w:basedOn w:val="a"/>
    <w:next w:val="BDAbstract"/>
    <w:autoRedefine/>
    <w:rsid w:val="000E75E3"/>
    <w:pPr>
      <w:spacing w:before="180" w:after="60"/>
      <w:jc w:val="left"/>
    </w:pPr>
    <w:rPr>
      <w:rFonts w:ascii="arno pro" w:hAnsi="arno pro"/>
      <w:kern w:val="22"/>
      <w:sz w:val="20"/>
    </w:rPr>
  </w:style>
  <w:style w:type="character" w:styleId="a8">
    <w:name w:val="page number"/>
    <w:basedOn w:val="a0"/>
    <w:uiPriority w:val="99"/>
  </w:style>
  <w:style w:type="paragraph" w:styleId="a9">
    <w:name w:val="Balloon Text"/>
    <w:basedOn w:val="a"/>
    <w:link w:val="Char1"/>
    <w:uiPriority w:val="99"/>
    <w:semiHidden/>
    <w:rsid w:val="00E96302"/>
    <w:rPr>
      <w:rFonts w:ascii="Tahoma" w:hAnsi="Tahoma" w:cs="Tahoma"/>
      <w:sz w:val="16"/>
      <w:szCs w:val="16"/>
    </w:rPr>
  </w:style>
  <w:style w:type="character" w:styleId="aa">
    <w:name w:val="endnote reference"/>
    <w:semiHidden/>
    <w:rsid w:val="00A66EDD"/>
    <w:rPr>
      <w:rFonts w:ascii="Times" w:hAnsi="Times"/>
      <w:sz w:val="18"/>
      <w:vertAlign w:val="superscript"/>
    </w:rPr>
  </w:style>
  <w:style w:type="paragraph" w:customStyle="1" w:styleId="StyleTCTableBodyBold">
    <w:name w:val="Style TC_Table_Body + Bold"/>
    <w:basedOn w:val="TCTableBody"/>
    <w:link w:val="StyleTCTableBodyBoldChar"/>
    <w:rsid w:val="000E75E3"/>
    <w:rPr>
      <w:b/>
      <w:bCs/>
      <w:kern w:val="22"/>
      <w:sz w:val="15"/>
    </w:rPr>
  </w:style>
  <w:style w:type="character" w:customStyle="1" w:styleId="StyleFACorrespondingAuthorFootnote7ptChar">
    <w:name w:val="Style FA_Corresponding_Author_Footnote + 7 pt Char"/>
    <w:link w:val="StyleFACorrespondingAuthorFootnote7pt"/>
    <w:rsid w:val="000D2D84"/>
    <w:rPr>
      <w:rFonts w:ascii="arno pro" w:hAnsi="arno pro"/>
      <w:kern w:val="20"/>
      <w:sz w:val="18"/>
      <w:lang w:val="en-US" w:eastAsia="en-US" w:bidi="ar-SA"/>
    </w:rPr>
  </w:style>
  <w:style w:type="paragraph" w:customStyle="1" w:styleId="BDAbstractTitle">
    <w:name w:val="BD_Abstract_Title"/>
    <w:basedOn w:val="BDAbstract"/>
    <w:link w:val="BDAbstractTitleChar"/>
    <w:rsid w:val="006532A9"/>
    <w:rPr>
      <w:b/>
    </w:rPr>
  </w:style>
  <w:style w:type="character" w:customStyle="1" w:styleId="BDAbstractChar">
    <w:name w:val="BD_Abstract Char"/>
    <w:link w:val="BDAbstract"/>
    <w:rsid w:val="000E75E3"/>
    <w:rPr>
      <w:rFonts w:ascii="arno pro" w:hAnsi="arno pro"/>
      <w:kern w:val="21"/>
      <w:sz w:val="19"/>
      <w:lang w:val="en-US" w:eastAsia="en-US" w:bidi="ar-SA"/>
    </w:rPr>
  </w:style>
  <w:style w:type="character" w:customStyle="1" w:styleId="BDAbstractTitleChar">
    <w:name w:val="BD_Abstract_Title Char"/>
    <w:link w:val="BDAbstractTitle"/>
    <w:rsid w:val="006532A9"/>
    <w:rPr>
      <w:rFonts w:ascii="arno pro" w:hAnsi="arno pro"/>
      <w:b/>
      <w:kern w:val="21"/>
      <w:sz w:val="19"/>
      <w:lang w:val="en-US" w:eastAsia="en-US" w:bidi="ar-SA"/>
    </w:rPr>
  </w:style>
  <w:style w:type="paragraph" w:customStyle="1" w:styleId="TDAckTitle">
    <w:name w:val="TD_Ack_Title"/>
    <w:basedOn w:val="TDAcknowledgments"/>
    <w:link w:val="TDAckTitleChar"/>
    <w:rsid w:val="00AC5F97"/>
    <w:pPr>
      <w:spacing w:before="180" w:after="60"/>
    </w:pPr>
    <w:rPr>
      <w:rFonts w:ascii="Myriad Pro Light" w:hAnsi="Myriad Pro Light"/>
      <w:b/>
      <w:kern w:val="23"/>
      <w:sz w:val="21"/>
    </w:rPr>
  </w:style>
  <w:style w:type="character" w:customStyle="1" w:styleId="TDAcknowledgmentsChar">
    <w:name w:val="TD_Acknowledgments Char"/>
    <w:link w:val="TDAcknowledgments"/>
    <w:rsid w:val="00E75388"/>
    <w:rPr>
      <w:rFonts w:ascii="arno pro" w:hAnsi="arno pro"/>
      <w:kern w:val="20"/>
      <w:sz w:val="18"/>
      <w:lang w:val="en-US" w:eastAsia="en-US" w:bidi="ar-SA"/>
    </w:rPr>
  </w:style>
  <w:style w:type="character" w:customStyle="1" w:styleId="TDAckTitleChar">
    <w:name w:val="TD_Ack_Title Char"/>
    <w:link w:val="TDAckTitle"/>
    <w:rsid w:val="00AC5F97"/>
    <w:rPr>
      <w:rFonts w:ascii="Myriad Pro Light" w:hAnsi="Myriad Pro Light"/>
      <w:b/>
      <w:kern w:val="23"/>
      <w:sz w:val="21"/>
      <w:lang w:val="en-US" w:eastAsia="en-US" w:bidi="ar-SA"/>
    </w:rPr>
  </w:style>
  <w:style w:type="paragraph" w:customStyle="1" w:styleId="TESupportingInfoTitle">
    <w:name w:val="TE_Supporting_Info_Title"/>
    <w:basedOn w:val="TESupportingInformation"/>
    <w:autoRedefine/>
    <w:rsid w:val="00D24EE7"/>
    <w:pPr>
      <w:spacing w:before="180" w:after="60"/>
    </w:pPr>
    <w:rPr>
      <w:b/>
      <w:caps/>
      <w:szCs w:val="18"/>
    </w:rPr>
  </w:style>
  <w:style w:type="paragraph" w:customStyle="1" w:styleId="AuthorInformationTitle">
    <w:name w:val="Author_Information_Title"/>
    <w:basedOn w:val="TDAckTitle"/>
    <w:rsid w:val="00AC5F97"/>
  </w:style>
  <w:style w:type="paragraph" w:customStyle="1" w:styleId="FAAuthorInfoSubtitle">
    <w:name w:val="FA_Author_Info_Subtitle"/>
    <w:basedOn w:val="a"/>
    <w:link w:val="FAAuthorInfoSubtitleChar"/>
    <w:autoRedefine/>
    <w:rsid w:val="00DE78D2"/>
    <w:pPr>
      <w:spacing w:before="120" w:after="60"/>
      <w:jc w:val="left"/>
    </w:pPr>
    <w:rPr>
      <w:rFonts w:ascii="Myriad Pro Light" w:hAnsi="Myriad Pro Light"/>
      <w:b/>
      <w:kern w:val="21"/>
      <w:sz w:val="19"/>
      <w:szCs w:val="14"/>
    </w:rPr>
  </w:style>
  <w:style w:type="character" w:customStyle="1" w:styleId="FAAuthorInfoSubtitleChar">
    <w:name w:val="FA_Author_Info_Subtitle Char"/>
    <w:link w:val="FAAuthorInfoSubtitle"/>
    <w:rsid w:val="00DE78D2"/>
    <w:rPr>
      <w:rFonts w:ascii="Myriad Pro Light" w:hAnsi="Myriad Pro Light"/>
      <w:b/>
      <w:kern w:val="21"/>
      <w:sz w:val="19"/>
      <w:szCs w:val="14"/>
      <w:lang w:val="en-US" w:eastAsia="en-US" w:bidi="ar-SA"/>
    </w:rPr>
  </w:style>
  <w:style w:type="character" w:customStyle="1" w:styleId="TCTableBodyChar">
    <w:name w:val="TC_Table_Body Char"/>
    <w:link w:val="TCTableBody"/>
    <w:rsid w:val="000E75E3"/>
    <w:rPr>
      <w:rFonts w:ascii="arno pro" w:hAnsi="arno pro"/>
      <w:kern w:val="20"/>
      <w:sz w:val="18"/>
      <w:lang w:val="en-US" w:eastAsia="en-US" w:bidi="ar-SA"/>
    </w:rPr>
  </w:style>
  <w:style w:type="character" w:customStyle="1" w:styleId="StyleTCTableBodyBoldChar">
    <w:name w:val="Style TC_Table_Body + Bold Char"/>
    <w:link w:val="StyleTCTableBodyBold"/>
    <w:rsid w:val="000E75E3"/>
    <w:rPr>
      <w:rFonts w:ascii="arno pro" w:hAnsi="arno pro"/>
      <w:b/>
      <w:bCs/>
      <w:kern w:val="22"/>
      <w:sz w:val="15"/>
      <w:lang w:val="en-US" w:eastAsia="en-US" w:bidi="ar-SA"/>
    </w:rPr>
  </w:style>
  <w:style w:type="paragraph" w:customStyle="1" w:styleId="History">
    <w:name w:val="History"/>
    <w:basedOn w:val="a"/>
    <w:rsid w:val="0056262B"/>
    <w:pPr>
      <w:spacing w:before="230" w:after="460" w:line="180" w:lineRule="exact"/>
      <w:jc w:val="right"/>
    </w:pPr>
    <w:rPr>
      <w:rFonts w:ascii="Arial" w:eastAsia="MS Mincho" w:hAnsi="Arial"/>
      <w:sz w:val="14"/>
      <w:szCs w:val="16"/>
      <w:lang w:val="de-DE" w:eastAsia="ja-JP"/>
    </w:rPr>
  </w:style>
  <w:style w:type="paragraph" w:customStyle="1" w:styleId="References">
    <w:name w:val="References"/>
    <w:basedOn w:val="a"/>
    <w:rsid w:val="0056262B"/>
    <w:pPr>
      <w:spacing w:after="0" w:line="200" w:lineRule="exact"/>
      <w:ind w:left="425" w:hanging="425"/>
    </w:pPr>
    <w:rPr>
      <w:rFonts w:ascii="Times New Roman" w:eastAsia="MS Mincho" w:hAnsi="Times New Roman"/>
      <w:sz w:val="15"/>
      <w:szCs w:val="14"/>
      <w:lang w:val="en-GB" w:eastAsia="ja-JP"/>
    </w:rPr>
  </w:style>
  <w:style w:type="paragraph" w:customStyle="1" w:styleId="HExperimentalSection">
    <w:name w:val="HExperimental_Section"/>
    <w:basedOn w:val="a"/>
    <w:rsid w:val="0056262B"/>
    <w:pPr>
      <w:spacing w:before="460" w:after="230" w:line="230" w:lineRule="atLeast"/>
      <w:jc w:val="left"/>
    </w:pPr>
    <w:rPr>
      <w:rFonts w:ascii="Times New Roman" w:eastAsia="MS Mincho" w:hAnsi="Times New Roman"/>
      <w:i/>
      <w:lang w:val="de-DE" w:eastAsia="ja-JP"/>
    </w:rPr>
  </w:style>
  <w:style w:type="paragraph" w:customStyle="1" w:styleId="ExperimentalSection">
    <w:name w:val="ExperimentalSection"/>
    <w:basedOn w:val="a"/>
    <w:rsid w:val="0056262B"/>
    <w:pPr>
      <w:spacing w:after="240" w:line="200" w:lineRule="exact"/>
      <w:ind w:firstLine="170"/>
    </w:pPr>
    <w:rPr>
      <w:rFonts w:ascii="Times New Roman" w:eastAsia="MS Mincho" w:hAnsi="Times New Roman"/>
      <w:sz w:val="16"/>
      <w:szCs w:val="14"/>
      <w:lang w:val="en-GB" w:eastAsia="ja-JP"/>
    </w:rPr>
  </w:style>
  <w:style w:type="paragraph" w:customStyle="1" w:styleId="FNB">
    <w:name w:val="FNB"/>
    <w:basedOn w:val="a"/>
    <w:link w:val="FNBChar"/>
    <w:rsid w:val="0056262B"/>
    <w:pPr>
      <w:widowControl w:val="0"/>
      <w:spacing w:after="40" w:line="160" w:lineRule="exact"/>
      <w:ind w:left="567" w:right="4434" w:hanging="567"/>
    </w:pPr>
    <w:rPr>
      <w:rFonts w:eastAsia="MS Mincho"/>
      <w:sz w:val="14"/>
      <w:szCs w:val="3276"/>
      <w:lang w:val="en-GB" w:eastAsia="de-DE"/>
    </w:rPr>
  </w:style>
  <w:style w:type="character" w:customStyle="1" w:styleId="FNBChar">
    <w:name w:val="FNB Char"/>
    <w:link w:val="FNB"/>
    <w:rsid w:val="0056262B"/>
    <w:rPr>
      <w:rFonts w:ascii="Times" w:eastAsia="MS Mincho" w:hAnsi="Times"/>
      <w:sz w:val="14"/>
      <w:szCs w:val="3276"/>
      <w:lang w:val="en-GB" w:eastAsia="de-DE"/>
    </w:rPr>
  </w:style>
  <w:style w:type="paragraph" w:customStyle="1" w:styleId="Ack">
    <w:name w:val="Ack"/>
    <w:basedOn w:val="a"/>
    <w:rsid w:val="0056262B"/>
    <w:pPr>
      <w:spacing w:after="0"/>
      <w:jc w:val="left"/>
    </w:pPr>
    <w:rPr>
      <w:rFonts w:ascii="Times New Roman" w:eastAsia="MS Mincho" w:hAnsi="Times New Roman"/>
      <w:szCs w:val="24"/>
      <w:lang w:val="de-DE" w:eastAsia="ja-JP"/>
    </w:rPr>
  </w:style>
  <w:style w:type="paragraph" w:customStyle="1" w:styleId="TableCaption">
    <w:name w:val="TableCaption"/>
    <w:basedOn w:val="a"/>
    <w:rsid w:val="0056262B"/>
    <w:pPr>
      <w:spacing w:after="120" w:line="190" w:lineRule="exact"/>
    </w:pPr>
    <w:rPr>
      <w:rFonts w:ascii="Arial" w:eastAsia="MS Mincho" w:hAnsi="Arial"/>
      <w:sz w:val="16"/>
      <w:szCs w:val="14"/>
      <w:lang w:val="en-GB" w:eastAsia="ja-JP"/>
    </w:rPr>
  </w:style>
  <w:style w:type="paragraph" w:customStyle="1" w:styleId="TableHead">
    <w:name w:val="TableHead"/>
    <w:basedOn w:val="TableCaption"/>
    <w:rsid w:val="0056262B"/>
    <w:pPr>
      <w:pBdr>
        <w:top w:val="single" w:sz="4" w:space="4" w:color="FFFFFF"/>
        <w:left w:val="single" w:sz="4" w:space="4" w:color="FFFFFF"/>
        <w:bottom w:val="single" w:sz="4" w:space="4" w:color="FFFFFF"/>
        <w:right w:val="single" w:sz="4" w:space="4" w:color="FFFFFF"/>
      </w:pBdr>
      <w:spacing w:after="0"/>
    </w:pPr>
  </w:style>
  <w:style w:type="paragraph" w:customStyle="1" w:styleId="TableBody">
    <w:name w:val="TableBody"/>
    <w:basedOn w:val="TableHead"/>
    <w:rsid w:val="0056262B"/>
  </w:style>
  <w:style w:type="paragraph" w:customStyle="1" w:styleId="TableFoot">
    <w:name w:val="TableFoot"/>
    <w:basedOn w:val="TableBody"/>
    <w:rsid w:val="0056262B"/>
    <w:pPr>
      <w:spacing w:before="60" w:after="60"/>
    </w:pPr>
  </w:style>
  <w:style w:type="paragraph" w:customStyle="1" w:styleId="SchemeCaption">
    <w:name w:val="SchemeCaption"/>
    <w:basedOn w:val="a"/>
    <w:rsid w:val="0056262B"/>
    <w:pPr>
      <w:spacing w:before="230" w:after="460" w:line="190" w:lineRule="exact"/>
    </w:pPr>
    <w:rPr>
      <w:rFonts w:ascii="Arial" w:eastAsia="MS Mincho" w:hAnsi="Arial"/>
      <w:sz w:val="16"/>
      <w:szCs w:val="14"/>
      <w:lang w:val="en-GB" w:eastAsia="ja-JP"/>
    </w:rPr>
  </w:style>
  <w:style w:type="character" w:customStyle="1" w:styleId="Char">
    <w:name w:val="각주 텍스트 Char"/>
    <w:basedOn w:val="a0"/>
    <w:link w:val="a5"/>
    <w:semiHidden/>
    <w:rsid w:val="0056262B"/>
    <w:rPr>
      <w:rFonts w:ascii="Times" w:hAnsi="Times"/>
      <w:sz w:val="24"/>
    </w:rPr>
  </w:style>
  <w:style w:type="paragraph" w:customStyle="1" w:styleId="STOE">
    <w:name w:val="STOE"/>
    <w:basedOn w:val="a"/>
    <w:link w:val="STOEChar1"/>
    <w:rsid w:val="0056262B"/>
    <w:pPr>
      <w:widowControl w:val="0"/>
      <w:spacing w:after="0" w:line="236" w:lineRule="exact"/>
      <w:ind w:right="4434"/>
    </w:pPr>
    <w:rPr>
      <w:rFonts w:eastAsia="MS Mincho"/>
      <w:sz w:val="18"/>
      <w:szCs w:val="3276"/>
      <w:lang w:val="en-GB" w:eastAsia="de-DE"/>
    </w:rPr>
  </w:style>
  <w:style w:type="character" w:customStyle="1" w:styleId="STOEChar1">
    <w:name w:val="STOE Char1"/>
    <w:link w:val="STOE"/>
    <w:rsid w:val="0056262B"/>
    <w:rPr>
      <w:rFonts w:ascii="Times" w:eastAsia="MS Mincho" w:hAnsi="Times"/>
      <w:sz w:val="18"/>
      <w:szCs w:val="3276"/>
      <w:lang w:val="en-GB" w:eastAsia="de-DE"/>
    </w:rPr>
  </w:style>
  <w:style w:type="character" w:customStyle="1" w:styleId="Char1">
    <w:name w:val="풍선 도움말 텍스트 Char"/>
    <w:basedOn w:val="a0"/>
    <w:link w:val="a9"/>
    <w:uiPriority w:val="99"/>
    <w:semiHidden/>
    <w:rsid w:val="0056262B"/>
    <w:rPr>
      <w:rFonts w:ascii="Tahoma" w:hAnsi="Tahoma" w:cs="Tahoma"/>
      <w:sz w:val="16"/>
      <w:szCs w:val="16"/>
    </w:rPr>
  </w:style>
  <w:style w:type="paragraph" w:styleId="ab">
    <w:name w:val="header"/>
    <w:basedOn w:val="a"/>
    <w:link w:val="Char2"/>
    <w:uiPriority w:val="99"/>
    <w:rsid w:val="0056262B"/>
    <w:pPr>
      <w:tabs>
        <w:tab w:val="center" w:pos="4536"/>
        <w:tab w:val="right" w:pos="9072"/>
      </w:tabs>
      <w:spacing w:after="0"/>
      <w:jc w:val="left"/>
    </w:pPr>
    <w:rPr>
      <w:rFonts w:ascii="Times New Roman" w:eastAsia="MS Mincho" w:hAnsi="Times New Roman"/>
      <w:szCs w:val="24"/>
      <w:lang w:val="x-none" w:eastAsia="ja-JP"/>
    </w:rPr>
  </w:style>
  <w:style w:type="character" w:customStyle="1" w:styleId="Char2">
    <w:name w:val="머리글 Char"/>
    <w:basedOn w:val="a0"/>
    <w:link w:val="ab"/>
    <w:uiPriority w:val="99"/>
    <w:rsid w:val="0056262B"/>
    <w:rPr>
      <w:rFonts w:ascii="Times New Roman" w:eastAsia="MS Mincho" w:hAnsi="Times New Roman"/>
      <w:sz w:val="24"/>
      <w:szCs w:val="24"/>
      <w:lang w:val="x-none" w:eastAsia="ja-JP"/>
    </w:rPr>
  </w:style>
  <w:style w:type="character" w:customStyle="1" w:styleId="Char0">
    <w:name w:val="바닥글 Char"/>
    <w:basedOn w:val="a0"/>
    <w:link w:val="a7"/>
    <w:uiPriority w:val="99"/>
    <w:rsid w:val="0056262B"/>
    <w:rPr>
      <w:rFonts w:ascii="Times" w:hAnsi="Times"/>
      <w:sz w:val="24"/>
    </w:rPr>
  </w:style>
  <w:style w:type="paragraph" w:customStyle="1" w:styleId="Title1">
    <w:name w:val="Title1"/>
    <w:basedOn w:val="a"/>
    <w:rsid w:val="0056262B"/>
    <w:pPr>
      <w:spacing w:after="0"/>
      <w:jc w:val="left"/>
    </w:pPr>
    <w:rPr>
      <w:rFonts w:ascii="Times New Roman" w:eastAsia="MS Mincho" w:hAnsi="Times New Roman"/>
      <w:b/>
      <w:szCs w:val="24"/>
      <w:lang w:eastAsia="ja-JP"/>
    </w:rPr>
  </w:style>
  <w:style w:type="paragraph" w:customStyle="1" w:styleId="AuthorsFull">
    <w:name w:val="Authors Full"/>
    <w:basedOn w:val="a"/>
    <w:rsid w:val="0056262B"/>
    <w:pPr>
      <w:spacing w:after="0"/>
      <w:jc w:val="left"/>
    </w:pPr>
    <w:rPr>
      <w:rFonts w:ascii="Times New Roman" w:eastAsia="MS Mincho" w:hAnsi="Times New Roman"/>
      <w:i/>
      <w:szCs w:val="24"/>
      <w:lang w:eastAsia="ja-JP"/>
    </w:rPr>
  </w:style>
  <w:style w:type="paragraph" w:customStyle="1" w:styleId="dedication">
    <w:name w:val="dedication"/>
    <w:basedOn w:val="a"/>
    <w:rsid w:val="0056262B"/>
    <w:pPr>
      <w:spacing w:after="0"/>
      <w:jc w:val="left"/>
    </w:pPr>
    <w:rPr>
      <w:rFonts w:ascii="Times New Roman" w:eastAsia="MS Mincho" w:hAnsi="Times New Roman"/>
      <w:i/>
      <w:szCs w:val="24"/>
      <w:lang w:eastAsia="ja-JP"/>
    </w:rPr>
  </w:style>
  <w:style w:type="paragraph" w:customStyle="1" w:styleId="Addresses">
    <w:name w:val="Addresses"/>
    <w:basedOn w:val="a"/>
    <w:rsid w:val="0056262B"/>
    <w:pPr>
      <w:spacing w:after="0"/>
      <w:jc w:val="left"/>
    </w:pPr>
    <w:rPr>
      <w:rFonts w:ascii="Times New Roman" w:eastAsia="MS Mincho" w:hAnsi="Times New Roman"/>
      <w:szCs w:val="24"/>
      <w:lang w:eastAsia="ja-JP"/>
    </w:rPr>
  </w:style>
  <w:style w:type="paragraph" w:customStyle="1" w:styleId="Acknowledgements">
    <w:name w:val="Acknowledgements"/>
    <w:basedOn w:val="a"/>
    <w:rsid w:val="0056262B"/>
    <w:pPr>
      <w:spacing w:after="0"/>
      <w:jc w:val="left"/>
    </w:pPr>
    <w:rPr>
      <w:rFonts w:ascii="Times New Roman" w:eastAsia="MS Mincho" w:hAnsi="Times New Roman"/>
      <w:szCs w:val="24"/>
      <w:lang w:eastAsia="ja-JP"/>
    </w:rPr>
  </w:style>
  <w:style w:type="paragraph" w:customStyle="1" w:styleId="Abstract">
    <w:name w:val="Abstract"/>
    <w:basedOn w:val="a"/>
    <w:autoRedefine/>
    <w:rsid w:val="0056262B"/>
    <w:pPr>
      <w:spacing w:after="0" w:line="480" w:lineRule="auto"/>
    </w:pPr>
    <w:rPr>
      <w:rFonts w:ascii="Times New Roman" w:eastAsia="MS Mincho" w:hAnsi="Times New Roman"/>
      <w:szCs w:val="24"/>
      <w:lang w:eastAsia="ja-JP"/>
    </w:rPr>
  </w:style>
  <w:style w:type="paragraph" w:customStyle="1" w:styleId="Head1">
    <w:name w:val="Head 1"/>
    <w:basedOn w:val="a"/>
    <w:autoRedefine/>
    <w:rsid w:val="0056262B"/>
    <w:pPr>
      <w:spacing w:after="0" w:line="360" w:lineRule="auto"/>
      <w:jc w:val="left"/>
    </w:pPr>
    <w:rPr>
      <w:rFonts w:ascii="Times New Roman" w:eastAsia="MS Mincho" w:hAnsi="Times New Roman"/>
      <w:b/>
      <w:szCs w:val="24"/>
      <w:lang w:eastAsia="ja-JP"/>
    </w:rPr>
  </w:style>
  <w:style w:type="paragraph" w:customStyle="1" w:styleId="Head2">
    <w:name w:val="Head 2"/>
    <w:basedOn w:val="a"/>
    <w:autoRedefine/>
    <w:rsid w:val="0056262B"/>
    <w:pPr>
      <w:spacing w:after="0" w:line="360" w:lineRule="auto"/>
      <w:jc w:val="left"/>
    </w:pPr>
    <w:rPr>
      <w:rFonts w:ascii="Times New Roman" w:eastAsia="MS Mincho" w:hAnsi="Times New Roman"/>
      <w:i/>
      <w:szCs w:val="24"/>
      <w:lang w:eastAsia="ja-JP"/>
    </w:rPr>
  </w:style>
  <w:style w:type="paragraph" w:customStyle="1" w:styleId="dates">
    <w:name w:val="dates"/>
    <w:basedOn w:val="a"/>
    <w:rsid w:val="0056262B"/>
    <w:pPr>
      <w:spacing w:after="0"/>
      <w:jc w:val="right"/>
    </w:pPr>
    <w:rPr>
      <w:rFonts w:ascii="Times New Roman" w:eastAsia="MS Mincho" w:hAnsi="Times New Roman"/>
      <w:szCs w:val="24"/>
      <w:lang w:eastAsia="ja-JP"/>
    </w:rPr>
  </w:style>
  <w:style w:type="paragraph" w:customStyle="1" w:styleId="Literature">
    <w:name w:val="Literature"/>
    <w:basedOn w:val="a"/>
    <w:rsid w:val="0056262B"/>
    <w:pPr>
      <w:spacing w:after="0" w:line="480" w:lineRule="auto"/>
      <w:jc w:val="left"/>
    </w:pPr>
    <w:rPr>
      <w:rFonts w:ascii="Times New Roman" w:eastAsia="MS Mincho" w:hAnsi="Times New Roman"/>
      <w:szCs w:val="24"/>
      <w:lang w:val="de-DE" w:eastAsia="ja-JP"/>
    </w:rPr>
  </w:style>
  <w:style w:type="paragraph" w:customStyle="1" w:styleId="Legend">
    <w:name w:val="Legend"/>
    <w:basedOn w:val="a"/>
    <w:rsid w:val="0056262B"/>
    <w:pPr>
      <w:spacing w:after="0"/>
      <w:jc w:val="left"/>
    </w:pPr>
    <w:rPr>
      <w:rFonts w:ascii="Times New Roman" w:eastAsia="MS Mincho" w:hAnsi="Times New Roman"/>
      <w:szCs w:val="24"/>
      <w:lang w:eastAsia="ja-JP"/>
    </w:rPr>
  </w:style>
  <w:style w:type="paragraph" w:customStyle="1" w:styleId="MainText">
    <w:name w:val="Main Text"/>
    <w:basedOn w:val="a"/>
    <w:link w:val="MainTextChar"/>
    <w:rsid w:val="0056262B"/>
    <w:pPr>
      <w:spacing w:after="0" w:line="480" w:lineRule="auto"/>
      <w:jc w:val="left"/>
    </w:pPr>
    <w:rPr>
      <w:rFonts w:ascii="Times New Roman" w:eastAsia="MS Mincho" w:hAnsi="Times New Roman"/>
      <w:szCs w:val="24"/>
      <w:lang w:eastAsia="ja-JP"/>
    </w:rPr>
  </w:style>
  <w:style w:type="paragraph" w:customStyle="1" w:styleId="Tableofcontents">
    <w:name w:val="Table of contents"/>
    <w:basedOn w:val="a"/>
    <w:autoRedefine/>
    <w:rsid w:val="0056262B"/>
    <w:pPr>
      <w:spacing w:after="0"/>
      <w:jc w:val="left"/>
    </w:pPr>
    <w:rPr>
      <w:rFonts w:ascii="Times New Roman" w:eastAsia="MS Mincho" w:hAnsi="Times New Roman"/>
      <w:szCs w:val="24"/>
      <w:lang w:eastAsia="ja-JP"/>
    </w:rPr>
  </w:style>
  <w:style w:type="paragraph" w:customStyle="1" w:styleId="ExperimentalText">
    <w:name w:val="Experimental Text"/>
    <w:basedOn w:val="a"/>
    <w:link w:val="ExperimentalTextChar"/>
    <w:rsid w:val="0056262B"/>
    <w:pPr>
      <w:spacing w:after="0" w:line="480" w:lineRule="auto"/>
      <w:jc w:val="left"/>
    </w:pPr>
    <w:rPr>
      <w:rFonts w:ascii="Times New Roman" w:eastAsia="MS Mincho" w:hAnsi="Times New Roman"/>
      <w:szCs w:val="24"/>
      <w:lang w:eastAsia="ja-JP"/>
    </w:rPr>
  </w:style>
  <w:style w:type="character" w:customStyle="1" w:styleId="ExperimentalTextChar">
    <w:name w:val="Experimental Text Char"/>
    <w:link w:val="ExperimentalText"/>
    <w:rsid w:val="0056262B"/>
    <w:rPr>
      <w:rFonts w:ascii="Times New Roman" w:eastAsia="MS Mincho" w:hAnsi="Times New Roman"/>
      <w:sz w:val="24"/>
      <w:szCs w:val="24"/>
      <w:lang w:eastAsia="ja-JP"/>
    </w:rPr>
  </w:style>
  <w:style w:type="character" w:customStyle="1" w:styleId="MainTextChar">
    <w:name w:val="Main Text Char"/>
    <w:link w:val="MainText"/>
    <w:rsid w:val="0056262B"/>
    <w:rPr>
      <w:rFonts w:ascii="Times New Roman" w:eastAsia="MS Mincho" w:hAnsi="Times New Roman"/>
      <w:sz w:val="24"/>
      <w:szCs w:val="24"/>
      <w:lang w:eastAsia="ja-JP"/>
    </w:rPr>
  </w:style>
  <w:style w:type="paragraph" w:customStyle="1" w:styleId="Title2">
    <w:name w:val="Title2"/>
    <w:basedOn w:val="a"/>
    <w:rsid w:val="0056262B"/>
    <w:pPr>
      <w:spacing w:after="0"/>
      <w:jc w:val="left"/>
    </w:pPr>
    <w:rPr>
      <w:rFonts w:ascii="Times New Roman" w:eastAsia="MS Mincho" w:hAnsi="Times New Roman"/>
      <w:b/>
      <w:szCs w:val="24"/>
      <w:lang w:eastAsia="ja-JP"/>
    </w:rPr>
  </w:style>
  <w:style w:type="paragraph" w:customStyle="1" w:styleId="Dedication0">
    <w:name w:val="Dedication"/>
    <w:basedOn w:val="a"/>
    <w:autoRedefine/>
    <w:rsid w:val="0056262B"/>
    <w:pPr>
      <w:spacing w:after="0"/>
      <w:jc w:val="left"/>
    </w:pPr>
    <w:rPr>
      <w:rFonts w:ascii="Times New Roman" w:eastAsia="MS Mincho" w:hAnsi="Times New Roman"/>
      <w:szCs w:val="24"/>
      <w:lang w:eastAsia="ja-JP"/>
    </w:rPr>
  </w:style>
  <w:style w:type="paragraph" w:customStyle="1" w:styleId="Maintext0">
    <w:name w:val="Main text"/>
    <w:basedOn w:val="a"/>
    <w:link w:val="MaintextChar0"/>
    <w:autoRedefine/>
    <w:rsid w:val="0056262B"/>
    <w:pPr>
      <w:spacing w:after="0" w:line="480" w:lineRule="auto"/>
      <w:jc w:val="left"/>
    </w:pPr>
    <w:rPr>
      <w:rFonts w:ascii="Times New Roman" w:eastAsia="MS Mincho" w:hAnsi="Times New Roman"/>
      <w:szCs w:val="24"/>
      <w:lang w:eastAsia="ja-JP"/>
    </w:rPr>
  </w:style>
  <w:style w:type="character" w:customStyle="1" w:styleId="MaintextChar0">
    <w:name w:val="Main text Char"/>
    <w:link w:val="Maintext0"/>
    <w:rsid w:val="0056262B"/>
    <w:rPr>
      <w:rFonts w:ascii="Times New Roman" w:eastAsia="MS Mincho" w:hAnsi="Times New Roman"/>
      <w:sz w:val="24"/>
      <w:szCs w:val="24"/>
      <w:lang w:eastAsia="ja-JP"/>
    </w:rPr>
  </w:style>
  <w:style w:type="paragraph" w:customStyle="1" w:styleId="Biography">
    <w:name w:val="Biography"/>
    <w:basedOn w:val="a"/>
    <w:autoRedefine/>
    <w:rsid w:val="0056262B"/>
    <w:pPr>
      <w:spacing w:after="0"/>
      <w:jc w:val="left"/>
    </w:pPr>
    <w:rPr>
      <w:rFonts w:ascii="Times New Roman" w:eastAsia="MS Mincho" w:hAnsi="Times New Roman"/>
      <w:i/>
      <w:szCs w:val="24"/>
      <w:lang w:eastAsia="ja-JP"/>
    </w:rPr>
  </w:style>
  <w:style w:type="character" w:styleId="ac">
    <w:name w:val="annotation reference"/>
    <w:uiPriority w:val="99"/>
    <w:semiHidden/>
    <w:unhideWhenUsed/>
    <w:rsid w:val="0056262B"/>
    <w:rPr>
      <w:sz w:val="16"/>
      <w:szCs w:val="16"/>
    </w:rPr>
  </w:style>
  <w:style w:type="paragraph" w:styleId="ad">
    <w:name w:val="annotation text"/>
    <w:basedOn w:val="a"/>
    <w:link w:val="Char3"/>
    <w:uiPriority w:val="99"/>
    <w:unhideWhenUsed/>
    <w:rsid w:val="0056262B"/>
    <w:pPr>
      <w:spacing w:after="0"/>
      <w:jc w:val="left"/>
    </w:pPr>
    <w:rPr>
      <w:rFonts w:ascii="Times New Roman" w:eastAsia="MS Mincho" w:hAnsi="Times New Roman"/>
      <w:sz w:val="20"/>
      <w:lang w:val="x-none" w:eastAsia="ja-JP"/>
    </w:rPr>
  </w:style>
  <w:style w:type="character" w:customStyle="1" w:styleId="Char3">
    <w:name w:val="메모 텍스트 Char"/>
    <w:basedOn w:val="a0"/>
    <w:link w:val="ad"/>
    <w:uiPriority w:val="99"/>
    <w:rsid w:val="0056262B"/>
    <w:rPr>
      <w:rFonts w:ascii="Times New Roman" w:eastAsia="MS Mincho" w:hAnsi="Times New Roman"/>
      <w:lang w:val="x-none" w:eastAsia="ja-JP"/>
    </w:rPr>
  </w:style>
  <w:style w:type="paragraph" w:styleId="ae">
    <w:name w:val="annotation subject"/>
    <w:basedOn w:val="ad"/>
    <w:next w:val="ad"/>
    <w:link w:val="Char4"/>
    <w:uiPriority w:val="99"/>
    <w:semiHidden/>
    <w:unhideWhenUsed/>
    <w:rsid w:val="0056262B"/>
    <w:rPr>
      <w:b/>
      <w:bCs/>
    </w:rPr>
  </w:style>
  <w:style w:type="character" w:customStyle="1" w:styleId="Char4">
    <w:name w:val="메모 주제 Char"/>
    <w:basedOn w:val="Char3"/>
    <w:link w:val="ae"/>
    <w:uiPriority w:val="99"/>
    <w:semiHidden/>
    <w:rsid w:val="0056262B"/>
    <w:rPr>
      <w:rFonts w:ascii="Times New Roman" w:eastAsia="MS Mincho" w:hAnsi="Times New Roman"/>
      <w:b/>
      <w:bCs/>
      <w:lang w:val="x-none" w:eastAsia="ja-JP"/>
    </w:rPr>
  </w:style>
  <w:style w:type="character" w:customStyle="1" w:styleId="10">
    <w:name w:val="확인되지 않은 멘션1"/>
    <w:uiPriority w:val="99"/>
    <w:semiHidden/>
    <w:unhideWhenUsed/>
    <w:rsid w:val="0056262B"/>
    <w:rPr>
      <w:color w:val="605E5C"/>
      <w:shd w:val="clear" w:color="auto" w:fill="E1DFDD"/>
    </w:rPr>
  </w:style>
  <w:style w:type="character" w:styleId="af">
    <w:name w:val="Placeholder Text"/>
    <w:uiPriority w:val="99"/>
    <w:semiHidden/>
    <w:rsid w:val="0056262B"/>
    <w:rPr>
      <w:color w:val="808080"/>
    </w:rPr>
  </w:style>
  <w:style w:type="paragraph" w:styleId="af0">
    <w:name w:val="Revision"/>
    <w:hidden/>
    <w:uiPriority w:val="99"/>
    <w:semiHidden/>
    <w:rsid w:val="0056262B"/>
    <w:rPr>
      <w:rFonts w:ascii="맑은 고딕" w:eastAsia="맑은 고딕" w:hAnsi="맑은 고딕"/>
      <w:kern w:val="2"/>
      <w:szCs w:val="22"/>
      <w:lang w:eastAsia="ko-KR"/>
    </w:rPr>
  </w:style>
  <w:style w:type="character" w:customStyle="1" w:styleId="UnresolvedMention1">
    <w:name w:val="Unresolved Mention1"/>
    <w:uiPriority w:val="99"/>
    <w:semiHidden/>
    <w:unhideWhenUsed/>
    <w:rsid w:val="0056262B"/>
    <w:rPr>
      <w:color w:val="605E5C"/>
      <w:shd w:val="clear" w:color="auto" w:fill="E1DFDD"/>
    </w:rPr>
  </w:style>
  <w:style w:type="paragraph" w:styleId="af1">
    <w:name w:val="caption"/>
    <w:basedOn w:val="a"/>
    <w:next w:val="a"/>
    <w:uiPriority w:val="35"/>
    <w:unhideWhenUsed/>
    <w:qFormat/>
    <w:rsid w:val="0056262B"/>
    <w:pPr>
      <w:widowControl w:val="0"/>
      <w:wordWrap w:val="0"/>
      <w:autoSpaceDE w:val="0"/>
      <w:autoSpaceDN w:val="0"/>
      <w:spacing w:after="160" w:line="259" w:lineRule="auto"/>
    </w:pPr>
    <w:rPr>
      <w:rFonts w:ascii="맑은 고딕" w:eastAsia="맑은 고딕" w:hAnsi="맑은 고딕"/>
      <w:b/>
      <w:bCs/>
      <w:kern w:val="2"/>
      <w:sz w:val="20"/>
      <w:lang w:eastAsia="ko-KR"/>
    </w:rPr>
  </w:style>
  <w:style w:type="table" w:styleId="11">
    <w:name w:val="Grid Table 1 Light"/>
    <w:basedOn w:val="a1"/>
    <w:uiPriority w:val="46"/>
    <w:rsid w:val="0056262B"/>
    <w:pPr>
      <w:jc w:val="both"/>
    </w:pPr>
    <w:rPr>
      <w:rFonts w:ascii="맑은 고딕" w:eastAsia="맑은 고딕" w:hAnsi="맑은 고딕"/>
      <w:kern w:val="2"/>
      <w:szCs w:val="22"/>
      <w:lang w:eastAsia="ko-KR"/>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20">
    <w:name w:val="Plain Table 2"/>
    <w:basedOn w:val="a1"/>
    <w:uiPriority w:val="42"/>
    <w:rsid w:val="0056262B"/>
    <w:rPr>
      <w:rFonts w:ascii="Times New Roman" w:eastAsia="MS Mincho" w:hAnsi="Times New Roman"/>
      <w:lang w:eastAsia="ko-KR"/>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EndNoteBibliographyTitle">
    <w:name w:val="EndNote Bibliography Title"/>
    <w:basedOn w:val="a"/>
    <w:link w:val="EndNoteBibliographyTitleChar"/>
    <w:rsid w:val="0056262B"/>
    <w:pPr>
      <w:spacing w:after="0"/>
      <w:jc w:val="center"/>
    </w:pPr>
    <w:rPr>
      <w:rFonts w:eastAsia="MS Mincho" w:cs="Times"/>
      <w:noProof/>
      <w:szCs w:val="24"/>
      <w:lang w:val="de-DE" w:eastAsia="ja-JP"/>
    </w:rPr>
  </w:style>
  <w:style w:type="character" w:customStyle="1" w:styleId="EndNoteBibliographyTitleChar">
    <w:name w:val="EndNote Bibliography Title Char"/>
    <w:link w:val="EndNoteBibliographyTitle"/>
    <w:rsid w:val="0056262B"/>
    <w:rPr>
      <w:rFonts w:ascii="Times" w:eastAsia="MS Mincho" w:hAnsi="Times" w:cs="Times"/>
      <w:noProof/>
      <w:sz w:val="24"/>
      <w:szCs w:val="24"/>
      <w:lang w:val="de-DE" w:eastAsia="ja-JP"/>
    </w:rPr>
  </w:style>
  <w:style w:type="paragraph" w:customStyle="1" w:styleId="EndNoteBibliography">
    <w:name w:val="EndNote Bibliography"/>
    <w:basedOn w:val="a"/>
    <w:link w:val="EndNoteBibliographyChar"/>
    <w:rsid w:val="0056262B"/>
    <w:pPr>
      <w:spacing w:after="0"/>
      <w:jc w:val="left"/>
    </w:pPr>
    <w:rPr>
      <w:rFonts w:eastAsia="MS Mincho" w:cs="Times"/>
      <w:noProof/>
      <w:szCs w:val="24"/>
      <w:lang w:val="de-DE" w:eastAsia="ja-JP"/>
    </w:rPr>
  </w:style>
  <w:style w:type="character" w:customStyle="1" w:styleId="EndNoteBibliographyChar">
    <w:name w:val="EndNote Bibliography Char"/>
    <w:link w:val="EndNoteBibliography"/>
    <w:rsid w:val="0056262B"/>
    <w:rPr>
      <w:rFonts w:ascii="Times" w:eastAsia="MS Mincho" w:hAnsi="Times" w:cs="Times"/>
      <w:noProof/>
      <w:sz w:val="24"/>
      <w:szCs w:val="24"/>
      <w:lang w:val="de-DE" w:eastAsia="ja-JP"/>
    </w:rPr>
  </w:style>
  <w:style w:type="table" w:styleId="af2">
    <w:name w:val="Table Grid"/>
    <w:basedOn w:val="a1"/>
    <w:rsid w:val="005626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a0"/>
    <w:uiPriority w:val="99"/>
    <w:semiHidden/>
    <w:unhideWhenUsed/>
    <w:rsid w:val="00564CA3"/>
    <w:rPr>
      <w:color w:val="605E5C"/>
      <w:shd w:val="clear" w:color="auto" w:fill="E1DFDD"/>
    </w:rPr>
  </w:style>
  <w:style w:type="paragraph" w:styleId="af3">
    <w:name w:val="List Paragraph"/>
    <w:basedOn w:val="a"/>
    <w:uiPriority w:val="34"/>
    <w:qFormat/>
    <w:rsid w:val="001801D1"/>
    <w:pPr>
      <w:ind w:leftChars="400"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5600356">
      <w:bodyDiv w:val="1"/>
      <w:marLeft w:val="0"/>
      <w:marRight w:val="0"/>
      <w:marTop w:val="0"/>
      <w:marBottom w:val="0"/>
      <w:divBdr>
        <w:top w:val="none" w:sz="0" w:space="0" w:color="auto"/>
        <w:left w:val="none" w:sz="0" w:space="0" w:color="auto"/>
        <w:bottom w:val="none" w:sz="0" w:space="0" w:color="auto"/>
        <w:right w:val="none" w:sz="0" w:space="0" w:color="auto"/>
      </w:divBdr>
    </w:div>
    <w:div w:id="1836725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mailto:jangwookchoi@snu.ac.kr" TargetMode="External"/><Relationship Id="rId2" Type="http://schemas.openxmlformats.org/officeDocument/2006/relationships/numbering" Target="numbering.xml"/><Relationship Id="rId16" Type="http://schemas.openxmlformats.org/officeDocument/2006/relationships/hyperlink" Target="mailto:ali.coskun@unifr.ch"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mailto:sychung@kaist.ac.kr" TargetMode="External"/><Relationship Id="rId23"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F092C6-8E4D-A741-AB04-5DC6FE228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Pages>
  <Words>7553</Words>
  <Characters>43053</Characters>
  <Application>Microsoft Office Word</Application>
  <DocSecurity>0</DocSecurity>
  <Lines>358</Lines>
  <Paragraphs>101</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Template for Electronic Submission to ACS Journals</vt:lpstr>
      <vt:lpstr>Template for Electronic Submission to ACS Journals</vt:lpstr>
    </vt:vector>
  </TitlesOfParts>
  <Company>ACS</Company>
  <LinksUpToDate>false</LinksUpToDate>
  <CharactersWithSpaces>50505</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subject/>
  <dc:creator>Choi Jang Wook</dc:creator>
  <cp:keywords/>
  <cp:lastModifiedBy>Choi Jang Wook</cp:lastModifiedBy>
  <cp:revision>2</cp:revision>
  <cp:lastPrinted>2020-01-20T00:22:00Z</cp:lastPrinted>
  <dcterms:created xsi:type="dcterms:W3CDTF">2020-04-20T21:38:00Z</dcterms:created>
  <dcterms:modified xsi:type="dcterms:W3CDTF">2020-04-20T21:38:00Z</dcterms:modified>
</cp:coreProperties>
</file>