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Studies design, inclusion of clinical diagnoses and stratified smoking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Study design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Clinical diagnoses included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Stratified smoking reported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Liang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Tao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Ming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Solis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Richardson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Gao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Gil, Agudo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Gold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Yu,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la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Robilotti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Opensafely Collaborative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Almazeedi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Carillo-Vega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Targher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Shekhar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Mejia-Vilet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Rimland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Palaiodimos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Heili-Frades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Vaquero-Roncero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Al-Hindawi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Alshami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Batty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Matched 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Soto-Mota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Boulware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Rct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Perrone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Rct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Eugen-Olsen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Martinez-Portilla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Raisi-Estabragh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Apea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Hultcrantz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Siso-Almirall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Ikitimur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Matched 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Sierpinski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Crovetto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Sterlin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Rossi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Duan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Martin-Jiminez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Elezkurtaj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Lenka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Olivares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Salton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Estes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Matched 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Melo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Fisman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Madariaga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Mohamud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Magleby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Bello-Chavolla, 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Zacharioudakis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Elmunzer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Abolghasemi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Resendez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Pandolfi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Girardeau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Hussein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Eiros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Altamimi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Reiter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Schneeweiss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Concha, Mejia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Ouyang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Valenzuela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Weerahandi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Altibi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Izzi, Engbeaya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Higuchi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Kumar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Rashid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Yalavarthi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2020-08-26T16:11:30Z</dcterms:modified>
  <cp:category/>
</cp:coreProperties>
</file>