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840" w:type="dxa"/>
        <w:tblLook w:val="04A0" w:firstRow="1" w:lastRow="0" w:firstColumn="1" w:lastColumn="0" w:noHBand="0" w:noVBand="1"/>
      </w:tblPr>
      <w:tblGrid>
        <w:gridCol w:w="1028"/>
        <w:gridCol w:w="2611"/>
        <w:gridCol w:w="2590"/>
        <w:gridCol w:w="2611"/>
      </w:tblGrid>
      <w:tr w:rsidR="00073AFE" w:rsidRPr="00F736FF" w14:paraId="6E9931B1" w14:textId="77777777" w:rsidTr="00F87AEC">
        <w:trPr>
          <w:trHeight w:val="87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E9E0"/>
            <w:vAlign w:val="center"/>
            <w:hideMark/>
          </w:tcPr>
          <w:p w14:paraId="5887D8E8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b/>
                <w:bCs/>
                <w:color w:val="C00000"/>
              </w:rPr>
              <w:t xml:space="preserve">Table </w:t>
            </w:r>
            <w:r>
              <w:rPr>
                <w:rFonts w:ascii="Calibri" w:eastAsia="Times New Roman" w:hAnsi="Calibri" w:cs="Times New Roman"/>
                <w:b/>
                <w:bCs/>
                <w:color w:val="C00000"/>
              </w:rPr>
              <w:t>S1</w:t>
            </w:r>
            <w:r w:rsidRPr="00F736FF">
              <w:rPr>
                <w:rFonts w:ascii="Calibri" w:eastAsia="Times New Roman" w:hAnsi="Calibri" w:cs="Times New Roman"/>
                <w:b/>
                <w:bCs/>
                <w:color w:val="000000"/>
              </w:rPr>
              <w:t>. Number of Probable and Definite Prion Disease Cases Submitted to the NPDPSC</w:t>
            </w:r>
          </w:p>
        </w:tc>
      </w:tr>
      <w:tr w:rsidR="00073AFE" w:rsidRPr="00F736FF" w14:paraId="2EFF01AE" w14:textId="77777777" w:rsidTr="00F87AEC">
        <w:trPr>
          <w:trHeight w:val="660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44558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b/>
                <w:bCs/>
                <w:color w:val="000000"/>
              </w:rPr>
              <w:t>Year*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B50620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b/>
                <w:bCs/>
                <w:color w:val="000000"/>
              </w:rPr>
              <w:t>Prion Disease by Neuropathology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B8EC92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b/>
                <w:bCs/>
                <w:color w:val="000000"/>
              </w:rPr>
              <w:t>CSF RT-QuIC (+) Cases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84295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Probable† &amp; Definite Prion Disease </w:t>
            </w:r>
          </w:p>
        </w:tc>
      </w:tr>
      <w:tr w:rsidR="00073AFE" w:rsidRPr="00F736FF" w14:paraId="5F5E8868" w14:textId="77777777" w:rsidTr="00F87AEC">
        <w:trPr>
          <w:trHeight w:val="300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AEB"/>
            <w:noWrap/>
            <w:vAlign w:val="bottom"/>
            <w:hideMark/>
          </w:tcPr>
          <w:p w14:paraId="07F048DB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 xml:space="preserve">        2016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AEB"/>
            <w:noWrap/>
            <w:vAlign w:val="bottom"/>
            <w:hideMark/>
          </w:tcPr>
          <w:p w14:paraId="2827A877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278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AEB"/>
            <w:noWrap/>
            <w:vAlign w:val="bottom"/>
            <w:hideMark/>
          </w:tcPr>
          <w:p w14:paraId="1476ABD5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356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AEB"/>
            <w:noWrap/>
            <w:vAlign w:val="bottom"/>
            <w:hideMark/>
          </w:tcPr>
          <w:p w14:paraId="27AAD29D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462</w:t>
            </w:r>
          </w:p>
        </w:tc>
      </w:tr>
      <w:tr w:rsidR="00073AFE" w:rsidRPr="00F736FF" w14:paraId="19FC6D6B" w14:textId="77777777" w:rsidTr="00F87AEC">
        <w:trPr>
          <w:trHeight w:val="300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3E089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 xml:space="preserve">        2017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9D10B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266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574B5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395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AF1D5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491</w:t>
            </w:r>
          </w:p>
        </w:tc>
      </w:tr>
      <w:tr w:rsidR="00073AFE" w:rsidRPr="00F736FF" w14:paraId="08A7C0A1" w14:textId="77777777" w:rsidTr="00F87AEC">
        <w:trPr>
          <w:trHeight w:val="30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AEB"/>
            <w:noWrap/>
            <w:vAlign w:val="bottom"/>
            <w:hideMark/>
          </w:tcPr>
          <w:p w14:paraId="03FE7139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 xml:space="preserve">        2018‡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AEB"/>
            <w:noWrap/>
            <w:vAlign w:val="bottom"/>
            <w:hideMark/>
          </w:tcPr>
          <w:p w14:paraId="534A58E5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AEB"/>
            <w:noWrap/>
            <w:vAlign w:val="bottom"/>
            <w:hideMark/>
          </w:tcPr>
          <w:p w14:paraId="66412414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420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AEB"/>
            <w:noWrap/>
            <w:vAlign w:val="bottom"/>
            <w:hideMark/>
          </w:tcPr>
          <w:p w14:paraId="6C11F9C4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493</w:t>
            </w:r>
          </w:p>
        </w:tc>
      </w:tr>
      <w:tr w:rsidR="00073AFE" w:rsidRPr="00F736FF" w14:paraId="4493D15B" w14:textId="77777777" w:rsidTr="00F87AEC">
        <w:trPr>
          <w:trHeight w:val="150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58DAC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8C744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155FF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CC664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AFE" w:rsidRPr="00F736FF" w14:paraId="492B1E64" w14:textId="77777777" w:rsidTr="00F87AEC">
        <w:trPr>
          <w:trHeight w:val="300"/>
        </w:trPr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36087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* Listed based on year of the patient’s first CSF submission</w:t>
            </w:r>
          </w:p>
        </w:tc>
      </w:tr>
      <w:tr w:rsidR="00073AFE" w:rsidRPr="00F736FF" w14:paraId="425BB39E" w14:textId="77777777" w:rsidTr="00F87AEC">
        <w:trPr>
          <w:trHeight w:val="300"/>
        </w:trPr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9CC34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† RT-QuIC positive without neuropathologic examination</w:t>
            </w:r>
          </w:p>
        </w:tc>
      </w:tr>
      <w:tr w:rsidR="00073AFE" w:rsidRPr="00F736FF" w14:paraId="2D8043C5" w14:textId="77777777" w:rsidTr="00F87AEC">
        <w:trPr>
          <w:trHeight w:val="720"/>
        </w:trPr>
        <w:tc>
          <w:tcPr>
            <w:tcW w:w="8840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53068E3D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‡ This table includes 2018 surveillance data that extends beyond the close of</w:t>
            </w:r>
            <w:r w:rsidRPr="00F736FF">
              <w:rPr>
                <w:rFonts w:ascii="Calibri" w:eastAsia="Times New Roman" w:hAnsi="Calibri" w:cs="Times New Roman"/>
                <w:color w:val="000000"/>
              </w:rPr>
              <w:br/>
              <w:t xml:space="preserve">    the study period described in this article.</w:t>
            </w:r>
          </w:p>
          <w:p w14:paraId="3D8B8BD5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NPDPSC=National Prion Disease Pathology Surveillance Center, RT-QuIC=real time quaking induced conversion</w:t>
            </w:r>
          </w:p>
        </w:tc>
      </w:tr>
      <w:tr w:rsidR="00073AFE" w:rsidRPr="00F736FF" w14:paraId="2A08F980" w14:textId="77777777" w:rsidTr="00F87AEC">
        <w:trPr>
          <w:trHeight w:val="450"/>
        </w:trPr>
        <w:tc>
          <w:tcPr>
            <w:tcW w:w="8840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2CB4AACB" w14:textId="77777777" w:rsidR="00073AFE" w:rsidRPr="00F736FF" w:rsidRDefault="00073AFE" w:rsidP="00F87AE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736FF">
              <w:rPr>
                <w:rFonts w:ascii="Calibri" w:eastAsia="Times New Roman" w:hAnsi="Calibri" w:cs="Times New Roman"/>
                <w:color w:val="000000"/>
              </w:rPr>
              <w:t>Updated table can be found at https://case.edu/medicine/pathology/divisions/national-prion-disease-pathology-surveillance-center/resources-for-professionals/tables-of-cases-examined-0</w:t>
            </w:r>
          </w:p>
        </w:tc>
      </w:tr>
    </w:tbl>
    <w:p w14:paraId="35586F7A" w14:textId="77777777" w:rsidR="00BC5A7F" w:rsidRDefault="00073AFE">
      <w:bookmarkStart w:id="0" w:name="_GoBack"/>
      <w:bookmarkEnd w:id="0"/>
    </w:p>
    <w:sectPr w:rsidR="00BC5A7F" w:rsidSect="009B6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AFE"/>
    <w:rsid w:val="00073AFE"/>
    <w:rsid w:val="009B6A0C"/>
    <w:rsid w:val="00A4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250075"/>
  <w14:defaultImageDpi w14:val="32767"/>
  <w15:chartTrackingRefBased/>
  <w15:docId w15:val="{F255641E-34A9-084F-B150-5AED046E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73AF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2020-02-11T17:51:00Z</dcterms:created>
  <dcterms:modified xsi:type="dcterms:W3CDTF">2020-02-11T17:51:00Z</dcterms:modified>
</cp:coreProperties>
</file>