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064AC" w14:textId="77777777" w:rsidR="00E81F77" w:rsidRDefault="00E81F77" w:rsidP="00450F0C">
      <w:pPr>
        <w:spacing w:line="480" w:lineRule="auto"/>
        <w:jc w:val="center"/>
        <w:rPr>
          <w:rFonts w:asciiTheme="majorBidi" w:hAnsiTheme="majorBidi" w:cstheme="majorBidi"/>
          <w:b/>
          <w:bCs/>
          <w:sz w:val="24"/>
          <w:szCs w:val="24"/>
        </w:rPr>
      </w:pPr>
      <w:r>
        <w:rPr>
          <w:rFonts w:asciiTheme="majorBidi" w:hAnsiTheme="majorBidi" w:cstheme="majorBidi"/>
          <w:b/>
          <w:bCs/>
          <w:sz w:val="24"/>
          <w:szCs w:val="24"/>
        </w:rPr>
        <w:t xml:space="preserve">Classification of </w:t>
      </w:r>
      <w:r>
        <w:rPr>
          <w:rFonts w:asciiTheme="majorBidi" w:hAnsiTheme="majorBidi" w:cstheme="majorBidi"/>
          <w:b/>
          <w:bCs/>
          <w:i/>
          <w:iCs/>
          <w:sz w:val="24"/>
          <w:szCs w:val="24"/>
        </w:rPr>
        <w:t xml:space="preserve">GBA </w:t>
      </w:r>
      <w:r>
        <w:rPr>
          <w:rFonts w:asciiTheme="majorBidi" w:hAnsiTheme="majorBidi" w:cstheme="majorBidi"/>
          <w:b/>
          <w:bCs/>
          <w:sz w:val="24"/>
          <w:szCs w:val="24"/>
        </w:rPr>
        <w:t>variants and their effects in synucleinopathies</w:t>
      </w:r>
    </w:p>
    <w:p w14:paraId="4C92DDFF" w14:textId="77777777" w:rsidR="00E81F77" w:rsidRPr="005F1F7C" w:rsidRDefault="00E81F77" w:rsidP="004C6D07">
      <w:pPr>
        <w:spacing w:line="240" w:lineRule="auto"/>
        <w:rPr>
          <w:rFonts w:asciiTheme="majorBidi" w:hAnsiTheme="majorBidi" w:cstheme="majorBidi"/>
          <w:sz w:val="24"/>
          <w:szCs w:val="24"/>
        </w:rPr>
      </w:pPr>
      <w:r>
        <w:rPr>
          <w:rFonts w:asciiTheme="majorBidi" w:hAnsiTheme="majorBidi" w:cstheme="majorBidi"/>
          <w:sz w:val="24"/>
          <w:szCs w:val="24"/>
        </w:rPr>
        <w:t>Ziv Gan-Or,</w:t>
      </w:r>
      <w:r w:rsidR="00685F1E">
        <w:rPr>
          <w:rFonts w:asciiTheme="majorBidi" w:hAnsiTheme="majorBidi" w:cstheme="majorBidi"/>
          <w:sz w:val="24"/>
          <w:szCs w:val="24"/>
        </w:rPr>
        <w:t xml:space="preserve"> MD, PhD,</w:t>
      </w:r>
      <w:r w:rsidRPr="00480E94">
        <w:rPr>
          <w:rFonts w:asciiTheme="majorBidi" w:hAnsiTheme="majorBidi" w:cstheme="majorBidi"/>
          <w:sz w:val="24"/>
          <w:szCs w:val="24"/>
          <w:vertAlign w:val="superscript"/>
        </w:rPr>
        <w:t>1,2,3,</w:t>
      </w:r>
      <w:r>
        <w:rPr>
          <w:rFonts w:asciiTheme="majorBidi" w:hAnsiTheme="majorBidi" w:cstheme="majorBidi"/>
          <w:sz w:val="24"/>
          <w:szCs w:val="24"/>
        </w:rPr>
        <w:t xml:space="preserve"> Roy N. Alcalay,</w:t>
      </w:r>
      <w:r w:rsidR="00685F1E">
        <w:rPr>
          <w:rFonts w:asciiTheme="majorBidi" w:hAnsiTheme="majorBidi" w:cstheme="majorBidi"/>
          <w:sz w:val="24"/>
          <w:szCs w:val="24"/>
        </w:rPr>
        <w:t xml:space="preserve"> MD, MSc,</w:t>
      </w:r>
      <w:r w:rsidRPr="004C6D07">
        <w:rPr>
          <w:rFonts w:asciiTheme="majorBidi" w:hAnsiTheme="majorBidi" w:cstheme="majorBidi"/>
          <w:sz w:val="24"/>
          <w:szCs w:val="24"/>
          <w:vertAlign w:val="superscript"/>
        </w:rPr>
        <w:t>4,5,</w:t>
      </w:r>
      <w:r>
        <w:rPr>
          <w:rFonts w:asciiTheme="majorBidi" w:hAnsiTheme="majorBidi" w:cstheme="majorBidi"/>
          <w:sz w:val="24"/>
          <w:szCs w:val="24"/>
        </w:rPr>
        <w:t xml:space="preserve"> </w:t>
      </w:r>
      <w:r w:rsidRPr="005477D0">
        <w:rPr>
          <w:rFonts w:asciiTheme="majorBidi" w:hAnsiTheme="majorBidi" w:cstheme="majorBidi"/>
          <w:sz w:val="24"/>
          <w:szCs w:val="24"/>
        </w:rPr>
        <w:t xml:space="preserve">Mary </w:t>
      </w:r>
      <w:r>
        <w:rPr>
          <w:rFonts w:asciiTheme="majorBidi" w:hAnsiTheme="majorBidi" w:cstheme="majorBidi"/>
          <w:sz w:val="24"/>
          <w:szCs w:val="24"/>
        </w:rPr>
        <w:t xml:space="preserve">B. </w:t>
      </w:r>
      <w:proofErr w:type="spellStart"/>
      <w:r w:rsidRPr="005477D0">
        <w:rPr>
          <w:rFonts w:asciiTheme="majorBidi" w:hAnsiTheme="majorBidi" w:cstheme="majorBidi"/>
          <w:sz w:val="24"/>
          <w:szCs w:val="24"/>
        </w:rPr>
        <w:t>Makarious</w:t>
      </w:r>
      <w:proofErr w:type="spellEnd"/>
      <w:r>
        <w:rPr>
          <w:rFonts w:asciiTheme="majorBidi" w:hAnsiTheme="majorBidi" w:cstheme="majorBidi"/>
          <w:sz w:val="24"/>
          <w:szCs w:val="24"/>
        </w:rPr>
        <w:t>,</w:t>
      </w:r>
      <w:r w:rsidR="00094DCA">
        <w:rPr>
          <w:rFonts w:asciiTheme="majorBidi" w:hAnsiTheme="majorBidi" w:cstheme="majorBidi"/>
          <w:sz w:val="24"/>
          <w:szCs w:val="24"/>
        </w:rPr>
        <w:t xml:space="preserve"> BSc,</w:t>
      </w:r>
      <w:r w:rsidRPr="005477D0">
        <w:rPr>
          <w:rFonts w:asciiTheme="majorBidi" w:hAnsiTheme="majorBidi" w:cstheme="majorBidi"/>
          <w:sz w:val="24"/>
          <w:szCs w:val="24"/>
          <w:vertAlign w:val="superscript"/>
        </w:rPr>
        <w:t>6,</w:t>
      </w:r>
      <w:r>
        <w:rPr>
          <w:rFonts w:asciiTheme="majorBidi" w:hAnsiTheme="majorBidi" w:cstheme="majorBidi"/>
          <w:sz w:val="24"/>
          <w:szCs w:val="24"/>
        </w:rPr>
        <w:t xml:space="preserve"> Sonja W. Scholz,</w:t>
      </w:r>
      <w:r w:rsidR="00685F1E">
        <w:rPr>
          <w:rFonts w:asciiTheme="majorBidi" w:hAnsiTheme="majorBidi" w:cstheme="majorBidi"/>
          <w:sz w:val="24"/>
          <w:szCs w:val="24"/>
        </w:rPr>
        <w:t xml:space="preserve"> MD, PhD,</w:t>
      </w:r>
      <w:r w:rsidRPr="005477D0">
        <w:rPr>
          <w:rFonts w:asciiTheme="majorBidi" w:hAnsiTheme="majorBidi" w:cstheme="majorBidi"/>
          <w:sz w:val="24"/>
          <w:szCs w:val="24"/>
          <w:vertAlign w:val="superscript"/>
        </w:rPr>
        <w:t>6,</w:t>
      </w:r>
      <w:r>
        <w:rPr>
          <w:rFonts w:asciiTheme="majorBidi" w:hAnsiTheme="majorBidi" w:cstheme="majorBidi"/>
          <w:sz w:val="24"/>
          <w:szCs w:val="24"/>
        </w:rPr>
        <w:t xml:space="preserve"> Cornelis </w:t>
      </w:r>
      <w:proofErr w:type="spellStart"/>
      <w:r>
        <w:rPr>
          <w:rFonts w:asciiTheme="majorBidi" w:hAnsiTheme="majorBidi" w:cstheme="majorBidi"/>
          <w:sz w:val="24"/>
          <w:szCs w:val="24"/>
        </w:rPr>
        <w:t>Blauwendraat</w:t>
      </w:r>
      <w:proofErr w:type="spellEnd"/>
      <w:r>
        <w:rPr>
          <w:rFonts w:asciiTheme="majorBidi" w:hAnsiTheme="majorBidi" w:cstheme="majorBidi"/>
          <w:sz w:val="24"/>
          <w:szCs w:val="24"/>
        </w:rPr>
        <w:t>,</w:t>
      </w:r>
      <w:r w:rsidR="00685F1E">
        <w:rPr>
          <w:rFonts w:asciiTheme="majorBidi" w:hAnsiTheme="majorBidi" w:cstheme="majorBidi"/>
          <w:sz w:val="24"/>
          <w:szCs w:val="24"/>
        </w:rPr>
        <w:t xml:space="preserve"> PhD,</w:t>
      </w:r>
      <w:r>
        <w:rPr>
          <w:rFonts w:asciiTheme="majorBidi" w:hAnsiTheme="majorBidi" w:cstheme="majorBidi"/>
          <w:sz w:val="24"/>
          <w:szCs w:val="24"/>
          <w:vertAlign w:val="superscript"/>
        </w:rPr>
        <w:t xml:space="preserve">7, </w:t>
      </w:r>
      <w:r>
        <w:rPr>
          <w:rFonts w:asciiTheme="majorBidi" w:hAnsiTheme="majorBidi" w:cstheme="majorBidi"/>
          <w:sz w:val="24"/>
          <w:szCs w:val="24"/>
        </w:rPr>
        <w:t>International Parkinson’s Disease Genomics Consortium (IPDGC)</w:t>
      </w:r>
    </w:p>
    <w:p w14:paraId="395B57DE" w14:textId="77777777" w:rsidR="00E81F77" w:rsidRDefault="00E81F77" w:rsidP="004C6D07">
      <w:pPr>
        <w:spacing w:after="0" w:line="240" w:lineRule="auto"/>
        <w:rPr>
          <w:rFonts w:asciiTheme="majorBidi" w:hAnsiTheme="majorBidi" w:cstheme="majorBidi"/>
          <w:b/>
          <w:bCs/>
          <w:sz w:val="24"/>
          <w:szCs w:val="24"/>
        </w:rPr>
      </w:pPr>
      <w:r>
        <w:rPr>
          <w:rFonts w:asciiTheme="majorBidi" w:hAnsiTheme="majorBidi" w:cstheme="majorBidi"/>
          <w:b/>
          <w:bCs/>
          <w:sz w:val="24"/>
          <w:szCs w:val="24"/>
        </w:rPr>
        <w:br/>
      </w:r>
      <w:r w:rsidRPr="00AB447C">
        <w:rPr>
          <w:rFonts w:asciiTheme="majorBidi" w:hAnsiTheme="majorBidi" w:cstheme="majorBidi"/>
          <w:b/>
          <w:bCs/>
          <w:sz w:val="24"/>
          <w:szCs w:val="24"/>
        </w:rPr>
        <w:t>Affiliations</w:t>
      </w:r>
    </w:p>
    <w:p w14:paraId="0046A1BD" w14:textId="77777777" w:rsidR="00E81F77" w:rsidRDefault="00E81F77" w:rsidP="00963604">
      <w:pPr>
        <w:spacing w:after="0" w:line="240" w:lineRule="auto"/>
        <w:rPr>
          <w:rFonts w:asciiTheme="majorBidi" w:hAnsiTheme="majorBidi" w:cstheme="majorBidi"/>
          <w:sz w:val="24"/>
          <w:szCs w:val="24"/>
        </w:rPr>
      </w:pPr>
      <w:r>
        <w:rPr>
          <w:rFonts w:asciiTheme="majorBidi" w:hAnsiTheme="majorBidi" w:cstheme="majorBidi"/>
          <w:sz w:val="24"/>
          <w:szCs w:val="24"/>
          <w:vertAlign w:val="superscript"/>
        </w:rPr>
        <w:t>1</w:t>
      </w:r>
      <w:r>
        <w:rPr>
          <w:rFonts w:asciiTheme="majorBidi" w:hAnsiTheme="majorBidi" w:cstheme="majorBidi"/>
          <w:sz w:val="24"/>
          <w:szCs w:val="24"/>
        </w:rPr>
        <w:t>Department of Neurology and Neurosurgery, McGill University, Montreal, Quebec, Canada</w:t>
      </w:r>
    </w:p>
    <w:p w14:paraId="30B78B14" w14:textId="77777777" w:rsidR="00E81F77" w:rsidRDefault="00E81F77" w:rsidP="00963604">
      <w:pPr>
        <w:spacing w:after="0" w:line="240" w:lineRule="auto"/>
        <w:rPr>
          <w:rFonts w:asciiTheme="majorBidi" w:hAnsiTheme="majorBidi" w:cstheme="majorBidi"/>
          <w:sz w:val="24"/>
          <w:szCs w:val="24"/>
        </w:rPr>
      </w:pPr>
      <w:r w:rsidRPr="004C6D07">
        <w:rPr>
          <w:rFonts w:asciiTheme="majorBidi" w:hAnsiTheme="majorBidi" w:cstheme="majorBidi"/>
          <w:sz w:val="24"/>
          <w:szCs w:val="24"/>
          <w:vertAlign w:val="superscript"/>
        </w:rPr>
        <w:t>2</w:t>
      </w:r>
      <w:r>
        <w:rPr>
          <w:rFonts w:asciiTheme="majorBidi" w:hAnsiTheme="majorBidi" w:cstheme="majorBidi"/>
          <w:sz w:val="24"/>
          <w:szCs w:val="24"/>
        </w:rPr>
        <w:t>Montreal Neurological Institute and Hospital, McGill University, Montreal, Quebec, Canada</w:t>
      </w:r>
    </w:p>
    <w:p w14:paraId="0C5F59AF" w14:textId="77777777" w:rsidR="00E81F77" w:rsidRPr="00480E94" w:rsidRDefault="00E81F77" w:rsidP="00963604">
      <w:pPr>
        <w:spacing w:after="0" w:line="240" w:lineRule="auto"/>
        <w:rPr>
          <w:rFonts w:asciiTheme="majorBidi" w:hAnsiTheme="majorBidi" w:cstheme="majorBidi"/>
          <w:sz w:val="24"/>
          <w:szCs w:val="24"/>
        </w:rPr>
      </w:pPr>
      <w:r w:rsidRPr="004C6D07">
        <w:rPr>
          <w:rFonts w:asciiTheme="majorBidi" w:hAnsiTheme="majorBidi" w:cstheme="majorBidi"/>
          <w:sz w:val="24"/>
          <w:szCs w:val="24"/>
          <w:vertAlign w:val="superscript"/>
        </w:rPr>
        <w:t>3</w:t>
      </w:r>
      <w:r>
        <w:rPr>
          <w:rFonts w:asciiTheme="majorBidi" w:hAnsiTheme="majorBidi" w:cstheme="majorBidi"/>
          <w:sz w:val="24"/>
          <w:szCs w:val="24"/>
        </w:rPr>
        <w:t>Department of Human Genetics,</w:t>
      </w:r>
      <w:r w:rsidRPr="004C6D07">
        <w:rPr>
          <w:rFonts w:asciiTheme="majorBidi" w:hAnsiTheme="majorBidi" w:cstheme="majorBidi"/>
          <w:sz w:val="24"/>
          <w:szCs w:val="24"/>
        </w:rPr>
        <w:t xml:space="preserve"> </w:t>
      </w:r>
      <w:r>
        <w:rPr>
          <w:rFonts w:asciiTheme="majorBidi" w:hAnsiTheme="majorBidi" w:cstheme="majorBidi"/>
          <w:sz w:val="24"/>
          <w:szCs w:val="24"/>
        </w:rPr>
        <w:t>McGill University, Montreal, Quebec, Canada</w:t>
      </w:r>
    </w:p>
    <w:p w14:paraId="41004127" w14:textId="77777777" w:rsidR="00E81F77" w:rsidRPr="00963604" w:rsidRDefault="00E81F77" w:rsidP="00963604">
      <w:pPr>
        <w:spacing w:after="0" w:line="240" w:lineRule="auto"/>
        <w:rPr>
          <w:rFonts w:asciiTheme="majorBidi" w:hAnsiTheme="majorBidi" w:cstheme="majorBidi"/>
          <w:sz w:val="24"/>
          <w:szCs w:val="24"/>
        </w:rPr>
      </w:pPr>
      <w:r>
        <w:rPr>
          <w:rFonts w:asciiTheme="majorBidi" w:hAnsiTheme="majorBidi" w:cstheme="majorBidi"/>
          <w:sz w:val="24"/>
          <w:szCs w:val="24"/>
          <w:vertAlign w:val="superscript"/>
        </w:rPr>
        <w:t>4</w:t>
      </w:r>
      <w:r w:rsidRPr="00963604">
        <w:rPr>
          <w:rFonts w:asciiTheme="majorBidi" w:hAnsiTheme="majorBidi" w:cstheme="majorBidi"/>
          <w:sz w:val="24"/>
          <w:szCs w:val="24"/>
        </w:rPr>
        <w:t>Department of Neurology, College of Physicians and Surgeons, Columbia University, New York, NY, USA</w:t>
      </w:r>
    </w:p>
    <w:p w14:paraId="41D03FF2" w14:textId="77777777" w:rsidR="00E81F77" w:rsidRPr="00963604" w:rsidRDefault="00E81F77" w:rsidP="00963604">
      <w:pPr>
        <w:spacing w:after="0" w:line="240" w:lineRule="auto"/>
        <w:rPr>
          <w:rFonts w:asciiTheme="majorBidi" w:hAnsiTheme="majorBidi" w:cstheme="majorBidi"/>
          <w:sz w:val="24"/>
          <w:szCs w:val="24"/>
        </w:rPr>
      </w:pPr>
      <w:r>
        <w:rPr>
          <w:rFonts w:asciiTheme="majorBidi" w:hAnsiTheme="majorBidi" w:cstheme="majorBidi"/>
          <w:sz w:val="24"/>
          <w:szCs w:val="24"/>
          <w:vertAlign w:val="superscript"/>
        </w:rPr>
        <w:t>5</w:t>
      </w:r>
      <w:r w:rsidRPr="00963604">
        <w:rPr>
          <w:rFonts w:asciiTheme="majorBidi" w:hAnsiTheme="majorBidi" w:cstheme="majorBidi"/>
          <w:sz w:val="24"/>
          <w:szCs w:val="24"/>
        </w:rPr>
        <w:t>Taub Institute for Research on Alzheimer’s Disease and the Aging Brain, Columbia University, New York, NY, USA</w:t>
      </w:r>
    </w:p>
    <w:p w14:paraId="6D320B64" w14:textId="77777777" w:rsidR="00E81F77" w:rsidRPr="005477D0" w:rsidRDefault="00E81F77" w:rsidP="00480E94">
      <w:pPr>
        <w:spacing w:after="0" w:line="240" w:lineRule="auto"/>
        <w:rPr>
          <w:rFonts w:asciiTheme="majorBidi" w:hAnsiTheme="majorBidi" w:cstheme="majorBidi"/>
          <w:sz w:val="24"/>
          <w:szCs w:val="24"/>
        </w:rPr>
      </w:pPr>
      <w:r>
        <w:rPr>
          <w:rFonts w:asciiTheme="majorBidi" w:hAnsiTheme="majorBidi" w:cstheme="majorBidi"/>
          <w:sz w:val="24"/>
          <w:szCs w:val="24"/>
          <w:vertAlign w:val="superscript"/>
        </w:rPr>
        <w:t>6</w:t>
      </w:r>
      <w:r w:rsidRPr="005477D0">
        <w:rPr>
          <w:rFonts w:asciiTheme="majorBidi" w:hAnsiTheme="majorBidi" w:cstheme="majorBidi"/>
          <w:sz w:val="24"/>
          <w:szCs w:val="24"/>
        </w:rPr>
        <w:t>Neurodegenerative Diseases Research Unit, National Institute of Neurological Disorders and Stroke, Bethesda, MD, USA</w:t>
      </w:r>
    </w:p>
    <w:p w14:paraId="33EBEB6C" w14:textId="77777777" w:rsidR="00E81F77" w:rsidRPr="00963604" w:rsidRDefault="00E81F77" w:rsidP="00480E94">
      <w:pPr>
        <w:spacing w:after="0" w:line="240" w:lineRule="auto"/>
        <w:rPr>
          <w:rFonts w:asciiTheme="majorBidi" w:hAnsiTheme="majorBidi" w:cstheme="majorBidi"/>
          <w:sz w:val="24"/>
          <w:szCs w:val="24"/>
        </w:rPr>
      </w:pPr>
      <w:r w:rsidRPr="005477D0">
        <w:rPr>
          <w:rFonts w:asciiTheme="majorBidi" w:hAnsiTheme="majorBidi" w:cstheme="majorBidi"/>
          <w:sz w:val="24"/>
          <w:szCs w:val="24"/>
          <w:vertAlign w:val="superscript"/>
        </w:rPr>
        <w:t>7</w:t>
      </w:r>
      <w:r w:rsidRPr="00963604">
        <w:rPr>
          <w:rFonts w:asciiTheme="majorBidi" w:hAnsiTheme="majorBidi" w:cstheme="majorBidi"/>
          <w:sz w:val="24"/>
          <w:szCs w:val="24"/>
        </w:rPr>
        <w:t>Laboratory of Neurogenetics, National Institute on Aging, National Institutes of Health,</w:t>
      </w:r>
      <w:r>
        <w:rPr>
          <w:rFonts w:asciiTheme="majorBidi" w:hAnsiTheme="majorBidi" w:cstheme="majorBidi"/>
          <w:sz w:val="24"/>
          <w:szCs w:val="24"/>
        </w:rPr>
        <w:t xml:space="preserve"> </w:t>
      </w:r>
      <w:r w:rsidRPr="00963604">
        <w:rPr>
          <w:rFonts w:asciiTheme="majorBidi" w:hAnsiTheme="majorBidi" w:cstheme="majorBidi"/>
          <w:sz w:val="24"/>
          <w:szCs w:val="24"/>
        </w:rPr>
        <w:t>Bethesda, Maryland, USA</w:t>
      </w:r>
    </w:p>
    <w:p w14:paraId="7CB35DE1" w14:textId="77777777" w:rsidR="00E81F77" w:rsidRPr="004C6D07" w:rsidRDefault="00E81F77" w:rsidP="00DD0CCB">
      <w:pPr>
        <w:spacing w:after="0" w:line="240" w:lineRule="auto"/>
        <w:rPr>
          <w:rFonts w:asciiTheme="majorBidi" w:hAnsiTheme="majorBidi" w:cstheme="majorBidi"/>
          <w:b/>
          <w:bCs/>
          <w:sz w:val="24"/>
          <w:szCs w:val="24"/>
        </w:rPr>
      </w:pPr>
      <w:r>
        <w:rPr>
          <w:rFonts w:asciiTheme="majorBidi" w:hAnsiTheme="majorBidi" w:cstheme="majorBidi"/>
          <w:sz w:val="24"/>
          <w:szCs w:val="24"/>
        </w:rPr>
        <w:br/>
      </w:r>
      <w:bookmarkStart w:id="0" w:name="_Hlk12438973"/>
      <w:r w:rsidRPr="004C6D07">
        <w:rPr>
          <w:rFonts w:asciiTheme="majorBidi" w:hAnsiTheme="majorBidi" w:cstheme="majorBidi"/>
          <w:b/>
          <w:bCs/>
          <w:sz w:val="24"/>
          <w:szCs w:val="24"/>
        </w:rPr>
        <w:t>Corresponding author:</w:t>
      </w:r>
    </w:p>
    <w:p w14:paraId="0825842B"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r w:rsidRPr="00DD0CCB">
        <w:rPr>
          <w:rFonts w:ascii="Times New Roman" w:eastAsia="Times New Roman" w:hAnsi="Times New Roman" w:cs="Times New Roman"/>
          <w:szCs w:val="24"/>
          <w:lang w:val="en-US" w:bidi="ar-SA"/>
        </w:rPr>
        <w:t>Ziv Gan-Or</w:t>
      </w:r>
    </w:p>
    <w:p w14:paraId="224C09D0"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r w:rsidRPr="00DD0CCB">
        <w:rPr>
          <w:rFonts w:ascii="Times New Roman" w:eastAsia="Times New Roman" w:hAnsi="Times New Roman" w:cs="Times New Roman"/>
          <w:szCs w:val="24"/>
          <w:lang w:val="en-US" w:bidi="ar-SA"/>
        </w:rPr>
        <w:t xml:space="preserve">Montreal Neurological Institute, </w:t>
      </w:r>
    </w:p>
    <w:p w14:paraId="5A214023"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r w:rsidRPr="00DD0CCB">
        <w:rPr>
          <w:rFonts w:ascii="Times New Roman" w:eastAsia="Times New Roman" w:hAnsi="Times New Roman" w:cs="Times New Roman"/>
          <w:szCs w:val="24"/>
          <w:lang w:val="en-US" w:bidi="ar-SA"/>
        </w:rPr>
        <w:t>McGill University</w:t>
      </w:r>
    </w:p>
    <w:p w14:paraId="48A654CF"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r w:rsidRPr="00DD0CCB">
        <w:rPr>
          <w:rFonts w:ascii="Times New Roman" w:eastAsia="Times New Roman" w:hAnsi="Times New Roman" w:cs="Times New Roman"/>
          <w:szCs w:val="24"/>
          <w:lang w:val="en-US" w:bidi="ar-SA"/>
        </w:rPr>
        <w:t xml:space="preserve">1033 Pine Avenue, West, </w:t>
      </w:r>
    </w:p>
    <w:p w14:paraId="301057BA"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proofErr w:type="spellStart"/>
      <w:r w:rsidRPr="00DD0CCB">
        <w:rPr>
          <w:rFonts w:ascii="Times New Roman" w:eastAsia="Times New Roman" w:hAnsi="Times New Roman" w:cs="Times New Roman"/>
          <w:szCs w:val="24"/>
          <w:lang w:val="en-US" w:bidi="ar-SA"/>
        </w:rPr>
        <w:t>Ludmer</w:t>
      </w:r>
      <w:proofErr w:type="spellEnd"/>
      <w:r w:rsidRPr="00DD0CCB">
        <w:rPr>
          <w:rFonts w:ascii="Times New Roman" w:eastAsia="Times New Roman" w:hAnsi="Times New Roman" w:cs="Times New Roman"/>
          <w:szCs w:val="24"/>
          <w:lang w:val="en-US" w:bidi="ar-SA"/>
        </w:rPr>
        <w:t xml:space="preserve"> Pavilion, room 312</w:t>
      </w:r>
    </w:p>
    <w:p w14:paraId="7E023BD4"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r w:rsidRPr="00DD0CCB">
        <w:rPr>
          <w:rFonts w:ascii="Times New Roman" w:eastAsia="Times New Roman" w:hAnsi="Times New Roman" w:cs="Times New Roman"/>
          <w:szCs w:val="24"/>
          <w:lang w:val="en-US" w:bidi="ar-SA"/>
        </w:rPr>
        <w:t xml:space="preserve">Montreal, QC, H3A 1A1, </w:t>
      </w:r>
    </w:p>
    <w:p w14:paraId="36BE3C3C" w14:textId="77777777" w:rsidR="00E81F77" w:rsidRDefault="00E81F77" w:rsidP="00DD0CCB">
      <w:pPr>
        <w:spacing w:after="0" w:line="240" w:lineRule="auto"/>
        <w:rPr>
          <w:rFonts w:ascii="Times New Roman" w:eastAsia="Times New Roman" w:hAnsi="Times New Roman" w:cs="Times New Roman"/>
          <w:szCs w:val="24"/>
          <w:lang w:val="en-US" w:bidi="ar-SA"/>
        </w:rPr>
      </w:pPr>
      <w:r w:rsidRPr="00DD0CCB">
        <w:rPr>
          <w:rFonts w:ascii="Times New Roman" w:eastAsia="Times New Roman" w:hAnsi="Times New Roman" w:cs="Times New Roman"/>
          <w:szCs w:val="24"/>
          <w:lang w:val="en-US" w:bidi="ar-SA"/>
        </w:rPr>
        <w:t>Phone: +1-514-398-5845</w:t>
      </w:r>
    </w:p>
    <w:p w14:paraId="3B19AC54"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r w:rsidRPr="00B87E9E">
        <w:rPr>
          <w:rFonts w:asciiTheme="majorBidi" w:hAnsiTheme="majorBidi" w:cstheme="majorBidi"/>
          <w:sz w:val="24"/>
          <w:szCs w:val="24"/>
        </w:rPr>
        <w:t>Fax: +1-514 398-8248</w:t>
      </w:r>
    </w:p>
    <w:p w14:paraId="62F4E6E2" w14:textId="77777777" w:rsidR="00E81F77" w:rsidRPr="00DD0CCB" w:rsidRDefault="00E81F77" w:rsidP="00DD0CCB">
      <w:pPr>
        <w:spacing w:after="0" w:line="240" w:lineRule="auto"/>
        <w:rPr>
          <w:rFonts w:ascii="Times New Roman" w:eastAsia="Times New Roman" w:hAnsi="Times New Roman" w:cs="Times New Roman"/>
          <w:szCs w:val="24"/>
          <w:lang w:val="en-US" w:bidi="ar-SA"/>
        </w:rPr>
      </w:pPr>
      <w:r w:rsidRPr="00DD0CCB">
        <w:rPr>
          <w:rFonts w:ascii="Times New Roman" w:eastAsia="Times New Roman" w:hAnsi="Times New Roman" w:cs="Times New Roman"/>
          <w:szCs w:val="24"/>
          <w:lang w:val="en-US" w:bidi="ar-SA"/>
        </w:rPr>
        <w:t>e-mail: ziv.gan-or@mcgill.ca</w:t>
      </w:r>
    </w:p>
    <w:bookmarkEnd w:id="0"/>
    <w:p w14:paraId="684A5A2B" w14:textId="77777777" w:rsidR="00E81F77" w:rsidRDefault="00E81F77" w:rsidP="00AB447C">
      <w:pPr>
        <w:spacing w:line="480" w:lineRule="auto"/>
        <w:rPr>
          <w:rFonts w:asciiTheme="majorBidi" w:hAnsiTheme="majorBidi" w:cstheme="majorBidi"/>
          <w:b/>
          <w:bCs/>
          <w:sz w:val="24"/>
          <w:szCs w:val="24"/>
        </w:rPr>
      </w:pPr>
    </w:p>
    <w:p w14:paraId="07721D4F" w14:textId="77777777" w:rsidR="00E81F77" w:rsidRPr="00434278" w:rsidRDefault="00E81F77" w:rsidP="00434278">
      <w:pPr>
        <w:spacing w:after="0" w:line="240" w:lineRule="auto"/>
        <w:rPr>
          <w:rFonts w:asciiTheme="majorBidi" w:hAnsiTheme="majorBidi" w:cstheme="majorBidi"/>
          <w:sz w:val="24"/>
          <w:szCs w:val="24"/>
        </w:rPr>
      </w:pPr>
      <w:r>
        <w:rPr>
          <w:rFonts w:asciiTheme="majorBidi" w:hAnsiTheme="majorBidi" w:cstheme="majorBidi"/>
          <w:b/>
          <w:bCs/>
          <w:sz w:val="24"/>
          <w:szCs w:val="24"/>
        </w:rPr>
        <w:t xml:space="preserve">Word count: </w:t>
      </w:r>
      <w:r w:rsidRPr="00FC62E9">
        <w:rPr>
          <w:rFonts w:asciiTheme="majorBidi" w:hAnsiTheme="majorBidi" w:cstheme="majorBidi"/>
          <w:sz w:val="24"/>
          <w:szCs w:val="24"/>
        </w:rPr>
        <w:t>4</w:t>
      </w:r>
      <w:r w:rsidR="006C62F3">
        <w:rPr>
          <w:rFonts w:asciiTheme="majorBidi" w:hAnsiTheme="majorBidi" w:cstheme="majorBidi"/>
          <w:sz w:val="24"/>
          <w:szCs w:val="24"/>
        </w:rPr>
        <w:t>8</w:t>
      </w:r>
      <w:r w:rsidRPr="00FC62E9">
        <w:rPr>
          <w:rFonts w:asciiTheme="majorBidi" w:hAnsiTheme="majorBidi" w:cstheme="majorBidi"/>
          <w:sz w:val="24"/>
          <w:szCs w:val="24"/>
        </w:rPr>
        <w:t>8</w:t>
      </w:r>
    </w:p>
    <w:p w14:paraId="3FDB1293" w14:textId="77777777" w:rsidR="00E81F77" w:rsidRDefault="00E81F77" w:rsidP="00434278">
      <w:pPr>
        <w:spacing w:after="0" w:line="240" w:lineRule="auto"/>
        <w:rPr>
          <w:rFonts w:asciiTheme="majorBidi" w:hAnsiTheme="majorBidi" w:cstheme="majorBidi"/>
          <w:b/>
          <w:bCs/>
          <w:sz w:val="24"/>
          <w:szCs w:val="24"/>
        </w:rPr>
      </w:pPr>
    </w:p>
    <w:p w14:paraId="5264780E" w14:textId="77777777" w:rsidR="00E81F77" w:rsidRPr="00434278" w:rsidRDefault="00E81F77" w:rsidP="00434278">
      <w:pPr>
        <w:spacing w:after="0" w:line="240" w:lineRule="auto"/>
        <w:rPr>
          <w:rFonts w:asciiTheme="majorBidi" w:hAnsiTheme="majorBidi" w:cstheme="majorBidi"/>
          <w:b/>
          <w:bCs/>
          <w:sz w:val="28"/>
          <w:szCs w:val="28"/>
        </w:rPr>
      </w:pPr>
      <w:r>
        <w:rPr>
          <w:rFonts w:asciiTheme="majorBidi" w:hAnsiTheme="majorBidi" w:cstheme="majorBidi"/>
          <w:b/>
          <w:bCs/>
          <w:sz w:val="24"/>
          <w:szCs w:val="24"/>
        </w:rPr>
        <w:t xml:space="preserve">Running title: </w:t>
      </w:r>
      <w:r>
        <w:rPr>
          <w:rFonts w:asciiTheme="majorBidi" w:hAnsiTheme="majorBidi" w:cstheme="majorBidi"/>
          <w:i/>
          <w:iCs/>
          <w:sz w:val="24"/>
          <w:szCs w:val="24"/>
        </w:rPr>
        <w:t xml:space="preserve">GBA </w:t>
      </w:r>
      <w:r>
        <w:rPr>
          <w:rFonts w:asciiTheme="majorBidi" w:hAnsiTheme="majorBidi" w:cstheme="majorBidi"/>
          <w:sz w:val="24"/>
          <w:szCs w:val="24"/>
        </w:rPr>
        <w:t>variants classification and DLB</w:t>
      </w:r>
    </w:p>
    <w:p w14:paraId="735E8514" w14:textId="77777777" w:rsidR="00E81F77" w:rsidRDefault="00E81F77" w:rsidP="00434278">
      <w:pPr>
        <w:spacing w:after="0"/>
        <w:rPr>
          <w:rFonts w:asciiTheme="majorBidi" w:hAnsiTheme="majorBidi" w:cstheme="majorBidi"/>
          <w:b/>
          <w:bCs/>
          <w:sz w:val="24"/>
          <w:szCs w:val="24"/>
        </w:rPr>
      </w:pPr>
      <w:bookmarkStart w:id="1" w:name="_Hlk515606340"/>
    </w:p>
    <w:p w14:paraId="0C2441DC" w14:textId="77777777" w:rsidR="00E81F77" w:rsidRPr="00412D5B" w:rsidRDefault="00E81F77" w:rsidP="00434278">
      <w:pPr>
        <w:spacing w:after="0"/>
        <w:rPr>
          <w:rFonts w:asciiTheme="majorBidi" w:hAnsiTheme="majorBidi" w:cstheme="majorBidi"/>
          <w:sz w:val="24"/>
          <w:szCs w:val="24"/>
        </w:rPr>
      </w:pPr>
      <w:r w:rsidRPr="00412D5B">
        <w:rPr>
          <w:rFonts w:asciiTheme="majorBidi" w:hAnsiTheme="majorBidi" w:cstheme="majorBidi"/>
          <w:b/>
          <w:bCs/>
          <w:sz w:val="24"/>
          <w:szCs w:val="24"/>
        </w:rPr>
        <w:t>Conflict of interest disclosure</w:t>
      </w:r>
      <w:r>
        <w:rPr>
          <w:rFonts w:asciiTheme="majorBidi" w:hAnsiTheme="majorBidi" w:cstheme="majorBidi"/>
          <w:b/>
          <w:bCs/>
          <w:sz w:val="24"/>
          <w:szCs w:val="24"/>
        </w:rPr>
        <w:t xml:space="preserve">: </w:t>
      </w:r>
      <w:r>
        <w:rPr>
          <w:rFonts w:asciiTheme="majorBidi" w:hAnsiTheme="majorBidi" w:cstheme="majorBidi"/>
          <w:sz w:val="24"/>
          <w:szCs w:val="24"/>
        </w:rPr>
        <w:t xml:space="preserve">All </w:t>
      </w:r>
      <w:r w:rsidRPr="00412D5B">
        <w:rPr>
          <w:rFonts w:asciiTheme="majorBidi" w:hAnsiTheme="majorBidi" w:cstheme="majorBidi"/>
          <w:sz w:val="24"/>
          <w:szCs w:val="24"/>
        </w:rPr>
        <w:t>authors report no conflict of interests.</w:t>
      </w:r>
      <w:bookmarkEnd w:id="1"/>
    </w:p>
    <w:p w14:paraId="65FF567B" w14:textId="77777777" w:rsidR="00E81F77" w:rsidRDefault="00E81F77" w:rsidP="00434278">
      <w:pPr>
        <w:spacing w:after="0"/>
        <w:rPr>
          <w:rFonts w:asciiTheme="majorBidi" w:hAnsiTheme="majorBidi" w:cstheme="majorBidi"/>
          <w:b/>
          <w:bCs/>
          <w:sz w:val="24"/>
          <w:szCs w:val="24"/>
        </w:rPr>
      </w:pPr>
    </w:p>
    <w:p w14:paraId="0FA5AA6B" w14:textId="77777777" w:rsidR="00E81F77" w:rsidRPr="00484ECD" w:rsidRDefault="00E81F77" w:rsidP="00484ECD">
      <w:pPr>
        <w:spacing w:line="480" w:lineRule="auto"/>
        <w:rPr>
          <w:rFonts w:asciiTheme="majorBidi" w:hAnsiTheme="majorBidi" w:cstheme="majorBidi"/>
          <w:sz w:val="24"/>
          <w:szCs w:val="24"/>
        </w:rPr>
      </w:pPr>
      <w:r w:rsidRPr="00412D5B">
        <w:rPr>
          <w:rFonts w:asciiTheme="majorBidi" w:hAnsiTheme="majorBidi" w:cstheme="majorBidi"/>
          <w:b/>
          <w:bCs/>
          <w:sz w:val="24"/>
          <w:szCs w:val="24"/>
        </w:rPr>
        <w:t xml:space="preserve">Funding sources: </w:t>
      </w:r>
      <w:r w:rsidRPr="003807AE">
        <w:rPr>
          <w:rFonts w:asciiTheme="majorBidi" w:hAnsiTheme="majorBidi" w:cstheme="majorBidi"/>
          <w:sz w:val="24"/>
          <w:szCs w:val="24"/>
        </w:rPr>
        <w:t>This research was supported in part by the Intramural Research Program of the National Institutes of Health (National Institute on Aging, National Institute of Neurological Disorders and Stroke; project numbers: ZIA-AG000935, ZIA-NS003154).</w:t>
      </w:r>
      <w:r w:rsidRPr="00AB447C">
        <w:rPr>
          <w:rFonts w:asciiTheme="majorBidi" w:hAnsiTheme="majorBidi" w:cstheme="majorBidi"/>
          <w:b/>
          <w:bCs/>
          <w:sz w:val="24"/>
          <w:szCs w:val="24"/>
        </w:rPr>
        <w:br w:type="page"/>
      </w:r>
    </w:p>
    <w:p w14:paraId="61877667" w14:textId="77777777" w:rsidR="00E81F77" w:rsidRDefault="00E81F77" w:rsidP="00BD5CC0">
      <w:pPr>
        <w:spacing w:line="480" w:lineRule="auto"/>
        <w:jc w:val="both"/>
        <w:rPr>
          <w:rFonts w:asciiTheme="majorBidi" w:hAnsiTheme="majorBidi" w:cstheme="majorBidi"/>
          <w:sz w:val="24"/>
          <w:szCs w:val="24"/>
        </w:rPr>
      </w:pPr>
      <w:r w:rsidRPr="00AB447C">
        <w:rPr>
          <w:rFonts w:asciiTheme="majorBidi" w:hAnsiTheme="majorBidi" w:cstheme="majorBidi"/>
          <w:sz w:val="24"/>
          <w:szCs w:val="24"/>
        </w:rPr>
        <w:lastRenderedPageBreak/>
        <w:t xml:space="preserve">We read with </w:t>
      </w:r>
      <w:r w:rsidR="006C62F3">
        <w:rPr>
          <w:rFonts w:asciiTheme="majorBidi" w:hAnsiTheme="majorBidi" w:cstheme="majorBidi"/>
          <w:sz w:val="24"/>
          <w:szCs w:val="24"/>
        </w:rPr>
        <w:t xml:space="preserve">much </w:t>
      </w:r>
      <w:r w:rsidRPr="00AB447C">
        <w:rPr>
          <w:rFonts w:asciiTheme="majorBidi" w:hAnsiTheme="majorBidi" w:cstheme="majorBidi"/>
          <w:sz w:val="24"/>
          <w:szCs w:val="24"/>
        </w:rPr>
        <w:t xml:space="preserve">interest the paper by </w:t>
      </w:r>
      <w:proofErr w:type="spellStart"/>
      <w:r w:rsidRPr="00AB447C">
        <w:rPr>
          <w:rFonts w:asciiTheme="majorBidi" w:hAnsiTheme="majorBidi" w:cstheme="majorBidi"/>
          <w:sz w:val="24"/>
          <w:szCs w:val="24"/>
        </w:rPr>
        <w:t>Lerche</w:t>
      </w:r>
      <w:proofErr w:type="spellEnd"/>
      <w:r w:rsidRPr="00AB447C">
        <w:rPr>
          <w:rFonts w:asciiTheme="majorBidi" w:hAnsiTheme="majorBidi" w:cstheme="majorBidi"/>
          <w:sz w:val="24"/>
          <w:szCs w:val="24"/>
        </w:rPr>
        <w:t xml:space="preserve"> and colleagues,</w:t>
      </w:r>
      <w:r w:rsidRPr="00100195">
        <w:rPr>
          <w:rFonts w:asciiTheme="majorBidi" w:hAnsiTheme="majorBidi" w:cstheme="majorBidi"/>
          <w:noProof/>
          <w:sz w:val="24"/>
          <w:szCs w:val="24"/>
          <w:vertAlign w:val="superscript"/>
        </w:rPr>
        <w:t>1</w:t>
      </w:r>
      <w:r w:rsidRPr="00AB447C">
        <w:rPr>
          <w:rFonts w:asciiTheme="majorBidi" w:hAnsiTheme="majorBidi" w:cstheme="majorBidi"/>
          <w:sz w:val="24"/>
          <w:szCs w:val="24"/>
        </w:rPr>
        <w:t xml:space="preserve"> </w:t>
      </w:r>
      <w:r>
        <w:rPr>
          <w:rFonts w:asciiTheme="majorBidi" w:hAnsiTheme="majorBidi" w:cstheme="majorBidi"/>
          <w:sz w:val="24"/>
          <w:szCs w:val="24"/>
        </w:rPr>
        <w:t>demonstrating</w:t>
      </w:r>
      <w:r w:rsidRPr="00AB447C">
        <w:rPr>
          <w:rFonts w:asciiTheme="majorBidi" w:hAnsiTheme="majorBidi" w:cstheme="majorBidi"/>
          <w:sz w:val="24"/>
          <w:szCs w:val="24"/>
        </w:rPr>
        <w:t xml:space="preserve"> that different </w:t>
      </w:r>
      <w:r w:rsidRPr="00AB447C">
        <w:rPr>
          <w:rFonts w:asciiTheme="majorBidi" w:hAnsiTheme="majorBidi" w:cstheme="majorBidi"/>
          <w:i/>
          <w:iCs/>
          <w:sz w:val="24"/>
          <w:szCs w:val="24"/>
        </w:rPr>
        <w:t xml:space="preserve">GBA </w:t>
      </w:r>
      <w:r w:rsidRPr="00AB447C">
        <w:rPr>
          <w:rFonts w:asciiTheme="majorBidi" w:hAnsiTheme="majorBidi" w:cstheme="majorBidi"/>
          <w:sz w:val="24"/>
          <w:szCs w:val="24"/>
        </w:rPr>
        <w:t>mutations a</w:t>
      </w:r>
      <w:r>
        <w:rPr>
          <w:rFonts w:asciiTheme="majorBidi" w:hAnsiTheme="majorBidi" w:cstheme="majorBidi"/>
          <w:sz w:val="24"/>
          <w:szCs w:val="24"/>
        </w:rPr>
        <w:t xml:space="preserve">re associated with clinical presentation of dementia with Lewy bodies (DLB) and with cerebrospinal fluid (CSF) levels of </w:t>
      </w:r>
      <w:r w:rsidRPr="00D7521B">
        <w:rPr>
          <w:rFonts w:ascii="Symbol" w:hAnsi="Symbol" w:cstheme="majorBidi"/>
          <w:sz w:val="24"/>
          <w:szCs w:val="24"/>
        </w:rPr>
        <w:t></w:t>
      </w:r>
      <w:r>
        <w:rPr>
          <w:rFonts w:asciiTheme="majorBidi" w:hAnsiTheme="majorBidi" w:cstheme="majorBidi"/>
          <w:sz w:val="24"/>
          <w:szCs w:val="24"/>
        </w:rPr>
        <w:t xml:space="preserve">-synuclein. These are important observations that may be useful for stratification of patients for future studies. In their analysis, the authors classified </w:t>
      </w:r>
      <w:r>
        <w:rPr>
          <w:rFonts w:asciiTheme="majorBidi" w:hAnsiTheme="majorBidi" w:cstheme="majorBidi"/>
          <w:i/>
          <w:iCs/>
          <w:sz w:val="24"/>
          <w:szCs w:val="24"/>
        </w:rPr>
        <w:t xml:space="preserve">GBA </w:t>
      </w:r>
      <w:r>
        <w:rPr>
          <w:rFonts w:asciiTheme="majorBidi" w:hAnsiTheme="majorBidi" w:cstheme="majorBidi"/>
          <w:sz w:val="24"/>
          <w:szCs w:val="24"/>
        </w:rPr>
        <w:t xml:space="preserve">variants as of unknown-significance, mild and pathogenic, and examined the differences between these groups. We suggest that a different classification might better discriminate between the groups, and in addition may </w:t>
      </w:r>
      <w:r w:rsidR="006C62F3">
        <w:rPr>
          <w:rFonts w:asciiTheme="majorBidi" w:hAnsiTheme="majorBidi" w:cstheme="majorBidi"/>
          <w:sz w:val="24"/>
          <w:szCs w:val="24"/>
        </w:rPr>
        <w:t xml:space="preserve">provide evidence for </w:t>
      </w:r>
      <w:r>
        <w:rPr>
          <w:rFonts w:asciiTheme="majorBidi" w:hAnsiTheme="majorBidi" w:cstheme="majorBidi"/>
          <w:sz w:val="24"/>
          <w:szCs w:val="24"/>
        </w:rPr>
        <w:t>answer</w:t>
      </w:r>
      <w:r w:rsidR="006C62F3">
        <w:rPr>
          <w:rFonts w:asciiTheme="majorBidi" w:hAnsiTheme="majorBidi" w:cstheme="majorBidi"/>
          <w:sz w:val="24"/>
          <w:szCs w:val="24"/>
        </w:rPr>
        <w:t>ing</w:t>
      </w:r>
      <w:r>
        <w:rPr>
          <w:rFonts w:asciiTheme="majorBidi" w:hAnsiTheme="majorBidi" w:cstheme="majorBidi"/>
          <w:sz w:val="24"/>
          <w:szCs w:val="24"/>
        </w:rPr>
        <w:t xml:space="preserve"> the unsolved question of </w:t>
      </w:r>
      <w:proofErr w:type="gramStart"/>
      <w:r>
        <w:rPr>
          <w:rFonts w:asciiTheme="majorBidi" w:hAnsiTheme="majorBidi" w:cstheme="majorBidi"/>
          <w:sz w:val="24"/>
          <w:szCs w:val="24"/>
        </w:rPr>
        <w:t>whether or not</w:t>
      </w:r>
      <w:proofErr w:type="gramEnd"/>
      <w:r>
        <w:rPr>
          <w:rFonts w:asciiTheme="majorBidi" w:hAnsiTheme="majorBidi" w:cstheme="majorBidi"/>
          <w:sz w:val="24"/>
          <w:szCs w:val="24"/>
        </w:rPr>
        <w:t xml:space="preserve"> the p.T369M variant may have a role in DLB. The p.T369M variant is defined as of </w:t>
      </w:r>
      <w:proofErr w:type="gramStart"/>
      <w:r>
        <w:rPr>
          <w:rFonts w:asciiTheme="majorBidi" w:hAnsiTheme="majorBidi" w:cstheme="majorBidi"/>
          <w:sz w:val="24"/>
          <w:szCs w:val="24"/>
        </w:rPr>
        <w:t>unknown-significance</w:t>
      </w:r>
      <w:proofErr w:type="gramEnd"/>
      <w:r>
        <w:rPr>
          <w:rFonts w:asciiTheme="majorBidi" w:hAnsiTheme="majorBidi" w:cstheme="majorBidi"/>
          <w:sz w:val="24"/>
          <w:szCs w:val="24"/>
        </w:rPr>
        <w:t xml:space="preserve"> by </w:t>
      </w:r>
      <w:proofErr w:type="spellStart"/>
      <w:r>
        <w:rPr>
          <w:rFonts w:asciiTheme="majorBidi" w:hAnsiTheme="majorBidi" w:cstheme="majorBidi"/>
          <w:sz w:val="24"/>
          <w:szCs w:val="24"/>
        </w:rPr>
        <w:t>Lerche</w:t>
      </w:r>
      <w:proofErr w:type="spellEnd"/>
      <w:r>
        <w:rPr>
          <w:rFonts w:asciiTheme="majorBidi" w:hAnsiTheme="majorBidi" w:cstheme="majorBidi"/>
          <w:sz w:val="24"/>
          <w:szCs w:val="24"/>
        </w:rPr>
        <w:t xml:space="preserve"> et al., probably since its association with DLB is still not clear. Of note, i</w:t>
      </w:r>
      <w:r w:rsidRPr="00A07618">
        <w:rPr>
          <w:rFonts w:asciiTheme="majorBidi" w:hAnsiTheme="majorBidi" w:cstheme="majorBidi"/>
          <w:sz w:val="24"/>
          <w:szCs w:val="24"/>
        </w:rPr>
        <w:t>n a cohort of 556 European-ancestry DLB patients and 1</w:t>
      </w:r>
      <w:r>
        <w:rPr>
          <w:rFonts w:asciiTheme="majorBidi" w:hAnsiTheme="majorBidi" w:cstheme="majorBidi"/>
          <w:sz w:val="24"/>
          <w:szCs w:val="24"/>
        </w:rPr>
        <w:t>,</w:t>
      </w:r>
      <w:r w:rsidRPr="00A07618">
        <w:rPr>
          <w:rFonts w:asciiTheme="majorBidi" w:hAnsiTheme="majorBidi" w:cstheme="majorBidi"/>
          <w:sz w:val="24"/>
          <w:szCs w:val="24"/>
        </w:rPr>
        <w:t>418 matched controls, collected at the Neurodegenerative Diseases Research Unit at NIH, the p.T369M variant was associated with increased risk for DLB (</w:t>
      </w:r>
      <w:r>
        <w:rPr>
          <w:rFonts w:asciiTheme="majorBidi" w:hAnsiTheme="majorBidi" w:cstheme="majorBidi"/>
          <w:sz w:val="24"/>
          <w:szCs w:val="24"/>
        </w:rPr>
        <w:t>Table 1</w:t>
      </w:r>
      <w:r w:rsidRPr="00A07618">
        <w:rPr>
          <w:rFonts w:asciiTheme="majorBidi" w:hAnsiTheme="majorBidi" w:cstheme="majorBidi"/>
          <w:sz w:val="24"/>
          <w:szCs w:val="24"/>
        </w:rPr>
        <w:t>).</w:t>
      </w:r>
      <w:r>
        <w:rPr>
          <w:rFonts w:asciiTheme="majorBidi" w:hAnsiTheme="majorBidi" w:cstheme="majorBidi"/>
          <w:sz w:val="24"/>
          <w:szCs w:val="24"/>
        </w:rPr>
        <w:t xml:space="preserve"> Furthermore, p.T369M is a PD risk factor with a similar effect size to that of p.E326K. A meta-analysis of </w:t>
      </w:r>
      <w:r w:rsidRPr="00EA7298">
        <w:rPr>
          <w:rFonts w:asciiTheme="majorBidi" w:hAnsiTheme="majorBidi" w:cstheme="majorBidi"/>
          <w:sz w:val="24"/>
          <w:szCs w:val="24"/>
        </w:rPr>
        <w:t xml:space="preserve">4,920 PD patients and 3,500 </w:t>
      </w:r>
      <w:r>
        <w:rPr>
          <w:rFonts w:asciiTheme="majorBidi" w:hAnsiTheme="majorBidi" w:cstheme="majorBidi"/>
          <w:sz w:val="24"/>
          <w:szCs w:val="24"/>
        </w:rPr>
        <w:t>controls,</w:t>
      </w:r>
      <w:r w:rsidRPr="00100195">
        <w:rPr>
          <w:rFonts w:asciiTheme="majorBidi" w:hAnsiTheme="majorBidi" w:cstheme="majorBidi"/>
          <w:noProof/>
          <w:sz w:val="24"/>
          <w:szCs w:val="24"/>
          <w:vertAlign w:val="superscript"/>
        </w:rPr>
        <w:t>2</w:t>
      </w:r>
      <w:r>
        <w:rPr>
          <w:rFonts w:asciiTheme="majorBidi" w:hAnsiTheme="majorBidi" w:cstheme="majorBidi"/>
          <w:sz w:val="24"/>
          <w:szCs w:val="24"/>
        </w:rPr>
        <w:t xml:space="preserve"> an independent analysis of </w:t>
      </w:r>
      <w:r w:rsidRPr="00780696">
        <w:rPr>
          <w:rFonts w:asciiTheme="majorBidi" w:hAnsiTheme="majorBidi" w:cstheme="majorBidi"/>
          <w:sz w:val="24"/>
          <w:szCs w:val="24"/>
        </w:rPr>
        <w:t>6</w:t>
      </w:r>
      <w:r>
        <w:rPr>
          <w:rFonts w:asciiTheme="majorBidi" w:hAnsiTheme="majorBidi" w:cstheme="majorBidi"/>
          <w:sz w:val="24"/>
          <w:szCs w:val="24"/>
        </w:rPr>
        <w:t>,</w:t>
      </w:r>
      <w:r w:rsidRPr="00780696">
        <w:rPr>
          <w:rFonts w:asciiTheme="majorBidi" w:hAnsiTheme="majorBidi" w:cstheme="majorBidi"/>
          <w:sz w:val="24"/>
          <w:szCs w:val="24"/>
        </w:rPr>
        <w:t xml:space="preserve">249 PD </w:t>
      </w:r>
      <w:r>
        <w:rPr>
          <w:rFonts w:asciiTheme="majorBidi" w:hAnsiTheme="majorBidi" w:cstheme="majorBidi"/>
          <w:sz w:val="24"/>
          <w:szCs w:val="24"/>
        </w:rPr>
        <w:t>patients</w:t>
      </w:r>
      <w:r w:rsidRPr="00780696">
        <w:rPr>
          <w:rFonts w:asciiTheme="majorBidi" w:hAnsiTheme="majorBidi" w:cstheme="majorBidi"/>
          <w:sz w:val="24"/>
          <w:szCs w:val="24"/>
        </w:rPr>
        <w:t xml:space="preserve"> and 6</w:t>
      </w:r>
      <w:r>
        <w:rPr>
          <w:rFonts w:asciiTheme="majorBidi" w:hAnsiTheme="majorBidi" w:cstheme="majorBidi"/>
          <w:sz w:val="24"/>
          <w:szCs w:val="24"/>
        </w:rPr>
        <w:t>,</w:t>
      </w:r>
      <w:r w:rsidRPr="00780696">
        <w:rPr>
          <w:rFonts w:asciiTheme="majorBidi" w:hAnsiTheme="majorBidi" w:cstheme="majorBidi"/>
          <w:sz w:val="24"/>
          <w:szCs w:val="24"/>
        </w:rPr>
        <w:t>032 controls</w:t>
      </w:r>
      <w:r>
        <w:rPr>
          <w:rFonts w:asciiTheme="majorBidi" w:hAnsiTheme="majorBidi" w:cstheme="majorBidi"/>
          <w:sz w:val="24"/>
          <w:szCs w:val="24"/>
        </w:rPr>
        <w:t>,</w:t>
      </w:r>
      <w:r w:rsidRPr="00100195">
        <w:rPr>
          <w:rFonts w:asciiTheme="majorBidi" w:hAnsiTheme="majorBidi" w:cstheme="majorBidi"/>
          <w:noProof/>
          <w:sz w:val="24"/>
          <w:szCs w:val="24"/>
          <w:vertAlign w:val="superscript"/>
        </w:rPr>
        <w:t>3</w:t>
      </w:r>
      <w:r>
        <w:rPr>
          <w:rFonts w:asciiTheme="majorBidi" w:hAnsiTheme="majorBidi" w:cstheme="majorBidi"/>
          <w:sz w:val="24"/>
          <w:szCs w:val="24"/>
        </w:rPr>
        <w:t xml:space="preserve"> and data from 14,991 PD patients and 12,491 controls from the International Parkinson’s Disease Genomics Consortium (IPDGC, partially overlaps with ref</w:t>
      </w:r>
      <w:r w:rsidRPr="00480E94">
        <w:rPr>
          <w:rFonts w:asciiTheme="majorBidi" w:hAnsiTheme="majorBidi" w:cstheme="majorBidi"/>
          <w:noProof/>
          <w:sz w:val="24"/>
          <w:szCs w:val="24"/>
          <w:vertAlign w:val="superscript"/>
        </w:rPr>
        <w:t>3</w:t>
      </w:r>
      <w:r>
        <w:rPr>
          <w:rFonts w:asciiTheme="majorBidi" w:hAnsiTheme="majorBidi" w:cstheme="majorBidi"/>
          <w:sz w:val="24"/>
          <w:szCs w:val="24"/>
        </w:rPr>
        <w:t>,</w:t>
      </w:r>
      <w:r w:rsidR="006B7A47">
        <w:rPr>
          <w:rFonts w:asciiTheme="majorBidi" w:hAnsiTheme="majorBidi" w:cstheme="majorBidi"/>
          <w:sz w:val="24"/>
          <w:szCs w:val="24"/>
        </w:rPr>
        <w:t xml:space="preserve"> available as preprint</w:t>
      </w:r>
      <w:r w:rsidR="006B7A47" w:rsidRPr="006B7A47">
        <w:rPr>
          <w:rFonts w:asciiTheme="majorBidi" w:hAnsiTheme="majorBidi" w:cstheme="majorBidi"/>
          <w:sz w:val="24"/>
          <w:szCs w:val="24"/>
          <w:vertAlign w:val="superscript"/>
        </w:rPr>
        <w:t>4</w:t>
      </w:r>
      <w:r>
        <w:rPr>
          <w:rFonts w:asciiTheme="majorBidi" w:hAnsiTheme="majorBidi" w:cstheme="majorBidi"/>
          <w:sz w:val="24"/>
          <w:szCs w:val="24"/>
        </w:rPr>
        <w:t xml:space="preserve">) all confirm that p.T369M is a risk factor for PD (Table 1). In addition, previous classifications of </w:t>
      </w:r>
      <w:r>
        <w:rPr>
          <w:rFonts w:asciiTheme="majorBidi" w:hAnsiTheme="majorBidi" w:cstheme="majorBidi"/>
          <w:i/>
          <w:iCs/>
          <w:sz w:val="24"/>
          <w:szCs w:val="24"/>
        </w:rPr>
        <w:t xml:space="preserve">GBA </w:t>
      </w:r>
      <w:r>
        <w:rPr>
          <w:rFonts w:asciiTheme="majorBidi" w:hAnsiTheme="majorBidi" w:cstheme="majorBidi"/>
          <w:sz w:val="24"/>
          <w:szCs w:val="24"/>
        </w:rPr>
        <w:t>mutations classified them as “mild” or “severe” based on their effects in GD.</w:t>
      </w:r>
      <w:r w:rsidR="006B7A47">
        <w:rPr>
          <w:rFonts w:asciiTheme="majorBidi" w:hAnsiTheme="majorBidi" w:cstheme="majorBidi"/>
          <w:noProof/>
          <w:sz w:val="24"/>
          <w:szCs w:val="24"/>
          <w:vertAlign w:val="superscript"/>
        </w:rPr>
        <w:t>5</w:t>
      </w:r>
      <w:r>
        <w:rPr>
          <w:rFonts w:asciiTheme="majorBidi" w:hAnsiTheme="majorBidi" w:cstheme="majorBidi"/>
          <w:sz w:val="24"/>
          <w:szCs w:val="24"/>
        </w:rPr>
        <w:t xml:space="preserve"> This classification demonstrated differential effects on risk for PD, age-at-onset of PD,</w:t>
      </w:r>
      <w:r w:rsidRPr="00100195">
        <w:rPr>
          <w:rFonts w:asciiTheme="majorBidi" w:hAnsiTheme="majorBidi" w:cstheme="majorBidi"/>
          <w:noProof/>
          <w:sz w:val="24"/>
          <w:szCs w:val="24"/>
          <w:vertAlign w:val="superscript"/>
        </w:rPr>
        <w:t>4</w:t>
      </w:r>
      <w:r>
        <w:rPr>
          <w:rFonts w:asciiTheme="majorBidi" w:hAnsiTheme="majorBidi" w:cstheme="majorBidi"/>
          <w:sz w:val="24"/>
          <w:szCs w:val="24"/>
        </w:rPr>
        <w:t xml:space="preserve"> and cognitive decline.</w:t>
      </w:r>
      <w:r w:rsidR="006B7A47">
        <w:rPr>
          <w:rFonts w:asciiTheme="majorBidi" w:hAnsiTheme="majorBidi" w:cstheme="majorBidi"/>
          <w:noProof/>
          <w:sz w:val="24"/>
          <w:szCs w:val="24"/>
          <w:vertAlign w:val="superscript"/>
        </w:rPr>
        <w:t>6</w:t>
      </w:r>
      <w:r>
        <w:rPr>
          <w:rFonts w:asciiTheme="majorBidi" w:hAnsiTheme="majorBidi" w:cstheme="majorBidi"/>
          <w:sz w:val="24"/>
          <w:szCs w:val="24"/>
        </w:rPr>
        <w:t xml:space="preserve"> Therefore, it is possible that re-analysis of the data presented by </w:t>
      </w:r>
      <w:proofErr w:type="spellStart"/>
      <w:r>
        <w:rPr>
          <w:rFonts w:asciiTheme="majorBidi" w:hAnsiTheme="majorBidi" w:cstheme="majorBidi"/>
          <w:sz w:val="24"/>
          <w:szCs w:val="24"/>
        </w:rPr>
        <w:t>Lerche</w:t>
      </w:r>
      <w:proofErr w:type="spellEnd"/>
      <w:r>
        <w:rPr>
          <w:rFonts w:asciiTheme="majorBidi" w:hAnsiTheme="majorBidi" w:cstheme="majorBidi"/>
          <w:sz w:val="24"/>
          <w:szCs w:val="24"/>
        </w:rPr>
        <w:t xml:space="preserve"> et al. using a different classification system will further improve the discrimination between the groups and provide more data on the potential role of p.T369M in DLB. Such analysis could include p.T369M and p.E326K carriers in a single group of “risk variants” (i.e. variants that are associated with risk for PD but do not cause GD), a second group </w:t>
      </w:r>
      <w:r>
        <w:rPr>
          <w:rFonts w:asciiTheme="majorBidi" w:hAnsiTheme="majorBidi" w:cstheme="majorBidi"/>
          <w:sz w:val="24"/>
          <w:szCs w:val="24"/>
        </w:rPr>
        <w:lastRenderedPageBreak/>
        <w:t xml:space="preserve">of “mild” </w:t>
      </w:r>
      <w:r>
        <w:rPr>
          <w:rFonts w:asciiTheme="majorBidi" w:hAnsiTheme="majorBidi" w:cstheme="majorBidi"/>
          <w:i/>
          <w:iCs/>
          <w:sz w:val="24"/>
          <w:szCs w:val="24"/>
        </w:rPr>
        <w:t xml:space="preserve">GBA </w:t>
      </w:r>
      <w:r>
        <w:rPr>
          <w:rFonts w:asciiTheme="majorBidi" w:hAnsiTheme="majorBidi" w:cstheme="majorBidi"/>
          <w:sz w:val="24"/>
          <w:szCs w:val="24"/>
        </w:rPr>
        <w:t xml:space="preserve">mutations (e.g. p.N370S), and a third group of “severe” </w:t>
      </w:r>
      <w:r>
        <w:rPr>
          <w:rFonts w:asciiTheme="majorBidi" w:hAnsiTheme="majorBidi" w:cstheme="majorBidi"/>
          <w:i/>
          <w:iCs/>
          <w:sz w:val="24"/>
          <w:szCs w:val="24"/>
        </w:rPr>
        <w:t xml:space="preserve">GBA </w:t>
      </w:r>
      <w:r>
        <w:rPr>
          <w:rFonts w:asciiTheme="majorBidi" w:hAnsiTheme="majorBidi" w:cstheme="majorBidi"/>
          <w:sz w:val="24"/>
          <w:szCs w:val="24"/>
        </w:rPr>
        <w:t>mutations, as described above, or comparing the “risk variants” to “mild” and “severe” mutations combined</w:t>
      </w:r>
      <w:r w:rsidR="006C62F3">
        <w:rPr>
          <w:rFonts w:asciiTheme="majorBidi" w:hAnsiTheme="majorBidi" w:cstheme="majorBidi"/>
          <w:sz w:val="24"/>
          <w:szCs w:val="24"/>
        </w:rPr>
        <w:t xml:space="preserve"> (i.e. GD-causing mutations combined)</w:t>
      </w:r>
      <w:r>
        <w:rPr>
          <w:rFonts w:asciiTheme="majorBidi" w:hAnsiTheme="majorBidi" w:cstheme="majorBidi"/>
          <w:sz w:val="24"/>
          <w:szCs w:val="24"/>
        </w:rPr>
        <w:t xml:space="preserve">. Lastly, a comparison between p.T369M and p.E326K could determine if they have similar profiles of association, acknowledging the limitation of the small numbers in each group. Of course, we note that it is possible that while the p.T369M variant is an established risk factor for PD, its association with DLB is still questionable (although in our data it is clearly associated with DLB, Table 1), and therefore including it as “unknown” in the analysis done by </w:t>
      </w:r>
      <w:proofErr w:type="spellStart"/>
      <w:r>
        <w:rPr>
          <w:rFonts w:asciiTheme="majorBidi" w:hAnsiTheme="majorBidi" w:cstheme="majorBidi"/>
          <w:sz w:val="24"/>
          <w:szCs w:val="24"/>
        </w:rPr>
        <w:t>Lerche</w:t>
      </w:r>
      <w:proofErr w:type="spellEnd"/>
      <w:r>
        <w:rPr>
          <w:rFonts w:asciiTheme="majorBidi" w:hAnsiTheme="majorBidi" w:cstheme="majorBidi"/>
          <w:sz w:val="24"/>
          <w:szCs w:val="24"/>
        </w:rPr>
        <w:t xml:space="preserve"> et al. could be justified. Nevertheless, it will be interesting to see if a different classification as we suggest will improve the discrimination between the study sub-groups and provide more data as to the role of p.T369M in DLB.</w:t>
      </w:r>
    </w:p>
    <w:p w14:paraId="24D63BB7" w14:textId="77777777" w:rsidR="00E81F77" w:rsidRDefault="00E81F77" w:rsidP="00BD5CC0">
      <w:pPr>
        <w:spacing w:line="480" w:lineRule="auto"/>
        <w:jc w:val="both"/>
        <w:rPr>
          <w:rFonts w:asciiTheme="majorBidi" w:hAnsiTheme="majorBidi" w:cstheme="majorBidi"/>
          <w:b/>
          <w:bCs/>
          <w:sz w:val="24"/>
          <w:szCs w:val="24"/>
        </w:rPr>
      </w:pPr>
    </w:p>
    <w:p w14:paraId="49BD9D58" w14:textId="77777777" w:rsidR="00E81F77" w:rsidRPr="004E7FBD" w:rsidRDefault="00E81F77" w:rsidP="00434278">
      <w:pPr>
        <w:spacing w:after="0" w:line="480" w:lineRule="auto"/>
        <w:jc w:val="both"/>
        <w:rPr>
          <w:rFonts w:asciiTheme="majorBidi" w:hAnsiTheme="majorBidi" w:cstheme="majorBidi"/>
          <w:sz w:val="24"/>
          <w:szCs w:val="24"/>
        </w:rPr>
      </w:pPr>
      <w:r>
        <w:rPr>
          <w:rFonts w:asciiTheme="majorBidi" w:hAnsiTheme="majorBidi" w:cstheme="majorBidi"/>
          <w:b/>
          <w:bCs/>
          <w:sz w:val="24"/>
          <w:szCs w:val="24"/>
        </w:rPr>
        <w:t>Acknowledgements</w:t>
      </w:r>
      <w:r>
        <w:rPr>
          <w:rFonts w:asciiTheme="majorBidi" w:hAnsiTheme="majorBidi" w:cstheme="majorBidi"/>
          <w:b/>
          <w:bCs/>
          <w:sz w:val="24"/>
          <w:szCs w:val="24"/>
        </w:rPr>
        <w:br/>
      </w:r>
      <w:r w:rsidRPr="004E7FBD">
        <w:rPr>
          <w:rFonts w:asciiTheme="majorBidi" w:hAnsiTheme="majorBidi" w:cstheme="majorBidi"/>
          <w:sz w:val="24"/>
          <w:szCs w:val="24"/>
        </w:rPr>
        <w:t>We would like to thank all members of the International Parkinson Disease Genomics Consortium (IPDGC). For a complete overview of members, acknowledgements and funding, please see: http://pdgenetics.org/partners.</w:t>
      </w:r>
    </w:p>
    <w:p w14:paraId="0A4A05D9" w14:textId="77777777" w:rsidR="00E81F77" w:rsidRDefault="00E81F77" w:rsidP="00434278">
      <w:pPr>
        <w:spacing w:after="0" w:line="480" w:lineRule="auto"/>
        <w:jc w:val="both"/>
        <w:rPr>
          <w:rFonts w:asciiTheme="majorBidi" w:hAnsiTheme="majorBidi" w:cstheme="majorBidi"/>
          <w:b/>
          <w:bCs/>
          <w:sz w:val="24"/>
          <w:szCs w:val="24"/>
        </w:rPr>
      </w:pPr>
    </w:p>
    <w:p w14:paraId="54CF173E" w14:textId="77777777" w:rsidR="00E81F77" w:rsidRDefault="00E81F77" w:rsidP="00434278">
      <w:p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t>Authors’ roles</w:t>
      </w:r>
    </w:p>
    <w:p w14:paraId="27BB9551" w14:textId="77777777" w:rsidR="00E81F77" w:rsidRPr="006467FE" w:rsidRDefault="00E81F77" w:rsidP="00434278">
      <w:pPr>
        <w:spacing w:after="0" w:line="480" w:lineRule="auto"/>
        <w:jc w:val="both"/>
        <w:rPr>
          <w:rFonts w:asciiTheme="majorBidi" w:hAnsiTheme="majorBidi" w:cstheme="majorBidi"/>
          <w:sz w:val="24"/>
          <w:szCs w:val="24"/>
        </w:rPr>
      </w:pPr>
      <w:r>
        <w:rPr>
          <w:rFonts w:asciiTheme="majorBidi" w:hAnsiTheme="majorBidi" w:cstheme="majorBidi"/>
          <w:sz w:val="24"/>
          <w:szCs w:val="24"/>
        </w:rPr>
        <w:t xml:space="preserve">ZGO, RNA, MBM, SWS and CB – Writing the first draft, review and critique. </w:t>
      </w:r>
    </w:p>
    <w:p w14:paraId="625C1E90" w14:textId="77777777" w:rsidR="00E81F77" w:rsidRDefault="00E81F77" w:rsidP="00177D0F">
      <w:pPr>
        <w:spacing w:after="0" w:line="480" w:lineRule="auto"/>
        <w:jc w:val="both"/>
        <w:rPr>
          <w:rFonts w:asciiTheme="majorBidi" w:hAnsiTheme="majorBidi" w:cstheme="majorBidi"/>
          <w:b/>
          <w:bCs/>
          <w:sz w:val="24"/>
          <w:szCs w:val="24"/>
        </w:rPr>
      </w:pPr>
      <w:r>
        <w:rPr>
          <w:rFonts w:asciiTheme="majorBidi" w:hAnsiTheme="majorBidi" w:cstheme="majorBidi"/>
          <w:sz w:val="24"/>
          <w:szCs w:val="24"/>
        </w:rPr>
        <w:t>ZGO, MBM and CB – data analysis.</w:t>
      </w:r>
    </w:p>
    <w:p w14:paraId="030D67DD" w14:textId="77777777" w:rsidR="00E81F77" w:rsidRDefault="00E81F77" w:rsidP="00434278">
      <w:pPr>
        <w:spacing w:after="0" w:line="480" w:lineRule="auto"/>
        <w:jc w:val="both"/>
        <w:rPr>
          <w:rFonts w:asciiTheme="majorBidi" w:hAnsiTheme="majorBidi" w:cstheme="majorBidi"/>
          <w:b/>
          <w:bCs/>
          <w:sz w:val="24"/>
          <w:szCs w:val="24"/>
        </w:rPr>
      </w:pPr>
    </w:p>
    <w:p w14:paraId="34562BD4" w14:textId="77777777" w:rsidR="00E81F77" w:rsidRDefault="00E81F77" w:rsidP="00434278">
      <w:p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t>Financial disclosure</w:t>
      </w:r>
    </w:p>
    <w:p w14:paraId="68DC33BD" w14:textId="77777777" w:rsidR="00E81F77" w:rsidRDefault="00E81F77" w:rsidP="00434278">
      <w:pPr>
        <w:spacing w:line="480" w:lineRule="auto"/>
        <w:jc w:val="both"/>
        <w:rPr>
          <w:rFonts w:asciiTheme="majorBidi" w:hAnsiTheme="majorBidi" w:cstheme="majorBidi"/>
          <w:sz w:val="24"/>
          <w:szCs w:val="24"/>
        </w:rPr>
      </w:pPr>
      <w:r>
        <w:rPr>
          <w:rFonts w:asciiTheme="majorBidi" w:hAnsiTheme="majorBidi" w:cstheme="majorBidi"/>
          <w:sz w:val="24"/>
          <w:szCs w:val="24"/>
        </w:rPr>
        <w:t xml:space="preserve">ZGO received research grants from the Michael J Fox Foundation, Parkinson’s Canada, </w:t>
      </w:r>
      <w:r w:rsidRPr="006467FE">
        <w:rPr>
          <w:rFonts w:asciiTheme="majorBidi" w:hAnsiTheme="majorBidi" w:cstheme="majorBidi"/>
          <w:sz w:val="24"/>
          <w:szCs w:val="24"/>
        </w:rPr>
        <w:t>the Canadian Consortium on Neurodegeneration in Aging (CCNA)</w:t>
      </w:r>
      <w:r>
        <w:rPr>
          <w:rFonts w:asciiTheme="majorBidi" w:hAnsiTheme="majorBidi" w:cstheme="majorBidi"/>
          <w:sz w:val="24"/>
          <w:szCs w:val="24"/>
        </w:rPr>
        <w:t>,</w:t>
      </w:r>
      <w:r w:rsidRPr="006467FE">
        <w:rPr>
          <w:rFonts w:asciiTheme="majorBidi" w:hAnsiTheme="majorBidi" w:cstheme="majorBidi"/>
          <w:sz w:val="24"/>
          <w:szCs w:val="24"/>
        </w:rPr>
        <w:t xml:space="preserve"> the Canadian </w:t>
      </w:r>
      <w:proofErr w:type="spellStart"/>
      <w:r w:rsidRPr="006467FE">
        <w:rPr>
          <w:rFonts w:asciiTheme="majorBidi" w:hAnsiTheme="majorBidi" w:cstheme="majorBidi"/>
          <w:sz w:val="24"/>
          <w:szCs w:val="24"/>
        </w:rPr>
        <w:t>Glycomics</w:t>
      </w:r>
      <w:proofErr w:type="spellEnd"/>
      <w:r w:rsidRPr="006467FE">
        <w:rPr>
          <w:rFonts w:asciiTheme="majorBidi" w:hAnsiTheme="majorBidi" w:cstheme="majorBidi"/>
          <w:sz w:val="24"/>
          <w:szCs w:val="24"/>
        </w:rPr>
        <w:t xml:space="preserve"> Network </w:t>
      </w:r>
      <w:r w:rsidRPr="006467FE">
        <w:rPr>
          <w:rFonts w:asciiTheme="majorBidi" w:hAnsiTheme="majorBidi" w:cstheme="majorBidi"/>
          <w:sz w:val="24"/>
          <w:szCs w:val="24"/>
        </w:rPr>
        <w:lastRenderedPageBreak/>
        <w:t>(</w:t>
      </w:r>
      <w:proofErr w:type="spellStart"/>
      <w:r w:rsidRPr="006467FE">
        <w:rPr>
          <w:rFonts w:asciiTheme="majorBidi" w:hAnsiTheme="majorBidi" w:cstheme="majorBidi"/>
          <w:sz w:val="24"/>
          <w:szCs w:val="24"/>
        </w:rPr>
        <w:t>GlycoNet</w:t>
      </w:r>
      <w:proofErr w:type="spellEnd"/>
      <w:r w:rsidRPr="006467FE">
        <w:rPr>
          <w:rFonts w:asciiTheme="majorBidi" w:hAnsiTheme="majorBidi" w:cstheme="majorBidi"/>
          <w:sz w:val="24"/>
          <w:szCs w:val="24"/>
        </w:rPr>
        <w:t>)</w:t>
      </w:r>
      <w:r>
        <w:rPr>
          <w:rFonts w:asciiTheme="majorBidi" w:hAnsiTheme="majorBidi" w:cstheme="majorBidi"/>
          <w:sz w:val="24"/>
          <w:szCs w:val="24"/>
        </w:rPr>
        <w:t xml:space="preserve">, </w:t>
      </w:r>
      <w:r w:rsidRPr="006467FE">
        <w:rPr>
          <w:rFonts w:asciiTheme="majorBidi" w:hAnsiTheme="majorBidi" w:cstheme="majorBidi"/>
          <w:sz w:val="24"/>
          <w:szCs w:val="24"/>
        </w:rPr>
        <w:t>the Canada First Research Excellence Fund (CFREF), awarded to McGill University for the Healthy Brains for Healthy Lives (HBHL) program</w:t>
      </w:r>
      <w:r>
        <w:rPr>
          <w:rFonts w:asciiTheme="majorBidi" w:hAnsiTheme="majorBidi" w:cstheme="majorBidi"/>
          <w:sz w:val="24"/>
          <w:szCs w:val="24"/>
        </w:rPr>
        <w:t>,</w:t>
      </w:r>
      <w:r w:rsidRPr="006467FE">
        <w:rPr>
          <w:rFonts w:asciiTheme="majorBidi" w:hAnsiTheme="majorBidi" w:cstheme="majorBidi"/>
          <w:sz w:val="24"/>
          <w:szCs w:val="24"/>
        </w:rPr>
        <w:t xml:space="preserve"> Fonds de recherche du Québec – Santé (FRQS) and Parkinson’s Quebec. </w:t>
      </w:r>
      <w:r>
        <w:rPr>
          <w:rFonts w:asciiTheme="majorBidi" w:hAnsiTheme="majorBidi" w:cstheme="majorBidi"/>
          <w:sz w:val="24"/>
          <w:szCs w:val="24"/>
        </w:rPr>
        <w:t>Consultation fees from Inception Sciences, Denali, Prevail Therapeutics and Lysosomal Therapeutics Inc</w:t>
      </w:r>
      <w:r w:rsidRPr="006467FE">
        <w:rPr>
          <w:rFonts w:asciiTheme="majorBidi" w:hAnsiTheme="majorBidi" w:cstheme="majorBidi"/>
          <w:sz w:val="24"/>
          <w:szCs w:val="24"/>
        </w:rPr>
        <w:t xml:space="preserve">. </w:t>
      </w:r>
    </w:p>
    <w:p w14:paraId="62B9D4B1" w14:textId="77777777" w:rsidR="00E81F77" w:rsidRDefault="00E81F77" w:rsidP="00434278">
      <w:pPr>
        <w:spacing w:line="480" w:lineRule="auto"/>
        <w:jc w:val="both"/>
        <w:rPr>
          <w:rFonts w:asciiTheme="majorBidi" w:eastAsia="Times New Roman" w:hAnsiTheme="majorBidi" w:cstheme="majorBidi"/>
          <w:color w:val="000000"/>
          <w:sz w:val="24"/>
          <w:szCs w:val="24"/>
          <w:lang w:eastAsia="en-CA"/>
        </w:rPr>
      </w:pPr>
      <w:r>
        <w:rPr>
          <w:rFonts w:asciiTheme="majorBidi" w:hAnsiTheme="majorBidi" w:cstheme="majorBidi"/>
          <w:sz w:val="24"/>
          <w:szCs w:val="24"/>
        </w:rPr>
        <w:t>RNA received research grants from the Michael J Fox Foundation,</w:t>
      </w:r>
      <w:r w:rsidRPr="006467FE">
        <w:rPr>
          <w:rFonts w:asciiTheme="majorBidi" w:hAnsiTheme="majorBidi" w:cstheme="majorBidi"/>
          <w:sz w:val="24"/>
          <w:szCs w:val="24"/>
        </w:rPr>
        <w:t xml:space="preserve"> Parkinson’s Foundation, the National Institutes of Health </w:t>
      </w:r>
      <w:r>
        <w:rPr>
          <w:rFonts w:asciiTheme="majorBidi" w:hAnsiTheme="majorBidi" w:cstheme="majorBidi"/>
          <w:sz w:val="24"/>
          <w:szCs w:val="24"/>
        </w:rPr>
        <w:t xml:space="preserve">and </w:t>
      </w:r>
      <w:r w:rsidRPr="006467FE">
        <w:rPr>
          <w:rFonts w:asciiTheme="majorBidi" w:hAnsiTheme="majorBidi" w:cstheme="majorBidi"/>
          <w:sz w:val="24"/>
          <w:szCs w:val="24"/>
        </w:rPr>
        <w:t>the Brookdale Foundation</w:t>
      </w:r>
      <w:r>
        <w:rPr>
          <w:rFonts w:asciiTheme="majorBidi" w:hAnsiTheme="majorBidi" w:cstheme="majorBidi"/>
          <w:sz w:val="24"/>
          <w:szCs w:val="24"/>
        </w:rPr>
        <w:t xml:space="preserve">. </w:t>
      </w:r>
      <w:r w:rsidRPr="00F01509">
        <w:rPr>
          <w:rFonts w:asciiTheme="majorBidi" w:eastAsia="Times New Roman" w:hAnsiTheme="majorBidi" w:cstheme="majorBidi"/>
          <w:color w:val="000000"/>
          <w:sz w:val="24"/>
          <w:szCs w:val="24"/>
          <w:lang w:eastAsia="en-CA"/>
        </w:rPr>
        <w:t>Consultation fees from Genzyme/Sanofi, Biogen, Denali and Prophase</w:t>
      </w:r>
      <w:r>
        <w:rPr>
          <w:rFonts w:asciiTheme="majorBidi" w:eastAsia="Times New Roman" w:hAnsiTheme="majorBidi" w:cstheme="majorBidi"/>
          <w:color w:val="000000"/>
          <w:sz w:val="24"/>
          <w:szCs w:val="24"/>
          <w:lang w:eastAsia="en-CA"/>
        </w:rPr>
        <w:t xml:space="preserve">. </w:t>
      </w:r>
    </w:p>
    <w:p w14:paraId="0E216DE2" w14:textId="77777777" w:rsidR="00E81F77" w:rsidRDefault="00E81F77" w:rsidP="00434278">
      <w:pPr>
        <w:spacing w:line="480" w:lineRule="auto"/>
        <w:jc w:val="both"/>
        <w:rPr>
          <w:rFonts w:asciiTheme="majorBidi" w:eastAsia="Times New Roman" w:hAnsiTheme="majorBidi" w:cstheme="majorBidi"/>
          <w:color w:val="000000"/>
          <w:sz w:val="24"/>
          <w:szCs w:val="24"/>
          <w:lang w:eastAsia="en-CA"/>
        </w:rPr>
      </w:pPr>
      <w:r>
        <w:rPr>
          <w:rFonts w:asciiTheme="majorBidi" w:eastAsia="Times New Roman" w:hAnsiTheme="majorBidi" w:cstheme="majorBidi"/>
          <w:color w:val="000000"/>
          <w:sz w:val="24"/>
          <w:szCs w:val="24"/>
          <w:lang w:eastAsia="en-CA"/>
        </w:rPr>
        <w:t>MBM has nothing to disclose</w:t>
      </w:r>
    </w:p>
    <w:p w14:paraId="338139F0" w14:textId="77777777" w:rsidR="00E81F77" w:rsidRDefault="00E81F77" w:rsidP="00434278">
      <w:pPr>
        <w:spacing w:line="480" w:lineRule="auto"/>
        <w:jc w:val="both"/>
        <w:rPr>
          <w:rFonts w:asciiTheme="majorBidi" w:eastAsia="Times New Roman" w:hAnsiTheme="majorBidi" w:cstheme="majorBidi"/>
          <w:color w:val="000000"/>
          <w:sz w:val="24"/>
          <w:szCs w:val="24"/>
          <w:lang w:eastAsia="en-CA"/>
        </w:rPr>
      </w:pPr>
      <w:r>
        <w:rPr>
          <w:rFonts w:asciiTheme="majorBidi" w:eastAsia="Times New Roman" w:hAnsiTheme="majorBidi" w:cstheme="majorBidi"/>
          <w:color w:val="000000"/>
          <w:sz w:val="24"/>
          <w:szCs w:val="24"/>
          <w:lang w:eastAsia="en-CA"/>
        </w:rPr>
        <w:t>SWS has nothing to disclose</w:t>
      </w:r>
    </w:p>
    <w:p w14:paraId="7F9886EC" w14:textId="77777777" w:rsidR="00E81F77" w:rsidRDefault="00E81F77" w:rsidP="00434278">
      <w:pPr>
        <w:spacing w:line="480" w:lineRule="auto"/>
        <w:jc w:val="both"/>
        <w:rPr>
          <w:rFonts w:asciiTheme="majorBidi" w:eastAsia="Times New Roman" w:hAnsiTheme="majorBidi" w:cstheme="majorBidi"/>
          <w:color w:val="000000"/>
          <w:sz w:val="24"/>
          <w:szCs w:val="24"/>
          <w:lang w:eastAsia="en-CA"/>
        </w:rPr>
      </w:pPr>
      <w:r>
        <w:rPr>
          <w:rFonts w:asciiTheme="majorBidi" w:eastAsia="Times New Roman" w:hAnsiTheme="majorBidi" w:cstheme="majorBidi"/>
          <w:color w:val="000000"/>
          <w:sz w:val="24"/>
          <w:szCs w:val="24"/>
          <w:lang w:eastAsia="en-CA"/>
        </w:rPr>
        <w:t>CB has nothing to disclose.</w:t>
      </w:r>
    </w:p>
    <w:p w14:paraId="197D0AAA" w14:textId="77777777" w:rsidR="00E81F77" w:rsidRDefault="00E81F77" w:rsidP="00434278">
      <w:pPr>
        <w:spacing w:line="480" w:lineRule="auto"/>
        <w:jc w:val="both"/>
        <w:rPr>
          <w:rFonts w:asciiTheme="majorBidi" w:eastAsia="Times New Roman" w:hAnsiTheme="majorBidi" w:cstheme="majorBidi"/>
          <w:color w:val="000000"/>
          <w:sz w:val="24"/>
          <w:szCs w:val="24"/>
          <w:lang w:eastAsia="en-CA"/>
        </w:rPr>
      </w:pPr>
    </w:p>
    <w:p w14:paraId="6D0EEA35" w14:textId="77777777" w:rsidR="00E81F77" w:rsidRPr="00434278" w:rsidRDefault="00E81F77" w:rsidP="00434278">
      <w:pPr>
        <w:spacing w:line="480" w:lineRule="auto"/>
        <w:jc w:val="both"/>
        <w:rPr>
          <w:rFonts w:asciiTheme="majorBidi" w:hAnsiTheme="majorBidi" w:cstheme="majorBidi"/>
          <w:sz w:val="24"/>
          <w:szCs w:val="24"/>
        </w:rPr>
      </w:pPr>
      <w:r>
        <w:rPr>
          <w:rFonts w:asciiTheme="majorBidi" w:hAnsiTheme="majorBidi" w:cstheme="majorBidi"/>
          <w:b/>
          <w:bCs/>
          <w:sz w:val="24"/>
          <w:szCs w:val="24"/>
        </w:rPr>
        <w:t>References</w:t>
      </w:r>
    </w:p>
    <w:p w14:paraId="703BD3E9" w14:textId="77777777" w:rsidR="00E81F77" w:rsidRPr="00882318" w:rsidRDefault="00E81F77" w:rsidP="006B7A47">
      <w:pPr>
        <w:pStyle w:val="EndNoteBibliography"/>
        <w:spacing w:after="0"/>
        <w:ind w:left="720" w:hanging="720"/>
      </w:pPr>
      <w:r w:rsidRPr="00882318">
        <w:t>1.</w:t>
      </w:r>
      <w:r w:rsidR="006B7A47">
        <w:t xml:space="preserve"> </w:t>
      </w:r>
      <w:r w:rsidRPr="00882318">
        <w:t xml:space="preserve">Lerche S, Machetanz G, Wurster I, et al. </w:t>
      </w:r>
      <w:bookmarkStart w:id="2" w:name="_Hlk12438705"/>
      <w:r w:rsidRPr="00882318">
        <w:t>Dementia with lewy bodies: GBA1 mutations are associated with cerebrospinal fluid alpha-synuclein profile</w:t>
      </w:r>
      <w:bookmarkEnd w:id="2"/>
      <w:r w:rsidRPr="00882318">
        <w:t>. Mov Disord 2019.</w:t>
      </w:r>
    </w:p>
    <w:p w14:paraId="423D77C6" w14:textId="77777777" w:rsidR="00E81F77" w:rsidRPr="00882318" w:rsidRDefault="00E81F77" w:rsidP="006B7A47">
      <w:pPr>
        <w:pStyle w:val="EndNoteBibliography"/>
        <w:spacing w:after="0"/>
        <w:ind w:left="720" w:hanging="720"/>
      </w:pPr>
      <w:r w:rsidRPr="00882318">
        <w:t>2.</w:t>
      </w:r>
      <w:r w:rsidR="006B7A47">
        <w:t xml:space="preserve"> </w:t>
      </w:r>
      <w:r w:rsidRPr="00882318">
        <w:t>Mallett V, Ross JP, Alcalay RN, et al. GBA p.T369M substitution in Parkinson disease: Polymorphism or association? A meta-analysis. Neurol Genet 2016;2(5):e104.</w:t>
      </w:r>
    </w:p>
    <w:p w14:paraId="4B28B095" w14:textId="77777777" w:rsidR="00E81F77" w:rsidRDefault="00E81F77" w:rsidP="006B7A47">
      <w:pPr>
        <w:pStyle w:val="EndNoteBibliography"/>
        <w:spacing w:after="0"/>
        <w:ind w:left="720" w:hanging="720"/>
      </w:pPr>
      <w:r w:rsidRPr="00882318">
        <w:t>3.</w:t>
      </w:r>
      <w:r w:rsidR="006B7A47">
        <w:t xml:space="preserve"> </w:t>
      </w:r>
      <w:r w:rsidRPr="00882318">
        <w:t>Blauwendraat C, Bras JM, Nalls MA, et al. Coding variation in GBA explains the majority of the SYT11-GBA Parkinson's disease GWAS locus. Mov Disord 2018;33(11):1821-1823.</w:t>
      </w:r>
    </w:p>
    <w:p w14:paraId="730B332B" w14:textId="77777777" w:rsidR="006B7A47" w:rsidRPr="00882318" w:rsidRDefault="006B7A47" w:rsidP="006B7A47">
      <w:pPr>
        <w:pStyle w:val="EndNoteBibliography"/>
        <w:spacing w:after="0"/>
        <w:ind w:left="720" w:hanging="720"/>
      </w:pPr>
      <w:r>
        <w:t xml:space="preserve">4. Nalls MA, Blauwendraat C, Vallerga CL et al. </w:t>
      </w:r>
      <w:r w:rsidRPr="006B7A47">
        <w:t>Expanding Parkinson’s disease genetics: novel risk loci, genomic context, causal insights and heritable risk</w:t>
      </w:r>
      <w:r>
        <w:t xml:space="preserve">. bioRxiv 2019, </w:t>
      </w:r>
      <w:r w:rsidRPr="009017B7">
        <w:t>388165v3</w:t>
      </w:r>
    </w:p>
    <w:p w14:paraId="0FB7002B" w14:textId="77777777" w:rsidR="00E81F77" w:rsidRPr="00882318" w:rsidRDefault="006B7A47" w:rsidP="006B7A47">
      <w:pPr>
        <w:pStyle w:val="EndNoteBibliography"/>
        <w:spacing w:after="0"/>
        <w:ind w:left="720" w:hanging="720"/>
      </w:pPr>
      <w:r>
        <w:t>5</w:t>
      </w:r>
      <w:r w:rsidR="00E81F77" w:rsidRPr="00882318">
        <w:t>.</w:t>
      </w:r>
      <w:r>
        <w:t xml:space="preserve"> </w:t>
      </w:r>
      <w:r w:rsidR="00E81F77" w:rsidRPr="00882318">
        <w:t>Gan-Or Z, Amshalom I, Kilarski LL, et al. Differential effects of severe vs mild GBA mutations on Parkinson disease. Neurology 2015;84(9):880-887.</w:t>
      </w:r>
    </w:p>
    <w:p w14:paraId="7A8E3BB9" w14:textId="4D505820" w:rsidR="00E81F77" w:rsidRDefault="006B7A47" w:rsidP="006B7A47">
      <w:pPr>
        <w:pStyle w:val="EndNoteBibliography"/>
        <w:ind w:left="720" w:hanging="720"/>
      </w:pPr>
      <w:r>
        <w:t>6</w:t>
      </w:r>
      <w:r w:rsidR="00E81F77" w:rsidRPr="00882318">
        <w:t>.</w:t>
      </w:r>
      <w:r>
        <w:t xml:space="preserve"> </w:t>
      </w:r>
      <w:r w:rsidR="00E81F77" w:rsidRPr="00882318">
        <w:t>Cilia R, Tunesi S, Marotta G, et al. Survival and dementia in GBA-associated Parkinson's disease: The mutation matters. Ann Neurol 2016;80(5):662-673.</w:t>
      </w:r>
    </w:p>
    <w:p w14:paraId="1E51984C" w14:textId="3B4C58D4" w:rsidR="0074011B" w:rsidRDefault="0074011B">
      <w:pPr>
        <w:rPr>
          <w:rFonts w:ascii="Calibri" w:hAnsi="Calibri" w:cs="Calibri"/>
          <w:noProof/>
          <w:lang w:val="en-US"/>
        </w:rPr>
      </w:pPr>
      <w:r>
        <w:br w:type="page"/>
      </w:r>
    </w:p>
    <w:p w14:paraId="3084BF8A" w14:textId="77777777" w:rsidR="0074011B" w:rsidRDefault="0074011B" w:rsidP="0074011B">
      <w:pPr>
        <w:spacing w:line="48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Table 1. Association of the </w:t>
      </w:r>
      <w:r>
        <w:rPr>
          <w:rFonts w:asciiTheme="majorBidi" w:hAnsiTheme="majorBidi" w:cstheme="majorBidi"/>
          <w:b/>
          <w:bCs/>
          <w:i/>
          <w:iCs/>
          <w:sz w:val="24"/>
          <w:szCs w:val="24"/>
        </w:rPr>
        <w:t xml:space="preserve">GBA </w:t>
      </w:r>
      <w:r>
        <w:rPr>
          <w:rFonts w:asciiTheme="majorBidi" w:hAnsiTheme="majorBidi" w:cstheme="majorBidi"/>
          <w:b/>
          <w:bCs/>
          <w:sz w:val="24"/>
          <w:szCs w:val="24"/>
        </w:rPr>
        <w:t>p.T369M variant with Parkinson’s disease</w:t>
      </w:r>
    </w:p>
    <w:tbl>
      <w:tblPr>
        <w:tblStyle w:val="TableGrid"/>
        <w:tblW w:w="11058" w:type="dxa"/>
        <w:tblInd w:w="-998" w:type="dxa"/>
        <w:tblLook w:val="04A0" w:firstRow="1" w:lastRow="0" w:firstColumn="1" w:lastColumn="0" w:noHBand="0" w:noVBand="1"/>
      </w:tblPr>
      <w:tblGrid>
        <w:gridCol w:w="2254"/>
        <w:gridCol w:w="1966"/>
        <w:gridCol w:w="1132"/>
        <w:gridCol w:w="1070"/>
        <w:gridCol w:w="1408"/>
        <w:gridCol w:w="1960"/>
        <w:gridCol w:w="1268"/>
      </w:tblGrid>
      <w:tr w:rsidR="0074011B" w14:paraId="4954CD1E" w14:textId="77777777" w:rsidTr="00481B49">
        <w:trPr>
          <w:trHeight w:val="402"/>
        </w:trPr>
        <w:tc>
          <w:tcPr>
            <w:tcW w:w="2269" w:type="dxa"/>
          </w:tcPr>
          <w:p w14:paraId="6FB4DEE8" w14:textId="77777777" w:rsidR="0074011B" w:rsidRDefault="0074011B" w:rsidP="00481B49">
            <w:pPr>
              <w:jc w:val="both"/>
              <w:rPr>
                <w:rFonts w:asciiTheme="majorBidi" w:hAnsiTheme="majorBidi" w:cstheme="majorBidi"/>
                <w:sz w:val="24"/>
                <w:szCs w:val="24"/>
              </w:rPr>
            </w:pPr>
            <w:r>
              <w:rPr>
                <w:rFonts w:asciiTheme="majorBidi" w:hAnsiTheme="majorBidi" w:cstheme="majorBidi"/>
                <w:sz w:val="24"/>
                <w:szCs w:val="24"/>
              </w:rPr>
              <w:t>Study</w:t>
            </w:r>
          </w:p>
        </w:tc>
        <w:tc>
          <w:tcPr>
            <w:tcW w:w="1985" w:type="dxa"/>
          </w:tcPr>
          <w:p w14:paraId="08D858F4"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PD/DLB patients</w:t>
            </w:r>
          </w:p>
        </w:tc>
        <w:tc>
          <w:tcPr>
            <w:tcW w:w="1134" w:type="dxa"/>
          </w:tcPr>
          <w:p w14:paraId="6ED9470E"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Controls</w:t>
            </w:r>
          </w:p>
        </w:tc>
        <w:tc>
          <w:tcPr>
            <w:tcW w:w="992" w:type="dxa"/>
          </w:tcPr>
          <w:p w14:paraId="2087C9B1"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AF PD/DLB</w:t>
            </w:r>
          </w:p>
        </w:tc>
        <w:tc>
          <w:tcPr>
            <w:tcW w:w="1417" w:type="dxa"/>
          </w:tcPr>
          <w:p w14:paraId="14514A78"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AF controls</w:t>
            </w:r>
          </w:p>
        </w:tc>
        <w:tc>
          <w:tcPr>
            <w:tcW w:w="1985" w:type="dxa"/>
          </w:tcPr>
          <w:p w14:paraId="0DA295CB"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OR (95% CI)</w:t>
            </w:r>
          </w:p>
        </w:tc>
        <w:tc>
          <w:tcPr>
            <w:tcW w:w="1276" w:type="dxa"/>
          </w:tcPr>
          <w:p w14:paraId="31594911"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P value</w:t>
            </w:r>
          </w:p>
        </w:tc>
      </w:tr>
      <w:tr w:rsidR="0074011B" w14:paraId="6A57C89B" w14:textId="77777777" w:rsidTr="00481B49">
        <w:trPr>
          <w:trHeight w:val="50"/>
        </w:trPr>
        <w:tc>
          <w:tcPr>
            <w:tcW w:w="2269" w:type="dxa"/>
          </w:tcPr>
          <w:p w14:paraId="554DDDBA" w14:textId="77777777" w:rsidR="0074011B" w:rsidRDefault="0074011B" w:rsidP="00481B49">
            <w:pPr>
              <w:jc w:val="both"/>
              <w:rPr>
                <w:rFonts w:asciiTheme="majorBidi" w:hAnsiTheme="majorBidi" w:cstheme="majorBidi"/>
                <w:sz w:val="24"/>
                <w:szCs w:val="24"/>
              </w:rPr>
            </w:pPr>
            <w:r>
              <w:rPr>
                <w:rFonts w:asciiTheme="majorBidi" w:hAnsiTheme="majorBidi" w:cstheme="majorBidi"/>
                <w:sz w:val="24"/>
                <w:szCs w:val="24"/>
              </w:rPr>
              <w:t>NIH DLB cohort</w:t>
            </w:r>
          </w:p>
        </w:tc>
        <w:tc>
          <w:tcPr>
            <w:tcW w:w="1985" w:type="dxa"/>
          </w:tcPr>
          <w:p w14:paraId="273FFCA4"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556</w:t>
            </w:r>
          </w:p>
        </w:tc>
        <w:tc>
          <w:tcPr>
            <w:tcW w:w="1134" w:type="dxa"/>
          </w:tcPr>
          <w:p w14:paraId="5CCBF1C6"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1,418</w:t>
            </w:r>
          </w:p>
        </w:tc>
        <w:tc>
          <w:tcPr>
            <w:tcW w:w="992" w:type="dxa"/>
          </w:tcPr>
          <w:p w14:paraId="17071CBD"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0.021</w:t>
            </w:r>
          </w:p>
        </w:tc>
        <w:tc>
          <w:tcPr>
            <w:tcW w:w="1417" w:type="dxa"/>
          </w:tcPr>
          <w:p w14:paraId="06E6300B"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0.0074</w:t>
            </w:r>
          </w:p>
        </w:tc>
        <w:tc>
          <w:tcPr>
            <w:tcW w:w="1985" w:type="dxa"/>
          </w:tcPr>
          <w:p w14:paraId="47CDBE02"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2.68 (1.43-5.02)</w:t>
            </w:r>
          </w:p>
        </w:tc>
        <w:tc>
          <w:tcPr>
            <w:tcW w:w="1276" w:type="dxa"/>
          </w:tcPr>
          <w:p w14:paraId="3AFF2C6B"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0.002</w:t>
            </w:r>
          </w:p>
        </w:tc>
      </w:tr>
      <w:tr w:rsidR="0074011B" w14:paraId="45B70ECD" w14:textId="77777777" w:rsidTr="00481B49">
        <w:trPr>
          <w:trHeight w:val="50"/>
        </w:trPr>
        <w:tc>
          <w:tcPr>
            <w:tcW w:w="2269" w:type="dxa"/>
          </w:tcPr>
          <w:p w14:paraId="44B7C3F1" w14:textId="77777777" w:rsidR="0074011B" w:rsidRDefault="0074011B" w:rsidP="00481B49">
            <w:pPr>
              <w:jc w:val="both"/>
              <w:rPr>
                <w:rFonts w:asciiTheme="majorBidi" w:hAnsiTheme="majorBidi" w:cstheme="majorBidi"/>
                <w:sz w:val="24"/>
                <w:szCs w:val="24"/>
              </w:rPr>
            </w:pPr>
            <w:r>
              <w:rPr>
                <w:rFonts w:asciiTheme="majorBidi" w:hAnsiTheme="majorBidi" w:cstheme="majorBidi"/>
                <w:sz w:val="24"/>
                <w:szCs w:val="24"/>
              </w:rPr>
              <w:t>Mallett et al.</w:t>
            </w:r>
            <w:r w:rsidRPr="00CC7E40">
              <w:rPr>
                <w:rFonts w:asciiTheme="majorBidi" w:hAnsiTheme="majorBidi" w:cstheme="majorBidi"/>
                <w:noProof/>
                <w:sz w:val="24"/>
                <w:szCs w:val="24"/>
                <w:vertAlign w:val="superscript"/>
              </w:rPr>
              <w:t>2</w:t>
            </w:r>
          </w:p>
        </w:tc>
        <w:tc>
          <w:tcPr>
            <w:tcW w:w="1985" w:type="dxa"/>
          </w:tcPr>
          <w:p w14:paraId="58E4C207"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4,920</w:t>
            </w:r>
          </w:p>
        </w:tc>
        <w:tc>
          <w:tcPr>
            <w:tcW w:w="1134" w:type="dxa"/>
          </w:tcPr>
          <w:p w14:paraId="5AF45956"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3,500</w:t>
            </w:r>
          </w:p>
        </w:tc>
        <w:tc>
          <w:tcPr>
            <w:tcW w:w="992" w:type="dxa"/>
          </w:tcPr>
          <w:p w14:paraId="6B142D6D"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0.011</w:t>
            </w:r>
          </w:p>
        </w:tc>
        <w:tc>
          <w:tcPr>
            <w:tcW w:w="1417" w:type="dxa"/>
          </w:tcPr>
          <w:p w14:paraId="001FB21A"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0.0066</w:t>
            </w:r>
          </w:p>
        </w:tc>
        <w:tc>
          <w:tcPr>
            <w:tcW w:w="1985" w:type="dxa"/>
          </w:tcPr>
          <w:p w14:paraId="5B003A87"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1.74 (1.19-2.55)</w:t>
            </w:r>
          </w:p>
        </w:tc>
        <w:tc>
          <w:tcPr>
            <w:tcW w:w="1276" w:type="dxa"/>
          </w:tcPr>
          <w:p w14:paraId="32D237E5"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0.0059</w:t>
            </w:r>
          </w:p>
        </w:tc>
      </w:tr>
      <w:tr w:rsidR="0074011B" w14:paraId="3D0B2690" w14:textId="77777777" w:rsidTr="00481B49">
        <w:trPr>
          <w:trHeight w:val="50"/>
        </w:trPr>
        <w:tc>
          <w:tcPr>
            <w:tcW w:w="2269" w:type="dxa"/>
          </w:tcPr>
          <w:p w14:paraId="1ABFBAAC" w14:textId="77777777" w:rsidR="0074011B" w:rsidRDefault="0074011B" w:rsidP="00481B49">
            <w:pPr>
              <w:jc w:val="both"/>
              <w:rPr>
                <w:rFonts w:asciiTheme="majorBidi" w:hAnsiTheme="majorBidi" w:cstheme="majorBidi"/>
                <w:sz w:val="24"/>
                <w:szCs w:val="24"/>
              </w:rPr>
            </w:pPr>
            <w:proofErr w:type="spellStart"/>
            <w:r>
              <w:rPr>
                <w:rFonts w:asciiTheme="majorBidi" w:hAnsiTheme="majorBidi" w:cstheme="majorBidi"/>
                <w:sz w:val="24"/>
                <w:szCs w:val="24"/>
              </w:rPr>
              <w:t>Blauwendraat</w:t>
            </w:r>
            <w:proofErr w:type="spellEnd"/>
            <w:r>
              <w:rPr>
                <w:rFonts w:asciiTheme="majorBidi" w:hAnsiTheme="majorBidi" w:cstheme="majorBidi"/>
                <w:sz w:val="24"/>
                <w:szCs w:val="24"/>
              </w:rPr>
              <w:t xml:space="preserve"> et al.</w:t>
            </w:r>
            <w:r w:rsidRPr="00CC7E40">
              <w:rPr>
                <w:rFonts w:asciiTheme="majorBidi" w:hAnsiTheme="majorBidi" w:cstheme="majorBidi"/>
                <w:noProof/>
                <w:sz w:val="24"/>
                <w:szCs w:val="24"/>
                <w:vertAlign w:val="superscript"/>
              </w:rPr>
              <w:t>3</w:t>
            </w:r>
          </w:p>
        </w:tc>
        <w:tc>
          <w:tcPr>
            <w:tcW w:w="1985" w:type="dxa"/>
          </w:tcPr>
          <w:p w14:paraId="4869170D"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6,249</w:t>
            </w:r>
          </w:p>
        </w:tc>
        <w:tc>
          <w:tcPr>
            <w:tcW w:w="1134" w:type="dxa"/>
          </w:tcPr>
          <w:p w14:paraId="02A61AE7"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6,032</w:t>
            </w:r>
          </w:p>
        </w:tc>
        <w:tc>
          <w:tcPr>
            <w:tcW w:w="992" w:type="dxa"/>
          </w:tcPr>
          <w:p w14:paraId="3962C6D7"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0.014</w:t>
            </w:r>
          </w:p>
        </w:tc>
        <w:tc>
          <w:tcPr>
            <w:tcW w:w="1417" w:type="dxa"/>
          </w:tcPr>
          <w:p w14:paraId="1D73056B"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0.00895</w:t>
            </w:r>
          </w:p>
        </w:tc>
        <w:tc>
          <w:tcPr>
            <w:tcW w:w="1985" w:type="dxa"/>
          </w:tcPr>
          <w:p w14:paraId="60A3A625"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1.53 (</w:t>
            </w:r>
            <w:r w:rsidRPr="00CC7E40">
              <w:rPr>
                <w:rFonts w:asciiTheme="majorBidi" w:hAnsiTheme="majorBidi" w:cstheme="majorBidi"/>
                <w:sz w:val="24"/>
                <w:szCs w:val="24"/>
              </w:rPr>
              <w:t>NR</w:t>
            </w:r>
            <w:r>
              <w:rPr>
                <w:rFonts w:asciiTheme="majorBidi" w:hAnsiTheme="majorBidi" w:cstheme="majorBidi"/>
                <w:sz w:val="24"/>
                <w:szCs w:val="24"/>
              </w:rPr>
              <w:t>)</w:t>
            </w:r>
          </w:p>
        </w:tc>
        <w:tc>
          <w:tcPr>
            <w:tcW w:w="1276" w:type="dxa"/>
          </w:tcPr>
          <w:p w14:paraId="0129D633" w14:textId="77777777" w:rsidR="0074011B" w:rsidRDefault="0074011B" w:rsidP="00481B49">
            <w:pPr>
              <w:jc w:val="center"/>
              <w:rPr>
                <w:rFonts w:asciiTheme="majorBidi" w:hAnsiTheme="majorBidi" w:cstheme="majorBidi"/>
                <w:sz w:val="24"/>
                <w:szCs w:val="24"/>
              </w:rPr>
            </w:pPr>
            <w:r>
              <w:rPr>
                <w:rFonts w:asciiTheme="majorBidi" w:hAnsiTheme="majorBidi" w:cstheme="majorBidi"/>
                <w:sz w:val="24"/>
                <w:szCs w:val="24"/>
              </w:rPr>
              <w:t>0.0012</w:t>
            </w:r>
          </w:p>
        </w:tc>
      </w:tr>
      <w:tr w:rsidR="0074011B" w14:paraId="51ECEEE9" w14:textId="77777777" w:rsidTr="00481B49">
        <w:trPr>
          <w:trHeight w:val="225"/>
        </w:trPr>
        <w:tc>
          <w:tcPr>
            <w:tcW w:w="2269" w:type="dxa"/>
          </w:tcPr>
          <w:p w14:paraId="6FD33974" w14:textId="77777777" w:rsidR="0074011B" w:rsidRPr="005E1CA9" w:rsidRDefault="0074011B" w:rsidP="00481B49">
            <w:pPr>
              <w:jc w:val="both"/>
              <w:rPr>
                <w:rFonts w:asciiTheme="majorBidi" w:hAnsiTheme="majorBidi" w:cstheme="majorBidi"/>
                <w:sz w:val="24"/>
                <w:szCs w:val="24"/>
                <w:highlight w:val="yellow"/>
              </w:rPr>
            </w:pPr>
            <w:r>
              <w:rPr>
                <w:rFonts w:asciiTheme="majorBidi" w:hAnsiTheme="majorBidi" w:cstheme="majorBidi"/>
                <w:sz w:val="24"/>
                <w:szCs w:val="24"/>
              </w:rPr>
              <w:t xml:space="preserve">IPDGC </w:t>
            </w:r>
            <w:proofErr w:type="spellStart"/>
            <w:r>
              <w:rPr>
                <w:rFonts w:asciiTheme="majorBidi" w:hAnsiTheme="majorBidi" w:cstheme="majorBidi"/>
                <w:sz w:val="24"/>
                <w:szCs w:val="24"/>
              </w:rPr>
              <w:t>data</w:t>
            </w:r>
            <w:r w:rsidRPr="00CC7E40">
              <w:rPr>
                <w:rFonts w:asciiTheme="majorBidi" w:hAnsiTheme="majorBidi" w:cstheme="majorBidi"/>
                <w:sz w:val="24"/>
                <w:szCs w:val="24"/>
                <w:vertAlign w:val="superscript"/>
              </w:rPr>
              <w:t>a</w:t>
            </w:r>
            <w:proofErr w:type="spellEnd"/>
          </w:p>
        </w:tc>
        <w:tc>
          <w:tcPr>
            <w:tcW w:w="1985" w:type="dxa"/>
          </w:tcPr>
          <w:p w14:paraId="155005F6" w14:textId="77777777" w:rsidR="0074011B" w:rsidRPr="00CC2F36" w:rsidRDefault="0074011B" w:rsidP="00481B49">
            <w:pPr>
              <w:jc w:val="center"/>
              <w:rPr>
                <w:rFonts w:asciiTheme="majorBidi" w:hAnsiTheme="majorBidi" w:cstheme="majorBidi"/>
                <w:sz w:val="24"/>
                <w:szCs w:val="24"/>
              </w:rPr>
            </w:pPr>
            <w:r>
              <w:rPr>
                <w:rFonts w:asciiTheme="majorBidi" w:hAnsiTheme="majorBidi" w:cstheme="majorBidi"/>
                <w:sz w:val="24"/>
                <w:szCs w:val="24"/>
              </w:rPr>
              <w:t>14,991</w:t>
            </w:r>
          </w:p>
        </w:tc>
        <w:tc>
          <w:tcPr>
            <w:tcW w:w="1134" w:type="dxa"/>
          </w:tcPr>
          <w:p w14:paraId="3A017AB8" w14:textId="77777777" w:rsidR="0074011B" w:rsidRPr="00CC2F36" w:rsidRDefault="0074011B" w:rsidP="00481B49">
            <w:pPr>
              <w:jc w:val="center"/>
              <w:rPr>
                <w:rFonts w:asciiTheme="majorBidi" w:hAnsiTheme="majorBidi" w:cstheme="majorBidi"/>
                <w:sz w:val="24"/>
                <w:szCs w:val="24"/>
              </w:rPr>
            </w:pPr>
            <w:r>
              <w:rPr>
                <w:rFonts w:asciiTheme="majorBidi" w:hAnsiTheme="majorBidi" w:cstheme="majorBidi"/>
                <w:sz w:val="24"/>
                <w:szCs w:val="24"/>
              </w:rPr>
              <w:t>12,491</w:t>
            </w:r>
          </w:p>
        </w:tc>
        <w:tc>
          <w:tcPr>
            <w:tcW w:w="992" w:type="dxa"/>
            <w:shd w:val="clear" w:color="auto" w:fill="auto"/>
          </w:tcPr>
          <w:p w14:paraId="65CDC234" w14:textId="77777777" w:rsidR="0074011B" w:rsidRPr="00CC2F36" w:rsidRDefault="0074011B" w:rsidP="00481B49">
            <w:pPr>
              <w:jc w:val="center"/>
              <w:rPr>
                <w:rFonts w:asciiTheme="majorBidi" w:hAnsiTheme="majorBidi" w:cstheme="majorBidi"/>
                <w:sz w:val="24"/>
                <w:szCs w:val="24"/>
              </w:rPr>
            </w:pPr>
            <w:r>
              <w:rPr>
                <w:rFonts w:asciiTheme="majorBidi" w:hAnsiTheme="majorBidi" w:cstheme="majorBidi"/>
                <w:sz w:val="24"/>
                <w:szCs w:val="24"/>
              </w:rPr>
              <w:t>0.0116</w:t>
            </w:r>
          </w:p>
        </w:tc>
        <w:tc>
          <w:tcPr>
            <w:tcW w:w="1417" w:type="dxa"/>
            <w:shd w:val="clear" w:color="auto" w:fill="auto"/>
          </w:tcPr>
          <w:p w14:paraId="21A02B2B" w14:textId="77777777" w:rsidR="0074011B" w:rsidRPr="00CC2F36" w:rsidRDefault="0074011B" w:rsidP="00481B49">
            <w:pPr>
              <w:jc w:val="center"/>
              <w:rPr>
                <w:rFonts w:asciiTheme="majorBidi" w:hAnsiTheme="majorBidi" w:cstheme="majorBidi"/>
                <w:sz w:val="24"/>
                <w:szCs w:val="24"/>
              </w:rPr>
            </w:pPr>
            <w:r>
              <w:rPr>
                <w:rFonts w:asciiTheme="majorBidi" w:hAnsiTheme="majorBidi" w:cstheme="majorBidi"/>
                <w:sz w:val="24"/>
                <w:szCs w:val="24"/>
              </w:rPr>
              <w:t>0.00861</w:t>
            </w:r>
          </w:p>
        </w:tc>
        <w:tc>
          <w:tcPr>
            <w:tcW w:w="1985" w:type="dxa"/>
            <w:shd w:val="clear" w:color="auto" w:fill="auto"/>
          </w:tcPr>
          <w:p w14:paraId="18A4E824" w14:textId="77777777" w:rsidR="0074011B" w:rsidRPr="00CC2F36" w:rsidRDefault="0074011B" w:rsidP="00481B49">
            <w:pPr>
              <w:jc w:val="center"/>
              <w:rPr>
                <w:rFonts w:asciiTheme="majorBidi" w:hAnsiTheme="majorBidi" w:cstheme="majorBidi"/>
                <w:sz w:val="24"/>
                <w:szCs w:val="24"/>
              </w:rPr>
            </w:pPr>
            <w:r w:rsidRPr="00700646">
              <w:rPr>
                <w:rFonts w:asciiTheme="majorBidi" w:hAnsiTheme="majorBidi" w:cstheme="majorBidi"/>
                <w:sz w:val="24"/>
                <w:szCs w:val="24"/>
              </w:rPr>
              <w:t>1.4</w:t>
            </w:r>
            <w:r>
              <w:rPr>
                <w:rFonts w:asciiTheme="majorBidi" w:hAnsiTheme="majorBidi" w:cstheme="majorBidi"/>
                <w:sz w:val="24"/>
                <w:szCs w:val="24"/>
              </w:rPr>
              <w:t>4 (</w:t>
            </w:r>
            <w:r w:rsidRPr="00700646">
              <w:rPr>
                <w:rFonts w:asciiTheme="majorBidi" w:hAnsiTheme="majorBidi" w:cstheme="majorBidi"/>
                <w:sz w:val="24"/>
                <w:szCs w:val="24"/>
              </w:rPr>
              <w:t>1.25</w:t>
            </w:r>
            <w:r>
              <w:rPr>
                <w:rFonts w:asciiTheme="majorBidi" w:hAnsiTheme="majorBidi" w:cstheme="majorBidi"/>
                <w:sz w:val="24"/>
                <w:szCs w:val="24"/>
              </w:rPr>
              <w:t>-</w:t>
            </w:r>
            <w:r w:rsidRPr="00700646">
              <w:rPr>
                <w:rFonts w:asciiTheme="majorBidi" w:hAnsiTheme="majorBidi" w:cstheme="majorBidi"/>
                <w:sz w:val="24"/>
                <w:szCs w:val="24"/>
              </w:rPr>
              <w:t>1.64</w:t>
            </w:r>
            <w:r>
              <w:rPr>
                <w:rFonts w:asciiTheme="majorBidi" w:hAnsiTheme="majorBidi" w:cstheme="majorBidi"/>
                <w:sz w:val="24"/>
                <w:szCs w:val="24"/>
              </w:rPr>
              <w:t>)</w:t>
            </w:r>
            <w:r w:rsidRPr="00CC7E40">
              <w:rPr>
                <w:rFonts w:asciiTheme="majorBidi" w:hAnsiTheme="majorBidi" w:cstheme="majorBidi"/>
                <w:sz w:val="24"/>
                <w:szCs w:val="24"/>
                <w:vertAlign w:val="superscript"/>
              </w:rPr>
              <w:t>b</w:t>
            </w:r>
          </w:p>
        </w:tc>
        <w:tc>
          <w:tcPr>
            <w:tcW w:w="1276" w:type="dxa"/>
            <w:shd w:val="clear" w:color="auto" w:fill="auto"/>
          </w:tcPr>
          <w:p w14:paraId="096A668D" w14:textId="77777777" w:rsidR="0074011B" w:rsidRPr="00CC2F36" w:rsidRDefault="0074011B" w:rsidP="00481B49">
            <w:pPr>
              <w:jc w:val="center"/>
              <w:rPr>
                <w:rFonts w:asciiTheme="majorBidi" w:hAnsiTheme="majorBidi" w:cstheme="majorBidi"/>
                <w:sz w:val="24"/>
                <w:szCs w:val="24"/>
              </w:rPr>
            </w:pPr>
            <w:r w:rsidRPr="00700646">
              <w:rPr>
                <w:rFonts w:asciiTheme="majorBidi" w:hAnsiTheme="majorBidi" w:cstheme="majorBidi"/>
                <w:sz w:val="24"/>
                <w:szCs w:val="24"/>
              </w:rPr>
              <w:t>1.42E-07</w:t>
            </w:r>
            <w:r w:rsidRPr="00CC7E40">
              <w:rPr>
                <w:rFonts w:asciiTheme="majorBidi" w:hAnsiTheme="majorBidi" w:cstheme="majorBidi"/>
                <w:sz w:val="24"/>
                <w:szCs w:val="24"/>
                <w:vertAlign w:val="superscript"/>
              </w:rPr>
              <w:t>b</w:t>
            </w:r>
          </w:p>
        </w:tc>
      </w:tr>
    </w:tbl>
    <w:p w14:paraId="0996499F" w14:textId="77777777" w:rsidR="0074011B" w:rsidRDefault="0074011B" w:rsidP="0074011B">
      <w:pPr>
        <w:spacing w:after="0" w:line="240" w:lineRule="auto"/>
        <w:rPr>
          <w:rFonts w:asciiTheme="majorBidi" w:hAnsiTheme="majorBidi" w:cstheme="majorBidi"/>
          <w:sz w:val="24"/>
          <w:szCs w:val="24"/>
        </w:rPr>
      </w:pPr>
      <w:r>
        <w:rPr>
          <w:rFonts w:asciiTheme="majorBidi" w:hAnsiTheme="majorBidi" w:cstheme="majorBidi"/>
          <w:sz w:val="24"/>
          <w:szCs w:val="24"/>
        </w:rPr>
        <w:t xml:space="preserve">PD, Parkinson’s disease; DLB, dementia with Lewy bodies; AF, allele frequency; OR, odds ratio; NIH, National Institutes of Health; DLB, dementia with Lewy bodies; NR, not reported; IPDGC, </w:t>
      </w:r>
      <w:r w:rsidRPr="00700646">
        <w:rPr>
          <w:rFonts w:asciiTheme="majorBidi" w:hAnsiTheme="majorBidi" w:cstheme="majorBidi"/>
          <w:sz w:val="24"/>
          <w:szCs w:val="24"/>
        </w:rPr>
        <w:t>International Parkinson’s Disease Genomics Consortium</w:t>
      </w:r>
      <w:r>
        <w:rPr>
          <w:rFonts w:asciiTheme="majorBidi" w:hAnsiTheme="majorBidi" w:cstheme="majorBidi"/>
          <w:sz w:val="24"/>
          <w:szCs w:val="24"/>
        </w:rPr>
        <w:t xml:space="preserve">. </w:t>
      </w:r>
    </w:p>
    <w:p w14:paraId="65931E98" w14:textId="77777777" w:rsidR="0074011B" w:rsidRDefault="0074011B" w:rsidP="0074011B">
      <w:pPr>
        <w:spacing w:after="0" w:line="240" w:lineRule="auto"/>
        <w:rPr>
          <w:rFonts w:asciiTheme="majorBidi" w:hAnsiTheme="majorBidi" w:cstheme="majorBidi"/>
          <w:sz w:val="24"/>
          <w:szCs w:val="24"/>
        </w:rPr>
      </w:pPr>
      <w:r w:rsidRPr="00CC7E40">
        <w:rPr>
          <w:rFonts w:asciiTheme="majorBidi" w:hAnsiTheme="majorBidi" w:cstheme="majorBidi"/>
          <w:sz w:val="24"/>
          <w:szCs w:val="24"/>
          <w:vertAlign w:val="superscript"/>
        </w:rPr>
        <w:t>a</w:t>
      </w:r>
      <w:r>
        <w:rPr>
          <w:rFonts w:asciiTheme="majorBidi" w:hAnsiTheme="majorBidi" w:cstheme="majorBidi"/>
          <w:sz w:val="24"/>
          <w:szCs w:val="24"/>
        </w:rPr>
        <w:t xml:space="preserve"> These data overlap in part with </w:t>
      </w:r>
      <w:proofErr w:type="spellStart"/>
      <w:r>
        <w:rPr>
          <w:rFonts w:asciiTheme="majorBidi" w:hAnsiTheme="majorBidi" w:cstheme="majorBidi"/>
          <w:sz w:val="24"/>
          <w:szCs w:val="24"/>
        </w:rPr>
        <w:t>Blauwendraat</w:t>
      </w:r>
      <w:proofErr w:type="spellEnd"/>
      <w:r>
        <w:rPr>
          <w:rFonts w:asciiTheme="majorBidi" w:hAnsiTheme="majorBidi" w:cstheme="majorBidi"/>
          <w:sz w:val="24"/>
          <w:szCs w:val="24"/>
        </w:rPr>
        <w:t xml:space="preserve"> et al. 2019,</w:t>
      </w:r>
      <w:r w:rsidRPr="00CC7E40">
        <w:rPr>
          <w:rFonts w:asciiTheme="majorBidi" w:hAnsiTheme="majorBidi" w:cstheme="majorBidi"/>
          <w:noProof/>
          <w:sz w:val="24"/>
          <w:szCs w:val="24"/>
          <w:vertAlign w:val="superscript"/>
        </w:rPr>
        <w:t>3</w:t>
      </w:r>
      <w:r>
        <w:rPr>
          <w:rFonts w:asciiTheme="majorBidi" w:hAnsiTheme="majorBidi" w:cstheme="majorBidi"/>
          <w:sz w:val="24"/>
          <w:szCs w:val="24"/>
        </w:rPr>
        <w:t xml:space="preserve"> numbers reflect available individuals with known </w:t>
      </w:r>
      <w:r w:rsidRPr="00CC7E40">
        <w:rPr>
          <w:rFonts w:asciiTheme="majorBidi" w:hAnsiTheme="majorBidi" w:cstheme="majorBidi"/>
          <w:i/>
          <w:iCs/>
          <w:sz w:val="24"/>
          <w:szCs w:val="24"/>
        </w:rPr>
        <w:t>GBA</w:t>
      </w:r>
      <w:r w:rsidRPr="000664D8">
        <w:rPr>
          <w:rFonts w:asciiTheme="majorBidi" w:hAnsiTheme="majorBidi" w:cstheme="majorBidi"/>
          <w:sz w:val="24"/>
          <w:szCs w:val="24"/>
        </w:rPr>
        <w:t xml:space="preserve"> p.T369M </w:t>
      </w:r>
      <w:r>
        <w:rPr>
          <w:rFonts w:asciiTheme="majorBidi" w:hAnsiTheme="majorBidi" w:cstheme="majorBidi"/>
          <w:sz w:val="24"/>
          <w:szCs w:val="24"/>
        </w:rPr>
        <w:t xml:space="preserve">status. </w:t>
      </w:r>
    </w:p>
    <w:p w14:paraId="58099225" w14:textId="77777777" w:rsidR="0074011B" w:rsidRPr="001774BD" w:rsidRDefault="0074011B" w:rsidP="0074011B">
      <w:pPr>
        <w:spacing w:after="0" w:line="240" w:lineRule="auto"/>
        <w:rPr>
          <w:rFonts w:asciiTheme="majorBidi" w:hAnsiTheme="majorBidi" w:cstheme="majorBidi"/>
          <w:sz w:val="24"/>
          <w:szCs w:val="24"/>
        </w:rPr>
      </w:pPr>
      <w:r w:rsidRPr="00CC7E40">
        <w:rPr>
          <w:rFonts w:asciiTheme="majorBidi" w:hAnsiTheme="majorBidi" w:cstheme="majorBidi"/>
          <w:sz w:val="24"/>
          <w:szCs w:val="24"/>
          <w:vertAlign w:val="superscript"/>
        </w:rPr>
        <w:t>b</w:t>
      </w:r>
      <w:r>
        <w:rPr>
          <w:rFonts w:asciiTheme="majorBidi" w:hAnsiTheme="majorBidi" w:cstheme="majorBidi"/>
          <w:sz w:val="24"/>
          <w:szCs w:val="24"/>
        </w:rPr>
        <w:t xml:space="preserve"> OR and P-value obtained from </w:t>
      </w:r>
      <w:proofErr w:type="spellStart"/>
      <w:r>
        <w:rPr>
          <w:rFonts w:asciiTheme="majorBidi" w:hAnsiTheme="majorBidi" w:cstheme="majorBidi"/>
          <w:sz w:val="24"/>
          <w:szCs w:val="24"/>
        </w:rPr>
        <w:t>Nalls</w:t>
      </w:r>
      <w:proofErr w:type="spellEnd"/>
      <w:r>
        <w:rPr>
          <w:rFonts w:asciiTheme="majorBidi" w:hAnsiTheme="majorBidi" w:cstheme="majorBidi"/>
          <w:sz w:val="24"/>
          <w:szCs w:val="24"/>
        </w:rPr>
        <w:t xml:space="preserve"> et al. 2019 - </w:t>
      </w:r>
      <w:hyperlink r:id="rId4" w:history="1">
        <w:r w:rsidRPr="00F03A63">
          <w:rPr>
            <w:rStyle w:val="Hyperlink"/>
            <w:rFonts w:asciiTheme="majorBidi" w:hAnsiTheme="majorBidi" w:cstheme="majorBidi"/>
            <w:sz w:val="24"/>
            <w:szCs w:val="24"/>
          </w:rPr>
          <w:t>https://www.biorxiv.org/content/10.1101/388165v3</w:t>
        </w:r>
      </w:hyperlink>
    </w:p>
    <w:p w14:paraId="023888FC" w14:textId="77777777" w:rsidR="0074011B" w:rsidRDefault="0074011B" w:rsidP="0074011B"/>
    <w:p w14:paraId="7AF87FD9" w14:textId="77777777" w:rsidR="0074011B" w:rsidRPr="0074011B" w:rsidRDefault="0074011B" w:rsidP="006B7A47">
      <w:pPr>
        <w:pStyle w:val="EndNoteBibliography"/>
        <w:ind w:left="720" w:hanging="720"/>
        <w:rPr>
          <w:lang w:val="en-CA"/>
        </w:rPr>
      </w:pPr>
      <w:bookmarkStart w:id="3" w:name="_GoBack"/>
      <w:bookmarkEnd w:id="3"/>
    </w:p>
    <w:p w14:paraId="3D961AB3" w14:textId="77777777" w:rsidR="00E81F77" w:rsidRDefault="00E81F77" w:rsidP="00882318">
      <w:pPr>
        <w:spacing w:line="480" w:lineRule="auto"/>
        <w:jc w:val="both"/>
        <w:rPr>
          <w:rFonts w:asciiTheme="majorBidi" w:hAnsiTheme="majorBidi" w:cstheme="majorBidi"/>
          <w:b/>
          <w:bCs/>
          <w:sz w:val="24"/>
          <w:szCs w:val="24"/>
        </w:rPr>
      </w:pPr>
    </w:p>
    <w:p w14:paraId="428B0D7C" w14:textId="77777777" w:rsidR="00FC25ED" w:rsidRPr="00484ECD" w:rsidRDefault="00FC25ED" w:rsidP="00484ECD">
      <w:pPr>
        <w:rPr>
          <w:rFonts w:asciiTheme="majorBidi" w:hAnsiTheme="majorBidi" w:cstheme="majorBidi"/>
          <w:b/>
          <w:bCs/>
          <w:sz w:val="24"/>
          <w:szCs w:val="24"/>
        </w:rPr>
      </w:pPr>
    </w:p>
    <w:sectPr w:rsidR="00FC25ED" w:rsidRPr="00484ECD" w:rsidSect="008823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E81F77"/>
    <w:rsid w:val="0004497A"/>
    <w:rsid w:val="00094DCA"/>
    <w:rsid w:val="00484ECD"/>
    <w:rsid w:val="00685F1E"/>
    <w:rsid w:val="006B7A47"/>
    <w:rsid w:val="006C62F3"/>
    <w:rsid w:val="00715923"/>
    <w:rsid w:val="0074011B"/>
    <w:rsid w:val="00E81F77"/>
    <w:rsid w:val="00FC25ED"/>
  </w:rsids>
  <m:mathPr>
    <m:mathFont m:val="Cambria Math"/>
    <m:brkBin m:val="before"/>
    <m:brkBinSub m:val="--"/>
    <m:smallFrac m:val="0"/>
    <m:dispDef/>
    <m:lMargin m:val="0"/>
    <m:rMargin m:val="0"/>
    <m:defJc m:val="centerGroup"/>
    <m:wrapIndent m:val="1440"/>
    <m:intLim m:val="subSup"/>
    <m:naryLim m:val="undOvr"/>
  </m:mathPr>
  <w:themeFontLang w:val="en-C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B88C"/>
  <w15:chartTrackingRefBased/>
  <w15:docId w15:val="{B79810D0-6999-4C11-81F4-FED1B602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he-I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81F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1F77"/>
    <w:rPr>
      <w:color w:val="0563C1" w:themeColor="hyperlink"/>
      <w:u w:val="single"/>
    </w:rPr>
  </w:style>
  <w:style w:type="character" w:styleId="UnresolvedMention">
    <w:name w:val="Unresolved Mention"/>
    <w:basedOn w:val="DefaultParagraphFont"/>
    <w:uiPriority w:val="99"/>
    <w:semiHidden/>
    <w:unhideWhenUsed/>
    <w:rsid w:val="00E81F77"/>
    <w:rPr>
      <w:color w:val="605E5C"/>
      <w:shd w:val="clear" w:color="auto" w:fill="E1DFDD"/>
    </w:rPr>
  </w:style>
  <w:style w:type="table" w:styleId="TableGrid">
    <w:name w:val="Table Grid"/>
    <w:basedOn w:val="TableNormal"/>
    <w:uiPriority w:val="39"/>
    <w:rsid w:val="00E81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E81F77"/>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E81F77"/>
    <w:rPr>
      <w:rFonts w:ascii="Calibri" w:hAnsi="Calibri" w:cs="Calibri"/>
      <w:noProof/>
      <w:lang w:val="en-US"/>
    </w:rPr>
  </w:style>
  <w:style w:type="paragraph" w:customStyle="1" w:styleId="EndNoteBibliography">
    <w:name w:val="EndNote Bibliography"/>
    <w:basedOn w:val="Normal"/>
    <w:link w:val="EndNoteBibliographyChar"/>
    <w:rsid w:val="00E81F77"/>
    <w:pPr>
      <w:spacing w:line="240" w:lineRule="auto"/>
      <w:jc w:val="both"/>
    </w:pPr>
    <w:rPr>
      <w:rFonts w:ascii="Calibri" w:hAnsi="Calibri" w:cs="Calibri"/>
      <w:noProof/>
      <w:lang w:val="en-US"/>
    </w:rPr>
  </w:style>
  <w:style w:type="character" w:customStyle="1" w:styleId="EndNoteBibliographyChar">
    <w:name w:val="EndNote Bibliography Char"/>
    <w:basedOn w:val="DefaultParagraphFont"/>
    <w:link w:val="EndNoteBibliography"/>
    <w:rsid w:val="00E81F77"/>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1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orxiv.org/content/10.1101/388165v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 gan or</dc:creator>
  <cp:keywords/>
  <dc:description/>
  <cp:lastModifiedBy>ziv gan or</cp:lastModifiedBy>
  <cp:revision>2</cp:revision>
  <dcterms:created xsi:type="dcterms:W3CDTF">2020-06-27T21:18:00Z</dcterms:created>
  <dcterms:modified xsi:type="dcterms:W3CDTF">2020-06-27T21:18:00Z</dcterms:modified>
</cp:coreProperties>
</file>