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2B8" w:rsidRPr="00B66727" w:rsidRDefault="004002B8" w:rsidP="004002B8">
      <w:pPr>
        <w:spacing w:line="240" w:lineRule="auto"/>
        <w:rPr>
          <w:rFonts w:cs="Times New Roman"/>
          <w:b/>
          <w:sz w:val="28"/>
          <w:szCs w:val="28"/>
          <w:lang w:val="en-US"/>
        </w:rPr>
      </w:pPr>
      <w:bookmarkStart w:id="0" w:name="_Hlk496277743"/>
      <w:r w:rsidRPr="00B66727">
        <w:rPr>
          <w:rFonts w:cs="Times New Roman"/>
          <w:b/>
          <w:i/>
          <w:sz w:val="28"/>
          <w:szCs w:val="28"/>
          <w:lang w:val="en-US"/>
        </w:rPr>
        <w:t>TOX3</w:t>
      </w:r>
      <w:r w:rsidRPr="00B66727">
        <w:rPr>
          <w:rFonts w:cs="Times New Roman"/>
          <w:b/>
          <w:sz w:val="28"/>
          <w:szCs w:val="28"/>
          <w:lang w:val="en-US"/>
        </w:rPr>
        <w:t xml:space="preserve"> </w:t>
      </w:r>
      <w:r>
        <w:rPr>
          <w:rFonts w:cs="Times New Roman"/>
          <w:b/>
          <w:sz w:val="28"/>
          <w:szCs w:val="28"/>
          <w:lang w:val="en-US"/>
        </w:rPr>
        <w:t xml:space="preserve">variants are involved in </w:t>
      </w:r>
      <w:r w:rsidRPr="00B66727">
        <w:rPr>
          <w:rFonts w:cs="Times New Roman"/>
          <w:b/>
          <w:sz w:val="28"/>
          <w:szCs w:val="28"/>
          <w:lang w:val="en-US"/>
        </w:rPr>
        <w:t xml:space="preserve">restless legs syndrome and Parkinson disease with </w:t>
      </w:r>
      <w:r>
        <w:rPr>
          <w:rFonts w:cs="Times New Roman"/>
          <w:b/>
          <w:sz w:val="28"/>
          <w:szCs w:val="28"/>
          <w:lang w:val="en-US"/>
        </w:rPr>
        <w:t>opposite effects</w:t>
      </w:r>
      <w:bookmarkEnd w:id="0"/>
    </w:p>
    <w:p w:rsidR="005118E2" w:rsidRPr="0002422D" w:rsidRDefault="005118E2" w:rsidP="00B66727">
      <w:pPr>
        <w:spacing w:line="240" w:lineRule="auto"/>
        <w:rPr>
          <w:rFonts w:cs="Times New Roman"/>
          <w:b/>
          <w:sz w:val="24"/>
          <w:szCs w:val="24"/>
          <w:lang w:val="en-US"/>
        </w:rPr>
      </w:pPr>
    </w:p>
    <w:p w:rsidR="005118E2" w:rsidRDefault="005118E2" w:rsidP="005C3353">
      <w:pPr>
        <w:spacing w:line="240" w:lineRule="auto"/>
        <w:jc w:val="both"/>
        <w:rPr>
          <w:rFonts w:cs="Times New Roman"/>
          <w:sz w:val="24"/>
          <w:szCs w:val="24"/>
          <w:lang w:val="en-US"/>
        </w:rPr>
      </w:pPr>
      <w:r w:rsidRPr="00144D11">
        <w:rPr>
          <w:rFonts w:cs="Times New Roman"/>
          <w:sz w:val="24"/>
          <w:szCs w:val="24"/>
          <w:lang w:val="en-US"/>
        </w:rPr>
        <w:t xml:space="preserve">Sadaf </w:t>
      </w:r>
      <w:proofErr w:type="spellStart"/>
      <w:r w:rsidRPr="00144D11">
        <w:rPr>
          <w:rFonts w:cs="Times New Roman"/>
          <w:sz w:val="24"/>
          <w:szCs w:val="24"/>
          <w:lang w:val="en-US"/>
        </w:rPr>
        <w:t>Mohtashami</w:t>
      </w:r>
      <w:r>
        <w:rPr>
          <w:rFonts w:cs="Times New Roman"/>
          <w:sz w:val="24"/>
          <w:szCs w:val="24"/>
          <w:lang w:val="en-US"/>
        </w:rPr>
        <w:t>,</w:t>
      </w:r>
      <w:r>
        <w:rPr>
          <w:rFonts w:cs="Times New Roman"/>
          <w:sz w:val="24"/>
          <w:szCs w:val="24"/>
          <w:vertAlign w:val="superscript"/>
          <w:lang w:val="en-US"/>
        </w:rPr>
        <w:t>a,b</w:t>
      </w:r>
      <w:proofErr w:type="spellEnd"/>
      <w:r w:rsidRPr="00AE7F16">
        <w:rPr>
          <w:rFonts w:cs="Times New Roman"/>
          <w:sz w:val="24"/>
          <w:szCs w:val="24"/>
          <w:vertAlign w:val="superscript"/>
          <w:lang w:val="en-US"/>
        </w:rPr>
        <w:t>,</w:t>
      </w:r>
      <w:r w:rsidRPr="00144D11">
        <w:rPr>
          <w:rFonts w:cs="Times New Roman"/>
          <w:sz w:val="24"/>
          <w:szCs w:val="24"/>
          <w:lang w:val="en-US"/>
        </w:rPr>
        <w:t xml:space="preserve"> Qin </w:t>
      </w:r>
      <w:proofErr w:type="spellStart"/>
      <w:r w:rsidRPr="00144D11">
        <w:rPr>
          <w:rFonts w:cs="Times New Roman"/>
          <w:sz w:val="24"/>
          <w:szCs w:val="24"/>
          <w:lang w:val="en-US"/>
        </w:rPr>
        <w:t>He</w:t>
      </w:r>
      <w:r>
        <w:rPr>
          <w:rFonts w:cs="Times New Roman"/>
          <w:sz w:val="24"/>
          <w:szCs w:val="24"/>
          <w:lang w:val="en-US"/>
        </w:rPr>
        <w:t>,</w:t>
      </w:r>
      <w:r>
        <w:rPr>
          <w:rFonts w:cs="Times New Roman"/>
          <w:sz w:val="24"/>
          <w:szCs w:val="24"/>
          <w:vertAlign w:val="superscript"/>
          <w:lang w:val="en-US"/>
        </w:rPr>
        <w:t>c,d</w:t>
      </w:r>
      <w:proofErr w:type="spellEnd"/>
      <w:r>
        <w:rPr>
          <w:rFonts w:cs="Times New Roman"/>
          <w:sz w:val="24"/>
          <w:szCs w:val="24"/>
          <w:vertAlign w:val="superscript"/>
          <w:lang w:val="en-US"/>
        </w:rPr>
        <w:t xml:space="preserve">, </w:t>
      </w:r>
      <w:r>
        <w:rPr>
          <w:rFonts w:cs="Times New Roman"/>
          <w:sz w:val="24"/>
          <w:szCs w:val="24"/>
          <w:lang w:val="en-US"/>
        </w:rPr>
        <w:t xml:space="preserve">Jennifer A. </w:t>
      </w:r>
      <w:proofErr w:type="spellStart"/>
      <w:r>
        <w:rPr>
          <w:rFonts w:cs="Times New Roman"/>
          <w:sz w:val="24"/>
          <w:szCs w:val="24"/>
          <w:lang w:val="en-US"/>
        </w:rPr>
        <w:t>Ruskey,</w:t>
      </w:r>
      <w:r>
        <w:rPr>
          <w:rFonts w:cs="Times New Roman"/>
          <w:sz w:val="24"/>
          <w:szCs w:val="24"/>
          <w:vertAlign w:val="superscript"/>
          <w:lang w:val="en-US"/>
        </w:rPr>
        <w:t>b,e</w:t>
      </w:r>
      <w:proofErr w:type="spellEnd"/>
      <w:r w:rsidRPr="00BB1DD4">
        <w:rPr>
          <w:rFonts w:cs="Times New Roman"/>
          <w:sz w:val="24"/>
          <w:szCs w:val="24"/>
          <w:vertAlign w:val="superscript"/>
          <w:lang w:val="en-US"/>
        </w:rPr>
        <w:t>,</w:t>
      </w:r>
      <w:r>
        <w:rPr>
          <w:rFonts w:cs="Times New Roman"/>
          <w:sz w:val="24"/>
          <w:szCs w:val="24"/>
          <w:vertAlign w:val="superscript"/>
          <w:lang w:val="en-US"/>
        </w:rPr>
        <w:t xml:space="preserve"> </w:t>
      </w:r>
      <w:proofErr w:type="spellStart"/>
      <w:r>
        <w:rPr>
          <w:rFonts w:cs="Times New Roman"/>
          <w:sz w:val="24"/>
          <w:szCs w:val="24"/>
          <w:lang w:val="en-US"/>
        </w:rPr>
        <w:t>Sirui</w:t>
      </w:r>
      <w:proofErr w:type="spellEnd"/>
      <w:r>
        <w:rPr>
          <w:rFonts w:cs="Times New Roman"/>
          <w:sz w:val="24"/>
          <w:szCs w:val="24"/>
          <w:lang w:val="en-US"/>
        </w:rPr>
        <w:t xml:space="preserve"> </w:t>
      </w:r>
      <w:proofErr w:type="spellStart"/>
      <w:r>
        <w:rPr>
          <w:rFonts w:cs="Times New Roman"/>
          <w:sz w:val="24"/>
          <w:szCs w:val="24"/>
          <w:lang w:val="en-US"/>
        </w:rPr>
        <w:t>Zhou,</w:t>
      </w:r>
      <w:r>
        <w:rPr>
          <w:rFonts w:cs="Times New Roman"/>
          <w:sz w:val="24"/>
          <w:szCs w:val="24"/>
          <w:vertAlign w:val="superscript"/>
          <w:lang w:val="en-US"/>
        </w:rPr>
        <w:t>f</w:t>
      </w:r>
      <w:proofErr w:type="spellEnd"/>
      <w:r w:rsidRPr="005E7164">
        <w:rPr>
          <w:rFonts w:cs="Times New Roman"/>
          <w:sz w:val="24"/>
          <w:szCs w:val="24"/>
          <w:vertAlign w:val="superscript"/>
          <w:lang w:val="en-US"/>
        </w:rPr>
        <w:t>,</w:t>
      </w:r>
      <w:r>
        <w:rPr>
          <w:rFonts w:cs="Times New Roman"/>
          <w:sz w:val="24"/>
          <w:szCs w:val="24"/>
          <w:lang w:val="en-US"/>
        </w:rPr>
        <w:t xml:space="preserve"> </w:t>
      </w:r>
      <w:r w:rsidRPr="00144D11">
        <w:rPr>
          <w:rFonts w:cs="Times New Roman"/>
          <w:sz w:val="24"/>
          <w:szCs w:val="24"/>
          <w:lang w:val="en-US"/>
        </w:rPr>
        <w:t xml:space="preserve">Patrick </w:t>
      </w:r>
      <w:proofErr w:type="spellStart"/>
      <w:r w:rsidRPr="00144D11">
        <w:rPr>
          <w:rFonts w:cs="Times New Roman"/>
          <w:sz w:val="24"/>
          <w:szCs w:val="24"/>
          <w:lang w:val="en-US"/>
        </w:rPr>
        <w:t>A.Dion</w:t>
      </w:r>
      <w:r>
        <w:rPr>
          <w:rFonts w:cs="Times New Roman"/>
          <w:sz w:val="24"/>
          <w:szCs w:val="24"/>
          <w:lang w:val="en-US"/>
        </w:rPr>
        <w:t>,</w:t>
      </w:r>
      <w:r>
        <w:rPr>
          <w:rFonts w:cs="Times New Roman"/>
          <w:sz w:val="24"/>
          <w:szCs w:val="24"/>
          <w:vertAlign w:val="superscript"/>
          <w:lang w:val="en-US"/>
        </w:rPr>
        <w:t>b,e,g</w:t>
      </w:r>
      <w:proofErr w:type="spellEnd"/>
      <w:r>
        <w:rPr>
          <w:rFonts w:cs="Times New Roman"/>
          <w:sz w:val="24"/>
          <w:szCs w:val="24"/>
          <w:vertAlign w:val="superscript"/>
          <w:lang w:val="en-US"/>
        </w:rPr>
        <w:t>,</w:t>
      </w:r>
      <w:r>
        <w:rPr>
          <w:rFonts w:cs="Times New Roman"/>
          <w:sz w:val="24"/>
          <w:szCs w:val="24"/>
          <w:lang w:val="en-US"/>
        </w:rPr>
        <w:t xml:space="preserve"> Richard P. </w:t>
      </w:r>
      <w:proofErr w:type="spellStart"/>
      <w:r>
        <w:rPr>
          <w:rFonts w:cs="Times New Roman"/>
          <w:sz w:val="24"/>
          <w:szCs w:val="24"/>
          <w:lang w:val="en-US"/>
        </w:rPr>
        <w:t>Allen</w:t>
      </w:r>
      <w:r w:rsidRPr="00AE7F16">
        <w:rPr>
          <w:rFonts w:cs="Times New Roman"/>
          <w:sz w:val="24"/>
          <w:szCs w:val="24"/>
          <w:lang w:val="en-US"/>
        </w:rPr>
        <w:t>,</w:t>
      </w:r>
      <w:r>
        <w:rPr>
          <w:rFonts w:cs="Times New Roman"/>
          <w:sz w:val="24"/>
          <w:szCs w:val="24"/>
          <w:vertAlign w:val="superscript"/>
          <w:lang w:val="en-US"/>
        </w:rPr>
        <w:t>h</w:t>
      </w:r>
      <w:proofErr w:type="spellEnd"/>
      <w:r w:rsidRPr="00AE7F16">
        <w:rPr>
          <w:rFonts w:cs="Times New Roman"/>
          <w:sz w:val="24"/>
          <w:szCs w:val="24"/>
          <w:vertAlign w:val="superscript"/>
          <w:lang w:val="en-US"/>
        </w:rPr>
        <w:t>,</w:t>
      </w:r>
      <w:r w:rsidRPr="00AE7F16">
        <w:rPr>
          <w:rFonts w:cs="Times New Roman"/>
          <w:sz w:val="24"/>
          <w:szCs w:val="24"/>
          <w:lang w:val="en-US"/>
        </w:rPr>
        <w:t xml:space="preserve"> Chr</w:t>
      </w:r>
      <w:r>
        <w:rPr>
          <w:rFonts w:cs="Times New Roman"/>
          <w:sz w:val="24"/>
          <w:szCs w:val="24"/>
          <w:lang w:val="en-US"/>
        </w:rPr>
        <w:t xml:space="preserve">istopher J. </w:t>
      </w:r>
      <w:proofErr w:type="spellStart"/>
      <w:r>
        <w:rPr>
          <w:rFonts w:cs="Times New Roman"/>
          <w:sz w:val="24"/>
          <w:szCs w:val="24"/>
          <w:lang w:val="en-US"/>
        </w:rPr>
        <w:t>Earley,</w:t>
      </w:r>
      <w:r>
        <w:rPr>
          <w:rFonts w:cs="Times New Roman"/>
          <w:sz w:val="24"/>
          <w:szCs w:val="24"/>
          <w:vertAlign w:val="superscript"/>
          <w:lang w:val="en-US"/>
        </w:rPr>
        <w:t>h</w:t>
      </w:r>
      <w:proofErr w:type="spellEnd"/>
      <w:r w:rsidRPr="00AE7F16">
        <w:rPr>
          <w:rFonts w:cs="Times New Roman"/>
          <w:sz w:val="24"/>
          <w:szCs w:val="24"/>
          <w:vertAlign w:val="superscript"/>
          <w:lang w:val="en-US"/>
        </w:rPr>
        <w:t>,</w:t>
      </w:r>
      <w:r w:rsidRPr="00AE7F16">
        <w:rPr>
          <w:rFonts w:cs="Times New Roman"/>
          <w:sz w:val="24"/>
          <w:szCs w:val="24"/>
          <w:lang w:val="en-US"/>
        </w:rPr>
        <w:t xml:space="preserve"> </w:t>
      </w:r>
      <w:r>
        <w:rPr>
          <w:rFonts w:cs="Times New Roman"/>
          <w:sz w:val="24"/>
          <w:szCs w:val="24"/>
          <w:lang w:val="en-US"/>
        </w:rPr>
        <w:t xml:space="preserve">Edward A. </w:t>
      </w:r>
      <w:proofErr w:type="spellStart"/>
      <w:r>
        <w:rPr>
          <w:rFonts w:cs="Times New Roman"/>
          <w:sz w:val="24"/>
          <w:szCs w:val="24"/>
          <w:lang w:val="en-US"/>
        </w:rPr>
        <w:t>Fon,</w:t>
      </w:r>
      <w:r>
        <w:rPr>
          <w:rFonts w:cs="Times New Roman"/>
          <w:sz w:val="24"/>
          <w:szCs w:val="24"/>
          <w:vertAlign w:val="superscript"/>
          <w:lang w:val="en-US"/>
        </w:rPr>
        <w:t>b,e</w:t>
      </w:r>
      <w:proofErr w:type="spellEnd"/>
      <w:r w:rsidRPr="00A33762">
        <w:rPr>
          <w:rFonts w:cs="Times New Roman"/>
          <w:sz w:val="24"/>
          <w:szCs w:val="24"/>
          <w:vertAlign w:val="superscript"/>
          <w:lang w:val="en-US"/>
        </w:rPr>
        <w:t>,</w:t>
      </w:r>
      <w:r>
        <w:rPr>
          <w:rFonts w:cs="Times New Roman"/>
          <w:sz w:val="24"/>
          <w:szCs w:val="24"/>
          <w:lang w:val="en-US"/>
        </w:rPr>
        <w:t xml:space="preserve"> </w:t>
      </w:r>
      <w:r w:rsidRPr="00144D11">
        <w:rPr>
          <w:rFonts w:cs="Times New Roman"/>
          <w:sz w:val="24"/>
          <w:szCs w:val="24"/>
          <w:lang w:val="en-US"/>
        </w:rPr>
        <w:t xml:space="preserve">Lan </w:t>
      </w:r>
      <w:proofErr w:type="spellStart"/>
      <w:r>
        <w:rPr>
          <w:rFonts w:cs="Times New Roman"/>
          <w:sz w:val="24"/>
          <w:szCs w:val="24"/>
          <w:lang w:val="en-US"/>
        </w:rPr>
        <w:t>Xiong,</w:t>
      </w:r>
      <w:r>
        <w:rPr>
          <w:rFonts w:cs="Times New Roman"/>
          <w:sz w:val="24"/>
          <w:szCs w:val="24"/>
          <w:vertAlign w:val="superscript"/>
          <w:lang w:val="en-US"/>
        </w:rPr>
        <w:t>c,d</w:t>
      </w:r>
      <w:proofErr w:type="spellEnd"/>
      <w:r w:rsidRPr="00AE7F16">
        <w:rPr>
          <w:rFonts w:cs="Times New Roman"/>
          <w:sz w:val="24"/>
          <w:szCs w:val="24"/>
          <w:vertAlign w:val="superscript"/>
          <w:lang w:val="en-US"/>
        </w:rPr>
        <w:t>,</w:t>
      </w:r>
      <w:r w:rsidRPr="00144D11">
        <w:rPr>
          <w:rFonts w:cs="Times New Roman"/>
          <w:sz w:val="24"/>
          <w:szCs w:val="24"/>
          <w:lang w:val="en-US"/>
        </w:rPr>
        <w:t xml:space="preserve"> </w:t>
      </w:r>
      <w:r>
        <w:rPr>
          <w:rFonts w:cs="Times New Roman"/>
          <w:sz w:val="24"/>
          <w:szCs w:val="24"/>
          <w:lang w:val="en-US"/>
        </w:rPr>
        <w:t xml:space="preserve">Nicolas </w:t>
      </w:r>
      <w:proofErr w:type="spellStart"/>
      <w:r>
        <w:rPr>
          <w:rFonts w:cs="Times New Roman"/>
          <w:sz w:val="24"/>
          <w:szCs w:val="24"/>
          <w:lang w:val="en-US"/>
        </w:rPr>
        <w:t>Dupre,</w:t>
      </w:r>
      <w:r>
        <w:rPr>
          <w:rFonts w:cs="Times New Roman"/>
          <w:sz w:val="24"/>
          <w:szCs w:val="24"/>
          <w:vertAlign w:val="superscript"/>
          <w:lang w:val="en-US"/>
        </w:rPr>
        <w:t>i</w:t>
      </w:r>
      <w:proofErr w:type="spellEnd"/>
      <w:r w:rsidRPr="003C4EFE">
        <w:rPr>
          <w:rFonts w:cs="Times New Roman"/>
          <w:sz w:val="24"/>
          <w:szCs w:val="24"/>
          <w:vertAlign w:val="superscript"/>
          <w:lang w:val="en-US"/>
        </w:rPr>
        <w:t>,</w:t>
      </w:r>
      <w:r>
        <w:rPr>
          <w:rFonts w:cs="Times New Roman"/>
          <w:sz w:val="24"/>
          <w:szCs w:val="24"/>
          <w:vertAlign w:val="superscript"/>
          <w:lang w:val="en-US"/>
        </w:rPr>
        <w:t xml:space="preserve"> </w:t>
      </w:r>
      <w:r>
        <w:rPr>
          <w:rFonts w:cs="Times New Roman"/>
          <w:sz w:val="24"/>
          <w:szCs w:val="24"/>
          <w:lang w:val="en-US"/>
        </w:rPr>
        <w:t xml:space="preserve">Yves </w:t>
      </w:r>
      <w:proofErr w:type="spellStart"/>
      <w:r w:rsidRPr="00FB774D">
        <w:rPr>
          <w:rFonts w:cs="Times New Roman"/>
          <w:sz w:val="24"/>
          <w:szCs w:val="24"/>
          <w:lang w:val="en-CA"/>
        </w:rPr>
        <w:t>Dauvilliers,</w:t>
      </w:r>
      <w:r>
        <w:rPr>
          <w:rFonts w:cs="Times New Roman"/>
          <w:sz w:val="24"/>
          <w:szCs w:val="24"/>
          <w:vertAlign w:val="superscript"/>
          <w:lang w:val="en-CA"/>
        </w:rPr>
        <w:t>j</w:t>
      </w:r>
      <w:proofErr w:type="spellEnd"/>
      <w:r w:rsidRPr="00FB774D">
        <w:rPr>
          <w:rFonts w:cs="Times New Roman"/>
          <w:sz w:val="24"/>
          <w:szCs w:val="24"/>
          <w:vertAlign w:val="superscript"/>
          <w:lang w:val="en-CA"/>
        </w:rPr>
        <w:t>,</w:t>
      </w:r>
      <w:r>
        <w:rPr>
          <w:rFonts w:cs="Times New Roman"/>
          <w:sz w:val="24"/>
          <w:szCs w:val="24"/>
          <w:lang w:val="en-US"/>
        </w:rPr>
        <w:t xml:space="preserve"> </w:t>
      </w:r>
      <w:r w:rsidRPr="00144D11">
        <w:rPr>
          <w:rFonts w:cs="Times New Roman"/>
          <w:sz w:val="24"/>
          <w:szCs w:val="24"/>
          <w:lang w:val="en-US"/>
        </w:rPr>
        <w:t xml:space="preserve">Guy A. </w:t>
      </w:r>
      <w:proofErr w:type="spellStart"/>
      <w:r w:rsidRPr="00144D11">
        <w:rPr>
          <w:rFonts w:cs="Times New Roman"/>
          <w:sz w:val="24"/>
          <w:szCs w:val="24"/>
          <w:lang w:val="en-US"/>
        </w:rPr>
        <w:t>R</w:t>
      </w:r>
      <w:r>
        <w:rPr>
          <w:rFonts w:cs="Times New Roman"/>
          <w:sz w:val="24"/>
          <w:szCs w:val="24"/>
          <w:lang w:val="en-US"/>
        </w:rPr>
        <w:t>o</w:t>
      </w:r>
      <w:r w:rsidRPr="00144D11">
        <w:rPr>
          <w:rFonts w:cs="Times New Roman"/>
          <w:sz w:val="24"/>
          <w:szCs w:val="24"/>
          <w:lang w:val="en-US"/>
        </w:rPr>
        <w:t>uleau</w:t>
      </w:r>
      <w:r>
        <w:rPr>
          <w:rFonts w:cs="Times New Roman"/>
          <w:sz w:val="24"/>
          <w:szCs w:val="24"/>
          <w:lang w:val="en-US"/>
        </w:rPr>
        <w:t>,</w:t>
      </w:r>
      <w:r>
        <w:rPr>
          <w:rFonts w:cs="Times New Roman"/>
          <w:sz w:val="24"/>
          <w:szCs w:val="24"/>
          <w:vertAlign w:val="superscript"/>
          <w:lang w:val="en-US"/>
        </w:rPr>
        <w:t>b,e,g</w:t>
      </w:r>
      <w:proofErr w:type="spellEnd"/>
      <w:r>
        <w:rPr>
          <w:rFonts w:cs="Times New Roman"/>
          <w:sz w:val="24"/>
          <w:szCs w:val="24"/>
          <w:vertAlign w:val="superscript"/>
          <w:lang w:val="en-US"/>
        </w:rPr>
        <w:t>,</w:t>
      </w:r>
      <w:r w:rsidRPr="00144D11">
        <w:rPr>
          <w:rFonts w:cs="Times New Roman"/>
          <w:sz w:val="24"/>
          <w:szCs w:val="24"/>
          <w:lang w:val="en-US"/>
        </w:rPr>
        <w:t xml:space="preserve"> Ziv Gan-</w:t>
      </w:r>
      <w:proofErr w:type="spellStart"/>
      <w:r w:rsidRPr="00144D11">
        <w:rPr>
          <w:rFonts w:cs="Times New Roman"/>
          <w:sz w:val="24"/>
          <w:szCs w:val="24"/>
          <w:lang w:val="en-US"/>
        </w:rPr>
        <w:t>Or</w:t>
      </w:r>
      <w:r w:rsidRPr="00C06BF2">
        <w:rPr>
          <w:rFonts w:cs="Times New Roman"/>
          <w:sz w:val="24"/>
          <w:szCs w:val="24"/>
          <w:lang w:val="en-US"/>
        </w:rPr>
        <w:t>,</w:t>
      </w:r>
      <w:r>
        <w:rPr>
          <w:rFonts w:cs="Times New Roman"/>
          <w:sz w:val="24"/>
          <w:szCs w:val="24"/>
          <w:vertAlign w:val="superscript"/>
          <w:lang w:val="en-US"/>
        </w:rPr>
        <w:t>b,e,g</w:t>
      </w:r>
      <w:proofErr w:type="spellEnd"/>
      <w:r>
        <w:rPr>
          <w:rFonts w:cs="Times New Roman"/>
          <w:sz w:val="24"/>
          <w:szCs w:val="24"/>
          <w:vertAlign w:val="superscript"/>
          <w:lang w:val="en-US"/>
        </w:rPr>
        <w:t>,*</w:t>
      </w:r>
      <w:r w:rsidRPr="005C3353">
        <w:rPr>
          <w:rFonts w:cs="Times New Roman"/>
          <w:sz w:val="24"/>
          <w:szCs w:val="24"/>
          <w:lang w:val="en-US"/>
        </w:rPr>
        <w:t>.</w:t>
      </w:r>
      <w:r w:rsidRPr="00144D11">
        <w:rPr>
          <w:rFonts w:cs="Times New Roman"/>
          <w:sz w:val="24"/>
          <w:szCs w:val="24"/>
          <w:lang w:val="en-US"/>
        </w:rPr>
        <w:t xml:space="preserve"> </w:t>
      </w:r>
    </w:p>
    <w:p w:rsidR="005118E2" w:rsidRPr="00144D11" w:rsidRDefault="005118E2" w:rsidP="005C3353">
      <w:pPr>
        <w:spacing w:line="240" w:lineRule="auto"/>
        <w:jc w:val="both"/>
        <w:rPr>
          <w:rFonts w:cs="Times New Roman"/>
          <w:sz w:val="24"/>
          <w:szCs w:val="24"/>
          <w:vertAlign w:val="superscript"/>
          <w:lang w:val="en-US"/>
        </w:rPr>
      </w:pPr>
    </w:p>
    <w:p w:rsidR="005118E2" w:rsidRPr="00144D11" w:rsidRDefault="005118E2" w:rsidP="000E51EE">
      <w:pPr>
        <w:spacing w:after="0" w:line="240" w:lineRule="auto"/>
        <w:jc w:val="both"/>
        <w:rPr>
          <w:rFonts w:cs="Times New Roman"/>
          <w:sz w:val="24"/>
          <w:szCs w:val="24"/>
          <w:lang w:val="en-US"/>
        </w:rPr>
      </w:pPr>
      <w:r>
        <w:rPr>
          <w:rFonts w:cs="Times New Roman"/>
          <w:sz w:val="24"/>
          <w:szCs w:val="24"/>
          <w:vertAlign w:val="superscript"/>
          <w:lang w:val="en-US"/>
        </w:rPr>
        <w:t>a</w:t>
      </w:r>
      <w:r w:rsidRPr="00144D11">
        <w:rPr>
          <w:rFonts w:cs="Times New Roman"/>
          <w:sz w:val="24"/>
          <w:szCs w:val="24"/>
          <w:vertAlign w:val="superscript"/>
          <w:lang w:val="en-US"/>
        </w:rPr>
        <w:t xml:space="preserve"> </w:t>
      </w:r>
      <w:r w:rsidRPr="00144D11">
        <w:rPr>
          <w:rFonts w:cs="Times New Roman"/>
          <w:sz w:val="24"/>
          <w:szCs w:val="24"/>
          <w:lang w:val="en-US"/>
        </w:rPr>
        <w:t>Department of Experimental Medicine, McGill University, Montréal, Québec, Canada</w:t>
      </w:r>
    </w:p>
    <w:p w:rsidR="005118E2" w:rsidRPr="00FB774D" w:rsidRDefault="005118E2" w:rsidP="000E51EE">
      <w:pPr>
        <w:spacing w:after="0" w:line="240" w:lineRule="auto"/>
        <w:jc w:val="both"/>
        <w:rPr>
          <w:rFonts w:cs="Times New Roman"/>
          <w:sz w:val="24"/>
          <w:szCs w:val="24"/>
        </w:rPr>
      </w:pPr>
      <w:proofErr w:type="gramStart"/>
      <w:r>
        <w:rPr>
          <w:rFonts w:cs="Times New Roman"/>
          <w:sz w:val="24"/>
          <w:szCs w:val="24"/>
          <w:vertAlign w:val="superscript"/>
        </w:rPr>
        <w:t>b</w:t>
      </w:r>
      <w:proofErr w:type="gramEnd"/>
      <w:r w:rsidRPr="00FB774D">
        <w:rPr>
          <w:rFonts w:cs="Times New Roman"/>
          <w:sz w:val="24"/>
          <w:szCs w:val="24"/>
          <w:vertAlign w:val="superscript"/>
        </w:rPr>
        <w:t xml:space="preserve"> </w:t>
      </w:r>
      <w:proofErr w:type="spellStart"/>
      <w:r w:rsidRPr="00FB774D">
        <w:rPr>
          <w:rFonts w:cs="Times New Roman"/>
          <w:sz w:val="24"/>
          <w:szCs w:val="24"/>
        </w:rPr>
        <w:t>Montreal</w:t>
      </w:r>
      <w:proofErr w:type="spellEnd"/>
      <w:r w:rsidRPr="00FB774D">
        <w:rPr>
          <w:rFonts w:cs="Times New Roman"/>
          <w:sz w:val="24"/>
          <w:szCs w:val="24"/>
        </w:rPr>
        <w:t xml:space="preserve"> </w:t>
      </w:r>
      <w:proofErr w:type="spellStart"/>
      <w:r w:rsidRPr="00FB774D">
        <w:rPr>
          <w:rFonts w:cs="Times New Roman"/>
          <w:sz w:val="24"/>
          <w:szCs w:val="24"/>
        </w:rPr>
        <w:t>Neurological</w:t>
      </w:r>
      <w:proofErr w:type="spellEnd"/>
      <w:r w:rsidRPr="00FB774D">
        <w:rPr>
          <w:rFonts w:cs="Times New Roman"/>
          <w:sz w:val="24"/>
          <w:szCs w:val="24"/>
        </w:rPr>
        <w:t xml:space="preserve"> Institute, McGill </w:t>
      </w:r>
      <w:proofErr w:type="spellStart"/>
      <w:r w:rsidRPr="00FB774D">
        <w:rPr>
          <w:rFonts w:cs="Times New Roman"/>
          <w:sz w:val="24"/>
          <w:szCs w:val="24"/>
        </w:rPr>
        <w:t>University</w:t>
      </w:r>
      <w:proofErr w:type="spellEnd"/>
      <w:r w:rsidRPr="00FB774D">
        <w:rPr>
          <w:rFonts w:cs="Times New Roman"/>
          <w:sz w:val="24"/>
          <w:szCs w:val="24"/>
        </w:rPr>
        <w:t xml:space="preserve">, Montréal, Québec, Canada </w:t>
      </w:r>
    </w:p>
    <w:p w:rsidR="005118E2" w:rsidRPr="00FB774D" w:rsidRDefault="005118E2" w:rsidP="000E51EE">
      <w:pPr>
        <w:spacing w:after="0" w:line="240" w:lineRule="auto"/>
        <w:jc w:val="both"/>
        <w:rPr>
          <w:rFonts w:cs="Times New Roman"/>
          <w:sz w:val="24"/>
          <w:szCs w:val="24"/>
        </w:rPr>
      </w:pPr>
      <w:proofErr w:type="gramStart"/>
      <w:r>
        <w:rPr>
          <w:rFonts w:cs="Times New Roman"/>
          <w:sz w:val="24"/>
          <w:szCs w:val="24"/>
          <w:vertAlign w:val="superscript"/>
        </w:rPr>
        <w:t>c</w:t>
      </w:r>
      <w:proofErr w:type="gramEnd"/>
      <w:r w:rsidRPr="00FB774D">
        <w:rPr>
          <w:rFonts w:cs="Times New Roman"/>
          <w:sz w:val="24"/>
          <w:szCs w:val="24"/>
        </w:rPr>
        <w:t xml:space="preserve"> </w:t>
      </w:r>
      <w:r w:rsidRPr="00144D11">
        <w:rPr>
          <w:rFonts w:cs="Times New Roman"/>
          <w:sz w:val="24"/>
          <w:szCs w:val="24"/>
        </w:rPr>
        <w:t>Laboratoire de neurogénétique, Centre de recherche, Institut universitaire en santé mentale de Montréal, Montréal, Québec, Canada</w:t>
      </w:r>
      <w:r w:rsidRPr="00FB774D">
        <w:rPr>
          <w:rFonts w:cs="Times New Roman"/>
          <w:sz w:val="24"/>
          <w:szCs w:val="24"/>
        </w:rPr>
        <w:t xml:space="preserve"> </w:t>
      </w:r>
    </w:p>
    <w:p w:rsidR="005118E2" w:rsidRPr="00FB774D" w:rsidRDefault="005118E2" w:rsidP="000E51EE">
      <w:pPr>
        <w:spacing w:after="0" w:line="240" w:lineRule="auto"/>
        <w:jc w:val="both"/>
        <w:rPr>
          <w:rFonts w:cs="Times New Roman"/>
          <w:sz w:val="24"/>
          <w:szCs w:val="24"/>
        </w:rPr>
      </w:pPr>
      <w:proofErr w:type="gramStart"/>
      <w:r>
        <w:rPr>
          <w:rFonts w:asciiTheme="majorBidi" w:hAnsiTheme="majorBidi" w:cstheme="majorBidi"/>
          <w:iCs/>
          <w:sz w:val="24"/>
          <w:szCs w:val="24"/>
          <w:vertAlign w:val="superscript"/>
        </w:rPr>
        <w:t>d</w:t>
      </w:r>
      <w:proofErr w:type="gramEnd"/>
      <w:r>
        <w:rPr>
          <w:rFonts w:asciiTheme="majorBidi" w:hAnsiTheme="majorBidi" w:cstheme="majorBidi"/>
          <w:iCs/>
          <w:sz w:val="24"/>
          <w:szCs w:val="24"/>
        </w:rPr>
        <w:t xml:space="preserve"> </w:t>
      </w:r>
      <w:r w:rsidRPr="003214EC">
        <w:rPr>
          <w:rFonts w:asciiTheme="majorBidi" w:hAnsiTheme="majorBidi" w:cstheme="majorBidi"/>
          <w:iCs/>
          <w:sz w:val="24"/>
          <w:szCs w:val="24"/>
        </w:rPr>
        <w:t xml:space="preserve">Département de psychiatrie, Université de </w:t>
      </w:r>
      <w:r w:rsidRPr="003214EC">
        <w:rPr>
          <w:rFonts w:asciiTheme="majorBidi" w:hAnsiTheme="majorBidi" w:cstheme="majorBidi"/>
          <w:sz w:val="24"/>
          <w:szCs w:val="24"/>
        </w:rPr>
        <w:t>Montréal</w:t>
      </w:r>
      <w:r w:rsidRPr="003214EC">
        <w:rPr>
          <w:rFonts w:asciiTheme="majorBidi" w:hAnsiTheme="majorBidi" w:cstheme="majorBidi"/>
          <w:iCs/>
          <w:sz w:val="24"/>
          <w:szCs w:val="24"/>
        </w:rPr>
        <w:t xml:space="preserve">, </w:t>
      </w:r>
      <w:r w:rsidRPr="003214EC">
        <w:rPr>
          <w:rFonts w:asciiTheme="majorBidi" w:hAnsiTheme="majorBidi" w:cstheme="majorBidi"/>
          <w:sz w:val="24"/>
          <w:szCs w:val="24"/>
        </w:rPr>
        <w:t>Montréal</w:t>
      </w:r>
      <w:r w:rsidRPr="003214EC">
        <w:rPr>
          <w:rFonts w:asciiTheme="majorBidi" w:hAnsiTheme="majorBidi" w:cstheme="majorBidi"/>
          <w:iCs/>
          <w:sz w:val="24"/>
          <w:szCs w:val="24"/>
        </w:rPr>
        <w:t>, QC, Canada</w:t>
      </w:r>
    </w:p>
    <w:p w:rsidR="005118E2" w:rsidRPr="00144D11" w:rsidRDefault="005118E2" w:rsidP="000E51EE">
      <w:pPr>
        <w:spacing w:after="0" w:line="240" w:lineRule="auto"/>
        <w:jc w:val="both"/>
        <w:rPr>
          <w:rFonts w:cs="Times New Roman"/>
          <w:sz w:val="24"/>
          <w:szCs w:val="24"/>
          <w:lang w:val="en-US"/>
        </w:rPr>
      </w:pPr>
      <w:r>
        <w:rPr>
          <w:rFonts w:cs="Times New Roman"/>
          <w:sz w:val="24"/>
          <w:szCs w:val="24"/>
          <w:vertAlign w:val="superscript"/>
          <w:lang w:val="en-CA"/>
        </w:rPr>
        <w:t>e</w:t>
      </w:r>
      <w:r w:rsidRPr="00144D11">
        <w:rPr>
          <w:rFonts w:cs="Times New Roman"/>
          <w:sz w:val="24"/>
          <w:szCs w:val="24"/>
          <w:lang w:val="en-US"/>
        </w:rPr>
        <w:t xml:space="preserve"> Department of Neurology and Neurosurgery, McGill University, Montréal, Québec, Canada</w:t>
      </w:r>
    </w:p>
    <w:p w:rsidR="005118E2" w:rsidRDefault="005118E2" w:rsidP="000E51EE">
      <w:pPr>
        <w:spacing w:after="0" w:line="240" w:lineRule="auto"/>
        <w:jc w:val="both"/>
        <w:rPr>
          <w:rFonts w:cs="Times New Roman"/>
          <w:sz w:val="24"/>
          <w:szCs w:val="24"/>
          <w:lang w:val="en-US"/>
        </w:rPr>
      </w:pPr>
      <w:r>
        <w:rPr>
          <w:rFonts w:asciiTheme="majorBidi" w:hAnsiTheme="majorBidi" w:cstheme="majorBidi"/>
          <w:sz w:val="24"/>
          <w:szCs w:val="24"/>
          <w:vertAlign w:val="superscript"/>
          <w:lang w:val="en-CA"/>
        </w:rPr>
        <w:t>f</w:t>
      </w:r>
      <w:r w:rsidRPr="00FB774D">
        <w:rPr>
          <w:rFonts w:asciiTheme="majorBidi" w:hAnsiTheme="majorBidi" w:cstheme="majorBidi"/>
          <w:sz w:val="24"/>
          <w:szCs w:val="24"/>
          <w:vertAlign w:val="superscript"/>
          <w:lang w:val="en-CA"/>
        </w:rPr>
        <w:t xml:space="preserve"> </w:t>
      </w:r>
      <w:r w:rsidRPr="00FB774D">
        <w:rPr>
          <w:rFonts w:asciiTheme="majorBidi" w:hAnsiTheme="majorBidi" w:cstheme="majorBidi"/>
          <w:sz w:val="24"/>
          <w:szCs w:val="24"/>
          <w:lang w:val="en-CA"/>
        </w:rPr>
        <w:t xml:space="preserve">Department of Medicine, Faculty of Medicine, </w:t>
      </w:r>
      <w:proofErr w:type="spellStart"/>
      <w:r w:rsidRPr="00FB774D">
        <w:rPr>
          <w:rFonts w:asciiTheme="majorBidi" w:hAnsiTheme="majorBidi" w:cstheme="majorBidi"/>
          <w:sz w:val="24"/>
          <w:szCs w:val="24"/>
          <w:lang w:val="en-CA"/>
        </w:rPr>
        <w:t>Université</w:t>
      </w:r>
      <w:proofErr w:type="spellEnd"/>
      <w:r w:rsidRPr="00FB774D">
        <w:rPr>
          <w:rFonts w:asciiTheme="majorBidi" w:hAnsiTheme="majorBidi" w:cstheme="majorBidi"/>
          <w:sz w:val="24"/>
          <w:szCs w:val="24"/>
          <w:lang w:val="en-CA"/>
        </w:rPr>
        <w:t xml:space="preserve"> de Montréal, Montréal, QC, Canada</w:t>
      </w:r>
    </w:p>
    <w:p w:rsidR="005118E2" w:rsidRPr="00144D11" w:rsidRDefault="005118E2" w:rsidP="000E51EE">
      <w:pPr>
        <w:spacing w:after="0" w:line="240" w:lineRule="auto"/>
        <w:jc w:val="both"/>
        <w:rPr>
          <w:rFonts w:cs="Times New Roman"/>
          <w:sz w:val="24"/>
          <w:szCs w:val="24"/>
          <w:lang w:val="en-US"/>
        </w:rPr>
      </w:pPr>
      <w:r>
        <w:rPr>
          <w:rFonts w:cs="Times New Roman"/>
          <w:sz w:val="24"/>
          <w:szCs w:val="24"/>
          <w:vertAlign w:val="superscript"/>
          <w:lang w:val="en-US"/>
        </w:rPr>
        <w:t>g</w:t>
      </w:r>
      <w:r w:rsidRPr="00144D11">
        <w:rPr>
          <w:rFonts w:cs="Times New Roman"/>
          <w:sz w:val="24"/>
          <w:szCs w:val="24"/>
          <w:lang w:val="en-US"/>
        </w:rPr>
        <w:t xml:space="preserve"> Department of Human Genetics, McGill University, Montréal, Québec, Canada</w:t>
      </w:r>
    </w:p>
    <w:p w:rsidR="005118E2" w:rsidRPr="00FB774D" w:rsidRDefault="005118E2" w:rsidP="000E51EE">
      <w:pPr>
        <w:spacing w:after="0" w:line="240" w:lineRule="auto"/>
        <w:jc w:val="both"/>
        <w:rPr>
          <w:rFonts w:asciiTheme="majorBidi" w:hAnsiTheme="majorBidi" w:cstheme="majorBidi"/>
          <w:sz w:val="24"/>
          <w:szCs w:val="24"/>
          <w:lang w:val="en-CA"/>
        </w:rPr>
      </w:pPr>
      <w:r>
        <w:rPr>
          <w:rFonts w:asciiTheme="majorBidi" w:hAnsiTheme="majorBidi" w:cstheme="majorBidi"/>
          <w:sz w:val="24"/>
          <w:szCs w:val="24"/>
          <w:vertAlign w:val="superscript"/>
          <w:lang w:val="en-CA"/>
        </w:rPr>
        <w:t>h</w:t>
      </w:r>
      <w:r w:rsidRPr="00FB774D">
        <w:rPr>
          <w:rFonts w:asciiTheme="majorBidi" w:hAnsiTheme="majorBidi" w:cstheme="majorBidi"/>
          <w:sz w:val="24"/>
          <w:szCs w:val="24"/>
          <w:lang w:val="en-CA"/>
        </w:rPr>
        <w:t xml:space="preserve"> Department of Neurology, The Johns Hopkins Bayview Medical Center, Baltimore, MD, USA</w:t>
      </w:r>
    </w:p>
    <w:p w:rsidR="005118E2" w:rsidRPr="00FB774D" w:rsidRDefault="005118E2" w:rsidP="000E51EE">
      <w:pPr>
        <w:spacing w:after="0" w:line="240" w:lineRule="auto"/>
        <w:jc w:val="both"/>
        <w:rPr>
          <w:rFonts w:cs="Times New Roman"/>
          <w:sz w:val="24"/>
          <w:szCs w:val="24"/>
          <w:lang w:val="en-CA"/>
        </w:rPr>
      </w:pPr>
      <w:proofErr w:type="spellStart"/>
      <w:r>
        <w:rPr>
          <w:rFonts w:cs="Times New Roman"/>
          <w:sz w:val="24"/>
          <w:szCs w:val="24"/>
          <w:vertAlign w:val="superscript"/>
          <w:lang w:val="en-CA"/>
        </w:rPr>
        <w:t>i</w:t>
      </w:r>
      <w:proofErr w:type="spellEnd"/>
      <w:r w:rsidRPr="00FB774D">
        <w:rPr>
          <w:rFonts w:cs="Times New Roman"/>
          <w:sz w:val="24"/>
          <w:szCs w:val="24"/>
          <w:lang w:val="en-CA"/>
        </w:rPr>
        <w:t xml:space="preserve"> Division of Neurosciences, CHU de Québec - </w:t>
      </w:r>
      <w:proofErr w:type="spellStart"/>
      <w:r w:rsidRPr="00FB774D">
        <w:rPr>
          <w:rFonts w:cs="Times New Roman"/>
          <w:sz w:val="24"/>
          <w:szCs w:val="24"/>
          <w:lang w:val="en-CA"/>
        </w:rPr>
        <w:t>Université</w:t>
      </w:r>
      <w:proofErr w:type="spellEnd"/>
      <w:r w:rsidRPr="00FB774D">
        <w:rPr>
          <w:rFonts w:cs="Times New Roman"/>
          <w:sz w:val="24"/>
          <w:szCs w:val="24"/>
          <w:lang w:val="en-CA"/>
        </w:rPr>
        <w:t xml:space="preserve"> Laval and the Department of Medicine, Faculty of Medicine, Laval University.</w:t>
      </w:r>
    </w:p>
    <w:p w:rsidR="005118E2" w:rsidRDefault="005118E2" w:rsidP="000E51EE">
      <w:pPr>
        <w:spacing w:after="0" w:line="240" w:lineRule="auto"/>
        <w:jc w:val="both"/>
        <w:rPr>
          <w:rFonts w:cs="Times New Roman"/>
          <w:sz w:val="24"/>
          <w:szCs w:val="24"/>
          <w:lang w:val="en-CA"/>
        </w:rPr>
      </w:pPr>
      <w:r>
        <w:rPr>
          <w:rFonts w:cs="Times New Roman"/>
          <w:sz w:val="24"/>
          <w:szCs w:val="24"/>
          <w:vertAlign w:val="superscript"/>
          <w:lang w:val="en-CA"/>
        </w:rPr>
        <w:t>j</w:t>
      </w:r>
      <w:r w:rsidRPr="00FB774D">
        <w:rPr>
          <w:rFonts w:cs="Times New Roman"/>
          <w:sz w:val="24"/>
          <w:szCs w:val="24"/>
          <w:lang w:val="en-CA"/>
        </w:rPr>
        <w:t xml:space="preserve"> National Reference Center for Narcolepsy, Sleep Unit, Department of Neurology, </w:t>
      </w:r>
      <w:proofErr w:type="spellStart"/>
      <w:r w:rsidRPr="00FB774D">
        <w:rPr>
          <w:rFonts w:cs="Times New Roman"/>
          <w:sz w:val="24"/>
          <w:szCs w:val="24"/>
          <w:lang w:val="en-CA"/>
        </w:rPr>
        <w:t>Gui</w:t>
      </w:r>
      <w:proofErr w:type="spellEnd"/>
      <w:r w:rsidRPr="00FB774D">
        <w:rPr>
          <w:rFonts w:cs="Times New Roman"/>
          <w:sz w:val="24"/>
          <w:szCs w:val="24"/>
          <w:lang w:val="en-CA"/>
        </w:rPr>
        <w:t>-de-</w:t>
      </w:r>
      <w:proofErr w:type="spellStart"/>
      <w:r w:rsidRPr="00FB774D">
        <w:rPr>
          <w:rFonts w:cs="Times New Roman"/>
          <w:sz w:val="24"/>
          <w:szCs w:val="24"/>
          <w:lang w:val="en-CA"/>
        </w:rPr>
        <w:t>Chauliac</w:t>
      </w:r>
      <w:proofErr w:type="spellEnd"/>
      <w:r w:rsidRPr="00FB774D">
        <w:rPr>
          <w:rFonts w:cs="Times New Roman"/>
          <w:sz w:val="24"/>
          <w:szCs w:val="24"/>
          <w:lang w:val="en-CA"/>
        </w:rPr>
        <w:t xml:space="preserve"> Hospital, CHU Montpellier, University of Montpellier, </w:t>
      </w:r>
      <w:proofErr w:type="spellStart"/>
      <w:r w:rsidRPr="00FB774D">
        <w:rPr>
          <w:rFonts w:cs="Times New Roman"/>
          <w:sz w:val="24"/>
          <w:szCs w:val="24"/>
          <w:lang w:val="en-CA"/>
        </w:rPr>
        <w:t>Inserm</w:t>
      </w:r>
      <w:proofErr w:type="spellEnd"/>
      <w:r w:rsidRPr="00FB774D">
        <w:rPr>
          <w:rFonts w:cs="Times New Roman"/>
          <w:sz w:val="24"/>
          <w:szCs w:val="24"/>
          <w:lang w:val="en-CA"/>
        </w:rPr>
        <w:t xml:space="preserve"> U1061, Montpellier, France</w:t>
      </w:r>
    </w:p>
    <w:p w:rsidR="005118E2" w:rsidRPr="00FB774D" w:rsidRDefault="005118E2" w:rsidP="000E51EE">
      <w:pPr>
        <w:spacing w:after="0" w:line="240" w:lineRule="auto"/>
        <w:jc w:val="both"/>
        <w:rPr>
          <w:rFonts w:cs="Times New Roman"/>
          <w:sz w:val="24"/>
          <w:szCs w:val="24"/>
          <w:lang w:val="en-CA"/>
        </w:rPr>
      </w:pPr>
    </w:p>
    <w:p w:rsidR="005118E2" w:rsidRDefault="005118E2" w:rsidP="00573067">
      <w:pPr>
        <w:spacing w:after="0" w:line="259" w:lineRule="auto"/>
        <w:jc w:val="left"/>
        <w:rPr>
          <w:rFonts w:eastAsia="Calibri" w:cs="Times New Roman"/>
          <w:b/>
          <w:color w:val="auto"/>
          <w:sz w:val="24"/>
          <w:szCs w:val="24"/>
          <w:lang w:val="en-CA"/>
        </w:rPr>
      </w:pPr>
    </w:p>
    <w:p w:rsidR="005118E2" w:rsidRPr="00573067" w:rsidRDefault="005118E2" w:rsidP="00573067">
      <w:pPr>
        <w:spacing w:after="0" w:line="259" w:lineRule="auto"/>
        <w:jc w:val="left"/>
        <w:rPr>
          <w:rFonts w:eastAsia="Calibri" w:cs="Times New Roman"/>
          <w:b/>
          <w:color w:val="auto"/>
          <w:sz w:val="24"/>
          <w:szCs w:val="24"/>
          <w:lang w:val="en-CA"/>
        </w:rPr>
      </w:pPr>
      <w:r w:rsidRPr="00573067">
        <w:rPr>
          <w:rFonts w:eastAsia="Calibri" w:cs="Times New Roman"/>
          <w:b/>
          <w:color w:val="auto"/>
          <w:sz w:val="24"/>
          <w:szCs w:val="24"/>
          <w:lang w:val="en-CA"/>
        </w:rPr>
        <w:t>* Corresponding Author:</w:t>
      </w:r>
    </w:p>
    <w:p w:rsidR="005118E2" w:rsidRPr="00573067" w:rsidRDefault="005118E2" w:rsidP="00573067">
      <w:pPr>
        <w:spacing w:after="0" w:line="240" w:lineRule="auto"/>
        <w:jc w:val="left"/>
        <w:rPr>
          <w:rFonts w:eastAsia="Calibri" w:cs="Times New Roman"/>
          <w:color w:val="auto"/>
          <w:sz w:val="24"/>
          <w:szCs w:val="24"/>
          <w:lang w:val="en-CA"/>
        </w:rPr>
      </w:pPr>
      <w:r w:rsidRPr="00573067">
        <w:rPr>
          <w:rFonts w:eastAsia="Calibri" w:cs="Times New Roman"/>
          <w:color w:val="auto"/>
          <w:sz w:val="24"/>
          <w:szCs w:val="24"/>
          <w:lang w:val="en-CA"/>
        </w:rPr>
        <w:t>Ziv Gan-Or</w:t>
      </w:r>
    </w:p>
    <w:p w:rsidR="005118E2" w:rsidRPr="00573067" w:rsidRDefault="005118E2" w:rsidP="00573067">
      <w:pPr>
        <w:spacing w:after="0" w:line="240" w:lineRule="auto"/>
        <w:jc w:val="left"/>
        <w:rPr>
          <w:rFonts w:eastAsia="Calibri" w:cs="Times New Roman"/>
          <w:color w:val="auto"/>
          <w:sz w:val="24"/>
          <w:szCs w:val="24"/>
          <w:lang w:val="en-CA"/>
        </w:rPr>
      </w:pPr>
      <w:r w:rsidRPr="00573067">
        <w:rPr>
          <w:rFonts w:eastAsia="Calibri" w:cs="Times New Roman"/>
          <w:color w:val="auto"/>
          <w:sz w:val="24"/>
          <w:szCs w:val="24"/>
          <w:lang w:val="en-CA"/>
        </w:rPr>
        <w:t>Montreal Neurological Institute and hospital,</w:t>
      </w:r>
      <w:r w:rsidRPr="00573067">
        <w:rPr>
          <w:rFonts w:eastAsia="Calibri" w:cs="Times New Roman"/>
          <w:color w:val="auto"/>
          <w:sz w:val="24"/>
          <w:szCs w:val="24"/>
          <w:lang w:val="en-CA"/>
        </w:rPr>
        <w:br/>
        <w:t>The Department of Human Genetics, McGill University</w:t>
      </w:r>
      <w:r w:rsidRPr="00573067">
        <w:rPr>
          <w:rFonts w:eastAsia="Calibri" w:cs="Times New Roman"/>
          <w:color w:val="auto"/>
          <w:sz w:val="24"/>
          <w:szCs w:val="24"/>
          <w:lang w:val="en-CA"/>
        </w:rPr>
        <w:br/>
        <w:t>1033 Pine Avenue West,</w:t>
      </w:r>
      <w:r w:rsidRPr="00573067">
        <w:rPr>
          <w:rFonts w:eastAsia="Calibri" w:cs="Times New Roman"/>
          <w:color w:val="auto"/>
          <w:sz w:val="24"/>
          <w:szCs w:val="24"/>
          <w:lang w:val="en-CA"/>
        </w:rPr>
        <w:br/>
      </w:r>
      <w:proofErr w:type="spellStart"/>
      <w:r w:rsidRPr="00573067">
        <w:rPr>
          <w:rFonts w:eastAsia="Calibri" w:cs="Times New Roman"/>
          <w:color w:val="auto"/>
          <w:sz w:val="24"/>
          <w:szCs w:val="24"/>
          <w:lang w:val="en-CA"/>
        </w:rPr>
        <w:t>Ludmer</w:t>
      </w:r>
      <w:proofErr w:type="spellEnd"/>
      <w:r w:rsidRPr="00573067">
        <w:rPr>
          <w:rFonts w:eastAsia="Calibri" w:cs="Times New Roman"/>
          <w:color w:val="auto"/>
          <w:sz w:val="24"/>
          <w:szCs w:val="24"/>
          <w:lang w:val="en-CA"/>
        </w:rPr>
        <w:t xml:space="preserve"> Pavilion, room </w:t>
      </w:r>
      <w:r>
        <w:rPr>
          <w:rFonts w:eastAsia="Calibri" w:cs="Times New Roman"/>
          <w:color w:val="auto"/>
          <w:sz w:val="24"/>
          <w:szCs w:val="24"/>
          <w:lang w:val="en-CA"/>
        </w:rPr>
        <w:t>312</w:t>
      </w:r>
      <w:r w:rsidRPr="00573067">
        <w:rPr>
          <w:rFonts w:eastAsia="Calibri" w:cs="Times New Roman"/>
          <w:color w:val="auto"/>
          <w:sz w:val="24"/>
          <w:szCs w:val="24"/>
          <w:lang w:val="en-CA"/>
        </w:rPr>
        <w:br/>
        <w:t xml:space="preserve">Montreal, </w:t>
      </w:r>
      <w:r>
        <w:rPr>
          <w:rFonts w:eastAsia="Calibri" w:cs="Times New Roman"/>
          <w:color w:val="auto"/>
          <w:sz w:val="24"/>
          <w:szCs w:val="24"/>
          <w:lang w:val="en-CA"/>
        </w:rPr>
        <w:t>QC, H3A 1A1</w:t>
      </w:r>
      <w:r>
        <w:rPr>
          <w:rFonts w:eastAsia="Calibri" w:cs="Times New Roman"/>
          <w:color w:val="auto"/>
          <w:sz w:val="24"/>
          <w:szCs w:val="24"/>
          <w:lang w:val="en-CA"/>
        </w:rPr>
        <w:br/>
        <w:t>Tel: +1-514-398-5845</w:t>
      </w:r>
      <w:r w:rsidRPr="00573067">
        <w:rPr>
          <w:rFonts w:eastAsia="Calibri" w:cs="Times New Roman"/>
          <w:color w:val="auto"/>
          <w:sz w:val="24"/>
          <w:szCs w:val="24"/>
          <w:lang w:val="en-CA"/>
        </w:rPr>
        <w:br/>
        <w:t>Fax:</w:t>
      </w:r>
      <w:r w:rsidRPr="00573067">
        <w:rPr>
          <w:rFonts w:eastAsia="Calibri" w:cs="Times New Roman"/>
          <w:color w:val="auto"/>
          <w:sz w:val="22"/>
          <w:lang w:val="en-CA"/>
        </w:rPr>
        <w:t xml:space="preserve"> </w:t>
      </w:r>
      <w:r w:rsidRPr="00573067">
        <w:rPr>
          <w:rFonts w:eastAsia="Calibri" w:cs="Times New Roman"/>
          <w:color w:val="auto"/>
          <w:sz w:val="24"/>
          <w:szCs w:val="24"/>
          <w:lang w:val="en-CA"/>
        </w:rPr>
        <w:t>+1-514 398-8248</w:t>
      </w:r>
      <w:r w:rsidRPr="00573067">
        <w:rPr>
          <w:rFonts w:eastAsia="Calibri" w:cs="Times New Roman"/>
          <w:color w:val="auto"/>
          <w:sz w:val="24"/>
          <w:szCs w:val="24"/>
          <w:lang w:val="en-CA"/>
        </w:rPr>
        <w:br/>
        <w:t xml:space="preserve">e-mail: </w:t>
      </w:r>
      <w:r w:rsidRPr="00B66727">
        <w:rPr>
          <w:rFonts w:eastAsia="Calibri" w:cs="Times New Roman"/>
          <w:sz w:val="24"/>
          <w:szCs w:val="24"/>
          <w:lang w:val="en-CA"/>
        </w:rPr>
        <w:t>ziv.gan-or@mcgill.ca</w:t>
      </w:r>
    </w:p>
    <w:p w:rsidR="005118E2" w:rsidRPr="00FB774D" w:rsidRDefault="005118E2">
      <w:pPr>
        <w:spacing w:after="0" w:line="240" w:lineRule="auto"/>
        <w:jc w:val="left"/>
        <w:rPr>
          <w:rFonts w:eastAsiaTheme="majorEastAsia" w:cs="Times New Roman"/>
          <w:b/>
          <w:color w:val="auto"/>
          <w:sz w:val="24"/>
          <w:szCs w:val="24"/>
          <w:lang w:val="en-CA"/>
        </w:rPr>
      </w:pPr>
    </w:p>
    <w:p w:rsidR="005118E2" w:rsidRPr="000E51EE" w:rsidRDefault="005118E2" w:rsidP="000E51EE">
      <w:pPr>
        <w:jc w:val="both"/>
        <w:rPr>
          <w:rFonts w:cs="Times New Roman"/>
          <w:sz w:val="24"/>
          <w:szCs w:val="24"/>
          <w:lang w:val="en-US"/>
        </w:rPr>
      </w:pPr>
      <w:r>
        <w:rPr>
          <w:rFonts w:cs="Times New Roman"/>
          <w:b/>
          <w:bCs/>
          <w:sz w:val="24"/>
          <w:szCs w:val="24"/>
          <w:lang w:val="en-US"/>
        </w:rPr>
        <w:br w:type="page"/>
      </w:r>
    </w:p>
    <w:p w:rsidR="005118E2" w:rsidRDefault="005118E2" w:rsidP="00EA7E59">
      <w:pPr>
        <w:jc w:val="both"/>
        <w:rPr>
          <w:rFonts w:cs="Times New Roman"/>
          <w:b/>
          <w:bCs/>
          <w:sz w:val="24"/>
          <w:szCs w:val="24"/>
          <w:lang w:val="en-US"/>
        </w:rPr>
      </w:pPr>
      <w:r w:rsidRPr="00A755B5">
        <w:rPr>
          <w:rFonts w:cs="Times New Roman"/>
          <w:b/>
          <w:bCs/>
          <w:sz w:val="24"/>
          <w:szCs w:val="24"/>
          <w:lang w:val="en-US"/>
        </w:rPr>
        <w:lastRenderedPageBreak/>
        <w:t>Abstract</w:t>
      </w:r>
    </w:p>
    <w:p w:rsidR="005118E2" w:rsidRPr="00144D11" w:rsidRDefault="005118E2" w:rsidP="00EA7E59">
      <w:pPr>
        <w:jc w:val="both"/>
        <w:rPr>
          <w:rFonts w:cs="Times New Roman"/>
          <w:b/>
          <w:sz w:val="24"/>
          <w:szCs w:val="24"/>
          <w:lang w:val="en-US"/>
        </w:rPr>
      </w:pPr>
      <w:r w:rsidRPr="00573067">
        <w:rPr>
          <w:rFonts w:cs="Times New Roman"/>
          <w:b/>
          <w:bCs/>
          <w:sz w:val="24"/>
          <w:szCs w:val="24"/>
          <w:lang w:val="en-US"/>
        </w:rPr>
        <w:t>Introduction:</w:t>
      </w:r>
      <w:r w:rsidRPr="00144D11">
        <w:rPr>
          <w:rFonts w:cs="Times New Roman"/>
          <w:sz w:val="24"/>
          <w:szCs w:val="24"/>
          <w:lang w:val="en-US"/>
        </w:rPr>
        <w:t xml:space="preserve"> </w:t>
      </w:r>
      <w:bookmarkStart w:id="1" w:name="_Hlk503149680"/>
      <w:r w:rsidRPr="00144D11">
        <w:rPr>
          <w:rFonts w:cs="Times New Roman"/>
          <w:sz w:val="24"/>
          <w:szCs w:val="24"/>
          <w:lang w:val="en-US"/>
        </w:rPr>
        <w:t xml:space="preserve">Parkinson </w:t>
      </w:r>
      <w:r>
        <w:rPr>
          <w:rFonts w:cs="Times New Roman"/>
          <w:sz w:val="24"/>
          <w:szCs w:val="24"/>
          <w:lang w:val="en-US"/>
        </w:rPr>
        <w:t>d</w:t>
      </w:r>
      <w:r w:rsidRPr="00144D11">
        <w:rPr>
          <w:rFonts w:cs="Times New Roman"/>
          <w:sz w:val="24"/>
          <w:szCs w:val="24"/>
          <w:lang w:val="en-US"/>
        </w:rPr>
        <w:t xml:space="preserve">isease (PD) and </w:t>
      </w:r>
      <w:r>
        <w:rPr>
          <w:rFonts w:cs="Times New Roman"/>
          <w:sz w:val="24"/>
          <w:szCs w:val="24"/>
          <w:lang w:val="en-US"/>
        </w:rPr>
        <w:t>r</w:t>
      </w:r>
      <w:r w:rsidRPr="00144D11">
        <w:rPr>
          <w:rFonts w:cs="Times New Roman"/>
          <w:sz w:val="24"/>
          <w:szCs w:val="24"/>
          <w:lang w:val="en-US"/>
        </w:rPr>
        <w:t xml:space="preserve">estless </w:t>
      </w:r>
      <w:r>
        <w:rPr>
          <w:rFonts w:cs="Times New Roman"/>
          <w:sz w:val="24"/>
          <w:szCs w:val="24"/>
          <w:lang w:val="en-US"/>
        </w:rPr>
        <w:t>l</w:t>
      </w:r>
      <w:r w:rsidRPr="00144D11">
        <w:rPr>
          <w:rFonts w:cs="Times New Roman"/>
          <w:sz w:val="24"/>
          <w:szCs w:val="24"/>
          <w:lang w:val="en-US"/>
        </w:rPr>
        <w:t xml:space="preserve">egs </w:t>
      </w:r>
      <w:r>
        <w:rPr>
          <w:rFonts w:cs="Times New Roman"/>
          <w:sz w:val="24"/>
          <w:szCs w:val="24"/>
          <w:lang w:val="en-US"/>
        </w:rPr>
        <w:t>s</w:t>
      </w:r>
      <w:r w:rsidRPr="00144D11">
        <w:rPr>
          <w:rFonts w:cs="Times New Roman"/>
          <w:sz w:val="24"/>
          <w:szCs w:val="24"/>
          <w:lang w:val="en-US"/>
        </w:rPr>
        <w:t>yndrome (RLS) may be clinically and/or etiologically related</w:t>
      </w:r>
      <w:r w:rsidR="001C35F7">
        <w:rPr>
          <w:rFonts w:cs="Times New Roman"/>
          <w:sz w:val="24"/>
          <w:szCs w:val="24"/>
          <w:lang w:val="en-US"/>
        </w:rPr>
        <w:t>, yet this association is under debate</w:t>
      </w:r>
      <w:bookmarkEnd w:id="1"/>
      <w:r w:rsidRPr="00144D11">
        <w:rPr>
          <w:rFonts w:cs="Times New Roman"/>
          <w:sz w:val="24"/>
          <w:szCs w:val="24"/>
          <w:lang w:val="en-US"/>
        </w:rPr>
        <w:t xml:space="preserve">. </w:t>
      </w:r>
      <w:r>
        <w:rPr>
          <w:rFonts w:cs="Times New Roman"/>
          <w:sz w:val="24"/>
          <w:szCs w:val="24"/>
          <w:lang w:val="en-US"/>
        </w:rPr>
        <w:t xml:space="preserve">Single nucleotide polymorphisms (SNPs) in the </w:t>
      </w:r>
      <w:r>
        <w:rPr>
          <w:rFonts w:cs="Times New Roman"/>
          <w:i/>
          <w:iCs/>
          <w:sz w:val="24"/>
          <w:szCs w:val="24"/>
          <w:lang w:val="en-US"/>
        </w:rPr>
        <w:t xml:space="preserve">TOX3 </w:t>
      </w:r>
      <w:r>
        <w:rPr>
          <w:rFonts w:cs="Times New Roman"/>
          <w:sz w:val="24"/>
          <w:szCs w:val="24"/>
          <w:lang w:val="en-US"/>
        </w:rPr>
        <w:t xml:space="preserve">gene locus were implicated in both RLS and PD genome-wide association studies (GWAS), suggesting a potential pleiotropy. </w:t>
      </w:r>
    </w:p>
    <w:p w:rsidR="005118E2" w:rsidRPr="00144D11" w:rsidRDefault="005118E2" w:rsidP="0055592C">
      <w:pPr>
        <w:jc w:val="both"/>
        <w:rPr>
          <w:rFonts w:cs="Times New Roman"/>
          <w:sz w:val="24"/>
          <w:szCs w:val="24"/>
          <w:lang w:val="en-US"/>
        </w:rPr>
      </w:pPr>
      <w:r w:rsidRPr="00CA1DB9">
        <w:rPr>
          <w:rFonts w:cs="Times New Roman"/>
          <w:b/>
          <w:bCs/>
          <w:sz w:val="24"/>
          <w:szCs w:val="24"/>
          <w:lang w:val="en-US"/>
        </w:rPr>
        <w:t>Methods:</w:t>
      </w:r>
      <w:r w:rsidRPr="00144D11">
        <w:rPr>
          <w:rFonts w:cs="Times New Roman"/>
          <w:sz w:val="24"/>
          <w:szCs w:val="24"/>
          <w:lang w:val="en-US"/>
        </w:rPr>
        <w:t xml:space="preserve"> Two case-control cohorts including 644 PD patients, 457 RLS patients and 945 controls were genotyped for one known RLS-related SNP </w:t>
      </w:r>
      <w:r>
        <w:rPr>
          <w:rFonts w:cs="Times New Roman"/>
          <w:sz w:val="24"/>
          <w:szCs w:val="24"/>
          <w:lang w:val="en-US"/>
        </w:rPr>
        <w:t>(</w:t>
      </w:r>
      <w:r w:rsidRPr="00144D11">
        <w:rPr>
          <w:rFonts w:eastAsia="Times New Roman" w:cs="Times New Roman"/>
          <w:color w:val="000000"/>
          <w:sz w:val="24"/>
          <w:szCs w:val="24"/>
          <w:shd w:val="clear" w:color="auto" w:fill="FFFFFF"/>
          <w:lang w:val="en-US"/>
        </w:rPr>
        <w:t>rs3104767</w:t>
      </w:r>
      <w:r>
        <w:rPr>
          <w:rFonts w:cs="Times New Roman"/>
          <w:sz w:val="24"/>
          <w:szCs w:val="24"/>
          <w:lang w:val="en-US"/>
        </w:rPr>
        <w:t xml:space="preserve">) </w:t>
      </w:r>
      <w:r w:rsidRPr="00144D11">
        <w:rPr>
          <w:rFonts w:cs="Times New Roman"/>
          <w:sz w:val="24"/>
          <w:szCs w:val="24"/>
          <w:lang w:val="en-US"/>
        </w:rPr>
        <w:t xml:space="preserve">and </w:t>
      </w:r>
      <w:r>
        <w:rPr>
          <w:rFonts w:cs="Times New Roman"/>
          <w:sz w:val="24"/>
          <w:szCs w:val="24"/>
          <w:lang w:val="en-US"/>
        </w:rPr>
        <w:t>one</w:t>
      </w:r>
      <w:r w:rsidRPr="00144D11">
        <w:rPr>
          <w:rFonts w:cs="Times New Roman"/>
          <w:sz w:val="24"/>
          <w:szCs w:val="24"/>
          <w:lang w:val="en-US"/>
        </w:rPr>
        <w:t xml:space="preserve"> PD-related SNP </w:t>
      </w:r>
      <w:r>
        <w:rPr>
          <w:rFonts w:cs="Times New Roman"/>
          <w:sz w:val="24"/>
          <w:szCs w:val="24"/>
          <w:lang w:val="en-US"/>
        </w:rPr>
        <w:t>(</w:t>
      </w:r>
      <w:r w:rsidRPr="00144D11">
        <w:rPr>
          <w:rFonts w:eastAsia="Times New Roman" w:cs="Times New Roman"/>
          <w:sz w:val="24"/>
          <w:szCs w:val="24"/>
          <w:shd w:val="clear" w:color="auto" w:fill="FFFFFF"/>
          <w:lang w:val="en-US"/>
        </w:rPr>
        <w:t>rs4784226</w:t>
      </w:r>
      <w:r>
        <w:rPr>
          <w:rFonts w:cs="Times New Roman"/>
          <w:sz w:val="24"/>
          <w:szCs w:val="24"/>
          <w:lang w:val="en-US"/>
        </w:rPr>
        <w:t xml:space="preserve">) </w:t>
      </w:r>
      <w:r w:rsidRPr="00144D11">
        <w:rPr>
          <w:rFonts w:cs="Times New Roman"/>
          <w:sz w:val="24"/>
          <w:szCs w:val="24"/>
          <w:lang w:val="en-US"/>
        </w:rPr>
        <w:t>in</w:t>
      </w:r>
      <w:r>
        <w:rPr>
          <w:rFonts w:cs="Times New Roman"/>
          <w:sz w:val="24"/>
          <w:szCs w:val="24"/>
          <w:lang w:val="en-US"/>
        </w:rPr>
        <w:t xml:space="preserve"> the</w:t>
      </w:r>
      <w:r w:rsidRPr="00144D11">
        <w:rPr>
          <w:rFonts w:cs="Times New Roman"/>
          <w:sz w:val="24"/>
          <w:szCs w:val="24"/>
          <w:lang w:val="en-US"/>
        </w:rPr>
        <w:t xml:space="preserve"> </w:t>
      </w:r>
      <w:r w:rsidRPr="00144D11">
        <w:rPr>
          <w:rFonts w:cs="Times New Roman"/>
          <w:i/>
          <w:sz w:val="24"/>
          <w:szCs w:val="24"/>
          <w:lang w:val="en-US"/>
        </w:rPr>
        <w:t>TOX</w:t>
      </w:r>
      <w:r>
        <w:rPr>
          <w:rFonts w:cs="Times New Roman"/>
          <w:sz w:val="24"/>
          <w:szCs w:val="24"/>
          <w:lang w:val="en-US"/>
        </w:rPr>
        <w:t>3 locus</w:t>
      </w:r>
      <w:r w:rsidRPr="00144D11">
        <w:rPr>
          <w:rFonts w:cs="Times New Roman"/>
          <w:sz w:val="24"/>
          <w:szCs w:val="24"/>
          <w:lang w:val="en-US"/>
        </w:rPr>
        <w:t>. The association</w:t>
      </w:r>
      <w:r>
        <w:rPr>
          <w:rFonts w:cs="Times New Roman"/>
          <w:sz w:val="24"/>
          <w:szCs w:val="24"/>
          <w:lang w:val="en-US"/>
        </w:rPr>
        <w:t xml:space="preserve">s between genotype and </w:t>
      </w:r>
      <w:r w:rsidRPr="00144D11">
        <w:rPr>
          <w:rFonts w:cs="Times New Roman"/>
          <w:sz w:val="24"/>
          <w:szCs w:val="24"/>
          <w:lang w:val="en-US"/>
        </w:rPr>
        <w:t xml:space="preserve">PD and RLS risk </w:t>
      </w:r>
      <w:r>
        <w:rPr>
          <w:rFonts w:cs="Times New Roman"/>
          <w:sz w:val="24"/>
          <w:szCs w:val="24"/>
          <w:lang w:val="en-US"/>
        </w:rPr>
        <w:t>were</w:t>
      </w:r>
      <w:r w:rsidRPr="00144D11">
        <w:rPr>
          <w:rFonts w:cs="Times New Roman"/>
          <w:sz w:val="24"/>
          <w:szCs w:val="24"/>
          <w:lang w:val="en-US"/>
        </w:rPr>
        <w:t xml:space="preserve"> tested using multivariate regression models.</w:t>
      </w:r>
    </w:p>
    <w:p w:rsidR="005118E2" w:rsidRPr="00CA31DC" w:rsidRDefault="005118E2" w:rsidP="00AC269E">
      <w:pPr>
        <w:jc w:val="both"/>
        <w:rPr>
          <w:rFonts w:cs="Times New Roman"/>
          <w:bCs/>
          <w:sz w:val="24"/>
          <w:szCs w:val="24"/>
          <w:lang w:val="en-US"/>
        </w:rPr>
      </w:pPr>
      <w:r w:rsidRPr="00FB0768">
        <w:rPr>
          <w:rFonts w:cs="Times New Roman"/>
          <w:b/>
          <w:bCs/>
          <w:sz w:val="24"/>
          <w:szCs w:val="24"/>
          <w:lang w:val="en-US"/>
        </w:rPr>
        <w:t>Results:</w:t>
      </w:r>
      <w:r>
        <w:rPr>
          <w:rFonts w:cs="Times New Roman"/>
          <w:b/>
          <w:bCs/>
          <w:sz w:val="24"/>
          <w:szCs w:val="24"/>
          <w:lang w:val="en-US"/>
        </w:rPr>
        <w:t xml:space="preserve"> </w:t>
      </w:r>
      <w:r>
        <w:rPr>
          <w:rFonts w:cs="Times New Roman"/>
          <w:bCs/>
          <w:sz w:val="24"/>
          <w:szCs w:val="24"/>
          <w:lang w:val="en-US"/>
        </w:rPr>
        <w:t xml:space="preserve">The allele frequencies of RLS-related SNP </w:t>
      </w:r>
      <w:r w:rsidRPr="009F0D5A">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in RLS patients and controls were 0.35 and 0.43, respectively (OR 0.70, </w:t>
      </w:r>
      <w:r>
        <w:rPr>
          <w:rFonts w:eastAsia="Times New Roman" w:cs="Times New Roman"/>
          <w:i/>
          <w:iCs/>
          <w:color w:val="000000"/>
          <w:sz w:val="24"/>
          <w:szCs w:val="24"/>
          <w:shd w:val="clear" w:color="auto" w:fill="FFFFFF"/>
          <w:lang w:val="en-US"/>
        </w:rPr>
        <w:t>p</w:t>
      </w:r>
      <w:r w:rsidRPr="00C15671">
        <w:rPr>
          <w:rFonts w:eastAsia="Times New Roman" w:cs="Times New Roman"/>
          <w:color w:val="000000"/>
          <w:sz w:val="24"/>
          <w:szCs w:val="24"/>
          <w:shd w:val="clear" w:color="auto" w:fill="FFFFFF"/>
          <w:lang w:val="en-US"/>
        </w:rPr>
        <w:t>=0.0007</w:t>
      </w:r>
      <w:r>
        <w:rPr>
          <w:rFonts w:eastAsia="Times New Roman" w:cs="Times New Roman"/>
          <w:color w:val="000000"/>
          <w:sz w:val="24"/>
          <w:szCs w:val="24"/>
          <w:shd w:val="clear" w:color="auto" w:fill="FFFFFF"/>
          <w:lang w:val="en-US"/>
        </w:rPr>
        <w:t>). R</w:t>
      </w:r>
      <w:r>
        <w:rPr>
          <w:rFonts w:cs="Times New Roman"/>
          <w:bCs/>
          <w:sz w:val="24"/>
          <w:szCs w:val="24"/>
          <w:lang w:val="en-US"/>
        </w:rPr>
        <w:t xml:space="preserve">egression model </w:t>
      </w:r>
      <w:r>
        <w:rPr>
          <w:rFonts w:eastAsia="Times New Roman" w:cs="Times New Roman"/>
          <w:color w:val="000000"/>
          <w:sz w:val="24"/>
          <w:szCs w:val="24"/>
          <w:shd w:val="clear" w:color="auto" w:fill="FFFFFF"/>
          <w:lang w:val="en-US"/>
        </w:rPr>
        <w:t xml:space="preserve">suggested that this association is derived by homozygous carriage of </w:t>
      </w:r>
      <w:r w:rsidRPr="009F0D5A">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(adjusted </w:t>
      </w:r>
      <w:r>
        <w:rPr>
          <w:rFonts w:eastAsia="Times New Roman" w:cs="Times New Roman"/>
          <w:i/>
          <w:iCs/>
          <w:color w:val="000000"/>
          <w:sz w:val="24"/>
          <w:szCs w:val="24"/>
          <w:shd w:val="clear" w:color="auto" w:fill="FFFFFF"/>
          <w:lang w:val="en-US"/>
        </w:rPr>
        <w:t>p</w:t>
      </w:r>
      <w:r>
        <w:rPr>
          <w:rFonts w:eastAsia="Times New Roman" w:cs="Times New Roman"/>
          <w:color w:val="000000"/>
          <w:sz w:val="24"/>
          <w:szCs w:val="24"/>
          <w:shd w:val="clear" w:color="auto" w:fill="FFFFFF"/>
          <w:lang w:val="en-US"/>
        </w:rPr>
        <w:t xml:space="preserve">=0.008). A nominal association was observed for homozygous carriers of the </w:t>
      </w:r>
      <w:r w:rsidRPr="009F0D5A">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SNP in PD (OR 1.62, 95% CI 1.05-2.54, </w:t>
      </w:r>
      <w:r>
        <w:rPr>
          <w:rFonts w:eastAsia="Times New Roman" w:cs="Times New Roman"/>
          <w:i/>
          <w:iCs/>
          <w:color w:val="000000"/>
          <w:sz w:val="24"/>
          <w:szCs w:val="24"/>
          <w:shd w:val="clear" w:color="auto" w:fill="FFFFFF"/>
          <w:lang w:val="en-US"/>
        </w:rPr>
        <w:t>p</w:t>
      </w:r>
      <w:r>
        <w:rPr>
          <w:rFonts w:eastAsia="Times New Roman" w:cs="Times New Roman"/>
          <w:color w:val="000000"/>
          <w:sz w:val="24"/>
          <w:szCs w:val="24"/>
          <w:shd w:val="clear" w:color="auto" w:fill="FFFFFF"/>
          <w:lang w:val="en-US"/>
        </w:rPr>
        <w:t xml:space="preserve">=0.034), i.e. with an opposite direction of effect on RLS and PD, but this was not significant after Bonferroni correction. However, data from published GWASs of RLS and PD, and from the </w:t>
      </w:r>
      <w:proofErr w:type="spellStart"/>
      <w:r>
        <w:rPr>
          <w:rFonts w:eastAsia="Times New Roman" w:cs="Times New Roman"/>
          <w:color w:val="000000"/>
          <w:sz w:val="24"/>
          <w:szCs w:val="24"/>
          <w:shd w:val="clear" w:color="auto" w:fill="FFFFFF"/>
          <w:lang w:val="en-US"/>
        </w:rPr>
        <w:t>PDgene</w:t>
      </w:r>
      <w:proofErr w:type="spellEnd"/>
      <w:r>
        <w:rPr>
          <w:rFonts w:eastAsia="Times New Roman" w:cs="Times New Roman"/>
          <w:color w:val="000000"/>
          <w:sz w:val="24"/>
          <w:szCs w:val="24"/>
          <w:shd w:val="clear" w:color="auto" w:fill="FFFFFF"/>
          <w:lang w:val="en-US"/>
        </w:rPr>
        <w:t xml:space="preserve"> database, further supported these inverse associations. </w:t>
      </w:r>
    </w:p>
    <w:p w:rsidR="005118E2" w:rsidRDefault="005118E2" w:rsidP="0055592C">
      <w:pPr>
        <w:jc w:val="both"/>
        <w:rPr>
          <w:rFonts w:cs="Times New Roman"/>
          <w:sz w:val="24"/>
          <w:szCs w:val="24"/>
          <w:lang w:val="en-US"/>
        </w:rPr>
      </w:pPr>
      <w:r w:rsidRPr="00FB0768">
        <w:rPr>
          <w:rFonts w:cs="Times New Roman"/>
          <w:b/>
          <w:bCs/>
          <w:sz w:val="24"/>
          <w:szCs w:val="24"/>
          <w:lang w:val="en-US"/>
        </w:rPr>
        <w:t>Conclusion</w:t>
      </w:r>
      <w:r>
        <w:rPr>
          <w:rFonts w:cs="Times New Roman"/>
          <w:b/>
          <w:bCs/>
          <w:sz w:val="24"/>
          <w:szCs w:val="24"/>
          <w:lang w:val="en-US"/>
        </w:rPr>
        <w:t>s</w:t>
      </w:r>
      <w:r w:rsidRPr="00FB0768">
        <w:rPr>
          <w:rFonts w:cs="Times New Roman"/>
          <w:b/>
          <w:bCs/>
          <w:sz w:val="24"/>
          <w:szCs w:val="24"/>
          <w:lang w:val="en-US"/>
        </w:rPr>
        <w:t>:</w:t>
      </w:r>
      <w:r>
        <w:rPr>
          <w:rFonts w:cs="Times New Roman"/>
          <w:sz w:val="24"/>
          <w:szCs w:val="24"/>
          <w:lang w:val="en-US"/>
        </w:rPr>
        <w:t xml:space="preserve"> Our results confirm the association between the </w:t>
      </w:r>
      <w:r w:rsidRPr="00FB0768">
        <w:rPr>
          <w:rFonts w:cs="Times New Roman"/>
          <w:i/>
          <w:iCs/>
          <w:sz w:val="24"/>
          <w:szCs w:val="24"/>
          <w:lang w:val="en-US"/>
        </w:rPr>
        <w:t>TOX3</w:t>
      </w:r>
      <w:r>
        <w:rPr>
          <w:rFonts w:cs="Times New Roman"/>
          <w:sz w:val="24"/>
          <w:szCs w:val="24"/>
          <w:lang w:val="en-US"/>
        </w:rPr>
        <w:t xml:space="preserve"> SNP </w:t>
      </w:r>
      <w:r w:rsidRPr="00144D11">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w:t>
      </w:r>
      <w:r>
        <w:rPr>
          <w:rFonts w:cs="Times New Roman"/>
          <w:sz w:val="24"/>
          <w:szCs w:val="24"/>
          <w:lang w:val="en-US"/>
        </w:rPr>
        <w:t xml:space="preserve">and </w:t>
      </w:r>
      <w:r w:rsidRPr="00144D11">
        <w:rPr>
          <w:rFonts w:cs="Times New Roman"/>
          <w:sz w:val="24"/>
          <w:szCs w:val="24"/>
          <w:lang w:val="en-US"/>
        </w:rPr>
        <w:t>RLS</w:t>
      </w:r>
      <w:r>
        <w:rPr>
          <w:rFonts w:cs="Times New Roman"/>
          <w:sz w:val="24"/>
          <w:szCs w:val="24"/>
          <w:lang w:val="en-US"/>
        </w:rPr>
        <w:t xml:space="preserve">, and suggest that </w:t>
      </w:r>
      <w:r>
        <w:rPr>
          <w:rFonts w:cs="Times New Roman"/>
          <w:i/>
          <w:iCs/>
          <w:sz w:val="24"/>
          <w:szCs w:val="24"/>
          <w:lang w:val="en-US"/>
        </w:rPr>
        <w:t xml:space="preserve">TOX3 </w:t>
      </w:r>
      <w:r>
        <w:rPr>
          <w:rFonts w:cs="Times New Roman"/>
          <w:sz w:val="24"/>
          <w:szCs w:val="24"/>
          <w:lang w:val="en-US"/>
        </w:rPr>
        <w:t xml:space="preserve">variants are involved in both RLS and PD, but with different, or even opposite effects. Studies in larger populations of different ethnicities are required to further refine the </w:t>
      </w:r>
      <w:r w:rsidRPr="00FB0768">
        <w:rPr>
          <w:rFonts w:cs="Times New Roman"/>
          <w:i/>
          <w:iCs/>
          <w:sz w:val="24"/>
          <w:szCs w:val="24"/>
          <w:lang w:val="en-US"/>
        </w:rPr>
        <w:t>TOX3</w:t>
      </w:r>
      <w:r>
        <w:rPr>
          <w:rFonts w:cs="Times New Roman"/>
          <w:sz w:val="24"/>
          <w:szCs w:val="24"/>
          <w:lang w:val="en-US"/>
        </w:rPr>
        <w:t xml:space="preserve"> locus is involved in RLS and PD. </w:t>
      </w:r>
    </w:p>
    <w:p w:rsidR="005118E2" w:rsidRDefault="005118E2">
      <w:pPr>
        <w:spacing w:after="0" w:line="240" w:lineRule="auto"/>
        <w:jc w:val="left"/>
        <w:rPr>
          <w:rFonts w:cs="Times New Roman"/>
          <w:b/>
          <w:bCs/>
          <w:sz w:val="24"/>
          <w:szCs w:val="24"/>
          <w:lang w:val="en-US"/>
        </w:rPr>
      </w:pPr>
      <w:r>
        <w:rPr>
          <w:rFonts w:cs="Times New Roman"/>
          <w:b/>
          <w:bCs/>
          <w:sz w:val="24"/>
          <w:szCs w:val="24"/>
          <w:lang w:val="en-US"/>
        </w:rPr>
        <w:t xml:space="preserve">Keywords: </w:t>
      </w:r>
      <w:r>
        <w:rPr>
          <w:rFonts w:cs="Times New Roman"/>
          <w:sz w:val="24"/>
          <w:szCs w:val="24"/>
          <w:lang w:val="en-US"/>
        </w:rPr>
        <w:t>Restless legs syndrome; Parkinson’s disease; Genetics; TOX3</w:t>
      </w:r>
      <w:r>
        <w:rPr>
          <w:rFonts w:cs="Times New Roman"/>
          <w:b/>
          <w:bCs/>
          <w:sz w:val="24"/>
          <w:szCs w:val="24"/>
          <w:lang w:val="en-US"/>
        </w:rPr>
        <w:br w:type="page"/>
      </w:r>
    </w:p>
    <w:p w:rsidR="005118E2" w:rsidRPr="00EF70F1" w:rsidRDefault="005118E2" w:rsidP="00EF70F1">
      <w:pPr>
        <w:spacing w:before="240"/>
        <w:jc w:val="both"/>
        <w:rPr>
          <w:rFonts w:cs="Times New Roman"/>
          <w:b/>
          <w:bCs/>
          <w:sz w:val="24"/>
          <w:szCs w:val="24"/>
          <w:lang w:val="en-US"/>
        </w:rPr>
      </w:pPr>
      <w:r w:rsidRPr="00EF70F1">
        <w:rPr>
          <w:rFonts w:cs="Times New Roman"/>
          <w:b/>
          <w:bCs/>
          <w:sz w:val="24"/>
          <w:szCs w:val="24"/>
          <w:lang w:val="en-US"/>
        </w:rPr>
        <w:lastRenderedPageBreak/>
        <w:t>Introduction</w:t>
      </w:r>
    </w:p>
    <w:p w:rsidR="005118E2" w:rsidRPr="00144D11" w:rsidRDefault="005118E2" w:rsidP="00AB0917">
      <w:pPr>
        <w:spacing w:before="240"/>
        <w:jc w:val="both"/>
        <w:rPr>
          <w:rFonts w:cs="Times New Roman"/>
          <w:color w:val="FF0000"/>
          <w:sz w:val="24"/>
          <w:szCs w:val="24"/>
          <w:lang w:val="en-US"/>
        </w:rPr>
      </w:pPr>
      <w:r w:rsidRPr="00144D11">
        <w:rPr>
          <w:rFonts w:cs="Times New Roman"/>
          <w:sz w:val="24"/>
          <w:szCs w:val="24"/>
          <w:lang w:val="en-US"/>
        </w:rPr>
        <w:t xml:space="preserve">Parkinson disease (PD) and </w:t>
      </w:r>
      <w:r>
        <w:rPr>
          <w:rFonts w:cs="Times New Roman"/>
          <w:sz w:val="24"/>
          <w:szCs w:val="24"/>
          <w:lang w:val="en-US"/>
        </w:rPr>
        <w:t>r</w:t>
      </w:r>
      <w:r w:rsidRPr="00144D11">
        <w:rPr>
          <w:rFonts w:cs="Times New Roman"/>
          <w:sz w:val="24"/>
          <w:szCs w:val="24"/>
          <w:lang w:val="en-US"/>
        </w:rPr>
        <w:t xml:space="preserve">estless </w:t>
      </w:r>
      <w:r>
        <w:rPr>
          <w:rFonts w:cs="Times New Roman"/>
          <w:sz w:val="24"/>
          <w:szCs w:val="24"/>
          <w:lang w:val="en-US"/>
        </w:rPr>
        <w:t>l</w:t>
      </w:r>
      <w:r w:rsidRPr="00144D11">
        <w:rPr>
          <w:rFonts w:cs="Times New Roman"/>
          <w:sz w:val="24"/>
          <w:szCs w:val="24"/>
          <w:lang w:val="en-US"/>
        </w:rPr>
        <w:t xml:space="preserve">egs </w:t>
      </w:r>
      <w:r>
        <w:rPr>
          <w:rFonts w:cs="Times New Roman"/>
          <w:sz w:val="24"/>
          <w:szCs w:val="24"/>
          <w:lang w:val="en-US"/>
        </w:rPr>
        <w:t>s</w:t>
      </w:r>
      <w:r w:rsidRPr="00144D11">
        <w:rPr>
          <w:rFonts w:cs="Times New Roman"/>
          <w:sz w:val="24"/>
          <w:szCs w:val="24"/>
          <w:lang w:val="en-US"/>
        </w:rPr>
        <w:t>yndrome (RLS) are common</w:t>
      </w:r>
      <w:r>
        <w:rPr>
          <w:rFonts w:cs="Times New Roman"/>
          <w:sz w:val="24"/>
          <w:szCs w:val="24"/>
          <w:lang w:val="en-US"/>
        </w:rPr>
        <w:t xml:space="preserve"> neurological</w:t>
      </w:r>
      <w:r w:rsidRPr="00144D11">
        <w:rPr>
          <w:rFonts w:cs="Times New Roman"/>
          <w:sz w:val="24"/>
          <w:szCs w:val="24"/>
          <w:lang w:val="en-US"/>
        </w:rPr>
        <w:t xml:space="preserve"> disorders affecting m</w:t>
      </w:r>
      <w:r>
        <w:rPr>
          <w:rFonts w:cs="Times New Roman"/>
          <w:sz w:val="24"/>
          <w:szCs w:val="24"/>
          <w:lang w:val="en-US"/>
        </w:rPr>
        <w:t xml:space="preserve">illions </w:t>
      </w:r>
      <w:r w:rsidRPr="00144D11">
        <w:rPr>
          <w:rFonts w:cs="Times New Roman"/>
          <w:sz w:val="24"/>
          <w:szCs w:val="24"/>
          <w:lang w:val="en-US"/>
        </w:rPr>
        <w:t xml:space="preserve">around the world. RLS </w:t>
      </w:r>
      <w:r>
        <w:rPr>
          <w:rFonts w:cs="Times New Roman"/>
          <w:sz w:val="24"/>
          <w:szCs w:val="24"/>
          <w:lang w:val="en-US"/>
        </w:rPr>
        <w:t xml:space="preserve">prevalence </w:t>
      </w:r>
      <w:r w:rsidRPr="00144D11">
        <w:rPr>
          <w:rFonts w:cs="Times New Roman"/>
          <w:sz w:val="24"/>
          <w:szCs w:val="24"/>
          <w:lang w:val="en-US"/>
        </w:rPr>
        <w:t xml:space="preserve">varies in different populations from </w:t>
      </w:r>
      <w:r>
        <w:rPr>
          <w:rFonts w:cs="Times New Roman"/>
          <w:sz w:val="24"/>
          <w:szCs w:val="24"/>
          <w:lang w:val="en-US"/>
        </w:rPr>
        <w:t>5</w:t>
      </w:r>
      <w:r w:rsidRPr="00144D11">
        <w:rPr>
          <w:rFonts w:cs="Times New Roman"/>
          <w:sz w:val="24"/>
          <w:szCs w:val="24"/>
          <w:lang w:val="en-US"/>
        </w:rPr>
        <w:t>%</w:t>
      </w:r>
      <w:r>
        <w:rPr>
          <w:rFonts w:cs="Times New Roman"/>
          <w:sz w:val="24"/>
          <w:szCs w:val="24"/>
          <w:lang w:val="en-US"/>
        </w:rPr>
        <w:t>-</w:t>
      </w:r>
      <w:r w:rsidRPr="00144D11">
        <w:rPr>
          <w:rFonts w:cs="Times New Roman"/>
          <w:sz w:val="24"/>
          <w:szCs w:val="24"/>
          <w:lang w:val="en-US"/>
        </w:rPr>
        <w:t>15%</w:t>
      </w:r>
      <w:r>
        <w:rPr>
          <w:rFonts w:cs="Times New Roman"/>
          <w:sz w:val="24"/>
          <w:szCs w:val="24"/>
          <w:lang w:val="en-US"/>
        </w:rPr>
        <w:t xml:space="preserve"> </w:t>
      </w:r>
      <w:r w:rsidR="00DA0E3E">
        <w:rPr>
          <w:rFonts w:cs="Times New Roman"/>
          <w:noProof/>
          <w:sz w:val="24"/>
          <w:szCs w:val="24"/>
          <w:lang w:val="en-US"/>
        </w:rPr>
        <w:t xml:space="preserve">(Yeh </w:t>
      </w:r>
      <w:r>
        <w:rPr>
          <w:rFonts w:cs="Times New Roman"/>
          <w:noProof/>
          <w:sz w:val="24"/>
          <w:szCs w:val="24"/>
          <w:lang w:val="en-US"/>
        </w:rPr>
        <w:t>et al. 2012)</w:t>
      </w:r>
      <w:r w:rsidRPr="00144D11">
        <w:rPr>
          <w:rFonts w:cs="Times New Roman"/>
          <w:sz w:val="24"/>
          <w:szCs w:val="24"/>
          <w:lang w:val="en-US"/>
        </w:rPr>
        <w:t xml:space="preserve"> while PD </w:t>
      </w:r>
      <w:r>
        <w:rPr>
          <w:rFonts w:cs="Times New Roman"/>
          <w:sz w:val="24"/>
          <w:szCs w:val="24"/>
          <w:lang w:val="en-US"/>
        </w:rPr>
        <w:t xml:space="preserve">is prevalent </w:t>
      </w:r>
      <w:r w:rsidRPr="00144D11">
        <w:rPr>
          <w:rFonts w:cs="Times New Roman"/>
          <w:sz w:val="24"/>
          <w:szCs w:val="24"/>
          <w:lang w:val="en-US"/>
        </w:rPr>
        <w:t>in 1-2%</w:t>
      </w:r>
      <w:r>
        <w:rPr>
          <w:rFonts w:cs="Times New Roman"/>
          <w:sz w:val="24"/>
          <w:szCs w:val="24"/>
          <w:lang w:val="en-US"/>
        </w:rPr>
        <w:t xml:space="preserve"> of individuals </w:t>
      </w:r>
      <w:r w:rsidRPr="00144D11">
        <w:rPr>
          <w:rFonts w:cs="Times New Roman"/>
          <w:sz w:val="24"/>
          <w:szCs w:val="24"/>
          <w:lang w:val="en-US"/>
        </w:rPr>
        <w:t>older than 65</w:t>
      </w:r>
      <w:r w:rsidR="00DA0E3E">
        <w:rPr>
          <w:rFonts w:cs="Times New Roman"/>
          <w:sz w:val="24"/>
          <w:szCs w:val="24"/>
          <w:lang w:val="en-US"/>
        </w:rPr>
        <w:t xml:space="preserve"> </w:t>
      </w:r>
      <w:r w:rsidR="00DA0E3E">
        <w:rPr>
          <w:rFonts w:cs="Times New Roman"/>
          <w:noProof/>
          <w:sz w:val="24"/>
          <w:szCs w:val="24"/>
          <w:lang w:val="en-US"/>
        </w:rPr>
        <w:t xml:space="preserve">(de Rijk </w:t>
      </w:r>
      <w:r>
        <w:rPr>
          <w:rFonts w:cs="Times New Roman"/>
          <w:noProof/>
          <w:sz w:val="24"/>
          <w:szCs w:val="24"/>
          <w:lang w:val="en-US"/>
        </w:rPr>
        <w:t>et al. 2000)</w:t>
      </w:r>
      <w:r w:rsidR="00DA0E3E">
        <w:rPr>
          <w:rFonts w:cs="Times New Roman"/>
          <w:noProof/>
          <w:sz w:val="24"/>
          <w:szCs w:val="24"/>
          <w:lang w:val="en-US"/>
        </w:rPr>
        <w:t>.</w:t>
      </w:r>
      <w:r w:rsidR="00DA0E3E">
        <w:rPr>
          <w:rFonts w:cs="Times New Roman"/>
          <w:sz w:val="24"/>
          <w:szCs w:val="24"/>
          <w:lang w:val="en-US"/>
        </w:rPr>
        <w:t xml:space="preserve"> </w:t>
      </w:r>
      <w:r>
        <w:rPr>
          <w:rFonts w:cs="Times New Roman"/>
          <w:sz w:val="24"/>
          <w:szCs w:val="24"/>
          <w:lang w:val="en-US"/>
        </w:rPr>
        <w:t>Due to their high</w:t>
      </w:r>
      <w:r w:rsidR="00833055">
        <w:rPr>
          <w:rFonts w:cs="Times New Roman"/>
          <w:sz w:val="24"/>
          <w:szCs w:val="24"/>
          <w:lang w:val="en-US"/>
        </w:rPr>
        <w:t xml:space="preserve"> prevalence</w:t>
      </w:r>
      <w:r>
        <w:rPr>
          <w:rFonts w:cs="Times New Roman"/>
          <w:sz w:val="24"/>
          <w:szCs w:val="24"/>
          <w:lang w:val="en-US"/>
        </w:rPr>
        <w:t>, co-morbidity with both RLS and PD may be common. Furthermore, it was suggested that PD treatment may lead to RLS or RLS-like symptoms</w:t>
      </w:r>
      <w:r w:rsidR="00DA0E3E">
        <w:rPr>
          <w:rFonts w:cs="Times New Roman"/>
          <w:sz w:val="24"/>
          <w:szCs w:val="24"/>
          <w:lang w:val="en-US"/>
        </w:rPr>
        <w:t xml:space="preserve"> </w:t>
      </w:r>
      <w:r w:rsidR="00DA0E3E">
        <w:rPr>
          <w:rFonts w:cs="Times New Roman"/>
          <w:noProof/>
          <w:sz w:val="24"/>
          <w:szCs w:val="24"/>
          <w:lang w:val="en-US"/>
        </w:rPr>
        <w:t xml:space="preserve">(Lee </w:t>
      </w:r>
      <w:r>
        <w:rPr>
          <w:rFonts w:cs="Times New Roman"/>
          <w:noProof/>
          <w:sz w:val="24"/>
          <w:szCs w:val="24"/>
          <w:lang w:val="en-US"/>
        </w:rPr>
        <w:t>et al. 2009)</w:t>
      </w:r>
      <w:r w:rsidR="00DA0E3E">
        <w:rPr>
          <w:rFonts w:cs="Times New Roman"/>
          <w:noProof/>
          <w:sz w:val="24"/>
          <w:szCs w:val="24"/>
          <w:lang w:val="en-US"/>
        </w:rPr>
        <w:t>.</w:t>
      </w:r>
      <w:r>
        <w:rPr>
          <w:rFonts w:cs="Times New Roman"/>
          <w:sz w:val="24"/>
          <w:szCs w:val="24"/>
          <w:lang w:val="en-US"/>
        </w:rPr>
        <w:t xml:space="preserve"> Some epidemiological studies suggested that PD is more common in RLS patients and RLS is more common in PD patients, while other studies reported lack of association</w:t>
      </w:r>
      <w:r w:rsidR="00DA0E3E">
        <w:rPr>
          <w:rFonts w:cs="Times New Roman"/>
          <w:sz w:val="24"/>
          <w:szCs w:val="24"/>
          <w:lang w:val="en-US"/>
        </w:rPr>
        <w:t xml:space="preserve"> </w:t>
      </w:r>
      <w:r w:rsidR="00DA0E3E">
        <w:rPr>
          <w:rFonts w:cs="Times New Roman"/>
          <w:noProof/>
          <w:sz w:val="24"/>
          <w:szCs w:val="24"/>
          <w:lang w:val="en-US"/>
        </w:rPr>
        <w:t xml:space="preserve">(Rijsman </w:t>
      </w:r>
      <w:r>
        <w:rPr>
          <w:rFonts w:cs="Times New Roman"/>
          <w:noProof/>
          <w:sz w:val="24"/>
          <w:szCs w:val="24"/>
          <w:lang w:val="en-US"/>
        </w:rPr>
        <w:t>et al. 2014)</w:t>
      </w:r>
      <w:r w:rsidR="00DA0E3E">
        <w:rPr>
          <w:rFonts w:cs="Times New Roman"/>
          <w:noProof/>
          <w:sz w:val="24"/>
          <w:szCs w:val="24"/>
          <w:lang w:val="en-US"/>
        </w:rPr>
        <w:t>.</w:t>
      </w:r>
      <w:r>
        <w:rPr>
          <w:rFonts w:cs="Times New Roman"/>
          <w:sz w:val="24"/>
          <w:szCs w:val="24"/>
          <w:lang w:val="en-US"/>
        </w:rPr>
        <w:t xml:space="preserve"> Therefore, it was hypothesized that RLS and PD could be etiologically related. </w:t>
      </w:r>
      <w:bookmarkStart w:id="2" w:name="_Hlk503149843"/>
      <w:r w:rsidR="001C35F7">
        <w:rPr>
          <w:rFonts w:cs="Times New Roman"/>
          <w:sz w:val="24"/>
          <w:szCs w:val="24"/>
          <w:lang w:val="en-US"/>
        </w:rPr>
        <w:t>However, this association is controversial</w:t>
      </w:r>
      <w:r w:rsidR="00B569F8">
        <w:rPr>
          <w:rFonts w:cs="Times New Roman"/>
          <w:sz w:val="24"/>
          <w:szCs w:val="24"/>
          <w:lang w:val="en-US"/>
        </w:rPr>
        <w:t>, as o</w:t>
      </w:r>
      <w:r>
        <w:rPr>
          <w:rFonts w:cs="Times New Roman"/>
          <w:sz w:val="24"/>
          <w:szCs w:val="24"/>
          <w:lang w:val="en-US"/>
        </w:rPr>
        <w:t>ther epidemiological, pa</w:t>
      </w:r>
      <w:r w:rsidR="00833055">
        <w:rPr>
          <w:rFonts w:cs="Times New Roman"/>
          <w:sz w:val="24"/>
          <w:szCs w:val="24"/>
          <w:lang w:val="en-US"/>
        </w:rPr>
        <w:t xml:space="preserve">thological and imaging studies </w:t>
      </w:r>
      <w:r w:rsidR="00DA0E3E">
        <w:rPr>
          <w:rFonts w:cs="Times New Roman"/>
          <w:sz w:val="24"/>
          <w:szCs w:val="24"/>
          <w:lang w:val="en-US"/>
        </w:rPr>
        <w:t xml:space="preserve">did not support this hypothesis </w:t>
      </w:r>
      <w:r w:rsidR="00DA0E3E">
        <w:rPr>
          <w:rFonts w:cs="Times New Roman"/>
          <w:noProof/>
          <w:sz w:val="24"/>
          <w:szCs w:val="24"/>
          <w:lang w:val="en-US"/>
        </w:rPr>
        <w:t xml:space="preserve">(Garcia-Borreguero </w:t>
      </w:r>
      <w:r>
        <w:rPr>
          <w:rFonts w:cs="Times New Roman"/>
          <w:noProof/>
          <w:sz w:val="24"/>
          <w:szCs w:val="24"/>
          <w:lang w:val="en-US"/>
        </w:rPr>
        <w:t xml:space="preserve"> et al. 2003)</w:t>
      </w:r>
      <w:r w:rsidR="00DA0E3E">
        <w:rPr>
          <w:rFonts w:cs="Times New Roman"/>
          <w:noProof/>
          <w:sz w:val="24"/>
          <w:szCs w:val="24"/>
          <w:lang w:val="en-US"/>
        </w:rPr>
        <w:t>.</w:t>
      </w:r>
      <w:r>
        <w:rPr>
          <w:rFonts w:cs="Times New Roman"/>
          <w:sz w:val="24"/>
          <w:szCs w:val="24"/>
          <w:lang w:val="en-US"/>
        </w:rPr>
        <w:t xml:space="preserve"> Therefore, it is still unclear if these two disorders are etiologically related. </w:t>
      </w:r>
    </w:p>
    <w:bookmarkEnd w:id="2"/>
    <w:p w:rsidR="00DA0E3E" w:rsidRDefault="005118E2" w:rsidP="00DA0E3E">
      <w:pPr>
        <w:ind w:firstLine="720"/>
        <w:jc w:val="both"/>
        <w:rPr>
          <w:rFonts w:cs="Times New Roman"/>
          <w:b/>
          <w:bCs/>
          <w:sz w:val="24"/>
          <w:szCs w:val="24"/>
          <w:lang w:val="en-US"/>
        </w:rPr>
      </w:pPr>
      <w:r>
        <w:rPr>
          <w:rFonts w:cs="Times New Roman"/>
          <w:sz w:val="24"/>
          <w:szCs w:val="24"/>
          <w:lang w:val="en-US"/>
        </w:rPr>
        <w:t>Thus far,</w:t>
      </w:r>
      <w:r w:rsidRPr="00144D11">
        <w:rPr>
          <w:rFonts w:cs="Times New Roman"/>
          <w:sz w:val="24"/>
          <w:szCs w:val="24"/>
          <w:lang w:val="en-US"/>
        </w:rPr>
        <w:t xml:space="preserve"> genome-wide studies (GWAS) identified </w:t>
      </w:r>
      <w:r>
        <w:rPr>
          <w:rFonts w:cs="Times New Roman"/>
          <w:sz w:val="24"/>
          <w:szCs w:val="24"/>
          <w:lang w:val="en-US"/>
        </w:rPr>
        <w:t>19</w:t>
      </w:r>
      <w:r w:rsidRPr="00144D11">
        <w:rPr>
          <w:rFonts w:cs="Times New Roman"/>
          <w:sz w:val="24"/>
          <w:szCs w:val="24"/>
          <w:lang w:val="en-US"/>
        </w:rPr>
        <w:t xml:space="preserve"> genetic loci for RLS</w:t>
      </w:r>
      <w:r w:rsidR="00DA0E3E">
        <w:rPr>
          <w:rFonts w:cs="Times New Roman"/>
          <w:sz w:val="24"/>
          <w:szCs w:val="24"/>
          <w:lang w:val="en-US"/>
        </w:rPr>
        <w:t xml:space="preserve"> </w:t>
      </w:r>
      <w:r w:rsidR="00DA0E3E">
        <w:rPr>
          <w:rFonts w:cs="Times New Roman"/>
          <w:noProof/>
          <w:sz w:val="24"/>
          <w:szCs w:val="24"/>
          <w:lang w:val="en-US"/>
        </w:rPr>
        <w:t xml:space="preserve">(Schormair </w:t>
      </w:r>
      <w:r>
        <w:rPr>
          <w:rFonts w:cs="Times New Roman"/>
          <w:noProof/>
          <w:sz w:val="24"/>
          <w:szCs w:val="24"/>
          <w:lang w:val="en-US"/>
        </w:rPr>
        <w:t>et al. 2017)</w:t>
      </w:r>
      <w:r>
        <w:rPr>
          <w:rFonts w:cs="Times New Roman"/>
          <w:sz w:val="24"/>
          <w:szCs w:val="24"/>
          <w:lang w:val="en-US"/>
        </w:rPr>
        <w:t xml:space="preserve"> and 41 loci for PD</w:t>
      </w:r>
      <w:r w:rsidR="00DA0E3E">
        <w:rPr>
          <w:rFonts w:cs="Times New Roman"/>
          <w:sz w:val="24"/>
          <w:szCs w:val="24"/>
          <w:lang w:val="en-US"/>
        </w:rPr>
        <w:t xml:space="preserve"> </w:t>
      </w:r>
      <w:r w:rsidR="00DA0E3E">
        <w:rPr>
          <w:rFonts w:cs="Times New Roman"/>
          <w:noProof/>
          <w:sz w:val="24"/>
          <w:szCs w:val="24"/>
          <w:lang w:val="en-US"/>
        </w:rPr>
        <w:t xml:space="preserve">(Chang </w:t>
      </w:r>
      <w:r>
        <w:rPr>
          <w:rFonts w:cs="Times New Roman"/>
          <w:noProof/>
          <w:sz w:val="24"/>
          <w:szCs w:val="24"/>
          <w:lang w:val="en-US"/>
        </w:rPr>
        <w:t>et al. 2017)</w:t>
      </w:r>
      <w:r w:rsidR="00DA0E3E">
        <w:rPr>
          <w:rFonts w:cs="Times New Roman"/>
          <w:noProof/>
          <w:sz w:val="24"/>
          <w:szCs w:val="24"/>
          <w:lang w:val="en-US"/>
        </w:rPr>
        <w:t>.</w:t>
      </w:r>
      <w:r>
        <w:rPr>
          <w:rFonts w:cs="Times New Roman"/>
          <w:sz w:val="24"/>
          <w:szCs w:val="24"/>
          <w:lang w:val="en-US"/>
        </w:rPr>
        <w:t xml:space="preserve"> In the RLS GWAS, pleiotropy with PD was examined, and it was concluded that there is no pleiotropy between RLS and PD, probably ruling out shared etiology. Furthermore, previous studies that examined the role of some of the RLS genetic markers in PD identified no association</w:t>
      </w:r>
      <w:r w:rsidR="00DA0E3E">
        <w:rPr>
          <w:rFonts w:cs="Times New Roman"/>
          <w:sz w:val="24"/>
          <w:szCs w:val="24"/>
          <w:lang w:val="en-US"/>
        </w:rPr>
        <w:t xml:space="preserve"> </w:t>
      </w:r>
      <w:r w:rsidR="00DA0E3E">
        <w:rPr>
          <w:rFonts w:cs="Times New Roman"/>
          <w:noProof/>
          <w:sz w:val="24"/>
          <w:szCs w:val="24"/>
          <w:lang w:val="en-US"/>
        </w:rPr>
        <w:t>(Gan-Or</w:t>
      </w:r>
      <w:r>
        <w:rPr>
          <w:rFonts w:cs="Times New Roman"/>
          <w:noProof/>
          <w:sz w:val="24"/>
          <w:szCs w:val="24"/>
          <w:lang w:val="en-US"/>
        </w:rPr>
        <w:t xml:space="preserve"> et al. 2015)</w:t>
      </w:r>
      <w:r w:rsidR="00DA0E3E">
        <w:rPr>
          <w:rFonts w:cs="Times New Roman"/>
          <w:noProof/>
          <w:sz w:val="24"/>
          <w:szCs w:val="24"/>
          <w:lang w:val="en-US"/>
        </w:rPr>
        <w:t>.</w:t>
      </w:r>
      <w:r>
        <w:rPr>
          <w:rFonts w:cs="Times New Roman"/>
          <w:sz w:val="24"/>
          <w:szCs w:val="24"/>
          <w:lang w:val="en-US"/>
        </w:rPr>
        <w:t xml:space="preserve"> </w:t>
      </w:r>
      <w:r w:rsidRPr="00505CA2">
        <w:rPr>
          <w:rFonts w:cs="Times New Roman"/>
          <w:sz w:val="24"/>
          <w:szCs w:val="24"/>
          <w:lang w:val="en-US"/>
        </w:rPr>
        <w:t>However</w:t>
      </w:r>
      <w:r>
        <w:rPr>
          <w:rFonts w:cs="Times New Roman"/>
          <w:sz w:val="24"/>
          <w:szCs w:val="24"/>
          <w:lang w:val="en-US"/>
        </w:rPr>
        <w:t xml:space="preserve">, different single nucleotide polymorphisms (SNPs) in the </w:t>
      </w:r>
      <w:r w:rsidRPr="00FB0768">
        <w:rPr>
          <w:rFonts w:cs="Times New Roman"/>
          <w:i/>
          <w:iCs/>
          <w:sz w:val="24"/>
          <w:szCs w:val="24"/>
          <w:lang w:val="en-US"/>
        </w:rPr>
        <w:t>TOX3</w:t>
      </w:r>
      <w:r>
        <w:rPr>
          <w:rFonts w:cs="Times New Roman"/>
          <w:i/>
          <w:iCs/>
          <w:sz w:val="24"/>
          <w:szCs w:val="24"/>
          <w:lang w:val="en-US"/>
        </w:rPr>
        <w:t xml:space="preserve"> </w:t>
      </w:r>
      <w:r>
        <w:rPr>
          <w:rFonts w:cs="Times New Roman"/>
          <w:sz w:val="24"/>
          <w:szCs w:val="24"/>
          <w:lang w:val="en-US"/>
        </w:rPr>
        <w:t>locus were implicated in RLS (</w:t>
      </w:r>
      <w:r w:rsidRPr="00144D11">
        <w:rPr>
          <w:rFonts w:eastAsia="Times New Roman" w:cs="Times New Roman"/>
          <w:color w:val="000000"/>
          <w:sz w:val="24"/>
          <w:szCs w:val="24"/>
          <w:shd w:val="clear" w:color="auto" w:fill="FFFFFF"/>
          <w:lang w:val="en-US"/>
        </w:rPr>
        <w:t>rs3104767</w:t>
      </w:r>
      <w:r>
        <w:rPr>
          <w:rFonts w:cs="Times New Roman"/>
          <w:sz w:val="24"/>
          <w:szCs w:val="24"/>
          <w:lang w:val="en-US"/>
        </w:rPr>
        <w:t>), or just below the significance threshold in a PD GWAS database (</w:t>
      </w:r>
      <w:r w:rsidRPr="00144D11">
        <w:rPr>
          <w:rFonts w:eastAsia="Times New Roman" w:cs="Times New Roman"/>
          <w:sz w:val="24"/>
          <w:szCs w:val="24"/>
          <w:shd w:val="clear" w:color="auto" w:fill="FFFFFF"/>
          <w:lang w:val="en-US"/>
        </w:rPr>
        <w:t>rs4784226</w:t>
      </w:r>
      <w:r>
        <w:rPr>
          <w:rFonts w:cs="Times New Roman"/>
          <w:sz w:val="24"/>
          <w:szCs w:val="24"/>
          <w:lang w:val="en-US"/>
        </w:rPr>
        <w:t xml:space="preserve">, </w:t>
      </w:r>
      <w:r w:rsidRPr="00FB0768">
        <w:rPr>
          <w:rFonts w:cs="Times New Roman"/>
          <w:i/>
          <w:iCs/>
          <w:color w:val="auto"/>
          <w:sz w:val="24"/>
          <w:szCs w:val="24"/>
          <w:lang w:val="en-US"/>
        </w:rPr>
        <w:t>p</w:t>
      </w:r>
      <w:r>
        <w:rPr>
          <w:rFonts w:cs="Times New Roman"/>
          <w:color w:val="auto"/>
          <w:sz w:val="24"/>
          <w:szCs w:val="24"/>
          <w:lang w:val="en-US"/>
        </w:rPr>
        <w:t>=3.37x</w:t>
      </w:r>
      <w:r w:rsidRPr="00144D11">
        <w:rPr>
          <w:rFonts w:cs="Times New Roman"/>
          <w:color w:val="auto"/>
          <w:sz w:val="24"/>
          <w:szCs w:val="24"/>
          <w:lang w:val="en-US"/>
        </w:rPr>
        <w:t>10</w:t>
      </w:r>
      <w:r>
        <w:rPr>
          <w:rFonts w:cs="Times New Roman"/>
          <w:color w:val="auto"/>
          <w:sz w:val="24"/>
          <w:szCs w:val="24"/>
          <w:vertAlign w:val="superscript"/>
          <w:lang w:val="en-US"/>
        </w:rPr>
        <w:t>-</w:t>
      </w:r>
      <w:r w:rsidRPr="00144D11">
        <w:rPr>
          <w:rFonts w:cs="Times New Roman"/>
          <w:color w:val="auto"/>
          <w:sz w:val="24"/>
          <w:szCs w:val="24"/>
          <w:vertAlign w:val="superscript"/>
          <w:lang w:val="en-US"/>
        </w:rPr>
        <w:t>6</w:t>
      </w:r>
      <w:r>
        <w:rPr>
          <w:rFonts w:cs="Times New Roman"/>
          <w:color w:val="auto"/>
          <w:sz w:val="24"/>
          <w:szCs w:val="24"/>
          <w:lang w:val="en-US"/>
        </w:rPr>
        <w:t xml:space="preserve">, </w:t>
      </w:r>
      <w:r w:rsidRPr="00505CA2">
        <w:rPr>
          <w:rFonts w:cs="Times New Roman"/>
          <w:sz w:val="24"/>
          <w:szCs w:val="24"/>
          <w:lang w:val="en-US"/>
        </w:rPr>
        <w:t>www.pdgene.org</w:t>
      </w:r>
      <w:r>
        <w:rPr>
          <w:rFonts w:cs="Times New Roman"/>
          <w:sz w:val="24"/>
          <w:szCs w:val="24"/>
          <w:lang w:val="en-US"/>
        </w:rPr>
        <w:t>). Interestingly, a new large-scale PD GWAS implicated another SNP (</w:t>
      </w:r>
      <w:r>
        <w:rPr>
          <w:rFonts w:eastAsia="Times New Roman" w:cs="Times New Roman"/>
          <w:sz w:val="24"/>
          <w:szCs w:val="24"/>
          <w:shd w:val="clear" w:color="auto" w:fill="FFFFFF"/>
          <w:lang w:val="en-US"/>
        </w:rPr>
        <w:t xml:space="preserve">rs4784227, almost in full linkage disequilibrium, LD, with </w:t>
      </w:r>
      <w:r w:rsidRPr="00144D11">
        <w:rPr>
          <w:rFonts w:eastAsia="Times New Roman" w:cs="Times New Roman"/>
          <w:sz w:val="24"/>
          <w:szCs w:val="24"/>
          <w:shd w:val="clear" w:color="auto" w:fill="FFFFFF"/>
          <w:lang w:val="en-US"/>
        </w:rPr>
        <w:t>rs4784226</w:t>
      </w:r>
      <w:r>
        <w:rPr>
          <w:rFonts w:eastAsia="Times New Roman" w:cs="Times New Roman"/>
          <w:sz w:val="24"/>
          <w:szCs w:val="24"/>
          <w:shd w:val="clear" w:color="auto" w:fill="FFFFFF"/>
          <w:lang w:val="en-US"/>
        </w:rPr>
        <w:t xml:space="preserve">) </w:t>
      </w:r>
      <w:r>
        <w:rPr>
          <w:rFonts w:cs="Times New Roman"/>
          <w:sz w:val="24"/>
          <w:szCs w:val="24"/>
          <w:lang w:val="en-US"/>
        </w:rPr>
        <w:t xml:space="preserve">in the </w:t>
      </w:r>
      <w:r w:rsidRPr="00505CA2">
        <w:rPr>
          <w:rFonts w:cs="Times New Roman"/>
          <w:i/>
          <w:iCs/>
          <w:sz w:val="24"/>
          <w:szCs w:val="24"/>
          <w:lang w:val="en-US"/>
        </w:rPr>
        <w:t>TOX3</w:t>
      </w:r>
      <w:r>
        <w:rPr>
          <w:rFonts w:cs="Times New Roman"/>
          <w:sz w:val="24"/>
          <w:szCs w:val="24"/>
          <w:lang w:val="en-US"/>
        </w:rPr>
        <w:t xml:space="preserve"> locus, which was associated with a slightly increased risk for PD, and significant at the genome-wide level (OR 1.09, </w:t>
      </w:r>
      <w:r>
        <w:rPr>
          <w:rFonts w:cs="Times New Roman"/>
          <w:i/>
          <w:iCs/>
          <w:sz w:val="24"/>
          <w:szCs w:val="24"/>
          <w:lang w:val="en-US"/>
        </w:rPr>
        <w:t>p</w:t>
      </w:r>
      <w:r>
        <w:rPr>
          <w:rFonts w:cs="Times New Roman"/>
          <w:sz w:val="24"/>
          <w:szCs w:val="24"/>
          <w:lang w:val="en-US"/>
        </w:rPr>
        <w:t>=9.75x10</w:t>
      </w:r>
      <w:r w:rsidRPr="003C4EFE">
        <w:rPr>
          <w:rFonts w:cs="Times New Roman"/>
          <w:sz w:val="24"/>
          <w:szCs w:val="24"/>
          <w:vertAlign w:val="superscript"/>
          <w:lang w:val="en-US"/>
        </w:rPr>
        <w:t>-11</w:t>
      </w:r>
      <w:r w:rsidR="00DA0E3E">
        <w:rPr>
          <w:rFonts w:cs="Times New Roman"/>
          <w:sz w:val="24"/>
          <w:szCs w:val="24"/>
          <w:lang w:val="en-US"/>
        </w:rPr>
        <w:t xml:space="preserve">) </w:t>
      </w:r>
      <w:r w:rsidR="00DA0E3E">
        <w:rPr>
          <w:rFonts w:cs="Times New Roman"/>
          <w:noProof/>
          <w:sz w:val="24"/>
          <w:szCs w:val="24"/>
          <w:lang w:val="en-US"/>
        </w:rPr>
        <w:t xml:space="preserve">(Chang </w:t>
      </w:r>
      <w:r>
        <w:rPr>
          <w:rFonts w:cs="Times New Roman"/>
          <w:noProof/>
          <w:sz w:val="24"/>
          <w:szCs w:val="24"/>
          <w:lang w:val="en-US"/>
        </w:rPr>
        <w:t>et al. 2017)</w:t>
      </w:r>
      <w:r w:rsidR="00DA0E3E">
        <w:rPr>
          <w:rFonts w:cs="Times New Roman"/>
          <w:sz w:val="24"/>
          <w:szCs w:val="24"/>
          <w:lang w:val="en-US"/>
        </w:rPr>
        <w:t xml:space="preserve">. </w:t>
      </w:r>
      <w:r>
        <w:rPr>
          <w:rFonts w:eastAsia="Times New Roman" w:cs="Times New Roman"/>
          <w:sz w:val="24"/>
          <w:szCs w:val="24"/>
          <w:shd w:val="clear" w:color="auto" w:fill="FFFFFF"/>
          <w:lang w:val="en-US"/>
        </w:rPr>
        <w:t xml:space="preserve">To further examine the potential role of these SNPs in </w:t>
      </w:r>
      <w:r>
        <w:rPr>
          <w:rFonts w:eastAsia="Times New Roman" w:cs="Times New Roman"/>
          <w:sz w:val="24"/>
          <w:szCs w:val="24"/>
          <w:shd w:val="clear" w:color="auto" w:fill="FFFFFF"/>
          <w:lang w:val="en-US"/>
        </w:rPr>
        <w:lastRenderedPageBreak/>
        <w:t xml:space="preserve">RLS and PD risk, </w:t>
      </w:r>
      <w:r w:rsidRPr="00144D11">
        <w:rPr>
          <w:rFonts w:cs="Times New Roman"/>
          <w:color w:val="auto"/>
          <w:sz w:val="24"/>
          <w:szCs w:val="24"/>
          <w:lang w:val="en-US"/>
        </w:rPr>
        <w:t xml:space="preserve">we </w:t>
      </w:r>
      <w:r>
        <w:rPr>
          <w:rFonts w:cs="Times New Roman"/>
          <w:color w:val="auto"/>
          <w:sz w:val="24"/>
          <w:szCs w:val="24"/>
          <w:lang w:val="en-US"/>
        </w:rPr>
        <w:t xml:space="preserve">performed an association study of </w:t>
      </w:r>
      <w:r w:rsidRPr="00144D11">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and </w:t>
      </w:r>
      <w:r w:rsidRPr="00144D11">
        <w:rPr>
          <w:rFonts w:eastAsia="Times New Roman" w:cs="Times New Roman"/>
          <w:sz w:val="24"/>
          <w:szCs w:val="24"/>
          <w:shd w:val="clear" w:color="auto" w:fill="FFFFFF"/>
          <w:lang w:val="en-US"/>
        </w:rPr>
        <w:t>rs4784226</w:t>
      </w:r>
      <w:r>
        <w:rPr>
          <w:rFonts w:eastAsia="Times New Roman" w:cs="Times New Roman"/>
          <w:sz w:val="24"/>
          <w:szCs w:val="24"/>
          <w:shd w:val="clear" w:color="auto" w:fill="FFFFFF"/>
          <w:lang w:val="en-US"/>
        </w:rPr>
        <w:t xml:space="preserve"> in our</w:t>
      </w:r>
      <w:r>
        <w:rPr>
          <w:rFonts w:cs="Times New Roman"/>
          <w:color w:val="auto"/>
          <w:sz w:val="24"/>
          <w:szCs w:val="24"/>
          <w:lang w:val="en-US"/>
        </w:rPr>
        <w:t xml:space="preserve"> cohorts of RLS and PD.</w:t>
      </w:r>
    </w:p>
    <w:p w:rsidR="00DA0E3E" w:rsidRDefault="00DA0E3E" w:rsidP="00DA0E3E">
      <w:pPr>
        <w:jc w:val="both"/>
        <w:rPr>
          <w:rFonts w:cs="Times New Roman"/>
          <w:b/>
          <w:bCs/>
          <w:sz w:val="24"/>
          <w:szCs w:val="24"/>
          <w:lang w:val="en-US"/>
        </w:rPr>
      </w:pPr>
    </w:p>
    <w:p w:rsidR="005118E2" w:rsidRPr="00EF70F1" w:rsidRDefault="005118E2" w:rsidP="00DA0E3E">
      <w:pPr>
        <w:jc w:val="both"/>
        <w:rPr>
          <w:rFonts w:cs="Times New Roman"/>
          <w:b/>
          <w:bCs/>
          <w:sz w:val="24"/>
          <w:szCs w:val="24"/>
          <w:lang w:val="en-US"/>
        </w:rPr>
      </w:pPr>
      <w:r w:rsidRPr="00EF70F1">
        <w:rPr>
          <w:rFonts w:cs="Times New Roman"/>
          <w:b/>
          <w:bCs/>
          <w:sz w:val="24"/>
          <w:szCs w:val="24"/>
          <w:lang w:val="en-US"/>
        </w:rPr>
        <w:t>Methods</w:t>
      </w:r>
    </w:p>
    <w:p w:rsidR="005118E2" w:rsidRPr="00EF70F1" w:rsidRDefault="005118E2" w:rsidP="00EF70F1">
      <w:pPr>
        <w:jc w:val="both"/>
        <w:rPr>
          <w:rFonts w:cs="Times New Roman"/>
          <w:i/>
          <w:iCs/>
          <w:sz w:val="24"/>
          <w:szCs w:val="24"/>
          <w:lang w:val="en-US"/>
        </w:rPr>
      </w:pPr>
      <w:r w:rsidRPr="00EF70F1">
        <w:rPr>
          <w:rFonts w:cs="Times New Roman"/>
          <w:i/>
          <w:iCs/>
          <w:sz w:val="24"/>
          <w:szCs w:val="24"/>
          <w:lang w:val="en-US"/>
        </w:rPr>
        <w:t>Study Population</w:t>
      </w:r>
    </w:p>
    <w:p w:rsidR="005118E2" w:rsidRPr="00EF70F1" w:rsidRDefault="005118E2" w:rsidP="00EF70F1">
      <w:pPr>
        <w:jc w:val="both"/>
        <w:rPr>
          <w:rFonts w:cs="Times New Roman"/>
          <w:i/>
          <w:iCs/>
          <w:sz w:val="24"/>
          <w:szCs w:val="24"/>
          <w:lang w:val="en-US"/>
        </w:rPr>
      </w:pPr>
      <w:r w:rsidRPr="00EF70F1">
        <w:rPr>
          <w:rFonts w:cs="Times New Roman"/>
          <w:i/>
          <w:iCs/>
          <w:sz w:val="24"/>
          <w:szCs w:val="24"/>
          <w:lang w:val="en-US"/>
        </w:rPr>
        <w:t>Case-control population of Parkinson disease</w:t>
      </w:r>
    </w:p>
    <w:p w:rsidR="005118E2" w:rsidRPr="00510973" w:rsidRDefault="005118E2" w:rsidP="0055592C">
      <w:pPr>
        <w:jc w:val="both"/>
        <w:rPr>
          <w:rFonts w:cs="Times New Roman"/>
          <w:sz w:val="24"/>
          <w:szCs w:val="24"/>
          <w:lang w:val="en-US"/>
        </w:rPr>
      </w:pPr>
      <w:r w:rsidRPr="00144D11">
        <w:rPr>
          <w:rFonts w:cs="Times New Roman"/>
          <w:sz w:val="24"/>
          <w:szCs w:val="24"/>
          <w:lang w:val="en-US"/>
        </w:rPr>
        <w:t xml:space="preserve">The </w:t>
      </w:r>
      <w:r>
        <w:rPr>
          <w:rFonts w:cs="Times New Roman"/>
          <w:sz w:val="24"/>
          <w:szCs w:val="24"/>
          <w:lang w:val="en-US"/>
        </w:rPr>
        <w:t xml:space="preserve">PD </w:t>
      </w:r>
      <w:r w:rsidRPr="00144D11">
        <w:rPr>
          <w:rFonts w:cs="Times New Roman"/>
          <w:sz w:val="24"/>
          <w:szCs w:val="24"/>
          <w:lang w:val="en-US"/>
        </w:rPr>
        <w:t xml:space="preserve">population included </w:t>
      </w:r>
      <w:r>
        <w:rPr>
          <w:rFonts w:cs="Times New Roman"/>
          <w:sz w:val="24"/>
          <w:szCs w:val="24"/>
          <w:lang w:val="en-US"/>
        </w:rPr>
        <w:t xml:space="preserve">unrelated, </w:t>
      </w:r>
      <w:r w:rsidRPr="00144D11">
        <w:rPr>
          <w:rFonts w:cs="Times New Roman"/>
          <w:sz w:val="24"/>
          <w:szCs w:val="24"/>
          <w:lang w:val="en-US"/>
        </w:rPr>
        <w:t>consecutively recruited patients</w:t>
      </w:r>
      <w:r>
        <w:rPr>
          <w:rFonts w:cs="Times New Roman"/>
          <w:sz w:val="24"/>
          <w:szCs w:val="24"/>
          <w:lang w:val="en-US"/>
        </w:rPr>
        <w:t xml:space="preserve"> (n=644)</w:t>
      </w:r>
      <w:r w:rsidRPr="00144D11">
        <w:rPr>
          <w:rFonts w:cs="Times New Roman"/>
          <w:sz w:val="24"/>
          <w:szCs w:val="24"/>
          <w:lang w:val="en-US"/>
        </w:rPr>
        <w:t xml:space="preserve"> and controls</w:t>
      </w:r>
      <w:r>
        <w:rPr>
          <w:rFonts w:cs="Times New Roman"/>
          <w:sz w:val="24"/>
          <w:szCs w:val="24"/>
          <w:lang w:val="en-US"/>
        </w:rPr>
        <w:t xml:space="preserve"> (n=</w:t>
      </w:r>
      <w:r w:rsidRPr="00144D11">
        <w:rPr>
          <w:rFonts w:cs="Times New Roman"/>
          <w:sz w:val="24"/>
          <w:szCs w:val="24"/>
          <w:lang w:val="en-US"/>
        </w:rPr>
        <w:t>613</w:t>
      </w:r>
      <w:r>
        <w:rPr>
          <w:rFonts w:cs="Times New Roman"/>
          <w:sz w:val="24"/>
          <w:szCs w:val="24"/>
          <w:lang w:val="en-US"/>
        </w:rPr>
        <w:t>), of European ancestry, of French or French-Canadian origin</w:t>
      </w:r>
      <w:r w:rsidRPr="00144D11">
        <w:rPr>
          <w:rFonts w:cs="Times New Roman"/>
          <w:sz w:val="24"/>
          <w:szCs w:val="24"/>
          <w:lang w:val="en-US"/>
        </w:rPr>
        <w:t xml:space="preserve">. </w:t>
      </w:r>
      <w:r>
        <w:rPr>
          <w:rFonts w:cs="Times New Roman"/>
          <w:sz w:val="24"/>
          <w:szCs w:val="24"/>
          <w:lang w:val="en-US"/>
        </w:rPr>
        <w:t>French-Canadian p</w:t>
      </w:r>
      <w:r w:rsidRPr="00CA1DB9">
        <w:rPr>
          <w:rFonts w:cs="Times New Roman"/>
          <w:sz w:val="24"/>
          <w:szCs w:val="24"/>
          <w:lang w:val="en-US"/>
        </w:rPr>
        <w:t>atients and controls were recruited from clinics across Québec, Canada, including the Quebec Parkinson’s Network (</w:t>
      </w:r>
      <w:r w:rsidRPr="00FD5CE8">
        <w:rPr>
          <w:rFonts w:cs="Times New Roman"/>
          <w:sz w:val="24"/>
          <w:szCs w:val="24"/>
          <w:lang w:val="en-US"/>
        </w:rPr>
        <w:t>http://rpq-qpn.ca/</w:t>
      </w:r>
      <w:r w:rsidRPr="00CA1DB9">
        <w:rPr>
          <w:rFonts w:cs="Times New Roman"/>
          <w:sz w:val="24"/>
          <w:szCs w:val="24"/>
          <w:lang w:val="en-US"/>
        </w:rPr>
        <w:t>)</w:t>
      </w:r>
      <w:r>
        <w:rPr>
          <w:rFonts w:cs="Times New Roman"/>
          <w:sz w:val="24"/>
          <w:szCs w:val="24"/>
          <w:lang w:val="en-US"/>
        </w:rPr>
        <w:t xml:space="preserve">. French patients and controls were </w:t>
      </w:r>
      <w:r w:rsidRPr="00144D11">
        <w:rPr>
          <w:rFonts w:cs="Times New Roman"/>
          <w:sz w:val="24"/>
          <w:szCs w:val="24"/>
          <w:lang w:val="en-US"/>
        </w:rPr>
        <w:t>recruited at Montpellier, France.</w:t>
      </w:r>
      <w:r w:rsidRPr="00BA1F09">
        <w:rPr>
          <w:rFonts w:cs="Times New Roman"/>
          <w:sz w:val="24"/>
          <w:szCs w:val="24"/>
          <w:lang w:val="en-US"/>
        </w:rPr>
        <w:t xml:space="preserve"> </w:t>
      </w:r>
      <w:r w:rsidRPr="00144D11">
        <w:rPr>
          <w:rFonts w:cs="Times New Roman"/>
          <w:sz w:val="24"/>
          <w:szCs w:val="24"/>
          <w:lang w:val="en-US"/>
        </w:rPr>
        <w:t xml:space="preserve">PD was diagnosed </w:t>
      </w:r>
      <w:r>
        <w:rPr>
          <w:rFonts w:cs="Times New Roman"/>
          <w:sz w:val="24"/>
          <w:szCs w:val="24"/>
          <w:lang w:val="en-US"/>
        </w:rPr>
        <w:t>using</w:t>
      </w:r>
      <w:r w:rsidRPr="00144D11">
        <w:rPr>
          <w:rFonts w:cs="Times New Roman"/>
          <w:sz w:val="24"/>
          <w:szCs w:val="24"/>
          <w:lang w:val="en-US"/>
        </w:rPr>
        <w:t xml:space="preserve"> the UK Brain Bank Criteria</w:t>
      </w:r>
      <w:r>
        <w:rPr>
          <w:rFonts w:cs="Times New Roman"/>
          <w:sz w:val="24"/>
          <w:szCs w:val="24"/>
          <w:lang w:val="en-US"/>
        </w:rPr>
        <w:t xml:space="preserve">. </w:t>
      </w:r>
      <w:r w:rsidRPr="006E7247">
        <w:rPr>
          <w:rFonts w:cs="Times New Roman"/>
          <w:sz w:val="24"/>
          <w:szCs w:val="24"/>
          <w:lang w:val="en-US"/>
        </w:rPr>
        <w:t>The a</w:t>
      </w:r>
      <w:r>
        <w:rPr>
          <w:rFonts w:cs="Times New Roman"/>
          <w:sz w:val="24"/>
          <w:szCs w:val="24"/>
          <w:lang w:val="en-US"/>
        </w:rPr>
        <w:t>verage</w:t>
      </w:r>
      <w:r w:rsidRPr="006E7247">
        <w:rPr>
          <w:rFonts w:cs="Times New Roman"/>
          <w:sz w:val="24"/>
          <w:szCs w:val="24"/>
          <w:lang w:val="en-US"/>
        </w:rPr>
        <w:t xml:space="preserve"> age</w:t>
      </w:r>
      <w:r>
        <w:rPr>
          <w:rFonts w:cs="Times New Roman"/>
          <w:sz w:val="24"/>
          <w:szCs w:val="24"/>
          <w:lang w:val="en-US"/>
        </w:rPr>
        <w:t xml:space="preserve"> at enrollment of PD patients</w:t>
      </w:r>
      <w:r w:rsidRPr="00FB0768">
        <w:rPr>
          <w:rFonts w:cs="Times New Roman"/>
          <w:sz w:val="24"/>
          <w:szCs w:val="24"/>
          <w:lang w:val="en-US"/>
        </w:rPr>
        <w:t xml:space="preserve"> was 65.</w:t>
      </w:r>
      <w:r>
        <w:rPr>
          <w:rFonts w:cs="Times New Roman"/>
          <w:sz w:val="24"/>
          <w:szCs w:val="24"/>
          <w:lang w:val="en-US"/>
        </w:rPr>
        <w:t>6±9.8</w:t>
      </w:r>
      <w:r w:rsidRPr="00FB0768">
        <w:rPr>
          <w:rFonts w:cs="Times New Roman"/>
          <w:sz w:val="24"/>
          <w:szCs w:val="24"/>
          <w:lang w:val="en-US"/>
        </w:rPr>
        <w:t xml:space="preserve"> years</w:t>
      </w:r>
      <w:r>
        <w:rPr>
          <w:rFonts w:cs="Times New Roman"/>
          <w:sz w:val="24"/>
          <w:szCs w:val="24"/>
          <w:lang w:val="en-US"/>
        </w:rPr>
        <w:t xml:space="preserve"> (data were missing for 22 patients)</w:t>
      </w:r>
      <w:r w:rsidRPr="006E7247">
        <w:rPr>
          <w:rFonts w:cs="Times New Roman"/>
          <w:sz w:val="24"/>
          <w:szCs w:val="24"/>
          <w:lang w:val="en-US"/>
        </w:rPr>
        <w:t xml:space="preserve">, </w:t>
      </w:r>
      <w:r w:rsidRPr="00FB0768">
        <w:rPr>
          <w:rFonts w:cs="Times New Roman"/>
          <w:sz w:val="24"/>
          <w:szCs w:val="24"/>
          <w:lang w:val="en-US"/>
        </w:rPr>
        <w:t xml:space="preserve">with </w:t>
      </w:r>
      <w:r>
        <w:rPr>
          <w:rFonts w:cs="Times New Roman"/>
          <w:sz w:val="24"/>
          <w:szCs w:val="24"/>
          <w:lang w:val="en-US"/>
        </w:rPr>
        <w:t>64.4</w:t>
      </w:r>
      <w:r w:rsidRPr="00FB0768">
        <w:rPr>
          <w:rFonts w:cs="Times New Roman"/>
          <w:sz w:val="24"/>
          <w:szCs w:val="24"/>
          <w:lang w:val="en-US"/>
        </w:rPr>
        <w:t>% men (</w:t>
      </w:r>
      <w:r>
        <w:rPr>
          <w:rFonts w:cs="Times New Roman"/>
          <w:sz w:val="24"/>
          <w:szCs w:val="24"/>
          <w:lang w:val="en-US"/>
        </w:rPr>
        <w:t>data were missing for 3 patients).</w:t>
      </w:r>
      <w:r w:rsidRPr="00FB0768">
        <w:rPr>
          <w:rFonts w:cs="Times New Roman"/>
          <w:sz w:val="24"/>
          <w:szCs w:val="24"/>
          <w:lang w:val="en-US"/>
        </w:rPr>
        <w:t xml:space="preserve"> The </w:t>
      </w:r>
      <w:r w:rsidRPr="006E7247">
        <w:rPr>
          <w:rFonts w:cs="Times New Roman"/>
          <w:sz w:val="24"/>
          <w:szCs w:val="24"/>
          <w:lang w:val="en-US"/>
        </w:rPr>
        <w:t>average age of</w:t>
      </w:r>
      <w:r w:rsidRPr="00FB0768">
        <w:rPr>
          <w:rFonts w:cs="Times New Roman"/>
          <w:sz w:val="24"/>
          <w:szCs w:val="24"/>
          <w:lang w:val="en-US"/>
        </w:rPr>
        <w:t xml:space="preserve"> the control population was 52.5</w:t>
      </w:r>
      <w:r>
        <w:rPr>
          <w:rFonts w:cs="Times New Roman"/>
          <w:sz w:val="24"/>
          <w:szCs w:val="24"/>
          <w:lang w:val="en-US"/>
        </w:rPr>
        <w:t>±</w:t>
      </w:r>
      <w:r w:rsidRPr="00FB0768">
        <w:rPr>
          <w:rFonts w:cs="Times New Roman"/>
          <w:sz w:val="24"/>
          <w:szCs w:val="24"/>
          <w:lang w:val="en-US"/>
        </w:rPr>
        <w:t>13.1 years</w:t>
      </w:r>
      <w:r>
        <w:rPr>
          <w:rFonts w:cs="Times New Roman"/>
          <w:sz w:val="24"/>
          <w:szCs w:val="24"/>
          <w:lang w:val="en-US"/>
        </w:rPr>
        <w:t xml:space="preserve"> (data were available for 538 individuals)</w:t>
      </w:r>
      <w:r w:rsidRPr="00FB0768">
        <w:rPr>
          <w:rFonts w:cs="Times New Roman"/>
          <w:sz w:val="24"/>
          <w:szCs w:val="24"/>
          <w:lang w:val="en-US"/>
        </w:rPr>
        <w:t xml:space="preserve">, with </w:t>
      </w:r>
      <w:r>
        <w:rPr>
          <w:rFonts w:cs="Times New Roman"/>
          <w:sz w:val="24"/>
          <w:szCs w:val="24"/>
          <w:lang w:val="en-US"/>
        </w:rPr>
        <w:t>58.2</w:t>
      </w:r>
      <w:r w:rsidRPr="00FB0768">
        <w:rPr>
          <w:rFonts w:cs="Times New Roman"/>
          <w:sz w:val="24"/>
          <w:szCs w:val="24"/>
          <w:lang w:val="en-US"/>
        </w:rPr>
        <w:t>% men</w:t>
      </w:r>
      <w:r w:rsidRPr="00144D11">
        <w:rPr>
          <w:rFonts w:cs="Times New Roman"/>
          <w:sz w:val="24"/>
          <w:szCs w:val="24"/>
          <w:lang w:val="en-US"/>
        </w:rPr>
        <w:t xml:space="preserve">. </w:t>
      </w:r>
      <w:r>
        <w:rPr>
          <w:rFonts w:cs="Times New Roman"/>
          <w:sz w:val="24"/>
          <w:szCs w:val="24"/>
          <w:lang w:val="en-US"/>
        </w:rPr>
        <w:t>As there are differences between age and sex (</w:t>
      </w:r>
      <w:r>
        <w:rPr>
          <w:rFonts w:cs="Times New Roman"/>
          <w:i/>
          <w:iCs/>
          <w:sz w:val="24"/>
          <w:szCs w:val="24"/>
          <w:lang w:val="en-US"/>
        </w:rPr>
        <w:t>p</w:t>
      </w:r>
      <w:r>
        <w:rPr>
          <w:rFonts w:cs="Times New Roman"/>
          <w:sz w:val="24"/>
          <w:szCs w:val="24"/>
          <w:lang w:val="en-US"/>
        </w:rPr>
        <w:t xml:space="preserve">&lt;0.05 for both), adjustment for age and sex was performed (see statistical analysis). </w:t>
      </w:r>
    </w:p>
    <w:p w:rsidR="005118E2" w:rsidRPr="00EF70F1" w:rsidRDefault="005118E2" w:rsidP="00EF70F1">
      <w:pPr>
        <w:jc w:val="both"/>
        <w:rPr>
          <w:rFonts w:cs="Times New Roman"/>
          <w:i/>
          <w:iCs/>
          <w:sz w:val="24"/>
          <w:szCs w:val="24"/>
          <w:lang w:val="en-US"/>
        </w:rPr>
      </w:pPr>
      <w:r w:rsidRPr="00EF70F1">
        <w:rPr>
          <w:rFonts w:cs="Times New Roman"/>
          <w:i/>
          <w:iCs/>
          <w:sz w:val="24"/>
          <w:szCs w:val="24"/>
          <w:lang w:val="en-US"/>
        </w:rPr>
        <w:t>Case-control population of restless legs syndrome</w:t>
      </w:r>
    </w:p>
    <w:p w:rsidR="005118E2" w:rsidRPr="00144D11" w:rsidRDefault="005118E2" w:rsidP="004E0BD1">
      <w:pPr>
        <w:jc w:val="both"/>
        <w:rPr>
          <w:rFonts w:cs="Times New Roman"/>
          <w:sz w:val="24"/>
          <w:szCs w:val="24"/>
          <w:lang w:val="en-US"/>
        </w:rPr>
      </w:pPr>
      <w:r>
        <w:rPr>
          <w:rFonts w:cs="Times New Roman"/>
          <w:sz w:val="24"/>
          <w:szCs w:val="24"/>
          <w:lang w:val="en-US"/>
        </w:rPr>
        <w:t>The RLS study included unrelated and consecutively recruited RLS patients (n=424) and controls (n=325) of European ancestry, recruited as previously described</w:t>
      </w:r>
      <w:r w:rsidR="00DA0E3E">
        <w:rPr>
          <w:rFonts w:cs="Times New Roman"/>
          <w:sz w:val="24"/>
          <w:szCs w:val="24"/>
          <w:lang w:val="en-US"/>
        </w:rPr>
        <w:t xml:space="preserve"> </w:t>
      </w:r>
      <w:r w:rsidR="00DA0E3E">
        <w:rPr>
          <w:rFonts w:cs="Times New Roman"/>
          <w:noProof/>
          <w:sz w:val="24"/>
          <w:szCs w:val="24"/>
          <w:lang w:val="en-US"/>
        </w:rPr>
        <w:t>(Gan-Or</w:t>
      </w:r>
      <w:r>
        <w:rPr>
          <w:rFonts w:cs="Times New Roman"/>
          <w:noProof/>
          <w:sz w:val="24"/>
          <w:szCs w:val="24"/>
          <w:lang w:val="en-US"/>
        </w:rPr>
        <w:t xml:space="preserve"> et al. 2015)</w:t>
      </w:r>
      <w:r w:rsidR="00DA0E3E">
        <w:rPr>
          <w:rFonts w:cs="Times New Roman"/>
          <w:noProof/>
          <w:sz w:val="24"/>
          <w:szCs w:val="24"/>
          <w:lang w:val="en-US"/>
        </w:rPr>
        <w:t>.</w:t>
      </w:r>
      <w:r>
        <w:rPr>
          <w:rFonts w:cs="Times New Roman"/>
          <w:sz w:val="24"/>
          <w:szCs w:val="24"/>
          <w:lang w:val="en-US"/>
        </w:rPr>
        <w:t xml:space="preserve"> </w:t>
      </w:r>
      <w:r w:rsidRPr="006E7247">
        <w:rPr>
          <w:rFonts w:cs="Times New Roman"/>
          <w:sz w:val="24"/>
          <w:szCs w:val="24"/>
          <w:lang w:val="en-US"/>
        </w:rPr>
        <w:t>The a</w:t>
      </w:r>
      <w:r w:rsidRPr="00760E40">
        <w:rPr>
          <w:rFonts w:cs="Times New Roman"/>
          <w:sz w:val="24"/>
          <w:szCs w:val="24"/>
          <w:lang w:val="en-US"/>
        </w:rPr>
        <w:t xml:space="preserve">verage </w:t>
      </w:r>
      <w:r>
        <w:rPr>
          <w:rFonts w:cs="Times New Roman"/>
          <w:sz w:val="24"/>
          <w:szCs w:val="24"/>
          <w:lang w:val="en-US"/>
        </w:rPr>
        <w:t xml:space="preserve">age at enrollment of RLS </w:t>
      </w:r>
      <w:r w:rsidRPr="00760E40">
        <w:rPr>
          <w:rFonts w:cs="Times New Roman"/>
          <w:sz w:val="24"/>
          <w:szCs w:val="24"/>
          <w:lang w:val="en-US"/>
        </w:rPr>
        <w:t>patient</w:t>
      </w:r>
      <w:r w:rsidRPr="006E7247">
        <w:rPr>
          <w:rFonts w:cs="Times New Roman"/>
          <w:sz w:val="24"/>
          <w:szCs w:val="24"/>
          <w:lang w:val="en-US"/>
        </w:rPr>
        <w:t xml:space="preserve">s </w:t>
      </w:r>
      <w:r w:rsidRPr="00760E40">
        <w:rPr>
          <w:rFonts w:cs="Times New Roman"/>
          <w:sz w:val="24"/>
          <w:szCs w:val="24"/>
          <w:lang w:val="en-US"/>
        </w:rPr>
        <w:t xml:space="preserve">was </w:t>
      </w:r>
      <w:r>
        <w:rPr>
          <w:rFonts w:cs="Times New Roman"/>
          <w:sz w:val="24"/>
          <w:szCs w:val="24"/>
          <w:lang w:val="en-US"/>
        </w:rPr>
        <w:t>56.4±14.1</w:t>
      </w:r>
      <w:r w:rsidRPr="00760E40">
        <w:rPr>
          <w:rFonts w:cs="Times New Roman"/>
          <w:sz w:val="24"/>
          <w:szCs w:val="24"/>
          <w:lang w:val="en-US"/>
        </w:rPr>
        <w:t xml:space="preserve"> years</w:t>
      </w:r>
      <w:r>
        <w:rPr>
          <w:rFonts w:cs="Times New Roman"/>
          <w:sz w:val="24"/>
          <w:szCs w:val="24"/>
          <w:lang w:val="en-US"/>
        </w:rPr>
        <w:t xml:space="preserve"> (data were missing for two patients)</w:t>
      </w:r>
      <w:r w:rsidRPr="006E7247">
        <w:rPr>
          <w:rFonts w:cs="Times New Roman"/>
          <w:sz w:val="24"/>
          <w:szCs w:val="24"/>
          <w:lang w:val="en-US"/>
        </w:rPr>
        <w:t xml:space="preserve">, </w:t>
      </w:r>
      <w:r w:rsidRPr="00760E40">
        <w:rPr>
          <w:rFonts w:cs="Times New Roman"/>
          <w:sz w:val="24"/>
          <w:szCs w:val="24"/>
          <w:lang w:val="en-US"/>
        </w:rPr>
        <w:t xml:space="preserve">with </w:t>
      </w:r>
      <w:r>
        <w:rPr>
          <w:rFonts w:cs="Times New Roman"/>
          <w:sz w:val="24"/>
          <w:szCs w:val="24"/>
          <w:lang w:val="en-US"/>
        </w:rPr>
        <w:t>39.2</w:t>
      </w:r>
      <w:r w:rsidRPr="00760E40">
        <w:rPr>
          <w:rFonts w:cs="Times New Roman"/>
          <w:sz w:val="24"/>
          <w:szCs w:val="24"/>
          <w:lang w:val="en-US"/>
        </w:rPr>
        <w:t>% men (</w:t>
      </w:r>
      <w:r>
        <w:rPr>
          <w:rFonts w:cs="Times New Roman"/>
          <w:sz w:val="24"/>
          <w:szCs w:val="24"/>
          <w:lang w:val="en-US"/>
        </w:rPr>
        <w:t>data were missing for 1 patient). Patients were diagnosed based on the international RLS study group (IRLSSG) criteria</w:t>
      </w:r>
      <w:r w:rsidR="00DA0E3E">
        <w:rPr>
          <w:rFonts w:cs="Times New Roman"/>
          <w:sz w:val="24"/>
          <w:szCs w:val="24"/>
          <w:lang w:val="en-US"/>
        </w:rPr>
        <w:t xml:space="preserve"> </w:t>
      </w:r>
      <w:r w:rsidR="00DA0E3E">
        <w:rPr>
          <w:rFonts w:cs="Times New Roman"/>
          <w:noProof/>
          <w:sz w:val="24"/>
          <w:szCs w:val="24"/>
          <w:lang w:val="en-US"/>
        </w:rPr>
        <w:t>(Allen</w:t>
      </w:r>
      <w:r>
        <w:rPr>
          <w:rFonts w:cs="Times New Roman"/>
          <w:noProof/>
          <w:sz w:val="24"/>
          <w:szCs w:val="24"/>
          <w:lang w:val="en-US"/>
        </w:rPr>
        <w:t xml:space="preserve"> et al. 2014)</w:t>
      </w:r>
      <w:r w:rsidR="00DA0E3E">
        <w:rPr>
          <w:rFonts w:cs="Times New Roman"/>
          <w:noProof/>
          <w:sz w:val="24"/>
          <w:szCs w:val="24"/>
          <w:lang w:val="en-US"/>
        </w:rPr>
        <w:t>.</w:t>
      </w:r>
      <w:r>
        <w:rPr>
          <w:rFonts w:cs="Times New Roman"/>
          <w:sz w:val="24"/>
          <w:szCs w:val="24"/>
          <w:lang w:val="en-US"/>
        </w:rPr>
        <w:t xml:space="preserve"> </w:t>
      </w:r>
      <w:r w:rsidRPr="00760E40">
        <w:rPr>
          <w:rFonts w:cs="Times New Roman"/>
          <w:sz w:val="24"/>
          <w:szCs w:val="24"/>
          <w:lang w:val="en-US"/>
        </w:rPr>
        <w:t xml:space="preserve">The </w:t>
      </w:r>
      <w:r w:rsidRPr="006E7247">
        <w:rPr>
          <w:rFonts w:cs="Times New Roman"/>
          <w:sz w:val="24"/>
          <w:szCs w:val="24"/>
          <w:lang w:val="en-US"/>
        </w:rPr>
        <w:t xml:space="preserve">average age </w:t>
      </w:r>
      <w:r>
        <w:rPr>
          <w:rFonts w:cs="Times New Roman"/>
          <w:sz w:val="24"/>
          <w:szCs w:val="24"/>
          <w:lang w:val="en-US"/>
        </w:rPr>
        <w:t xml:space="preserve">at enrollment </w:t>
      </w:r>
      <w:r w:rsidRPr="006E7247">
        <w:rPr>
          <w:rFonts w:cs="Times New Roman"/>
          <w:sz w:val="24"/>
          <w:szCs w:val="24"/>
          <w:lang w:val="en-US"/>
        </w:rPr>
        <w:t>of</w:t>
      </w:r>
      <w:r w:rsidRPr="00760E40">
        <w:rPr>
          <w:rFonts w:cs="Times New Roman"/>
          <w:sz w:val="24"/>
          <w:szCs w:val="24"/>
          <w:lang w:val="en-US"/>
        </w:rPr>
        <w:t xml:space="preserve"> the </w:t>
      </w:r>
      <w:r w:rsidRPr="00760E40">
        <w:rPr>
          <w:rFonts w:cs="Times New Roman"/>
          <w:sz w:val="24"/>
          <w:szCs w:val="24"/>
          <w:lang w:val="en-US"/>
        </w:rPr>
        <w:lastRenderedPageBreak/>
        <w:t xml:space="preserve">control population was </w:t>
      </w:r>
      <w:r>
        <w:rPr>
          <w:rFonts w:cs="Times New Roman"/>
          <w:sz w:val="24"/>
          <w:szCs w:val="24"/>
          <w:lang w:val="en-US"/>
        </w:rPr>
        <w:t xml:space="preserve">52.8±16.8 </w:t>
      </w:r>
      <w:r w:rsidRPr="00760E40">
        <w:rPr>
          <w:rFonts w:cs="Times New Roman"/>
          <w:sz w:val="24"/>
          <w:szCs w:val="24"/>
          <w:lang w:val="en-US"/>
        </w:rPr>
        <w:t>years</w:t>
      </w:r>
      <w:r>
        <w:rPr>
          <w:rFonts w:cs="Times New Roman"/>
          <w:sz w:val="24"/>
          <w:szCs w:val="24"/>
          <w:lang w:val="en-US"/>
        </w:rPr>
        <w:t xml:space="preserve"> (data were missing for 21 individuals)</w:t>
      </w:r>
      <w:r w:rsidRPr="00760E40">
        <w:rPr>
          <w:rFonts w:cs="Times New Roman"/>
          <w:sz w:val="24"/>
          <w:szCs w:val="24"/>
          <w:lang w:val="en-US"/>
        </w:rPr>
        <w:t xml:space="preserve">, with </w:t>
      </w:r>
      <w:r>
        <w:rPr>
          <w:rFonts w:cs="Times New Roman"/>
          <w:sz w:val="24"/>
          <w:szCs w:val="24"/>
          <w:lang w:val="en-US"/>
        </w:rPr>
        <w:t>38.4</w:t>
      </w:r>
      <w:r w:rsidRPr="00760E40">
        <w:rPr>
          <w:rFonts w:cs="Times New Roman"/>
          <w:sz w:val="24"/>
          <w:szCs w:val="24"/>
          <w:lang w:val="en-US"/>
        </w:rPr>
        <w:t>% men (</w:t>
      </w:r>
      <w:r>
        <w:rPr>
          <w:rFonts w:cs="Times New Roman"/>
          <w:sz w:val="24"/>
          <w:szCs w:val="24"/>
          <w:lang w:val="en-US"/>
        </w:rPr>
        <w:t xml:space="preserve">data were missing for 15 individuals). </w:t>
      </w:r>
      <w:r w:rsidRPr="00144D11">
        <w:rPr>
          <w:rFonts w:cs="Times New Roman"/>
          <w:sz w:val="24"/>
          <w:szCs w:val="24"/>
          <w:lang w:val="en-US"/>
        </w:rPr>
        <w:t xml:space="preserve">All participants </w:t>
      </w:r>
      <w:r>
        <w:rPr>
          <w:rFonts w:cs="Times New Roman"/>
          <w:sz w:val="24"/>
          <w:szCs w:val="24"/>
          <w:lang w:val="en-US"/>
        </w:rPr>
        <w:t>in both PD and RLS cohorts signed informed</w:t>
      </w:r>
      <w:r w:rsidRPr="00144D11">
        <w:rPr>
          <w:rFonts w:cs="Times New Roman"/>
          <w:sz w:val="24"/>
          <w:szCs w:val="24"/>
          <w:lang w:val="en-US"/>
        </w:rPr>
        <w:t xml:space="preserve"> consent </w:t>
      </w:r>
      <w:r>
        <w:rPr>
          <w:rFonts w:cs="Times New Roman"/>
          <w:sz w:val="24"/>
          <w:szCs w:val="24"/>
          <w:lang w:val="en-US"/>
        </w:rPr>
        <w:t>at enrollment, and the study protocols</w:t>
      </w:r>
      <w:r w:rsidRPr="00144D11">
        <w:rPr>
          <w:rFonts w:cs="Times New Roman"/>
          <w:sz w:val="24"/>
          <w:szCs w:val="24"/>
          <w:lang w:val="en-US"/>
        </w:rPr>
        <w:t xml:space="preserve"> w</w:t>
      </w:r>
      <w:r w:rsidR="00DA0E3E">
        <w:rPr>
          <w:rFonts w:cs="Times New Roman"/>
          <w:sz w:val="24"/>
          <w:szCs w:val="24"/>
          <w:lang w:val="en-US"/>
        </w:rPr>
        <w:t xml:space="preserve"> </w:t>
      </w:r>
      <w:r w:rsidRPr="00144D11">
        <w:rPr>
          <w:rFonts w:cs="Times New Roman"/>
          <w:sz w:val="24"/>
          <w:szCs w:val="24"/>
          <w:lang w:val="en-US"/>
        </w:rPr>
        <w:t>ere approved by the institutional ethics review boards.</w:t>
      </w:r>
    </w:p>
    <w:p w:rsidR="005118E2" w:rsidRPr="00EF70F1" w:rsidRDefault="005118E2" w:rsidP="00EF70F1">
      <w:pPr>
        <w:widowControl w:val="0"/>
        <w:autoSpaceDE w:val="0"/>
        <w:autoSpaceDN w:val="0"/>
        <w:adjustRightInd w:val="0"/>
        <w:spacing w:after="240"/>
        <w:jc w:val="both"/>
        <w:rPr>
          <w:rFonts w:cs="Times New Roman"/>
          <w:i/>
          <w:iCs/>
          <w:sz w:val="24"/>
          <w:szCs w:val="24"/>
          <w:lang w:val="en-US"/>
        </w:rPr>
      </w:pPr>
      <w:r w:rsidRPr="00EF70F1">
        <w:rPr>
          <w:rFonts w:cs="Times New Roman"/>
          <w:i/>
          <w:iCs/>
          <w:sz w:val="24"/>
          <w:szCs w:val="24"/>
          <w:lang w:val="en-US"/>
        </w:rPr>
        <w:t>Selection of SNPs and genotyping</w:t>
      </w:r>
    </w:p>
    <w:p w:rsidR="005118E2" w:rsidRPr="00DB6D07" w:rsidRDefault="005118E2" w:rsidP="00DB6D07">
      <w:pPr>
        <w:widowControl w:val="0"/>
        <w:autoSpaceDE w:val="0"/>
        <w:autoSpaceDN w:val="0"/>
        <w:adjustRightInd w:val="0"/>
        <w:spacing w:after="240"/>
        <w:jc w:val="both"/>
        <w:rPr>
          <w:rFonts w:cs="Times New Roman"/>
          <w:i/>
          <w:iCs/>
          <w:sz w:val="24"/>
          <w:szCs w:val="24"/>
          <w:lang w:val="en-US"/>
        </w:rPr>
      </w:pPr>
      <w:r w:rsidRPr="00144D11">
        <w:rPr>
          <w:rFonts w:cs="Times New Roman"/>
          <w:sz w:val="24"/>
          <w:szCs w:val="24"/>
          <w:lang w:val="en-US"/>
        </w:rPr>
        <w:t xml:space="preserve">Two single nucleotide polymorphism (SNPs) </w:t>
      </w:r>
      <w:r>
        <w:rPr>
          <w:rFonts w:cs="Times New Roman"/>
          <w:sz w:val="24"/>
          <w:szCs w:val="24"/>
          <w:lang w:val="en-US"/>
        </w:rPr>
        <w:t>in the</w:t>
      </w:r>
      <w:r w:rsidRPr="00144D11">
        <w:rPr>
          <w:rFonts w:cs="Times New Roman"/>
          <w:sz w:val="24"/>
          <w:szCs w:val="24"/>
          <w:lang w:val="en-US"/>
        </w:rPr>
        <w:t xml:space="preserve"> </w:t>
      </w:r>
      <w:r w:rsidRPr="00A265AC">
        <w:rPr>
          <w:rFonts w:cs="Times New Roman"/>
          <w:i/>
          <w:iCs/>
          <w:sz w:val="24"/>
          <w:szCs w:val="24"/>
          <w:lang w:val="en-US"/>
        </w:rPr>
        <w:t>TOX3</w:t>
      </w:r>
      <w:r w:rsidRPr="00144D11">
        <w:rPr>
          <w:rFonts w:cs="Times New Roman"/>
          <w:sz w:val="24"/>
          <w:szCs w:val="24"/>
          <w:lang w:val="en-US"/>
        </w:rPr>
        <w:t xml:space="preserve"> </w:t>
      </w:r>
      <w:r>
        <w:rPr>
          <w:rFonts w:cs="Times New Roman"/>
          <w:sz w:val="24"/>
          <w:szCs w:val="24"/>
          <w:lang w:val="en-US"/>
        </w:rPr>
        <w:t>locus</w:t>
      </w:r>
      <w:r w:rsidRPr="00144D11">
        <w:rPr>
          <w:rFonts w:cs="Times New Roman"/>
          <w:sz w:val="24"/>
          <w:szCs w:val="24"/>
          <w:lang w:val="en-US"/>
        </w:rPr>
        <w:t xml:space="preserve"> </w:t>
      </w:r>
      <w:r>
        <w:rPr>
          <w:rFonts w:cs="Times New Roman"/>
          <w:sz w:val="24"/>
          <w:szCs w:val="24"/>
          <w:lang w:val="en-US"/>
        </w:rPr>
        <w:t xml:space="preserve">on chromosome 16q12.1 </w:t>
      </w:r>
      <w:r w:rsidRPr="00144D11">
        <w:rPr>
          <w:rFonts w:cs="Times New Roman"/>
          <w:sz w:val="24"/>
          <w:szCs w:val="24"/>
          <w:lang w:val="en-US"/>
        </w:rPr>
        <w:t>were selected</w:t>
      </w:r>
      <w:r>
        <w:rPr>
          <w:rFonts w:cs="Times New Roman"/>
          <w:sz w:val="24"/>
          <w:szCs w:val="24"/>
          <w:lang w:val="en-US"/>
        </w:rPr>
        <w:t xml:space="preserve"> for genotyping in the two cohorts. One SNP which was associated </w:t>
      </w:r>
      <w:r w:rsidRPr="00144D11">
        <w:rPr>
          <w:rFonts w:cs="Times New Roman"/>
          <w:sz w:val="24"/>
          <w:szCs w:val="24"/>
          <w:lang w:val="en-US"/>
        </w:rPr>
        <w:t>with</w:t>
      </w:r>
      <w:r>
        <w:rPr>
          <w:rFonts w:cs="Times New Roman"/>
          <w:sz w:val="24"/>
          <w:szCs w:val="24"/>
          <w:lang w:val="en-US"/>
        </w:rPr>
        <w:t xml:space="preserve"> risk for</w:t>
      </w:r>
      <w:r w:rsidRPr="00144D11">
        <w:rPr>
          <w:rFonts w:cs="Times New Roman"/>
          <w:sz w:val="24"/>
          <w:szCs w:val="24"/>
          <w:lang w:val="en-US"/>
        </w:rPr>
        <w:t xml:space="preserve"> RLS</w:t>
      </w:r>
      <w:r>
        <w:rPr>
          <w:rFonts w:cs="Times New Roman"/>
          <w:sz w:val="24"/>
          <w:szCs w:val="24"/>
          <w:lang w:val="en-US"/>
        </w:rPr>
        <w:t>,</w:t>
      </w:r>
      <w:r w:rsidRPr="00144D11">
        <w:rPr>
          <w:rFonts w:cs="Times New Roman"/>
          <w:sz w:val="24"/>
          <w:szCs w:val="24"/>
          <w:lang w:val="en-US"/>
        </w:rPr>
        <w:t xml:space="preserve"> </w:t>
      </w:r>
      <w:r w:rsidRPr="00144D11">
        <w:rPr>
          <w:rFonts w:eastAsia="Times New Roman" w:cs="Times New Roman"/>
          <w:color w:val="000000"/>
          <w:sz w:val="24"/>
          <w:szCs w:val="24"/>
          <w:shd w:val="clear" w:color="auto" w:fill="FFFFFF"/>
          <w:lang w:val="en-US"/>
        </w:rPr>
        <w:t>rs3104767</w:t>
      </w:r>
      <w:r w:rsidR="00DA0E3E">
        <w:rPr>
          <w:rFonts w:eastAsia="Times New Roman" w:cs="Times New Roman"/>
          <w:color w:val="000000"/>
          <w:sz w:val="24"/>
          <w:szCs w:val="24"/>
          <w:shd w:val="clear" w:color="auto" w:fill="FFFFFF"/>
          <w:lang w:val="en-US"/>
        </w:rPr>
        <w:t xml:space="preserve"> </w:t>
      </w:r>
      <w:r w:rsidR="00DA0E3E">
        <w:rPr>
          <w:rFonts w:eastAsia="Times New Roman" w:cs="Times New Roman"/>
          <w:noProof/>
          <w:color w:val="000000"/>
          <w:sz w:val="24"/>
          <w:szCs w:val="24"/>
          <w:shd w:val="clear" w:color="auto" w:fill="FFFFFF"/>
          <w:lang w:val="en-US"/>
        </w:rPr>
        <w:t>(Winkelmann</w:t>
      </w:r>
      <w:r>
        <w:rPr>
          <w:rFonts w:eastAsia="Times New Roman" w:cs="Times New Roman"/>
          <w:noProof/>
          <w:color w:val="000000"/>
          <w:sz w:val="24"/>
          <w:szCs w:val="24"/>
          <w:shd w:val="clear" w:color="auto" w:fill="FFFFFF"/>
          <w:lang w:val="en-US"/>
        </w:rPr>
        <w:t xml:space="preserve"> et al. 2011)</w:t>
      </w:r>
      <w:r w:rsidR="00DA0E3E">
        <w:rPr>
          <w:rFonts w:eastAsia="Times New Roman" w:cs="Times New Roman"/>
          <w:noProof/>
          <w:color w:val="000000"/>
          <w:sz w:val="24"/>
          <w:szCs w:val="24"/>
          <w:shd w:val="clear" w:color="auto" w:fill="FFFFFF"/>
          <w:lang w:val="en-US"/>
        </w:rPr>
        <w:t>,</w:t>
      </w:r>
      <w:r>
        <w:rPr>
          <w:rFonts w:eastAsia="Times New Roman" w:cs="Times New Roman"/>
          <w:color w:val="000000"/>
          <w:sz w:val="24"/>
          <w:szCs w:val="24"/>
          <w:shd w:val="clear" w:color="auto" w:fill="FFFFFF"/>
          <w:lang w:val="en-US"/>
        </w:rPr>
        <w:t xml:space="preserve"> and a</w:t>
      </w:r>
      <w:r w:rsidRPr="00144D11">
        <w:rPr>
          <w:rFonts w:eastAsia="Times New Roman" w:cs="Times New Roman"/>
          <w:color w:val="000000"/>
          <w:sz w:val="24"/>
          <w:szCs w:val="24"/>
          <w:shd w:val="clear" w:color="auto" w:fill="FFFFFF"/>
          <w:lang w:val="en-US"/>
        </w:rPr>
        <w:t xml:space="preserve"> </w:t>
      </w:r>
      <w:r w:rsidRPr="00144D11">
        <w:rPr>
          <w:rFonts w:cs="Times New Roman"/>
          <w:color w:val="000000"/>
          <w:sz w:val="24"/>
          <w:szCs w:val="24"/>
          <w:lang w:val="en-US"/>
        </w:rPr>
        <w:t>second SNP</w:t>
      </w:r>
      <w:r w:rsidRPr="00144D11">
        <w:rPr>
          <w:rFonts w:cs="Times New Roman"/>
          <w:sz w:val="24"/>
          <w:szCs w:val="24"/>
          <w:lang w:val="en-US"/>
        </w:rPr>
        <w:t xml:space="preserve">, </w:t>
      </w:r>
      <w:r w:rsidRPr="00144D11">
        <w:rPr>
          <w:rFonts w:eastAsia="Times New Roman" w:cs="Times New Roman"/>
          <w:sz w:val="24"/>
          <w:szCs w:val="24"/>
          <w:shd w:val="clear" w:color="auto" w:fill="FFFFFF"/>
          <w:lang w:val="en-US"/>
        </w:rPr>
        <w:t xml:space="preserve">rs4784226, </w:t>
      </w:r>
      <w:r>
        <w:rPr>
          <w:rFonts w:eastAsia="Times New Roman" w:cs="Times New Roman"/>
          <w:sz w:val="24"/>
          <w:szCs w:val="24"/>
          <w:shd w:val="clear" w:color="auto" w:fill="FFFFFF"/>
          <w:lang w:val="en-US"/>
        </w:rPr>
        <w:t>associated wi</w:t>
      </w:r>
      <w:r w:rsidR="00DA0E3E">
        <w:rPr>
          <w:rFonts w:eastAsia="Times New Roman" w:cs="Times New Roman"/>
          <w:sz w:val="24"/>
          <w:szCs w:val="24"/>
          <w:shd w:val="clear" w:color="auto" w:fill="FFFFFF"/>
          <w:lang w:val="en-US"/>
        </w:rPr>
        <w:t>th risk for PD (</w:t>
      </w:r>
      <w:r w:rsidR="00DA0E3E" w:rsidRPr="00900B42">
        <w:rPr>
          <w:rFonts w:eastAsia="Times New Roman" w:cs="Times New Roman"/>
          <w:sz w:val="24"/>
          <w:szCs w:val="24"/>
          <w:shd w:val="clear" w:color="auto" w:fill="FFFFFF"/>
          <w:lang w:val="en-US"/>
        </w:rPr>
        <w:t>www.pdgene.org</w:t>
      </w:r>
      <w:r w:rsidR="00DA0E3E">
        <w:rPr>
          <w:rFonts w:eastAsia="Times New Roman" w:cs="Times New Roman"/>
          <w:sz w:val="24"/>
          <w:szCs w:val="24"/>
          <w:shd w:val="clear" w:color="auto" w:fill="FFFFFF"/>
          <w:lang w:val="en-US"/>
        </w:rPr>
        <w:t xml:space="preserve">) </w:t>
      </w:r>
      <w:r w:rsidR="00DA0E3E">
        <w:rPr>
          <w:rFonts w:eastAsia="Times New Roman" w:cs="Times New Roman"/>
          <w:noProof/>
          <w:sz w:val="24"/>
          <w:szCs w:val="24"/>
          <w:shd w:val="clear" w:color="auto" w:fill="FFFFFF"/>
          <w:lang w:val="en-US"/>
        </w:rPr>
        <w:t>(Chang</w:t>
      </w:r>
      <w:r>
        <w:rPr>
          <w:rFonts w:eastAsia="Times New Roman" w:cs="Times New Roman"/>
          <w:noProof/>
          <w:sz w:val="24"/>
          <w:szCs w:val="24"/>
          <w:shd w:val="clear" w:color="auto" w:fill="FFFFFF"/>
          <w:lang w:val="en-US"/>
        </w:rPr>
        <w:t xml:space="preserve"> et al. 2017)</w:t>
      </w:r>
      <w:r w:rsidR="00DA0E3E">
        <w:rPr>
          <w:rFonts w:eastAsia="Times New Roman" w:cs="Times New Roman"/>
          <w:noProof/>
          <w:sz w:val="24"/>
          <w:szCs w:val="24"/>
          <w:shd w:val="clear" w:color="auto" w:fill="FFFFFF"/>
          <w:lang w:val="en-US"/>
        </w:rPr>
        <w:t>.</w:t>
      </w:r>
      <w:r>
        <w:rPr>
          <w:rFonts w:eastAsia="Times New Roman" w:cs="Times New Roman"/>
          <w:sz w:val="24"/>
          <w:szCs w:val="24"/>
          <w:shd w:val="clear" w:color="auto" w:fill="FFFFFF"/>
          <w:lang w:val="en-US"/>
        </w:rPr>
        <w:t xml:space="preserve"> Of note, the </w:t>
      </w:r>
      <w:r w:rsidRPr="007910C6">
        <w:rPr>
          <w:rFonts w:eastAsia="Times New Roman" w:cs="Times New Roman"/>
          <w:sz w:val="24"/>
          <w:szCs w:val="24"/>
          <w:shd w:val="clear" w:color="auto" w:fill="FFFFFF"/>
          <w:lang w:val="en-US"/>
        </w:rPr>
        <w:t>rs4784227</w:t>
      </w:r>
      <w:r>
        <w:rPr>
          <w:rFonts w:eastAsia="Times New Roman" w:cs="Times New Roman"/>
          <w:sz w:val="24"/>
          <w:szCs w:val="24"/>
          <w:shd w:val="clear" w:color="auto" w:fill="FFFFFF"/>
          <w:lang w:val="en-US"/>
        </w:rPr>
        <w:t xml:space="preserve"> </w:t>
      </w:r>
      <w:r w:rsidR="00DA0E3E">
        <w:rPr>
          <w:rFonts w:eastAsia="Times New Roman" w:cs="Times New Roman"/>
          <w:sz w:val="24"/>
          <w:szCs w:val="24"/>
          <w:shd w:val="clear" w:color="auto" w:fill="FFFFFF"/>
          <w:lang w:val="en-US"/>
        </w:rPr>
        <w:t xml:space="preserve">SNP </w:t>
      </w:r>
      <w:r>
        <w:rPr>
          <w:rFonts w:eastAsia="Times New Roman" w:cs="Times New Roman"/>
          <w:sz w:val="24"/>
          <w:szCs w:val="24"/>
          <w:shd w:val="clear" w:color="auto" w:fill="FFFFFF"/>
          <w:lang w:val="en-US"/>
        </w:rPr>
        <w:t>from the recent PD GWAS</w:t>
      </w:r>
      <w:r w:rsidR="00DA0E3E">
        <w:rPr>
          <w:rFonts w:eastAsia="Times New Roman" w:cs="Times New Roman"/>
          <w:sz w:val="24"/>
          <w:szCs w:val="24"/>
          <w:shd w:val="clear" w:color="auto" w:fill="FFFFFF"/>
          <w:lang w:val="en-US"/>
        </w:rPr>
        <w:t xml:space="preserve"> </w:t>
      </w:r>
      <w:r w:rsidR="00DA0E3E">
        <w:rPr>
          <w:rFonts w:eastAsia="Times New Roman" w:cs="Times New Roman"/>
          <w:noProof/>
          <w:sz w:val="24"/>
          <w:szCs w:val="24"/>
          <w:shd w:val="clear" w:color="auto" w:fill="FFFFFF"/>
          <w:lang w:val="en-US"/>
        </w:rPr>
        <w:t>(Chang</w:t>
      </w:r>
      <w:r>
        <w:rPr>
          <w:rFonts w:eastAsia="Times New Roman" w:cs="Times New Roman"/>
          <w:noProof/>
          <w:sz w:val="24"/>
          <w:szCs w:val="24"/>
          <w:shd w:val="clear" w:color="auto" w:fill="FFFFFF"/>
          <w:lang w:val="en-US"/>
        </w:rPr>
        <w:t xml:space="preserve"> et al. 2017)</w:t>
      </w:r>
      <w:r>
        <w:rPr>
          <w:rFonts w:eastAsia="Times New Roman" w:cs="Times New Roman"/>
          <w:sz w:val="24"/>
          <w:szCs w:val="24"/>
          <w:shd w:val="clear" w:color="auto" w:fill="FFFFFF"/>
          <w:lang w:val="en-US"/>
        </w:rPr>
        <w:t xml:space="preserve"> was not selected for analysis as this work was done prior to the publication of the GWAS and was based on the data in </w:t>
      </w:r>
      <w:proofErr w:type="spellStart"/>
      <w:r>
        <w:rPr>
          <w:rFonts w:eastAsia="Times New Roman" w:cs="Times New Roman"/>
          <w:sz w:val="24"/>
          <w:szCs w:val="24"/>
          <w:shd w:val="clear" w:color="auto" w:fill="FFFFFF"/>
          <w:lang w:val="en-US"/>
        </w:rPr>
        <w:t>PDgene</w:t>
      </w:r>
      <w:proofErr w:type="spellEnd"/>
      <w:r>
        <w:rPr>
          <w:rFonts w:eastAsia="Times New Roman" w:cs="Times New Roman"/>
          <w:sz w:val="24"/>
          <w:szCs w:val="24"/>
          <w:shd w:val="clear" w:color="auto" w:fill="FFFFFF"/>
          <w:lang w:val="en-US"/>
        </w:rPr>
        <w:t xml:space="preserve">. Importantly, these two SNPs, </w:t>
      </w:r>
      <w:r w:rsidRPr="00144D11">
        <w:rPr>
          <w:rFonts w:eastAsia="Times New Roman" w:cs="Times New Roman"/>
          <w:sz w:val="24"/>
          <w:szCs w:val="24"/>
          <w:shd w:val="clear" w:color="auto" w:fill="FFFFFF"/>
          <w:lang w:val="en-US"/>
        </w:rPr>
        <w:t>rs4784226</w:t>
      </w:r>
      <w:r>
        <w:rPr>
          <w:rFonts w:eastAsia="Times New Roman" w:cs="Times New Roman"/>
          <w:sz w:val="24"/>
          <w:szCs w:val="24"/>
          <w:shd w:val="clear" w:color="auto" w:fill="FFFFFF"/>
          <w:lang w:val="en-US"/>
        </w:rPr>
        <w:t xml:space="preserve"> and rs4784227, are in high LD (r</w:t>
      </w:r>
      <w:r w:rsidRPr="00452A5F">
        <w:rPr>
          <w:rFonts w:eastAsia="Times New Roman" w:cs="Times New Roman"/>
          <w:sz w:val="24"/>
          <w:szCs w:val="24"/>
          <w:shd w:val="clear" w:color="auto" w:fill="FFFFFF"/>
          <w:vertAlign w:val="superscript"/>
          <w:lang w:val="en-US"/>
        </w:rPr>
        <w:t>2</w:t>
      </w:r>
      <w:r>
        <w:rPr>
          <w:rFonts w:eastAsia="Times New Roman" w:cs="Times New Roman"/>
          <w:sz w:val="24"/>
          <w:szCs w:val="24"/>
          <w:shd w:val="clear" w:color="auto" w:fill="FFFFFF"/>
          <w:lang w:val="en-US"/>
        </w:rPr>
        <w:t xml:space="preserve">=0.9, D’=0.95), thus genotyping only one as a proxy is sufficient. </w:t>
      </w:r>
      <w:r w:rsidRPr="00144D11">
        <w:rPr>
          <w:rFonts w:cs="Times New Roman"/>
          <w:color w:val="000000"/>
          <w:sz w:val="24"/>
          <w:szCs w:val="24"/>
          <w:lang w:val="en-US"/>
        </w:rPr>
        <w:t>DNA was extracted from blood using a standard salting out protocol. The two SNPs were genotyped by TaqMan SNP genotyping assays following the manufacturer’s instruction</w:t>
      </w:r>
      <w:r>
        <w:rPr>
          <w:rFonts w:cs="Times New Roman"/>
          <w:color w:val="000000"/>
          <w:sz w:val="24"/>
          <w:szCs w:val="24"/>
          <w:lang w:val="en-US"/>
        </w:rPr>
        <w:t>s</w:t>
      </w:r>
      <w:r w:rsidRPr="00144D11">
        <w:rPr>
          <w:rFonts w:cs="Times New Roman"/>
          <w:color w:val="000000"/>
          <w:sz w:val="24"/>
          <w:szCs w:val="24"/>
          <w:lang w:val="en-US"/>
        </w:rPr>
        <w:t xml:space="preserve">. The genotypes were called using the </w:t>
      </w:r>
      <w:proofErr w:type="spellStart"/>
      <w:r w:rsidRPr="00144D11">
        <w:rPr>
          <w:rFonts w:cs="Times New Roman"/>
          <w:color w:val="000000"/>
          <w:sz w:val="24"/>
          <w:szCs w:val="24"/>
          <w:lang w:val="en-US"/>
        </w:rPr>
        <w:t>QuantStudio</w:t>
      </w:r>
      <w:r w:rsidRPr="00144D11">
        <w:rPr>
          <w:rFonts w:cs="Times New Roman"/>
          <w:color w:val="000000"/>
          <w:sz w:val="24"/>
          <w:szCs w:val="24"/>
          <w:vertAlign w:val="superscript"/>
          <w:lang w:val="en-US"/>
        </w:rPr>
        <w:t>TM</w:t>
      </w:r>
      <w:proofErr w:type="spellEnd"/>
      <w:r w:rsidRPr="00144D11">
        <w:rPr>
          <w:rFonts w:cs="Times New Roman"/>
          <w:color w:val="000000"/>
          <w:sz w:val="24"/>
          <w:szCs w:val="24"/>
          <w:lang w:val="en-US"/>
        </w:rPr>
        <w:t xml:space="preserve"> 7 Flex Real-Time PCR System and Softwa</w:t>
      </w:r>
      <w:r>
        <w:rPr>
          <w:rFonts w:cs="Times New Roman"/>
          <w:color w:val="000000"/>
          <w:sz w:val="24"/>
          <w:szCs w:val="24"/>
          <w:lang w:val="en-US"/>
        </w:rPr>
        <w:t>re (v 1.0) (Applied Biosystem).</w:t>
      </w:r>
    </w:p>
    <w:p w:rsidR="005118E2" w:rsidRPr="00EF70F1" w:rsidRDefault="005118E2" w:rsidP="00EF70F1">
      <w:pPr>
        <w:jc w:val="both"/>
        <w:rPr>
          <w:rFonts w:cs="Times New Roman"/>
          <w:i/>
          <w:iCs/>
          <w:sz w:val="24"/>
          <w:szCs w:val="24"/>
          <w:lang w:val="en-US"/>
        </w:rPr>
      </w:pPr>
      <w:r w:rsidRPr="00EF70F1">
        <w:rPr>
          <w:rFonts w:cs="Times New Roman"/>
          <w:i/>
          <w:iCs/>
          <w:sz w:val="24"/>
          <w:szCs w:val="24"/>
          <w:lang w:val="en-US"/>
        </w:rPr>
        <w:t xml:space="preserve">Statistical analysis </w:t>
      </w:r>
    </w:p>
    <w:p w:rsidR="005118E2" w:rsidRDefault="005118E2" w:rsidP="00DA0E3E">
      <w:pPr>
        <w:jc w:val="both"/>
        <w:rPr>
          <w:rFonts w:cs="Times New Roman"/>
          <w:color w:val="000000"/>
          <w:sz w:val="24"/>
          <w:szCs w:val="24"/>
          <w:lang w:val="en-US"/>
        </w:rPr>
      </w:pPr>
      <w:r>
        <w:rPr>
          <w:rFonts w:cs="Times New Roman"/>
          <w:color w:val="000000"/>
          <w:sz w:val="24"/>
          <w:szCs w:val="24"/>
          <w:lang w:val="en-US"/>
        </w:rPr>
        <w:t>G</w:t>
      </w:r>
      <w:r w:rsidRPr="00144D11">
        <w:rPr>
          <w:rFonts w:cs="Times New Roman"/>
          <w:color w:val="000000"/>
          <w:sz w:val="24"/>
          <w:szCs w:val="24"/>
          <w:lang w:val="en-US"/>
        </w:rPr>
        <w:t>oodness-of-fit test was applied to look for deviation from Hardy-Weinberg equilibrium</w:t>
      </w:r>
      <w:r>
        <w:rPr>
          <w:rFonts w:cs="Times New Roman"/>
          <w:color w:val="000000"/>
          <w:sz w:val="24"/>
          <w:szCs w:val="24"/>
          <w:lang w:val="en-US"/>
        </w:rPr>
        <w:t xml:space="preserve"> (HWE)</w:t>
      </w:r>
      <w:r w:rsidRPr="00144D11">
        <w:rPr>
          <w:rFonts w:cs="Times New Roman"/>
          <w:color w:val="000000"/>
          <w:sz w:val="24"/>
          <w:szCs w:val="24"/>
          <w:lang w:val="en-US"/>
        </w:rPr>
        <w:t xml:space="preserve">. </w:t>
      </w:r>
      <w:r w:rsidRPr="00144D11">
        <w:rPr>
          <w:rFonts w:cs="Times New Roman"/>
          <w:i/>
          <w:color w:val="000000"/>
          <w:sz w:val="24"/>
          <w:szCs w:val="24"/>
          <w:lang w:val="en-US"/>
        </w:rPr>
        <w:t>χ2</w:t>
      </w:r>
      <w:r w:rsidRPr="00144D11">
        <w:rPr>
          <w:rFonts w:cs="Times New Roman"/>
          <w:color w:val="000000"/>
          <w:sz w:val="24"/>
          <w:szCs w:val="24"/>
          <w:lang w:val="en-US"/>
        </w:rPr>
        <w:t xml:space="preserve"> and Student’s </w:t>
      </w:r>
      <w:r w:rsidRPr="00144D11">
        <w:rPr>
          <w:rFonts w:cs="Times New Roman"/>
          <w:i/>
          <w:color w:val="000000"/>
          <w:sz w:val="24"/>
          <w:szCs w:val="24"/>
          <w:lang w:val="en-US"/>
        </w:rPr>
        <w:t>t</w:t>
      </w:r>
      <w:r w:rsidRPr="00144D11">
        <w:rPr>
          <w:rFonts w:cs="Times New Roman"/>
          <w:color w:val="000000"/>
          <w:sz w:val="24"/>
          <w:szCs w:val="24"/>
          <w:lang w:val="en-US"/>
        </w:rPr>
        <w:t xml:space="preserve">-tests were used to determine differences in </w:t>
      </w:r>
      <w:r>
        <w:rPr>
          <w:rFonts w:cs="Times New Roman"/>
          <w:color w:val="000000"/>
          <w:sz w:val="24"/>
          <w:szCs w:val="24"/>
          <w:lang w:val="en-US"/>
        </w:rPr>
        <w:t>sex</w:t>
      </w:r>
      <w:r w:rsidRPr="00144D11">
        <w:rPr>
          <w:rFonts w:cs="Times New Roman"/>
          <w:color w:val="000000"/>
          <w:sz w:val="24"/>
          <w:szCs w:val="24"/>
          <w:lang w:val="en-US"/>
        </w:rPr>
        <w:t xml:space="preserve"> and age, respectively. To examine the association of </w:t>
      </w:r>
      <w:r w:rsidRPr="00994239">
        <w:rPr>
          <w:rFonts w:cs="Times New Roman"/>
          <w:i/>
          <w:iCs/>
          <w:color w:val="000000"/>
          <w:sz w:val="24"/>
          <w:szCs w:val="24"/>
          <w:lang w:val="en-US"/>
        </w:rPr>
        <w:t>TOX3</w:t>
      </w:r>
      <w:r w:rsidRPr="00144D11">
        <w:rPr>
          <w:rFonts w:cs="Times New Roman"/>
          <w:color w:val="000000"/>
          <w:sz w:val="24"/>
          <w:szCs w:val="24"/>
          <w:lang w:val="en-US"/>
        </w:rPr>
        <w:t xml:space="preserve"> </w:t>
      </w:r>
      <w:r>
        <w:rPr>
          <w:rFonts w:cs="Times New Roman"/>
          <w:color w:val="000000"/>
          <w:sz w:val="24"/>
          <w:szCs w:val="24"/>
          <w:lang w:val="en-US"/>
        </w:rPr>
        <w:t xml:space="preserve">locus </w:t>
      </w:r>
      <w:r w:rsidRPr="00144D11">
        <w:rPr>
          <w:rFonts w:cs="Times New Roman"/>
          <w:color w:val="000000"/>
          <w:sz w:val="24"/>
          <w:szCs w:val="24"/>
          <w:lang w:val="en-US"/>
        </w:rPr>
        <w:t xml:space="preserve">variants, binary logistic regression was applied </w:t>
      </w:r>
      <w:r>
        <w:rPr>
          <w:rFonts w:cs="Times New Roman"/>
          <w:color w:val="000000"/>
          <w:sz w:val="24"/>
          <w:szCs w:val="24"/>
          <w:lang w:val="en-US"/>
        </w:rPr>
        <w:t>with status (patient/</w:t>
      </w:r>
      <w:r w:rsidRPr="00144D11">
        <w:rPr>
          <w:rFonts w:cs="Times New Roman"/>
          <w:color w:val="000000"/>
          <w:sz w:val="24"/>
          <w:szCs w:val="24"/>
          <w:lang w:val="en-US"/>
        </w:rPr>
        <w:t>control) as a dependent variable</w:t>
      </w:r>
      <w:r>
        <w:rPr>
          <w:rFonts w:cs="Times New Roman"/>
          <w:color w:val="000000"/>
          <w:sz w:val="24"/>
          <w:szCs w:val="24"/>
          <w:lang w:val="en-US"/>
        </w:rPr>
        <w:t>, SNP genotypes as independent variables</w:t>
      </w:r>
      <w:r w:rsidRPr="00144D11">
        <w:rPr>
          <w:rFonts w:cs="Times New Roman"/>
          <w:color w:val="000000"/>
          <w:sz w:val="24"/>
          <w:szCs w:val="24"/>
          <w:lang w:val="en-US"/>
        </w:rPr>
        <w:t xml:space="preserve"> and age and sex as covariates. </w:t>
      </w:r>
      <w:r>
        <w:rPr>
          <w:rFonts w:cs="Times New Roman"/>
          <w:color w:val="000000"/>
          <w:sz w:val="24"/>
          <w:szCs w:val="24"/>
          <w:lang w:val="en-US"/>
        </w:rPr>
        <w:t xml:space="preserve">Recessive and dominant regression models were also performed. </w:t>
      </w:r>
      <w:r w:rsidRPr="00144D11">
        <w:rPr>
          <w:rFonts w:cs="Times New Roman"/>
          <w:color w:val="000000"/>
          <w:sz w:val="24"/>
          <w:szCs w:val="24"/>
          <w:lang w:val="en-US"/>
        </w:rPr>
        <w:t xml:space="preserve">All statistical </w:t>
      </w:r>
      <w:r w:rsidRPr="00144D11">
        <w:rPr>
          <w:rFonts w:cs="Times New Roman"/>
          <w:color w:val="000000"/>
          <w:sz w:val="24"/>
          <w:szCs w:val="24"/>
          <w:lang w:val="en-US"/>
        </w:rPr>
        <w:lastRenderedPageBreak/>
        <w:t xml:space="preserve">analysis was done using Statistical Package for Social Science (SPSS) software </w:t>
      </w:r>
      <w:r w:rsidRPr="00144D11">
        <w:rPr>
          <w:rFonts w:cs="Times New Roman"/>
          <w:sz w:val="24"/>
          <w:szCs w:val="24"/>
          <w:lang w:val="en-US"/>
        </w:rPr>
        <w:t xml:space="preserve">V.23 (IBM </w:t>
      </w:r>
      <w:r w:rsidRPr="00144D11">
        <w:rPr>
          <w:rFonts w:cs="Times New Roman"/>
          <w:color w:val="000000"/>
          <w:sz w:val="24"/>
          <w:szCs w:val="24"/>
          <w:lang w:val="en-US"/>
        </w:rPr>
        <w:t>Inc)</w:t>
      </w:r>
      <w:r>
        <w:rPr>
          <w:rFonts w:cs="Times New Roman"/>
          <w:color w:val="000000"/>
          <w:sz w:val="24"/>
          <w:szCs w:val="24"/>
          <w:lang w:val="en-US"/>
        </w:rPr>
        <w:t xml:space="preserve"> and PLINK</w:t>
      </w:r>
      <w:r w:rsidRPr="00144D11">
        <w:rPr>
          <w:rFonts w:cs="Times New Roman"/>
          <w:color w:val="000000"/>
          <w:sz w:val="24"/>
          <w:szCs w:val="24"/>
          <w:lang w:val="en-US"/>
        </w:rPr>
        <w:t>.</w:t>
      </w:r>
      <w:r>
        <w:rPr>
          <w:rFonts w:cs="Times New Roman"/>
          <w:color w:val="000000"/>
          <w:sz w:val="24"/>
          <w:szCs w:val="24"/>
          <w:lang w:val="en-US"/>
        </w:rPr>
        <w:t xml:space="preserve"> Since two SNPs were tested in three models, Bonferroni correction for multiple comparisons was applied (</w:t>
      </w:r>
      <w:r>
        <w:rPr>
          <w:rFonts w:cs="Times New Roman"/>
          <w:i/>
          <w:iCs/>
          <w:color w:val="000000"/>
          <w:sz w:val="24"/>
          <w:szCs w:val="24"/>
          <w:lang w:val="en-US"/>
        </w:rPr>
        <w:t>p</w:t>
      </w:r>
      <w:r>
        <w:rPr>
          <w:rFonts w:cs="Times New Roman"/>
          <w:color w:val="000000"/>
          <w:sz w:val="24"/>
          <w:szCs w:val="24"/>
          <w:lang w:val="en-US"/>
        </w:rPr>
        <w:t>&lt;0.0083 was considered statistically significant).</w:t>
      </w:r>
      <w:r w:rsidR="00DA0E3E">
        <w:rPr>
          <w:rFonts w:cs="Times New Roman"/>
          <w:color w:val="000000"/>
          <w:sz w:val="24"/>
          <w:szCs w:val="24"/>
          <w:lang w:val="en-US"/>
        </w:rPr>
        <w:t xml:space="preserve"> </w:t>
      </w:r>
    </w:p>
    <w:p w:rsidR="00DA0E3E" w:rsidRDefault="00DA0E3E" w:rsidP="00DA0E3E">
      <w:pPr>
        <w:jc w:val="both"/>
        <w:rPr>
          <w:rFonts w:cs="Times New Roman"/>
          <w:b/>
          <w:sz w:val="24"/>
          <w:szCs w:val="24"/>
          <w:lang w:val="en-US"/>
        </w:rPr>
      </w:pPr>
    </w:p>
    <w:p w:rsidR="005118E2" w:rsidRPr="00EF70F1" w:rsidRDefault="005118E2" w:rsidP="00EF70F1">
      <w:pPr>
        <w:jc w:val="left"/>
        <w:rPr>
          <w:rFonts w:cs="Times New Roman"/>
          <w:b/>
          <w:sz w:val="24"/>
          <w:szCs w:val="24"/>
          <w:lang w:val="en-US"/>
        </w:rPr>
      </w:pPr>
      <w:r w:rsidRPr="00EF70F1">
        <w:rPr>
          <w:rFonts w:cs="Times New Roman"/>
          <w:b/>
          <w:sz w:val="24"/>
          <w:szCs w:val="24"/>
          <w:lang w:val="en-US"/>
        </w:rPr>
        <w:t>Results</w:t>
      </w:r>
    </w:p>
    <w:p w:rsidR="005118E2" w:rsidRDefault="005118E2" w:rsidP="00C61960">
      <w:pPr>
        <w:jc w:val="both"/>
        <w:rPr>
          <w:rFonts w:eastAsia="Times New Roman" w:cs="Times New Roman"/>
          <w:color w:val="000000"/>
          <w:sz w:val="24"/>
          <w:szCs w:val="24"/>
          <w:lang w:val="en-US"/>
        </w:rPr>
      </w:pPr>
      <w:r>
        <w:rPr>
          <w:rFonts w:cs="Times New Roman"/>
          <w:bCs/>
          <w:sz w:val="24"/>
          <w:szCs w:val="24"/>
          <w:lang w:val="en-US"/>
        </w:rPr>
        <w:t>The distribution of the two tested SNPs in the control populations did not deviate from HWE. The two SNPs were successfully genotyped in all samples and were in partial linkage disequilibrium (e.g. based on PD controls, D’=0.663, r</w:t>
      </w:r>
      <w:r w:rsidRPr="007713E5">
        <w:rPr>
          <w:rFonts w:cs="Times New Roman"/>
          <w:bCs/>
          <w:sz w:val="24"/>
          <w:szCs w:val="24"/>
          <w:vertAlign w:val="superscript"/>
          <w:lang w:val="en-US"/>
        </w:rPr>
        <w:t>2</w:t>
      </w:r>
      <w:r>
        <w:rPr>
          <w:rFonts w:cs="Times New Roman"/>
          <w:bCs/>
          <w:sz w:val="24"/>
          <w:szCs w:val="24"/>
          <w:lang w:val="en-US"/>
        </w:rPr>
        <w:t xml:space="preserve">=0.21, </w:t>
      </w:r>
      <w:r>
        <w:rPr>
          <w:rFonts w:cs="Times New Roman"/>
          <w:bCs/>
          <w:i/>
          <w:iCs/>
          <w:sz w:val="24"/>
          <w:szCs w:val="24"/>
          <w:lang w:val="en-US"/>
        </w:rPr>
        <w:t>p</w:t>
      </w:r>
      <w:r>
        <w:rPr>
          <w:rFonts w:cs="Times New Roman"/>
          <w:bCs/>
          <w:sz w:val="24"/>
          <w:szCs w:val="24"/>
          <w:lang w:val="en-US"/>
        </w:rPr>
        <w:t xml:space="preserve"> for LD &lt;0.001, nearly identical in the RLS controls). Table 1 details the distribution of genotypes of both SNPs in PD and RLS patients and controls. The allele frequencies of RLS-related SNP </w:t>
      </w:r>
      <w:r w:rsidRPr="009F0D5A">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in RLS patients and controls were 0.35 and 0.43, respectively (OR=0.70, 95%CI=0.56-0.86, </w:t>
      </w:r>
      <w:r>
        <w:rPr>
          <w:rFonts w:eastAsia="Times New Roman" w:cs="Times New Roman"/>
          <w:i/>
          <w:iCs/>
          <w:color w:val="000000"/>
          <w:sz w:val="24"/>
          <w:szCs w:val="24"/>
          <w:shd w:val="clear" w:color="auto" w:fill="FFFFFF"/>
          <w:lang w:val="en-US"/>
        </w:rPr>
        <w:t>p</w:t>
      </w:r>
      <w:r w:rsidRPr="00C15671">
        <w:rPr>
          <w:rFonts w:eastAsia="Times New Roman" w:cs="Times New Roman"/>
          <w:color w:val="000000"/>
          <w:sz w:val="24"/>
          <w:szCs w:val="24"/>
          <w:shd w:val="clear" w:color="auto" w:fill="FFFFFF"/>
          <w:lang w:val="en-US"/>
        </w:rPr>
        <w:t>=0.0007</w:t>
      </w:r>
      <w:r>
        <w:rPr>
          <w:rFonts w:eastAsia="Times New Roman" w:cs="Times New Roman"/>
          <w:color w:val="000000"/>
          <w:sz w:val="24"/>
          <w:szCs w:val="24"/>
          <w:shd w:val="clear" w:color="auto" w:fill="FFFFFF"/>
          <w:lang w:val="en-US"/>
        </w:rPr>
        <w:t>), in concordance wi</w:t>
      </w:r>
      <w:r w:rsidR="00DA0E3E">
        <w:rPr>
          <w:rFonts w:eastAsia="Times New Roman" w:cs="Times New Roman"/>
          <w:color w:val="000000"/>
          <w:sz w:val="24"/>
          <w:szCs w:val="24"/>
          <w:shd w:val="clear" w:color="auto" w:fill="FFFFFF"/>
          <w:lang w:val="en-US"/>
        </w:rPr>
        <w:t xml:space="preserve">th the previously reported GWAS </w:t>
      </w:r>
      <w:r w:rsidR="00DA0E3E">
        <w:rPr>
          <w:rFonts w:eastAsia="Times New Roman" w:cs="Times New Roman"/>
          <w:noProof/>
          <w:color w:val="000000"/>
          <w:sz w:val="24"/>
          <w:szCs w:val="24"/>
          <w:shd w:val="clear" w:color="auto" w:fill="FFFFFF"/>
          <w:lang w:val="en-US"/>
        </w:rPr>
        <w:t xml:space="preserve">(Winkelmann </w:t>
      </w:r>
      <w:r>
        <w:rPr>
          <w:rFonts w:eastAsia="Times New Roman" w:cs="Times New Roman"/>
          <w:noProof/>
          <w:color w:val="000000"/>
          <w:sz w:val="24"/>
          <w:szCs w:val="24"/>
          <w:shd w:val="clear" w:color="auto" w:fill="FFFFFF"/>
          <w:lang w:val="en-US"/>
        </w:rPr>
        <w:t>et al. 2011)</w:t>
      </w:r>
      <w:r w:rsidR="00DA0E3E">
        <w:rPr>
          <w:rFonts w:eastAsia="Times New Roman" w:cs="Times New Roman"/>
          <w:noProof/>
          <w:color w:val="000000"/>
          <w:sz w:val="24"/>
          <w:szCs w:val="24"/>
          <w:shd w:val="clear" w:color="auto" w:fill="FFFFFF"/>
          <w:lang w:val="en-US"/>
        </w:rPr>
        <w:t>.</w:t>
      </w:r>
      <w:r>
        <w:rPr>
          <w:rFonts w:eastAsia="Times New Roman" w:cs="Times New Roman"/>
          <w:color w:val="000000"/>
          <w:sz w:val="24"/>
          <w:szCs w:val="24"/>
          <w:shd w:val="clear" w:color="auto" w:fill="FFFFFF"/>
          <w:lang w:val="en-US"/>
        </w:rPr>
        <w:t xml:space="preserve"> The allele frequencies of this SNP in PD patients and controls, however, were 0.46 and 0.44, with opposite, non-significant directionality (OR=1.12, 95%CI=0.95-1.31, </w:t>
      </w:r>
      <w:r>
        <w:rPr>
          <w:rFonts w:eastAsia="Times New Roman" w:cs="Times New Roman"/>
          <w:i/>
          <w:iCs/>
          <w:color w:val="000000"/>
          <w:sz w:val="24"/>
          <w:szCs w:val="24"/>
          <w:shd w:val="clear" w:color="auto" w:fill="FFFFFF"/>
          <w:lang w:val="en-US"/>
        </w:rPr>
        <w:t>p</w:t>
      </w:r>
      <w:r>
        <w:rPr>
          <w:rFonts w:eastAsia="Times New Roman" w:cs="Times New Roman"/>
          <w:color w:val="000000"/>
          <w:sz w:val="24"/>
          <w:szCs w:val="24"/>
          <w:shd w:val="clear" w:color="auto" w:fill="FFFFFF"/>
          <w:lang w:val="en-US"/>
        </w:rPr>
        <w:t xml:space="preserve">=0.17). The allele frequencies of the PD-associated SNP </w:t>
      </w:r>
      <w:r w:rsidRPr="006D28AA">
        <w:rPr>
          <w:rFonts w:eastAsia="Times New Roman" w:cs="Times New Roman"/>
          <w:color w:val="000000"/>
          <w:sz w:val="24"/>
          <w:szCs w:val="24"/>
          <w:lang w:val="en-US"/>
        </w:rPr>
        <w:t>rs4784226</w:t>
      </w:r>
      <w:r>
        <w:rPr>
          <w:rFonts w:eastAsia="Times New Roman" w:cs="Times New Roman"/>
          <w:color w:val="000000"/>
          <w:sz w:val="24"/>
          <w:szCs w:val="24"/>
          <w:lang w:val="en-US"/>
        </w:rPr>
        <w:t xml:space="preserve"> were neither associated with RLS (OR=0.79, 95%CI=0.62-1.01, </w:t>
      </w:r>
      <w:r>
        <w:rPr>
          <w:rFonts w:eastAsia="Times New Roman" w:cs="Times New Roman"/>
          <w:i/>
          <w:iCs/>
          <w:color w:val="000000"/>
          <w:sz w:val="24"/>
          <w:szCs w:val="24"/>
          <w:lang w:val="en-US"/>
        </w:rPr>
        <w:t>p=</w:t>
      </w:r>
      <w:r>
        <w:rPr>
          <w:rFonts w:eastAsia="Times New Roman" w:cs="Times New Roman"/>
          <w:color w:val="000000"/>
          <w:sz w:val="24"/>
          <w:szCs w:val="24"/>
          <w:lang w:val="en-US"/>
        </w:rPr>
        <w:t xml:space="preserve">0.07, Bonferroni corrected </w:t>
      </w:r>
      <w:r>
        <w:rPr>
          <w:rFonts w:eastAsia="Times New Roman" w:cs="Times New Roman"/>
          <w:i/>
          <w:iCs/>
          <w:color w:val="000000"/>
          <w:sz w:val="24"/>
          <w:szCs w:val="24"/>
          <w:lang w:val="en-US"/>
        </w:rPr>
        <w:t>p</w:t>
      </w:r>
      <w:r>
        <w:rPr>
          <w:rFonts w:eastAsia="Times New Roman" w:cs="Times New Roman"/>
          <w:color w:val="000000"/>
          <w:sz w:val="24"/>
          <w:szCs w:val="24"/>
          <w:lang w:val="en-US"/>
        </w:rPr>
        <w:t xml:space="preserve">=0.42) nor with PD (OR=1.01, 95%CI=0.85-1.20, </w:t>
      </w:r>
      <w:r>
        <w:rPr>
          <w:rFonts w:eastAsia="Times New Roman" w:cs="Times New Roman"/>
          <w:i/>
          <w:iCs/>
          <w:color w:val="000000"/>
          <w:sz w:val="24"/>
          <w:szCs w:val="24"/>
          <w:lang w:val="en-US"/>
        </w:rPr>
        <w:t>p</w:t>
      </w:r>
      <w:r>
        <w:rPr>
          <w:rFonts w:eastAsia="Times New Roman" w:cs="Times New Roman"/>
          <w:color w:val="000000"/>
          <w:sz w:val="24"/>
          <w:szCs w:val="24"/>
          <w:lang w:val="en-US"/>
        </w:rPr>
        <w:t xml:space="preserve">=0.92).  </w:t>
      </w:r>
    </w:p>
    <w:p w:rsidR="005118E2" w:rsidRDefault="005118E2" w:rsidP="00D624A5">
      <w:pPr>
        <w:ind w:firstLine="720"/>
        <w:jc w:val="both"/>
        <w:rPr>
          <w:rFonts w:cs="Times New Roman"/>
          <w:bCs/>
          <w:sz w:val="24"/>
          <w:szCs w:val="24"/>
          <w:lang w:val="en-US"/>
        </w:rPr>
      </w:pPr>
      <w:r>
        <w:rPr>
          <w:rFonts w:cs="Times New Roman"/>
          <w:bCs/>
          <w:sz w:val="24"/>
          <w:szCs w:val="24"/>
          <w:lang w:val="en-US"/>
        </w:rPr>
        <w:t xml:space="preserve">We further performed logistic regression adjusted for age and sex (Table 1). </w:t>
      </w:r>
      <w:r>
        <w:rPr>
          <w:rFonts w:eastAsia="Times New Roman" w:cs="Times New Roman"/>
          <w:color w:val="000000"/>
          <w:sz w:val="24"/>
          <w:szCs w:val="24"/>
          <w:shd w:val="clear" w:color="auto" w:fill="FFFFFF"/>
          <w:lang w:val="en-US"/>
        </w:rPr>
        <w:t xml:space="preserve">Interestingly, a nominal association, with an inverse effect to that of RLS was observed for homozygous carriers of the </w:t>
      </w:r>
      <w:r w:rsidRPr="009F0D5A">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SNP in PD (OR=1.62, 95%CI=1.05-2.54, </w:t>
      </w:r>
      <w:r>
        <w:rPr>
          <w:rFonts w:eastAsia="Times New Roman" w:cs="Times New Roman"/>
          <w:i/>
          <w:iCs/>
          <w:color w:val="000000"/>
          <w:sz w:val="24"/>
          <w:szCs w:val="24"/>
          <w:shd w:val="clear" w:color="auto" w:fill="FFFFFF"/>
          <w:lang w:val="en-US"/>
        </w:rPr>
        <w:t>p</w:t>
      </w:r>
      <w:r>
        <w:rPr>
          <w:rFonts w:eastAsia="Times New Roman" w:cs="Times New Roman"/>
          <w:color w:val="000000"/>
          <w:sz w:val="24"/>
          <w:szCs w:val="24"/>
          <w:shd w:val="clear" w:color="auto" w:fill="FFFFFF"/>
          <w:lang w:val="en-US"/>
        </w:rPr>
        <w:t xml:space="preserve">=0.034, Bonferroni corrected </w:t>
      </w:r>
      <w:r>
        <w:rPr>
          <w:rFonts w:eastAsia="Times New Roman" w:cs="Times New Roman"/>
          <w:i/>
          <w:iCs/>
          <w:color w:val="000000"/>
          <w:sz w:val="24"/>
          <w:szCs w:val="24"/>
          <w:shd w:val="clear" w:color="auto" w:fill="FFFFFF"/>
          <w:lang w:val="en-US"/>
        </w:rPr>
        <w:t>p</w:t>
      </w:r>
      <w:r>
        <w:rPr>
          <w:rFonts w:eastAsia="Times New Roman" w:cs="Times New Roman"/>
          <w:color w:val="000000"/>
          <w:sz w:val="24"/>
          <w:szCs w:val="24"/>
          <w:shd w:val="clear" w:color="auto" w:fill="FFFFFF"/>
          <w:lang w:val="en-US"/>
        </w:rPr>
        <w:t xml:space="preserve">=0.204). Furthermore, </w:t>
      </w:r>
      <w:r>
        <w:rPr>
          <w:rFonts w:cs="Times New Roman"/>
          <w:bCs/>
          <w:sz w:val="24"/>
          <w:szCs w:val="24"/>
          <w:lang w:val="en-US"/>
        </w:rPr>
        <w:t xml:space="preserve">the regression model of the </w:t>
      </w:r>
      <w:r w:rsidRPr="009F0D5A">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w:t>
      </w:r>
      <w:r w:rsidR="00DA0E3E">
        <w:rPr>
          <w:rFonts w:eastAsia="Times New Roman" w:cs="Times New Roman"/>
          <w:color w:val="000000"/>
          <w:sz w:val="24"/>
          <w:szCs w:val="24"/>
          <w:shd w:val="clear" w:color="auto" w:fill="FFFFFF"/>
          <w:lang w:val="en-US"/>
        </w:rPr>
        <w:t xml:space="preserve">SNP </w:t>
      </w:r>
      <w:r>
        <w:rPr>
          <w:rFonts w:eastAsia="Times New Roman" w:cs="Times New Roman"/>
          <w:color w:val="000000"/>
          <w:sz w:val="24"/>
          <w:szCs w:val="24"/>
          <w:shd w:val="clear" w:color="auto" w:fill="FFFFFF"/>
          <w:lang w:val="en-US"/>
        </w:rPr>
        <w:t xml:space="preserve">in RLS suggested that the observed association with RLS is derived by homozygous carriage of the </w:t>
      </w:r>
      <w:r w:rsidR="00DA0E3E" w:rsidRPr="009F0D5A">
        <w:rPr>
          <w:rFonts w:eastAsia="Times New Roman" w:cs="Times New Roman"/>
          <w:color w:val="000000"/>
          <w:sz w:val="24"/>
          <w:szCs w:val="24"/>
          <w:shd w:val="clear" w:color="auto" w:fill="FFFFFF"/>
          <w:lang w:val="en-US"/>
        </w:rPr>
        <w:t>rs3104767</w:t>
      </w:r>
      <w:r w:rsidR="00DA0E3E">
        <w:rPr>
          <w:rFonts w:eastAsia="Times New Roman" w:cs="Times New Roman"/>
          <w:color w:val="000000"/>
          <w:sz w:val="24"/>
          <w:szCs w:val="24"/>
          <w:shd w:val="clear" w:color="auto" w:fill="FFFFFF"/>
          <w:lang w:val="en-US"/>
        </w:rPr>
        <w:t xml:space="preserve"> </w:t>
      </w:r>
      <w:r>
        <w:rPr>
          <w:rFonts w:eastAsia="Times New Roman" w:cs="Times New Roman"/>
          <w:color w:val="000000"/>
          <w:sz w:val="24"/>
          <w:szCs w:val="24"/>
          <w:shd w:val="clear" w:color="auto" w:fill="FFFFFF"/>
          <w:lang w:val="en-US"/>
        </w:rPr>
        <w:t>SNP (</w:t>
      </w:r>
      <w:r>
        <w:rPr>
          <w:rFonts w:eastAsia="Times New Roman" w:cs="Times New Roman"/>
          <w:i/>
          <w:iCs/>
          <w:color w:val="000000"/>
          <w:sz w:val="24"/>
          <w:szCs w:val="24"/>
          <w:shd w:val="clear" w:color="auto" w:fill="FFFFFF"/>
          <w:lang w:val="en-US"/>
        </w:rPr>
        <w:t>p</w:t>
      </w:r>
      <w:r>
        <w:rPr>
          <w:rFonts w:eastAsia="Times New Roman" w:cs="Times New Roman"/>
          <w:color w:val="000000"/>
          <w:sz w:val="24"/>
          <w:szCs w:val="24"/>
          <w:shd w:val="clear" w:color="auto" w:fill="FFFFFF"/>
          <w:lang w:val="en-US"/>
        </w:rPr>
        <w:t xml:space="preserve">=0.008). In age- and sex-adjusted recessive model, as expected, biallelic carriage of the </w:t>
      </w:r>
      <w:r w:rsidRPr="009F0D5A">
        <w:rPr>
          <w:rFonts w:eastAsia="Times New Roman" w:cs="Times New Roman"/>
          <w:color w:val="000000"/>
          <w:sz w:val="24"/>
          <w:szCs w:val="24"/>
          <w:shd w:val="clear" w:color="auto" w:fill="FFFFFF"/>
          <w:lang w:val="en-US"/>
        </w:rPr>
        <w:lastRenderedPageBreak/>
        <w:t>rs3104767</w:t>
      </w:r>
      <w:r>
        <w:rPr>
          <w:rFonts w:eastAsia="Times New Roman" w:cs="Times New Roman"/>
          <w:color w:val="000000"/>
          <w:sz w:val="24"/>
          <w:szCs w:val="24"/>
          <w:shd w:val="clear" w:color="auto" w:fill="FFFFFF"/>
          <w:lang w:val="en-US"/>
        </w:rPr>
        <w:t xml:space="preserve"> SNP was </w:t>
      </w:r>
      <w:r w:rsidR="00DA0E3E">
        <w:rPr>
          <w:rFonts w:eastAsia="Times New Roman" w:cs="Times New Roman"/>
          <w:color w:val="000000"/>
          <w:sz w:val="24"/>
          <w:szCs w:val="24"/>
          <w:shd w:val="clear" w:color="auto" w:fill="FFFFFF"/>
          <w:lang w:val="en-US"/>
        </w:rPr>
        <w:t xml:space="preserve">nominally </w:t>
      </w:r>
      <w:r>
        <w:rPr>
          <w:rFonts w:eastAsia="Times New Roman" w:cs="Times New Roman"/>
          <w:color w:val="000000"/>
          <w:sz w:val="24"/>
          <w:szCs w:val="24"/>
          <w:shd w:val="clear" w:color="auto" w:fill="FFFFFF"/>
          <w:lang w:val="en-US"/>
        </w:rPr>
        <w:t xml:space="preserve">associated with a reduced risk for RLS (OR=0.59, 95%CI=0.38-0.90, </w:t>
      </w:r>
      <w:r>
        <w:rPr>
          <w:rFonts w:eastAsia="Times New Roman" w:cs="Times New Roman"/>
          <w:i/>
          <w:iCs/>
          <w:color w:val="000000"/>
          <w:sz w:val="24"/>
          <w:szCs w:val="24"/>
          <w:shd w:val="clear" w:color="auto" w:fill="FFFFFF"/>
          <w:lang w:val="en-US"/>
        </w:rPr>
        <w:t>p</w:t>
      </w:r>
      <w:r>
        <w:rPr>
          <w:rFonts w:eastAsia="Times New Roman" w:cs="Times New Roman"/>
          <w:color w:val="000000"/>
          <w:sz w:val="24"/>
          <w:szCs w:val="24"/>
          <w:shd w:val="clear" w:color="auto" w:fill="FFFFFF"/>
          <w:lang w:val="en-US"/>
        </w:rPr>
        <w:t xml:space="preserve">=0.01), while in the dominant model this effect was reduced (OR=0.72, 95%CI=0.52-0.996, </w:t>
      </w:r>
      <w:r>
        <w:rPr>
          <w:rFonts w:eastAsia="Times New Roman" w:cs="Times New Roman"/>
          <w:i/>
          <w:iCs/>
          <w:color w:val="000000"/>
          <w:sz w:val="24"/>
          <w:szCs w:val="24"/>
          <w:shd w:val="clear" w:color="auto" w:fill="FFFFFF"/>
          <w:lang w:val="en-US"/>
        </w:rPr>
        <w:t>p</w:t>
      </w:r>
      <w:r>
        <w:rPr>
          <w:rFonts w:eastAsia="Times New Roman" w:cs="Times New Roman"/>
          <w:color w:val="000000"/>
          <w:sz w:val="24"/>
          <w:szCs w:val="24"/>
          <w:shd w:val="clear" w:color="auto" w:fill="FFFFFF"/>
          <w:lang w:val="en-US"/>
        </w:rPr>
        <w:t xml:space="preserve">=0.047). </w:t>
      </w:r>
    </w:p>
    <w:p w:rsidR="005118E2" w:rsidRDefault="005118E2">
      <w:pPr>
        <w:spacing w:after="0" w:line="240" w:lineRule="auto"/>
        <w:jc w:val="left"/>
        <w:rPr>
          <w:rFonts w:cs="Times New Roman"/>
          <w:b/>
          <w:sz w:val="24"/>
          <w:szCs w:val="24"/>
          <w:lang w:val="en-US"/>
        </w:rPr>
      </w:pPr>
    </w:p>
    <w:p w:rsidR="005118E2" w:rsidRPr="00EF70F1" w:rsidRDefault="005118E2" w:rsidP="00EF70F1">
      <w:pPr>
        <w:jc w:val="both"/>
        <w:rPr>
          <w:rFonts w:cs="Times New Roman"/>
          <w:b/>
          <w:sz w:val="24"/>
          <w:szCs w:val="24"/>
          <w:lang w:val="en-US"/>
        </w:rPr>
      </w:pPr>
      <w:r w:rsidRPr="00EF70F1">
        <w:rPr>
          <w:rFonts w:cs="Times New Roman"/>
          <w:b/>
          <w:sz w:val="24"/>
          <w:szCs w:val="24"/>
          <w:lang w:val="en-US"/>
        </w:rPr>
        <w:t>Discussion</w:t>
      </w:r>
    </w:p>
    <w:p w:rsidR="005118E2" w:rsidRDefault="005118E2" w:rsidP="00917C67">
      <w:pPr>
        <w:jc w:val="both"/>
        <w:rPr>
          <w:rFonts w:eastAsia="Times New Roman" w:cs="Times New Roman"/>
          <w:color w:val="000000"/>
          <w:sz w:val="24"/>
          <w:szCs w:val="24"/>
          <w:lang w:val="en-US"/>
        </w:rPr>
      </w:pPr>
      <w:r>
        <w:rPr>
          <w:rFonts w:cs="Times New Roman"/>
          <w:bCs/>
          <w:sz w:val="24"/>
          <w:szCs w:val="24"/>
          <w:lang w:val="en-US"/>
        </w:rPr>
        <w:t xml:space="preserve">Our results demonstrate that </w:t>
      </w:r>
      <w:r w:rsidRPr="009F0D5A">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is associated with risk for RLS, as was previously reported, with similar all</w:t>
      </w:r>
      <w:r w:rsidR="00EF4DB2">
        <w:rPr>
          <w:rFonts w:eastAsia="Times New Roman" w:cs="Times New Roman"/>
          <w:color w:val="000000"/>
          <w:sz w:val="24"/>
          <w:szCs w:val="24"/>
          <w:shd w:val="clear" w:color="auto" w:fill="FFFFFF"/>
          <w:lang w:val="en-US"/>
        </w:rPr>
        <w:t xml:space="preserve">ele frequencies and effect size </w:t>
      </w:r>
      <w:r w:rsidR="00EF4DB2">
        <w:rPr>
          <w:rFonts w:eastAsia="Times New Roman" w:cs="Times New Roman"/>
          <w:noProof/>
          <w:color w:val="000000"/>
          <w:sz w:val="24"/>
          <w:szCs w:val="24"/>
          <w:shd w:val="clear" w:color="auto" w:fill="FFFFFF"/>
          <w:lang w:val="en-US"/>
        </w:rPr>
        <w:t>(Winkelmann</w:t>
      </w:r>
      <w:r>
        <w:rPr>
          <w:rFonts w:eastAsia="Times New Roman" w:cs="Times New Roman"/>
          <w:noProof/>
          <w:color w:val="000000"/>
          <w:sz w:val="24"/>
          <w:szCs w:val="24"/>
          <w:shd w:val="clear" w:color="auto" w:fill="FFFFFF"/>
          <w:lang w:val="en-US"/>
        </w:rPr>
        <w:t xml:space="preserve"> et al. 2011)</w:t>
      </w:r>
      <w:r w:rsidR="00EF4DB2">
        <w:rPr>
          <w:rFonts w:eastAsia="Times New Roman" w:cs="Times New Roman"/>
          <w:noProof/>
          <w:color w:val="000000"/>
          <w:sz w:val="24"/>
          <w:szCs w:val="24"/>
          <w:shd w:val="clear" w:color="auto" w:fill="FFFFFF"/>
          <w:lang w:val="en-US"/>
        </w:rPr>
        <w:t>,</w:t>
      </w:r>
      <w:r>
        <w:rPr>
          <w:rFonts w:eastAsia="Times New Roman" w:cs="Times New Roman"/>
          <w:color w:val="000000"/>
          <w:sz w:val="24"/>
          <w:szCs w:val="24"/>
          <w:shd w:val="clear" w:color="auto" w:fill="FFFFFF"/>
          <w:lang w:val="en-US"/>
        </w:rPr>
        <w:t xml:space="preserve"> probably driven by homozygous carriage of the SNP. Interestingly, homozygous carriage of this SNP was also nominally associated with increased risk for PD (OR 1.62). When considering our results together with the RLS and PD GWASs</w:t>
      </w:r>
      <w:r w:rsidR="00EF4DB2">
        <w:rPr>
          <w:rFonts w:eastAsia="Times New Roman" w:cs="Times New Roman"/>
          <w:color w:val="000000"/>
          <w:sz w:val="24"/>
          <w:szCs w:val="24"/>
          <w:shd w:val="clear" w:color="auto" w:fill="FFFFFF"/>
          <w:lang w:val="en-US"/>
        </w:rPr>
        <w:t xml:space="preserve"> </w:t>
      </w:r>
      <w:r w:rsidR="00EF4DB2">
        <w:rPr>
          <w:rFonts w:eastAsia="Times New Roman" w:cs="Times New Roman"/>
          <w:noProof/>
          <w:color w:val="000000"/>
          <w:sz w:val="24"/>
          <w:szCs w:val="24"/>
          <w:shd w:val="clear" w:color="auto" w:fill="FFFFFF"/>
          <w:lang w:val="en-US"/>
        </w:rPr>
        <w:t>(Chang et al. 2017, Schormair</w:t>
      </w:r>
      <w:r>
        <w:rPr>
          <w:rFonts w:eastAsia="Times New Roman" w:cs="Times New Roman"/>
          <w:noProof/>
          <w:color w:val="000000"/>
          <w:sz w:val="24"/>
          <w:szCs w:val="24"/>
          <w:shd w:val="clear" w:color="auto" w:fill="FFFFFF"/>
          <w:lang w:val="en-US"/>
        </w:rPr>
        <w:t xml:space="preserve"> et al. 2017)</w:t>
      </w:r>
      <w:r>
        <w:rPr>
          <w:rFonts w:eastAsia="Times New Roman" w:cs="Times New Roman"/>
          <w:color w:val="000000"/>
          <w:sz w:val="24"/>
          <w:szCs w:val="24"/>
          <w:shd w:val="clear" w:color="auto" w:fill="FFFFFF"/>
          <w:lang w:val="en-US"/>
        </w:rPr>
        <w:t xml:space="preserve"> and the data in </w:t>
      </w:r>
      <w:proofErr w:type="spellStart"/>
      <w:r>
        <w:rPr>
          <w:rFonts w:eastAsia="Times New Roman" w:cs="Times New Roman"/>
          <w:color w:val="000000"/>
          <w:sz w:val="24"/>
          <w:szCs w:val="24"/>
          <w:shd w:val="clear" w:color="auto" w:fill="FFFFFF"/>
          <w:lang w:val="en-US"/>
        </w:rPr>
        <w:t>PDgene</w:t>
      </w:r>
      <w:proofErr w:type="spellEnd"/>
      <w:r>
        <w:rPr>
          <w:rFonts w:eastAsia="Times New Roman" w:cs="Times New Roman"/>
          <w:color w:val="000000"/>
          <w:sz w:val="24"/>
          <w:szCs w:val="24"/>
          <w:shd w:val="clear" w:color="auto" w:fill="FFFFFF"/>
          <w:lang w:val="en-US"/>
        </w:rPr>
        <w:t xml:space="preserve"> (</w:t>
      </w:r>
      <w:r w:rsidRPr="00917C67">
        <w:rPr>
          <w:rFonts w:eastAsia="Times New Roman" w:cs="Times New Roman"/>
          <w:color w:val="000000"/>
          <w:sz w:val="24"/>
          <w:szCs w:val="24"/>
          <w:shd w:val="clear" w:color="auto" w:fill="FFFFFF"/>
          <w:lang w:val="en-US"/>
        </w:rPr>
        <w:t>www.pdgene.org</w:t>
      </w:r>
      <w:r>
        <w:rPr>
          <w:rFonts w:eastAsia="Times New Roman" w:cs="Times New Roman"/>
          <w:color w:val="000000"/>
          <w:sz w:val="24"/>
          <w:szCs w:val="24"/>
          <w:shd w:val="clear" w:color="auto" w:fill="FFFFFF"/>
          <w:lang w:val="en-US"/>
        </w:rPr>
        <w:t xml:space="preserve">), it seems that there is an opposite effect of </w:t>
      </w:r>
      <w:r w:rsidRPr="008A32D1">
        <w:rPr>
          <w:rFonts w:eastAsia="Times New Roman" w:cs="Times New Roman"/>
          <w:i/>
          <w:iCs/>
          <w:color w:val="000000"/>
          <w:sz w:val="24"/>
          <w:szCs w:val="24"/>
          <w:shd w:val="clear" w:color="auto" w:fill="FFFFFF"/>
          <w:lang w:val="en-US"/>
        </w:rPr>
        <w:t>TOX3</w:t>
      </w:r>
      <w:r>
        <w:rPr>
          <w:rFonts w:eastAsia="Times New Roman" w:cs="Times New Roman"/>
          <w:color w:val="000000"/>
          <w:sz w:val="24"/>
          <w:szCs w:val="24"/>
          <w:shd w:val="clear" w:color="auto" w:fill="FFFFFF"/>
          <w:lang w:val="en-US"/>
        </w:rPr>
        <w:t xml:space="preserve"> haplotypes in PD and RLS. While in RLS the minor alleles are associated with decreased risk, in PD they are associated with increased risk (Table 2). In our cohorts, homozygous carriage of </w:t>
      </w:r>
      <w:r w:rsidRPr="009F0D5A">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was associated with an almost two-fold reduced risk for RLS, and 60% increase in risk for PD (yet with only nominally significant </w:t>
      </w:r>
      <w:r w:rsidRPr="00917C67">
        <w:rPr>
          <w:rFonts w:eastAsia="Times New Roman" w:cs="Times New Roman"/>
          <w:i/>
          <w:iCs/>
          <w:color w:val="000000"/>
          <w:sz w:val="24"/>
          <w:szCs w:val="24"/>
          <w:shd w:val="clear" w:color="auto" w:fill="FFFFFF"/>
          <w:lang w:val="en-US"/>
        </w:rPr>
        <w:t>p</w:t>
      </w:r>
      <w:r>
        <w:rPr>
          <w:rFonts w:eastAsia="Times New Roman" w:cs="Times New Roman"/>
          <w:color w:val="000000"/>
          <w:sz w:val="24"/>
          <w:szCs w:val="24"/>
          <w:shd w:val="clear" w:color="auto" w:fill="FFFFFF"/>
          <w:lang w:val="en-US"/>
        </w:rPr>
        <w:t xml:space="preserve"> value, probably due to reduced power). In the </w:t>
      </w:r>
      <w:proofErr w:type="spellStart"/>
      <w:r>
        <w:rPr>
          <w:rFonts w:eastAsia="Times New Roman" w:cs="Times New Roman"/>
          <w:color w:val="000000"/>
          <w:sz w:val="24"/>
          <w:szCs w:val="24"/>
          <w:shd w:val="clear" w:color="auto" w:fill="FFFFFF"/>
          <w:lang w:val="en-US"/>
        </w:rPr>
        <w:t>PDgene</w:t>
      </w:r>
      <w:proofErr w:type="spellEnd"/>
      <w:r>
        <w:rPr>
          <w:rFonts w:eastAsia="Times New Roman" w:cs="Times New Roman"/>
          <w:color w:val="000000"/>
          <w:sz w:val="24"/>
          <w:szCs w:val="24"/>
          <w:shd w:val="clear" w:color="auto" w:fill="FFFFFF"/>
          <w:lang w:val="en-US"/>
        </w:rPr>
        <w:t xml:space="preserve"> database, all three SNPs, </w:t>
      </w:r>
      <w:r w:rsidRPr="009F0D5A">
        <w:rPr>
          <w:rFonts w:eastAsia="Times New Roman" w:cs="Times New Roman"/>
          <w:color w:val="000000"/>
          <w:sz w:val="24"/>
          <w:szCs w:val="24"/>
          <w:shd w:val="clear" w:color="auto" w:fill="FFFFFF"/>
          <w:lang w:val="en-US"/>
        </w:rPr>
        <w:t>rs3104767</w:t>
      </w:r>
      <w:r>
        <w:rPr>
          <w:rFonts w:eastAsia="Times New Roman" w:cs="Times New Roman"/>
          <w:color w:val="000000"/>
          <w:sz w:val="24"/>
          <w:szCs w:val="24"/>
          <w:shd w:val="clear" w:color="auto" w:fill="FFFFFF"/>
          <w:lang w:val="en-US"/>
        </w:rPr>
        <w:t xml:space="preserve">, </w:t>
      </w:r>
      <w:r w:rsidRPr="006D28AA">
        <w:rPr>
          <w:rFonts w:eastAsia="Times New Roman" w:cs="Times New Roman"/>
          <w:color w:val="000000"/>
          <w:sz w:val="24"/>
          <w:szCs w:val="24"/>
          <w:lang w:val="en-US"/>
        </w:rPr>
        <w:t>rs4784226</w:t>
      </w:r>
      <w:r>
        <w:rPr>
          <w:rFonts w:eastAsia="Times New Roman" w:cs="Times New Roman"/>
          <w:color w:val="000000"/>
          <w:sz w:val="24"/>
          <w:szCs w:val="24"/>
          <w:lang w:val="en-US"/>
        </w:rPr>
        <w:t xml:space="preserve"> and rs4784227 were nominally associated with an increased risk for PD (</w:t>
      </w:r>
      <w:r>
        <w:rPr>
          <w:rFonts w:eastAsia="Times New Roman" w:cs="Times New Roman"/>
          <w:i/>
          <w:iCs/>
          <w:color w:val="000000"/>
          <w:sz w:val="24"/>
          <w:szCs w:val="24"/>
          <w:lang w:val="en-US"/>
        </w:rPr>
        <w:t>p&lt;5.04x10</w:t>
      </w:r>
      <w:r w:rsidRPr="00595350">
        <w:rPr>
          <w:rFonts w:eastAsia="Times New Roman" w:cs="Times New Roman"/>
          <w:i/>
          <w:iCs/>
          <w:color w:val="000000"/>
          <w:sz w:val="24"/>
          <w:szCs w:val="24"/>
          <w:vertAlign w:val="superscript"/>
          <w:lang w:val="en-US"/>
        </w:rPr>
        <w:t>-5</w:t>
      </w:r>
      <w:r>
        <w:rPr>
          <w:rFonts w:eastAsia="Times New Roman" w:cs="Times New Roman"/>
          <w:color w:val="000000"/>
          <w:sz w:val="24"/>
          <w:szCs w:val="24"/>
          <w:lang w:val="en-US"/>
        </w:rPr>
        <w:t xml:space="preserve"> for each of the SNPs), and in the recent PD GWAS, they all reached genome-wide significance</w:t>
      </w:r>
      <w:r w:rsidRPr="00595350">
        <w:t xml:space="preserve"> </w:t>
      </w:r>
      <w:r w:rsidR="00EF4DB2">
        <w:rPr>
          <w:rFonts w:eastAsia="Times New Roman" w:cs="Times New Roman"/>
          <w:noProof/>
          <w:color w:val="000000"/>
          <w:sz w:val="24"/>
          <w:szCs w:val="24"/>
          <w:lang w:val="en-US"/>
        </w:rPr>
        <w:t>(Chang</w:t>
      </w:r>
      <w:r>
        <w:rPr>
          <w:rFonts w:eastAsia="Times New Roman" w:cs="Times New Roman"/>
          <w:noProof/>
          <w:color w:val="000000"/>
          <w:sz w:val="24"/>
          <w:szCs w:val="24"/>
          <w:lang w:val="en-US"/>
        </w:rPr>
        <w:t xml:space="preserve"> et al. 2017)</w:t>
      </w:r>
      <w:r>
        <w:rPr>
          <w:rFonts w:eastAsia="Times New Roman" w:cs="Times New Roman"/>
          <w:color w:val="000000"/>
          <w:sz w:val="24"/>
          <w:szCs w:val="24"/>
          <w:lang w:val="en-US"/>
        </w:rPr>
        <w:t xml:space="preserve">. Therefore, </w:t>
      </w:r>
      <w:r>
        <w:rPr>
          <w:rFonts w:eastAsia="Times New Roman" w:cs="Times New Roman"/>
          <w:i/>
          <w:iCs/>
          <w:color w:val="000000"/>
          <w:sz w:val="24"/>
          <w:szCs w:val="24"/>
          <w:lang w:val="en-US"/>
        </w:rPr>
        <w:t xml:space="preserve">TOX3 </w:t>
      </w:r>
      <w:r>
        <w:rPr>
          <w:rFonts w:eastAsia="Times New Roman" w:cs="Times New Roman"/>
          <w:color w:val="000000"/>
          <w:sz w:val="24"/>
          <w:szCs w:val="24"/>
          <w:lang w:val="en-US"/>
        </w:rPr>
        <w:t xml:space="preserve">may play a role in both RLS and PD, but possibly with an opposite effect. </w:t>
      </w:r>
    </w:p>
    <w:p w:rsidR="005118E2" w:rsidRDefault="005118E2" w:rsidP="00917C67">
      <w:pPr>
        <w:ind w:firstLine="720"/>
        <w:jc w:val="both"/>
        <w:rPr>
          <w:rFonts w:cs="Times New Roman"/>
          <w:sz w:val="24"/>
          <w:szCs w:val="24"/>
          <w:lang w:val="en-US"/>
        </w:rPr>
      </w:pPr>
      <w:r>
        <w:rPr>
          <w:rFonts w:eastAsia="Times New Roman" w:cs="Times New Roman"/>
          <w:color w:val="000000"/>
          <w:sz w:val="24"/>
          <w:szCs w:val="24"/>
          <w:shd w:val="clear" w:color="auto" w:fill="FFFFFF"/>
          <w:lang w:val="en-US"/>
        </w:rPr>
        <w:t xml:space="preserve">Our study has some limitations. We do not have data on the presence of RLS in our PD cohort or on the presence of PD in the RLS cohort, which could have improved our analysis. However, given the concordance of our results with the much larger GWASs, this limitation probably did not affect the results. In addition, as we discussed above, our cohorts, despite being </w:t>
      </w:r>
      <w:r>
        <w:rPr>
          <w:rFonts w:eastAsia="Times New Roman" w:cs="Times New Roman"/>
          <w:color w:val="000000"/>
          <w:sz w:val="24"/>
          <w:szCs w:val="24"/>
          <w:shd w:val="clear" w:color="auto" w:fill="FFFFFF"/>
          <w:lang w:val="en-US"/>
        </w:rPr>
        <w:lastRenderedPageBreak/>
        <w:t xml:space="preserve">relatively large for a single center, were underpowered to detect the association with PD after correction for multiple comparisons. Of note, since the association with PD could be considered as a replication of the GWAS results, nominally significant </w:t>
      </w:r>
      <w:r>
        <w:rPr>
          <w:rFonts w:eastAsia="Times New Roman" w:cs="Times New Roman"/>
          <w:i/>
          <w:iCs/>
          <w:color w:val="000000"/>
          <w:sz w:val="24"/>
          <w:szCs w:val="24"/>
          <w:shd w:val="clear" w:color="auto" w:fill="FFFFFF"/>
          <w:lang w:val="en-US"/>
        </w:rPr>
        <w:t xml:space="preserve">p </w:t>
      </w:r>
      <w:r>
        <w:rPr>
          <w:rFonts w:eastAsia="Times New Roman" w:cs="Times New Roman"/>
          <w:color w:val="000000"/>
          <w:sz w:val="24"/>
          <w:szCs w:val="24"/>
          <w:shd w:val="clear" w:color="auto" w:fill="FFFFFF"/>
          <w:lang w:val="en-US"/>
        </w:rPr>
        <w:t>value may also be considered as a true association.</w:t>
      </w:r>
      <w:r w:rsidR="001C35F7">
        <w:rPr>
          <w:rFonts w:eastAsia="Times New Roman" w:cs="Times New Roman"/>
          <w:color w:val="000000"/>
          <w:sz w:val="24"/>
          <w:szCs w:val="24"/>
          <w:shd w:val="clear" w:color="auto" w:fill="FFFFFF"/>
          <w:lang w:val="en-US"/>
        </w:rPr>
        <w:t xml:space="preserve"> </w:t>
      </w:r>
      <w:bookmarkStart w:id="3" w:name="_Hlk503149471"/>
      <w:r w:rsidR="001C35F7">
        <w:rPr>
          <w:rFonts w:eastAsia="Times New Roman" w:cs="Times New Roman"/>
          <w:color w:val="000000"/>
          <w:sz w:val="24"/>
          <w:szCs w:val="24"/>
          <w:shd w:val="clear" w:color="auto" w:fill="FFFFFF"/>
          <w:lang w:val="en-US"/>
        </w:rPr>
        <w:t xml:space="preserve">Lastly, we could not perform a direct comparison between PD and RLS patients, due to the ethnic background of the studied populations. Although both PD and RLS cohorts included only patients and controls of European ancestry, our PD cohort was enriched in French genetic background, while our RLS cohort was of mixed European ancestry (French-Canadian and US patients of different European origins). Therefore, future studies directly comparing PD and RLS of the same ethnicity are warranted. </w:t>
      </w:r>
      <w:r>
        <w:rPr>
          <w:rFonts w:eastAsia="Times New Roman" w:cs="Times New Roman"/>
          <w:color w:val="000000"/>
          <w:sz w:val="24"/>
          <w:szCs w:val="24"/>
          <w:shd w:val="clear" w:color="auto" w:fill="FFFFFF"/>
          <w:lang w:val="en-US"/>
        </w:rPr>
        <w:t xml:space="preserve">       </w:t>
      </w:r>
      <w:bookmarkEnd w:id="3"/>
    </w:p>
    <w:p w:rsidR="005118E2" w:rsidRDefault="00A36218" w:rsidP="00917C67">
      <w:pPr>
        <w:ind w:firstLine="720"/>
        <w:jc w:val="both"/>
        <w:rPr>
          <w:rFonts w:eastAsia="Times New Roman" w:cs="Times New Roman"/>
          <w:color w:val="000000"/>
          <w:sz w:val="24"/>
          <w:szCs w:val="24"/>
          <w:shd w:val="clear" w:color="auto" w:fill="FFFFFF"/>
          <w:lang w:val="en-US"/>
        </w:rPr>
      </w:pPr>
      <w:r>
        <w:rPr>
          <w:rFonts w:eastAsia="Times New Roman" w:cs="Times New Roman"/>
          <w:color w:val="000000"/>
          <w:sz w:val="24"/>
          <w:szCs w:val="24"/>
          <w:shd w:val="clear" w:color="auto" w:fill="FFFFFF"/>
          <w:lang w:val="en-US"/>
        </w:rPr>
        <w:t xml:space="preserve">In the </w:t>
      </w:r>
      <w:r w:rsidRPr="00A36218">
        <w:rPr>
          <w:rFonts w:eastAsia="Times New Roman" w:cs="Times New Roman"/>
          <w:i/>
          <w:iCs/>
          <w:color w:val="000000"/>
          <w:sz w:val="24"/>
          <w:szCs w:val="24"/>
          <w:shd w:val="clear" w:color="auto" w:fill="FFFFFF"/>
          <w:lang w:val="en-US"/>
        </w:rPr>
        <w:t>TOX3</w:t>
      </w:r>
      <w:r>
        <w:rPr>
          <w:rFonts w:eastAsia="Times New Roman" w:cs="Times New Roman"/>
          <w:color w:val="000000"/>
          <w:sz w:val="24"/>
          <w:szCs w:val="24"/>
          <w:shd w:val="clear" w:color="auto" w:fill="FFFFFF"/>
          <w:lang w:val="en-US"/>
        </w:rPr>
        <w:t xml:space="preserve"> locus, except for the </w:t>
      </w:r>
      <w:r>
        <w:rPr>
          <w:rFonts w:eastAsia="Times New Roman" w:cs="Times New Roman"/>
          <w:i/>
          <w:iCs/>
          <w:color w:val="000000"/>
          <w:sz w:val="24"/>
          <w:szCs w:val="24"/>
          <w:shd w:val="clear" w:color="auto" w:fill="FFFFFF"/>
          <w:lang w:val="en-US"/>
        </w:rPr>
        <w:t>TOX3</w:t>
      </w:r>
      <w:r w:rsidR="004F6AAC">
        <w:rPr>
          <w:rFonts w:eastAsia="Times New Roman" w:cs="Times New Roman"/>
          <w:i/>
          <w:iCs/>
          <w:color w:val="000000"/>
          <w:sz w:val="24"/>
          <w:szCs w:val="24"/>
          <w:shd w:val="clear" w:color="auto" w:fill="FFFFFF"/>
          <w:lang w:val="en-US"/>
        </w:rPr>
        <w:t xml:space="preserve"> </w:t>
      </w:r>
      <w:r w:rsidR="004F6AAC">
        <w:rPr>
          <w:rFonts w:eastAsia="Times New Roman" w:cs="Times New Roman"/>
          <w:color w:val="000000"/>
          <w:sz w:val="24"/>
          <w:szCs w:val="24"/>
          <w:shd w:val="clear" w:color="auto" w:fill="FFFFFF"/>
          <w:lang w:val="en-US"/>
        </w:rPr>
        <w:t>gene</w:t>
      </w:r>
      <w:r>
        <w:rPr>
          <w:rFonts w:eastAsia="Times New Roman" w:cs="Times New Roman"/>
          <w:color w:val="000000"/>
          <w:sz w:val="24"/>
          <w:szCs w:val="24"/>
          <w:shd w:val="clear" w:color="auto" w:fill="FFFFFF"/>
          <w:lang w:val="en-US"/>
        </w:rPr>
        <w:t>, there is a non-coding RNA</w:t>
      </w:r>
      <w:r w:rsidR="004F6AAC">
        <w:rPr>
          <w:rFonts w:eastAsia="Times New Roman" w:cs="Times New Roman"/>
          <w:color w:val="000000"/>
          <w:sz w:val="24"/>
          <w:szCs w:val="24"/>
          <w:shd w:val="clear" w:color="auto" w:fill="FFFFFF"/>
          <w:lang w:val="en-US"/>
        </w:rPr>
        <w:t xml:space="preserve"> gene</w:t>
      </w:r>
      <w:r>
        <w:rPr>
          <w:rFonts w:eastAsia="Times New Roman" w:cs="Times New Roman"/>
          <w:color w:val="000000"/>
          <w:sz w:val="24"/>
          <w:szCs w:val="24"/>
          <w:shd w:val="clear" w:color="auto" w:fill="FFFFFF"/>
          <w:lang w:val="en-US"/>
        </w:rPr>
        <w:t xml:space="preserve"> (</w:t>
      </w:r>
      <w:r>
        <w:rPr>
          <w:rFonts w:eastAsia="Times New Roman" w:cs="Times New Roman"/>
          <w:i/>
          <w:iCs/>
          <w:color w:val="000000"/>
          <w:sz w:val="24"/>
          <w:szCs w:val="24"/>
          <w:shd w:val="clear" w:color="auto" w:fill="FFFFFF"/>
          <w:lang w:val="en-US"/>
        </w:rPr>
        <w:t>CASC16</w:t>
      </w:r>
      <w:r>
        <w:rPr>
          <w:rFonts w:eastAsia="Times New Roman" w:cs="Times New Roman"/>
          <w:color w:val="000000"/>
          <w:sz w:val="24"/>
          <w:szCs w:val="24"/>
          <w:shd w:val="clear" w:color="auto" w:fill="FFFFFF"/>
          <w:lang w:val="en-US"/>
        </w:rPr>
        <w:t xml:space="preserve">), and it cannot be ruled out based on the current </w:t>
      </w:r>
      <w:r w:rsidR="004F6AAC">
        <w:rPr>
          <w:rFonts w:eastAsia="Times New Roman" w:cs="Times New Roman"/>
          <w:color w:val="000000"/>
          <w:sz w:val="24"/>
          <w:szCs w:val="24"/>
          <w:shd w:val="clear" w:color="auto" w:fill="FFFFFF"/>
          <w:lang w:val="en-US"/>
        </w:rPr>
        <w:t>data that it is involved in PD.</w:t>
      </w:r>
      <w:r>
        <w:rPr>
          <w:rFonts w:eastAsia="Times New Roman" w:cs="Times New Roman"/>
          <w:color w:val="000000"/>
          <w:sz w:val="24"/>
          <w:szCs w:val="24"/>
          <w:shd w:val="clear" w:color="auto" w:fill="FFFFFF"/>
          <w:lang w:val="en-US"/>
        </w:rPr>
        <w:t xml:space="preserve"> </w:t>
      </w:r>
      <w:r w:rsidR="005118E2" w:rsidRPr="00CB4E2A">
        <w:rPr>
          <w:rFonts w:eastAsia="Times New Roman" w:cs="Times New Roman"/>
          <w:i/>
          <w:iCs/>
          <w:color w:val="000000"/>
          <w:sz w:val="24"/>
          <w:szCs w:val="24"/>
          <w:shd w:val="clear" w:color="auto" w:fill="FFFFFF"/>
          <w:lang w:val="en-US"/>
        </w:rPr>
        <w:t>TOX3</w:t>
      </w:r>
      <w:r w:rsidR="005118E2">
        <w:rPr>
          <w:rFonts w:eastAsia="Times New Roman" w:cs="Times New Roman"/>
          <w:color w:val="000000"/>
          <w:sz w:val="24"/>
          <w:szCs w:val="24"/>
          <w:shd w:val="clear" w:color="auto" w:fill="FFFFFF"/>
          <w:lang w:val="en-US"/>
        </w:rPr>
        <w:t xml:space="preserve"> encodes </w:t>
      </w:r>
      <w:r w:rsidR="005118E2" w:rsidRPr="00AB7C96">
        <w:rPr>
          <w:rFonts w:eastAsia="Times New Roman" w:cs="Times New Roman"/>
          <w:color w:val="000000"/>
          <w:sz w:val="24"/>
          <w:szCs w:val="24"/>
          <w:shd w:val="clear" w:color="auto" w:fill="FFFFFF"/>
          <w:lang w:val="en-US"/>
        </w:rPr>
        <w:t xml:space="preserve">TOX high mobility group </w:t>
      </w:r>
      <w:r w:rsidR="005118E2">
        <w:rPr>
          <w:rFonts w:eastAsia="Times New Roman" w:cs="Times New Roman"/>
          <w:color w:val="000000"/>
          <w:sz w:val="24"/>
          <w:szCs w:val="24"/>
          <w:shd w:val="clear" w:color="auto" w:fill="FFFFFF"/>
          <w:lang w:val="en-US"/>
        </w:rPr>
        <w:t xml:space="preserve">(HMG) </w:t>
      </w:r>
      <w:r w:rsidR="005118E2" w:rsidRPr="00AB7C96">
        <w:rPr>
          <w:rFonts w:eastAsia="Times New Roman" w:cs="Times New Roman"/>
          <w:color w:val="000000"/>
          <w:sz w:val="24"/>
          <w:szCs w:val="24"/>
          <w:shd w:val="clear" w:color="auto" w:fill="FFFFFF"/>
          <w:lang w:val="en-US"/>
        </w:rPr>
        <w:t>box family member 3</w:t>
      </w:r>
      <w:r w:rsidR="005118E2">
        <w:rPr>
          <w:rFonts w:eastAsia="Times New Roman" w:cs="Times New Roman"/>
          <w:color w:val="000000"/>
          <w:sz w:val="24"/>
          <w:szCs w:val="24"/>
          <w:shd w:val="clear" w:color="auto" w:fill="FFFFFF"/>
          <w:lang w:val="en-US"/>
        </w:rPr>
        <w:t xml:space="preserve">, which acts as a nuclear transcription regulation factor. Based on data from the </w:t>
      </w:r>
      <w:r w:rsidR="005118E2" w:rsidRPr="00867DA9">
        <w:rPr>
          <w:rFonts w:eastAsia="Times New Roman" w:cs="Times New Roman"/>
          <w:color w:val="000000"/>
          <w:sz w:val="24"/>
          <w:szCs w:val="24"/>
          <w:shd w:val="clear" w:color="auto" w:fill="FFFFFF"/>
          <w:lang w:val="en-US"/>
        </w:rPr>
        <w:t>Genotype-Tissue Expression</w:t>
      </w:r>
      <w:r w:rsidR="005118E2">
        <w:rPr>
          <w:rFonts w:eastAsia="Times New Roman" w:cs="Times New Roman"/>
          <w:color w:val="000000"/>
          <w:sz w:val="24"/>
          <w:szCs w:val="24"/>
          <w:shd w:val="clear" w:color="auto" w:fill="FFFFFF"/>
          <w:lang w:val="en-US"/>
        </w:rPr>
        <w:t xml:space="preserve"> portal</w:t>
      </w:r>
      <w:r w:rsidR="005118E2" w:rsidRPr="00867DA9">
        <w:rPr>
          <w:rFonts w:eastAsia="Times New Roman" w:cs="Times New Roman"/>
          <w:color w:val="000000"/>
          <w:sz w:val="24"/>
          <w:szCs w:val="24"/>
          <w:shd w:val="clear" w:color="auto" w:fill="FFFFFF"/>
          <w:lang w:val="en-US"/>
        </w:rPr>
        <w:t xml:space="preserve"> (</w:t>
      </w:r>
      <w:proofErr w:type="spellStart"/>
      <w:r w:rsidR="005118E2" w:rsidRPr="00867DA9">
        <w:rPr>
          <w:rFonts w:eastAsia="Times New Roman" w:cs="Times New Roman"/>
          <w:color w:val="000000"/>
          <w:sz w:val="24"/>
          <w:szCs w:val="24"/>
          <w:shd w:val="clear" w:color="auto" w:fill="FFFFFF"/>
          <w:lang w:val="en-US"/>
        </w:rPr>
        <w:t>GTEx</w:t>
      </w:r>
      <w:proofErr w:type="spellEnd"/>
      <w:r w:rsidR="005118E2">
        <w:rPr>
          <w:rFonts w:eastAsia="Times New Roman" w:cs="Times New Roman"/>
          <w:color w:val="000000"/>
          <w:sz w:val="24"/>
          <w:szCs w:val="24"/>
          <w:shd w:val="clear" w:color="auto" w:fill="FFFFFF"/>
          <w:lang w:val="en-US"/>
        </w:rPr>
        <w:t>, www.gtexportal.org</w:t>
      </w:r>
      <w:r w:rsidR="005118E2" w:rsidRPr="00867DA9">
        <w:rPr>
          <w:rFonts w:eastAsia="Times New Roman" w:cs="Times New Roman"/>
          <w:color w:val="000000"/>
          <w:sz w:val="24"/>
          <w:szCs w:val="24"/>
          <w:shd w:val="clear" w:color="auto" w:fill="FFFFFF"/>
          <w:lang w:val="en-US"/>
        </w:rPr>
        <w:t>)</w:t>
      </w:r>
      <w:r w:rsidR="005118E2">
        <w:rPr>
          <w:rFonts w:eastAsia="Times New Roman" w:cs="Times New Roman"/>
          <w:color w:val="000000"/>
          <w:sz w:val="24"/>
          <w:szCs w:val="24"/>
          <w:shd w:val="clear" w:color="auto" w:fill="FFFFFF"/>
          <w:lang w:val="en-US"/>
        </w:rPr>
        <w:t xml:space="preserve">, TOX3 is expressed in parts of the brain, including in the substantia nigra and the cortex, but less in other basal ganglia, and there is no data on the association between the tested </w:t>
      </w:r>
      <w:r w:rsidR="005118E2">
        <w:rPr>
          <w:rFonts w:eastAsia="Times New Roman" w:cs="Times New Roman"/>
          <w:i/>
          <w:iCs/>
          <w:color w:val="000000"/>
          <w:sz w:val="24"/>
          <w:szCs w:val="24"/>
          <w:shd w:val="clear" w:color="auto" w:fill="FFFFFF"/>
          <w:lang w:val="en-US"/>
        </w:rPr>
        <w:t xml:space="preserve">TOX3 </w:t>
      </w:r>
      <w:r w:rsidR="005118E2">
        <w:rPr>
          <w:rFonts w:eastAsia="Times New Roman" w:cs="Times New Roman"/>
          <w:color w:val="000000"/>
          <w:sz w:val="24"/>
          <w:szCs w:val="24"/>
          <w:shd w:val="clear" w:color="auto" w:fill="FFFFFF"/>
          <w:lang w:val="en-US"/>
        </w:rPr>
        <w:t>SNPs and TOX3 expression. TOX3 may serve as a neuronal survival factor, through transcription induction which is probably calcium mediated</w:t>
      </w:r>
      <w:r w:rsidR="004F6AAC">
        <w:rPr>
          <w:rFonts w:eastAsia="Times New Roman" w:cs="Times New Roman"/>
          <w:color w:val="000000"/>
          <w:sz w:val="24"/>
          <w:szCs w:val="24"/>
          <w:shd w:val="clear" w:color="auto" w:fill="FFFFFF"/>
          <w:lang w:val="en-US"/>
        </w:rPr>
        <w:t xml:space="preserve"> </w:t>
      </w:r>
      <w:r w:rsidR="004F6AAC">
        <w:rPr>
          <w:rFonts w:eastAsia="Times New Roman" w:cs="Times New Roman"/>
          <w:noProof/>
          <w:color w:val="000000"/>
          <w:sz w:val="24"/>
          <w:szCs w:val="24"/>
          <w:shd w:val="clear" w:color="auto" w:fill="FFFFFF"/>
          <w:lang w:val="en-US"/>
        </w:rPr>
        <w:t xml:space="preserve">(Yuan </w:t>
      </w:r>
      <w:r w:rsidR="005118E2">
        <w:rPr>
          <w:rFonts w:eastAsia="Times New Roman" w:cs="Times New Roman"/>
          <w:noProof/>
          <w:color w:val="000000"/>
          <w:sz w:val="24"/>
          <w:szCs w:val="24"/>
          <w:shd w:val="clear" w:color="auto" w:fill="FFFFFF"/>
          <w:lang w:val="en-US"/>
        </w:rPr>
        <w:t>et al. 2009)</w:t>
      </w:r>
      <w:r w:rsidR="004F6AAC">
        <w:rPr>
          <w:rFonts w:eastAsia="Times New Roman" w:cs="Times New Roman"/>
          <w:noProof/>
          <w:color w:val="000000"/>
          <w:sz w:val="24"/>
          <w:szCs w:val="24"/>
          <w:shd w:val="clear" w:color="auto" w:fill="FFFFFF"/>
          <w:lang w:val="en-US"/>
        </w:rPr>
        <w:t>,</w:t>
      </w:r>
      <w:r w:rsidR="005118E2">
        <w:rPr>
          <w:rFonts w:eastAsia="Times New Roman" w:cs="Times New Roman"/>
          <w:color w:val="000000"/>
          <w:sz w:val="24"/>
          <w:szCs w:val="24"/>
          <w:shd w:val="clear" w:color="auto" w:fill="FFFFFF"/>
          <w:lang w:val="en-US"/>
        </w:rPr>
        <w:t xml:space="preserve"> yet its potential functional roles in RLS and PD are still to be uncovered. </w:t>
      </w:r>
    </w:p>
    <w:p w:rsidR="005118E2" w:rsidRDefault="005118E2" w:rsidP="00917C67">
      <w:pPr>
        <w:ind w:firstLine="720"/>
        <w:jc w:val="both"/>
        <w:rPr>
          <w:rFonts w:eastAsia="Times New Roman" w:cs="Times New Roman"/>
          <w:color w:val="000000"/>
          <w:sz w:val="24"/>
          <w:szCs w:val="24"/>
          <w:shd w:val="clear" w:color="auto" w:fill="FFFFFF"/>
          <w:lang w:val="en-US"/>
        </w:rPr>
      </w:pPr>
      <w:r>
        <w:rPr>
          <w:rFonts w:eastAsia="Times New Roman" w:cs="Times New Roman"/>
          <w:color w:val="000000"/>
          <w:sz w:val="24"/>
          <w:szCs w:val="24"/>
          <w:shd w:val="clear" w:color="auto" w:fill="FFFFFF"/>
          <w:lang w:val="en-US"/>
        </w:rPr>
        <w:t xml:space="preserve">TOX3 is also involved in breast cancer, and it was suggested that it may serve as a </w:t>
      </w:r>
      <w:r w:rsidRPr="002D6E6F">
        <w:rPr>
          <w:rFonts w:eastAsia="Times New Roman" w:cs="Times New Roman"/>
          <w:color w:val="000000"/>
          <w:sz w:val="24"/>
          <w:szCs w:val="24"/>
          <w:shd w:val="clear" w:color="auto" w:fill="FFFFFF"/>
          <w:lang w:val="en-US"/>
        </w:rPr>
        <w:t>regulator of estrogen receptor-mediated gene expression</w:t>
      </w:r>
      <w:r w:rsidR="004F6AAC">
        <w:rPr>
          <w:rFonts w:eastAsia="Times New Roman" w:cs="Times New Roman"/>
          <w:color w:val="000000"/>
          <w:sz w:val="24"/>
          <w:szCs w:val="24"/>
          <w:shd w:val="clear" w:color="auto" w:fill="FFFFFF"/>
          <w:lang w:val="en-US"/>
        </w:rPr>
        <w:t xml:space="preserve"> </w:t>
      </w:r>
      <w:r w:rsidR="004F6AAC">
        <w:rPr>
          <w:rFonts w:eastAsia="Times New Roman" w:cs="Times New Roman"/>
          <w:noProof/>
          <w:color w:val="000000"/>
          <w:sz w:val="24"/>
          <w:szCs w:val="24"/>
          <w:shd w:val="clear" w:color="auto" w:fill="FFFFFF"/>
          <w:lang w:val="en-US"/>
        </w:rPr>
        <w:t>(Seksenyan</w:t>
      </w:r>
      <w:r>
        <w:rPr>
          <w:rFonts w:eastAsia="Times New Roman" w:cs="Times New Roman"/>
          <w:noProof/>
          <w:color w:val="000000"/>
          <w:sz w:val="24"/>
          <w:szCs w:val="24"/>
          <w:shd w:val="clear" w:color="auto" w:fill="FFFFFF"/>
          <w:lang w:val="en-US"/>
        </w:rPr>
        <w:t xml:space="preserve"> et al. 2015)</w:t>
      </w:r>
      <w:r w:rsidR="004F6AAC">
        <w:rPr>
          <w:rFonts w:eastAsia="Times New Roman" w:cs="Times New Roman"/>
          <w:noProof/>
          <w:color w:val="000000"/>
          <w:sz w:val="24"/>
          <w:szCs w:val="24"/>
          <w:shd w:val="clear" w:color="auto" w:fill="FFFFFF"/>
          <w:lang w:val="en-US"/>
        </w:rPr>
        <w:t>.</w:t>
      </w:r>
      <w:r w:rsidR="004F6AAC">
        <w:rPr>
          <w:rFonts w:eastAsia="Times New Roman" w:cs="Times New Roman"/>
          <w:color w:val="000000"/>
          <w:sz w:val="24"/>
          <w:szCs w:val="24"/>
          <w:shd w:val="clear" w:color="auto" w:fill="FFFFFF"/>
          <w:lang w:val="en-US"/>
        </w:rPr>
        <w:t xml:space="preserve"> This may raise a</w:t>
      </w:r>
      <w:r>
        <w:rPr>
          <w:rFonts w:eastAsia="Times New Roman" w:cs="Times New Roman"/>
          <w:color w:val="000000"/>
          <w:sz w:val="24"/>
          <w:szCs w:val="24"/>
          <w:shd w:val="clear" w:color="auto" w:fill="FFFFFF"/>
          <w:lang w:val="en-US"/>
        </w:rPr>
        <w:t xml:space="preserve"> hypothesis for its differential involvement in RLS and PD. In both RLS and PD, sex is associated with risk for the disorder, but with an inverse association.</w:t>
      </w:r>
      <w:r w:rsidR="004F6AAC">
        <w:rPr>
          <w:rFonts w:eastAsia="Times New Roman" w:cs="Times New Roman"/>
          <w:color w:val="000000"/>
          <w:sz w:val="24"/>
          <w:szCs w:val="24"/>
          <w:shd w:val="clear" w:color="auto" w:fill="FFFFFF"/>
          <w:lang w:val="en-US"/>
        </w:rPr>
        <w:t xml:space="preserve"> In PD men are more susceptible </w:t>
      </w:r>
      <w:r w:rsidR="004F6AAC">
        <w:rPr>
          <w:rFonts w:cs="Times New Roman"/>
          <w:noProof/>
          <w:sz w:val="24"/>
          <w:szCs w:val="24"/>
          <w:lang w:val="en-US"/>
        </w:rPr>
        <w:t>(de Rijk</w:t>
      </w:r>
      <w:r>
        <w:rPr>
          <w:rFonts w:cs="Times New Roman"/>
          <w:noProof/>
          <w:sz w:val="24"/>
          <w:szCs w:val="24"/>
          <w:lang w:val="en-US"/>
        </w:rPr>
        <w:t xml:space="preserve"> et al. 2000)</w:t>
      </w:r>
      <w:r>
        <w:rPr>
          <w:rFonts w:eastAsia="Times New Roman" w:cs="Times New Roman"/>
          <w:color w:val="000000"/>
          <w:sz w:val="24"/>
          <w:szCs w:val="24"/>
          <w:shd w:val="clear" w:color="auto" w:fill="FFFFFF"/>
          <w:lang w:val="en-US"/>
        </w:rPr>
        <w:t xml:space="preserve"> and in RLS women are more susceptible</w:t>
      </w:r>
      <w:r w:rsidR="004F6AAC">
        <w:rPr>
          <w:rFonts w:eastAsia="Times New Roman" w:cs="Times New Roman"/>
          <w:color w:val="000000"/>
          <w:sz w:val="24"/>
          <w:szCs w:val="24"/>
          <w:shd w:val="clear" w:color="auto" w:fill="FFFFFF"/>
          <w:lang w:val="en-US"/>
        </w:rPr>
        <w:t xml:space="preserve"> </w:t>
      </w:r>
      <w:r w:rsidR="004F6AAC">
        <w:rPr>
          <w:rFonts w:cs="Times New Roman"/>
          <w:noProof/>
          <w:sz w:val="24"/>
          <w:szCs w:val="24"/>
          <w:lang w:val="en-US"/>
        </w:rPr>
        <w:t>(Yeh</w:t>
      </w:r>
      <w:r>
        <w:rPr>
          <w:rFonts w:cs="Times New Roman"/>
          <w:noProof/>
          <w:sz w:val="24"/>
          <w:szCs w:val="24"/>
          <w:lang w:val="en-US"/>
        </w:rPr>
        <w:t xml:space="preserve"> et al. 2012)</w:t>
      </w:r>
      <w:r w:rsidR="004F6AAC">
        <w:rPr>
          <w:rFonts w:cs="Times New Roman"/>
          <w:noProof/>
          <w:sz w:val="24"/>
          <w:szCs w:val="24"/>
          <w:lang w:val="en-US"/>
        </w:rPr>
        <w:t>.</w:t>
      </w:r>
      <w:r w:rsidRPr="00144D11">
        <w:rPr>
          <w:rFonts w:cs="Times New Roman"/>
          <w:sz w:val="24"/>
          <w:szCs w:val="24"/>
          <w:lang w:val="en-US"/>
        </w:rPr>
        <w:t xml:space="preserve"> </w:t>
      </w:r>
      <w:r>
        <w:rPr>
          <w:rFonts w:eastAsia="Times New Roman" w:cs="Times New Roman"/>
          <w:color w:val="000000"/>
          <w:sz w:val="24"/>
          <w:szCs w:val="24"/>
          <w:shd w:val="clear" w:color="auto" w:fill="FFFFFF"/>
          <w:lang w:val="en-US"/>
        </w:rPr>
        <w:t xml:space="preserve">If this differential sex </w:t>
      </w:r>
      <w:r>
        <w:rPr>
          <w:rFonts w:eastAsia="Times New Roman" w:cs="Times New Roman"/>
          <w:color w:val="000000"/>
          <w:sz w:val="24"/>
          <w:szCs w:val="24"/>
          <w:shd w:val="clear" w:color="auto" w:fill="FFFFFF"/>
          <w:lang w:val="en-US"/>
        </w:rPr>
        <w:lastRenderedPageBreak/>
        <w:t xml:space="preserve">distribution in PD and RLS is related to estrogen regulation, perhaps the inverse associations of </w:t>
      </w:r>
      <w:r w:rsidRPr="002D6E6F">
        <w:rPr>
          <w:rFonts w:eastAsia="Times New Roman" w:cs="Times New Roman"/>
          <w:i/>
          <w:iCs/>
          <w:color w:val="000000"/>
          <w:sz w:val="24"/>
          <w:szCs w:val="24"/>
          <w:shd w:val="clear" w:color="auto" w:fill="FFFFFF"/>
          <w:lang w:val="en-US"/>
        </w:rPr>
        <w:t>TOX3</w:t>
      </w:r>
      <w:r>
        <w:rPr>
          <w:rFonts w:eastAsia="Times New Roman" w:cs="Times New Roman"/>
          <w:color w:val="000000"/>
          <w:sz w:val="24"/>
          <w:szCs w:val="24"/>
          <w:shd w:val="clear" w:color="auto" w:fill="FFFFFF"/>
          <w:lang w:val="en-US"/>
        </w:rPr>
        <w:t xml:space="preserve"> variants with RLS and PD are involved in the sex differences in these two disorders, through different effects on estrogen receptor-mediated gene expression. Currently, there are no supporting evidence for this hypothesis, and further study is needed to examine this hypothesis and the differences in </w:t>
      </w:r>
      <w:r>
        <w:rPr>
          <w:rFonts w:eastAsia="Times New Roman" w:cs="Times New Roman"/>
          <w:i/>
          <w:iCs/>
          <w:color w:val="000000"/>
          <w:sz w:val="24"/>
          <w:szCs w:val="24"/>
          <w:shd w:val="clear" w:color="auto" w:fill="FFFFFF"/>
          <w:lang w:val="en-US"/>
        </w:rPr>
        <w:t>TOX3</w:t>
      </w:r>
      <w:r>
        <w:rPr>
          <w:rFonts w:eastAsia="Times New Roman" w:cs="Times New Roman"/>
          <w:color w:val="000000"/>
          <w:sz w:val="24"/>
          <w:szCs w:val="24"/>
          <w:shd w:val="clear" w:color="auto" w:fill="FFFFFF"/>
          <w:lang w:val="en-US"/>
        </w:rPr>
        <w:t xml:space="preserve">-associated risk in RLS and PD. </w:t>
      </w:r>
    </w:p>
    <w:p w:rsidR="005118E2" w:rsidRPr="009168FF" w:rsidRDefault="005118E2" w:rsidP="0055592C">
      <w:pPr>
        <w:jc w:val="both"/>
        <w:rPr>
          <w:rFonts w:cs="Times New Roman"/>
          <w:b/>
          <w:bCs/>
          <w:sz w:val="24"/>
          <w:szCs w:val="24"/>
          <w:lang w:val="en-US"/>
        </w:rPr>
      </w:pPr>
      <w:r w:rsidRPr="009168FF">
        <w:rPr>
          <w:rFonts w:cs="Times New Roman"/>
          <w:b/>
          <w:bCs/>
          <w:sz w:val="24"/>
          <w:szCs w:val="24"/>
          <w:lang w:val="en-US"/>
        </w:rPr>
        <w:t>Acknowledgements</w:t>
      </w:r>
    </w:p>
    <w:p w:rsidR="005118E2" w:rsidRPr="00805A6F" w:rsidRDefault="005118E2" w:rsidP="004F238F">
      <w:pPr>
        <w:jc w:val="both"/>
        <w:rPr>
          <w:rFonts w:asciiTheme="majorBidi" w:hAnsiTheme="majorBidi" w:cstheme="majorBidi"/>
          <w:b/>
          <w:bCs/>
          <w:sz w:val="24"/>
          <w:szCs w:val="24"/>
          <w:lang w:val="en-CA"/>
        </w:rPr>
      </w:pPr>
      <w:r w:rsidRPr="00805A6F">
        <w:rPr>
          <w:rFonts w:asciiTheme="majorBidi" w:hAnsiTheme="majorBidi" w:cstheme="majorBidi"/>
          <w:sz w:val="24"/>
          <w:szCs w:val="24"/>
          <w:lang w:val="en-CA"/>
        </w:rPr>
        <w:t>We thank the patients and controls for their participation in the study. This work was financially supported by the Michael J. Fox Foundation</w:t>
      </w:r>
      <w:r>
        <w:rPr>
          <w:rFonts w:asciiTheme="majorBidi" w:hAnsiTheme="majorBidi" w:cstheme="majorBidi"/>
          <w:sz w:val="24"/>
          <w:szCs w:val="24"/>
          <w:lang w:val="en-CA"/>
        </w:rPr>
        <w:t xml:space="preserve"> and the Canadian Consortium on Neurodegeneration in Aging (CCNA)</w:t>
      </w:r>
      <w:r w:rsidRPr="00805A6F">
        <w:rPr>
          <w:rFonts w:asciiTheme="majorBidi" w:hAnsiTheme="majorBidi" w:cstheme="majorBidi"/>
          <w:sz w:val="24"/>
          <w:szCs w:val="24"/>
          <w:lang w:val="en-CA"/>
        </w:rPr>
        <w:t xml:space="preserve">. </w:t>
      </w:r>
      <w:r>
        <w:rPr>
          <w:rFonts w:cs="Times New Roman"/>
          <w:sz w:val="24"/>
          <w:szCs w:val="24"/>
          <w:lang w:val="en-US"/>
        </w:rPr>
        <w:t>SM</w:t>
      </w:r>
      <w:r w:rsidRPr="00144D11">
        <w:rPr>
          <w:rFonts w:cs="Times New Roman"/>
          <w:sz w:val="24"/>
          <w:szCs w:val="24"/>
          <w:lang w:val="en-US"/>
        </w:rPr>
        <w:t xml:space="preserve"> was supported by the Canadian Institutes of Health Research (CIHR) Master’s Award.</w:t>
      </w:r>
      <w:r>
        <w:rPr>
          <w:rFonts w:cs="Times New Roman"/>
          <w:sz w:val="24"/>
          <w:szCs w:val="24"/>
          <w:lang w:val="en-US"/>
        </w:rPr>
        <w:t xml:space="preserve"> </w:t>
      </w:r>
      <w:r w:rsidRPr="00805A6F">
        <w:rPr>
          <w:rFonts w:asciiTheme="majorBidi" w:hAnsiTheme="majorBidi" w:cstheme="majorBidi"/>
          <w:sz w:val="24"/>
          <w:szCs w:val="24"/>
          <w:lang w:val="en-CA"/>
        </w:rPr>
        <w:t xml:space="preserve">GAR holds a Canada Research Chair in Genetics of the Nervous System and the Wilder Penfield Chair in Neurosciences. We thank Daniel Rochefort, Pascale </w:t>
      </w:r>
      <w:proofErr w:type="spellStart"/>
      <w:r w:rsidRPr="00805A6F">
        <w:rPr>
          <w:rFonts w:asciiTheme="majorBidi" w:hAnsiTheme="majorBidi" w:cstheme="majorBidi"/>
          <w:sz w:val="24"/>
          <w:szCs w:val="24"/>
          <w:lang w:val="en-CA"/>
        </w:rPr>
        <w:t>Hince</w:t>
      </w:r>
      <w:proofErr w:type="spellEnd"/>
      <w:r w:rsidRPr="00805A6F">
        <w:rPr>
          <w:rFonts w:asciiTheme="majorBidi" w:hAnsiTheme="majorBidi" w:cstheme="majorBidi"/>
          <w:sz w:val="24"/>
          <w:szCs w:val="24"/>
          <w:lang w:val="en-CA"/>
        </w:rPr>
        <w:t xml:space="preserve">, Helene </w:t>
      </w:r>
      <w:proofErr w:type="spellStart"/>
      <w:r w:rsidRPr="00805A6F">
        <w:rPr>
          <w:rFonts w:asciiTheme="majorBidi" w:hAnsiTheme="majorBidi" w:cstheme="majorBidi"/>
          <w:sz w:val="24"/>
          <w:szCs w:val="24"/>
          <w:lang w:val="en-CA"/>
        </w:rPr>
        <w:t>Catoire</w:t>
      </w:r>
      <w:proofErr w:type="spellEnd"/>
      <w:r w:rsidRPr="00805A6F">
        <w:rPr>
          <w:rFonts w:asciiTheme="majorBidi" w:hAnsiTheme="majorBidi" w:cstheme="majorBidi"/>
          <w:sz w:val="24"/>
          <w:szCs w:val="24"/>
          <w:lang w:val="en-CA"/>
        </w:rPr>
        <w:t xml:space="preserve">, Cynthia Bourassa, Pierre Provencher, Cathy </w:t>
      </w:r>
      <w:proofErr w:type="spellStart"/>
      <w:r w:rsidRPr="00805A6F">
        <w:rPr>
          <w:rFonts w:asciiTheme="majorBidi" w:hAnsiTheme="majorBidi" w:cstheme="majorBidi"/>
          <w:sz w:val="24"/>
          <w:szCs w:val="24"/>
          <w:lang w:val="en-CA"/>
        </w:rPr>
        <w:t>Mirarchi</w:t>
      </w:r>
      <w:proofErr w:type="spellEnd"/>
      <w:r w:rsidRPr="00805A6F">
        <w:rPr>
          <w:rFonts w:asciiTheme="majorBidi" w:hAnsiTheme="majorBidi" w:cstheme="majorBidi"/>
          <w:sz w:val="24"/>
          <w:szCs w:val="24"/>
          <w:lang w:val="en-CA"/>
        </w:rPr>
        <w:t xml:space="preserve"> and </w:t>
      </w:r>
      <w:proofErr w:type="spellStart"/>
      <w:r w:rsidRPr="00805A6F">
        <w:rPr>
          <w:rFonts w:asciiTheme="majorBidi" w:hAnsiTheme="majorBidi" w:cstheme="majorBidi"/>
          <w:sz w:val="24"/>
          <w:szCs w:val="24"/>
          <w:lang w:val="en-CA"/>
        </w:rPr>
        <w:t>Vessela</w:t>
      </w:r>
      <w:proofErr w:type="spellEnd"/>
      <w:r w:rsidRPr="00805A6F">
        <w:rPr>
          <w:rFonts w:asciiTheme="majorBidi" w:hAnsiTheme="majorBidi" w:cstheme="majorBidi"/>
          <w:sz w:val="24"/>
          <w:szCs w:val="24"/>
          <w:lang w:val="en-CA"/>
        </w:rPr>
        <w:t xml:space="preserve"> </w:t>
      </w:r>
      <w:proofErr w:type="spellStart"/>
      <w:r w:rsidRPr="00805A6F">
        <w:rPr>
          <w:rFonts w:asciiTheme="majorBidi" w:hAnsiTheme="majorBidi" w:cstheme="majorBidi"/>
          <w:sz w:val="24"/>
          <w:szCs w:val="24"/>
          <w:lang w:val="en-CA"/>
        </w:rPr>
        <w:t>Zaharieva</w:t>
      </w:r>
      <w:proofErr w:type="spellEnd"/>
      <w:r w:rsidRPr="00805A6F">
        <w:rPr>
          <w:rFonts w:asciiTheme="majorBidi" w:hAnsiTheme="majorBidi" w:cstheme="majorBidi"/>
          <w:sz w:val="24"/>
          <w:szCs w:val="24"/>
          <w:lang w:val="en-CA"/>
        </w:rPr>
        <w:t xml:space="preserve"> for their assistance. </w:t>
      </w:r>
      <w:r w:rsidRPr="000C3919">
        <w:rPr>
          <w:rFonts w:asciiTheme="majorBidi" w:hAnsiTheme="majorBidi" w:cstheme="majorBidi"/>
          <w:sz w:val="24"/>
          <w:szCs w:val="24"/>
          <w:lang w:val="en-CA"/>
        </w:rPr>
        <w:t>We thank Drs M</w:t>
      </w:r>
      <w:r>
        <w:rPr>
          <w:rFonts w:asciiTheme="majorBidi" w:hAnsiTheme="majorBidi" w:cstheme="majorBidi"/>
          <w:sz w:val="24"/>
          <w:szCs w:val="24"/>
          <w:lang w:val="en-CA"/>
        </w:rPr>
        <w:t>.</w:t>
      </w:r>
      <w:r w:rsidRPr="000C3919">
        <w:rPr>
          <w:rFonts w:asciiTheme="majorBidi" w:hAnsiTheme="majorBidi" w:cstheme="majorBidi"/>
          <w:sz w:val="24"/>
          <w:szCs w:val="24"/>
          <w:lang w:val="en-CA"/>
        </w:rPr>
        <w:t xml:space="preserve">  </w:t>
      </w:r>
      <w:proofErr w:type="spellStart"/>
      <w:r w:rsidRPr="000C3919">
        <w:rPr>
          <w:rFonts w:asciiTheme="majorBidi" w:hAnsiTheme="majorBidi" w:cstheme="majorBidi"/>
          <w:sz w:val="24"/>
          <w:szCs w:val="24"/>
          <w:lang w:val="en-CA"/>
        </w:rPr>
        <w:t>Charif</w:t>
      </w:r>
      <w:proofErr w:type="spellEnd"/>
      <w:r w:rsidRPr="000C3919">
        <w:rPr>
          <w:rFonts w:asciiTheme="majorBidi" w:hAnsiTheme="majorBidi" w:cstheme="majorBidi"/>
          <w:sz w:val="24"/>
          <w:szCs w:val="24"/>
          <w:lang w:val="en-CA"/>
        </w:rPr>
        <w:t xml:space="preserve"> and C</w:t>
      </w:r>
      <w:r>
        <w:rPr>
          <w:rFonts w:asciiTheme="majorBidi" w:hAnsiTheme="majorBidi" w:cstheme="majorBidi"/>
          <w:sz w:val="24"/>
          <w:szCs w:val="24"/>
          <w:lang w:val="en-CA"/>
        </w:rPr>
        <w:t>.</w:t>
      </w:r>
      <w:r w:rsidRPr="000C3919">
        <w:rPr>
          <w:rFonts w:asciiTheme="majorBidi" w:hAnsiTheme="majorBidi" w:cstheme="majorBidi"/>
          <w:sz w:val="24"/>
          <w:szCs w:val="24"/>
          <w:lang w:val="en-CA"/>
        </w:rPr>
        <w:t xml:space="preserve"> </w:t>
      </w:r>
      <w:proofErr w:type="spellStart"/>
      <w:r w:rsidRPr="000C3919">
        <w:rPr>
          <w:rFonts w:asciiTheme="majorBidi" w:hAnsiTheme="majorBidi" w:cstheme="majorBidi"/>
          <w:sz w:val="24"/>
          <w:szCs w:val="24"/>
          <w:lang w:val="en-CA"/>
        </w:rPr>
        <w:t>Geny</w:t>
      </w:r>
      <w:proofErr w:type="spellEnd"/>
      <w:r w:rsidRPr="000C3919">
        <w:rPr>
          <w:rFonts w:asciiTheme="majorBidi" w:hAnsiTheme="majorBidi" w:cstheme="majorBidi"/>
          <w:sz w:val="24"/>
          <w:szCs w:val="24"/>
          <w:lang w:val="en-CA"/>
        </w:rPr>
        <w:t xml:space="preserve"> for the recruitment of PD patients in France.</w:t>
      </w:r>
      <w:r>
        <w:rPr>
          <w:rFonts w:asciiTheme="majorBidi" w:hAnsiTheme="majorBidi" w:cstheme="majorBidi"/>
          <w:sz w:val="24"/>
          <w:szCs w:val="24"/>
          <w:lang w:val="en-CA"/>
        </w:rPr>
        <w:t xml:space="preserve"> </w:t>
      </w:r>
      <w:r w:rsidRPr="00805A6F">
        <w:rPr>
          <w:rFonts w:asciiTheme="majorBidi" w:hAnsiTheme="majorBidi" w:cstheme="majorBidi"/>
          <w:sz w:val="24"/>
          <w:szCs w:val="24"/>
          <w:lang w:val="en-CA"/>
        </w:rPr>
        <w:t>We thank the Quebec Parkinson’s Network and its members (http://rpq-qpn.ca/) for their collaboration.</w:t>
      </w:r>
    </w:p>
    <w:p w:rsidR="002D58B8" w:rsidRDefault="002D58B8" w:rsidP="00553C3A">
      <w:pPr>
        <w:spacing w:after="0"/>
        <w:jc w:val="both"/>
        <w:rPr>
          <w:rFonts w:cs="Times New Roman"/>
          <w:b/>
          <w:bCs/>
          <w:sz w:val="24"/>
          <w:szCs w:val="24"/>
          <w:lang w:val="en-US"/>
        </w:rPr>
      </w:pPr>
    </w:p>
    <w:p w:rsidR="005118E2" w:rsidRDefault="005118E2" w:rsidP="00553C3A">
      <w:pPr>
        <w:spacing w:after="0"/>
        <w:jc w:val="both"/>
        <w:rPr>
          <w:rFonts w:cs="Times New Roman"/>
          <w:b/>
          <w:bCs/>
          <w:sz w:val="24"/>
          <w:szCs w:val="24"/>
          <w:lang w:val="en-US"/>
        </w:rPr>
      </w:pPr>
      <w:r>
        <w:rPr>
          <w:rFonts w:cs="Times New Roman"/>
          <w:b/>
          <w:bCs/>
          <w:sz w:val="24"/>
          <w:szCs w:val="24"/>
          <w:lang w:val="en-US"/>
        </w:rPr>
        <w:t>References</w:t>
      </w:r>
    </w:p>
    <w:p w:rsidR="002D58B8" w:rsidRPr="00AB016A" w:rsidRDefault="005118E2" w:rsidP="002D58B8">
      <w:pPr>
        <w:pStyle w:val="EndNoteBibliography"/>
        <w:spacing w:after="0"/>
        <w:rPr>
          <w:noProof/>
          <w:sz w:val="24"/>
          <w:szCs w:val="18"/>
        </w:rPr>
      </w:pPr>
      <w:r w:rsidRPr="00AB016A">
        <w:rPr>
          <w:noProof/>
          <w:sz w:val="24"/>
          <w:szCs w:val="18"/>
        </w:rPr>
        <w:t>Allen, R. P., D. L. Pi</w:t>
      </w:r>
      <w:r w:rsidR="00AB016A" w:rsidRPr="00AB016A">
        <w:rPr>
          <w:noProof/>
          <w:sz w:val="24"/>
          <w:szCs w:val="18"/>
        </w:rPr>
        <w:t xml:space="preserve">cchietti, D. Garcia-Borreguero </w:t>
      </w:r>
      <w:bookmarkStart w:id="4" w:name="_Hlk502653188"/>
      <w:bookmarkStart w:id="5" w:name="_Hlk502653598"/>
      <w:r w:rsidR="00AB016A" w:rsidRPr="00AB016A">
        <w:rPr>
          <w:noProof/>
          <w:sz w:val="24"/>
          <w:szCs w:val="18"/>
        </w:rPr>
        <w:t>et al.</w:t>
      </w:r>
      <w:bookmarkEnd w:id="4"/>
      <w:r w:rsidR="00AB016A" w:rsidRPr="00AB016A">
        <w:rPr>
          <w:noProof/>
          <w:sz w:val="24"/>
          <w:szCs w:val="18"/>
        </w:rPr>
        <w:t xml:space="preserve"> </w:t>
      </w:r>
      <w:bookmarkEnd w:id="5"/>
      <w:r w:rsidR="00AB016A">
        <w:rPr>
          <w:noProof/>
          <w:sz w:val="24"/>
          <w:szCs w:val="18"/>
        </w:rPr>
        <w:t xml:space="preserve">(2014). </w:t>
      </w:r>
      <w:r w:rsidRPr="00AB016A">
        <w:rPr>
          <w:noProof/>
          <w:sz w:val="24"/>
          <w:szCs w:val="18"/>
        </w:rPr>
        <w:t>Restless legs syndrome/Willis-Ekbom disease diagnostic criteria: updated International Restless Legs Syndrome Study Group (IRLSSG) consensus criteria--history, rationale,</w:t>
      </w:r>
      <w:r w:rsidR="00AB016A">
        <w:rPr>
          <w:noProof/>
          <w:sz w:val="24"/>
          <w:szCs w:val="18"/>
        </w:rPr>
        <w:t xml:space="preserve"> description, and significance.</w:t>
      </w:r>
      <w:r w:rsidRPr="00AB016A">
        <w:rPr>
          <w:noProof/>
          <w:sz w:val="24"/>
          <w:szCs w:val="18"/>
        </w:rPr>
        <w:t xml:space="preserve"> Sleep Med 15(8): 860-873.</w:t>
      </w:r>
    </w:p>
    <w:p w:rsidR="00F11053" w:rsidRPr="00AB016A" w:rsidRDefault="00F11053" w:rsidP="002D58B8">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Chang, D., M. A. Nalls, I. B. Hallgrimsdottir</w:t>
      </w:r>
      <w:r w:rsidR="00AB016A" w:rsidRPr="00AB016A">
        <w:t xml:space="preserve"> </w:t>
      </w:r>
      <w:r w:rsidR="00AB016A" w:rsidRPr="00AB016A">
        <w:rPr>
          <w:noProof/>
          <w:sz w:val="24"/>
          <w:szCs w:val="18"/>
        </w:rPr>
        <w:t xml:space="preserve">et al. </w:t>
      </w:r>
      <w:r w:rsidR="00AB016A">
        <w:rPr>
          <w:noProof/>
          <w:sz w:val="24"/>
          <w:szCs w:val="18"/>
        </w:rPr>
        <w:t xml:space="preserve">(2017). </w:t>
      </w:r>
      <w:r w:rsidRPr="00AB016A">
        <w:rPr>
          <w:noProof/>
          <w:sz w:val="24"/>
          <w:szCs w:val="18"/>
        </w:rPr>
        <w:t>A meta-analysis of genome-wide association studies identifies 17 new Parkinson'</w:t>
      </w:r>
      <w:r w:rsidR="00AB016A">
        <w:rPr>
          <w:noProof/>
          <w:sz w:val="24"/>
          <w:szCs w:val="18"/>
        </w:rPr>
        <w:t xml:space="preserve">s disease risk loci. Nat Genet </w:t>
      </w:r>
      <w:r w:rsidR="00AB016A" w:rsidRPr="00AB016A">
        <w:rPr>
          <w:noProof/>
          <w:sz w:val="24"/>
          <w:szCs w:val="18"/>
        </w:rPr>
        <w:t>49(10):1511-1516</w:t>
      </w:r>
      <w:r w:rsidR="00AB016A">
        <w:rPr>
          <w:noProof/>
          <w:sz w:val="24"/>
          <w:szCs w:val="18"/>
        </w:rPr>
        <w:t>.</w:t>
      </w:r>
    </w:p>
    <w:p w:rsidR="00AB016A" w:rsidRPr="00AB016A" w:rsidRDefault="00AB016A"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de Rijk, M. C., L. J. Launer, K. Berger</w:t>
      </w:r>
      <w:r w:rsidR="00AB016A" w:rsidRPr="00AB016A">
        <w:t xml:space="preserve"> </w:t>
      </w:r>
      <w:r w:rsidR="00AB016A" w:rsidRPr="00AB016A">
        <w:rPr>
          <w:noProof/>
          <w:sz w:val="24"/>
          <w:szCs w:val="18"/>
        </w:rPr>
        <w:t xml:space="preserve">et al. </w:t>
      </w:r>
      <w:r w:rsidR="00AB016A">
        <w:rPr>
          <w:noProof/>
          <w:sz w:val="24"/>
          <w:szCs w:val="18"/>
        </w:rPr>
        <w:t xml:space="preserve">(2000). </w:t>
      </w:r>
      <w:r w:rsidRPr="00AB016A">
        <w:rPr>
          <w:noProof/>
          <w:sz w:val="24"/>
          <w:szCs w:val="18"/>
        </w:rPr>
        <w:t xml:space="preserve">Prevalence of Parkinson's disease in Europe: A collaborative study of population-based cohorts. Neurologic Diseases in the Elderly </w:t>
      </w:r>
      <w:r w:rsidR="00AB016A">
        <w:rPr>
          <w:noProof/>
          <w:sz w:val="24"/>
          <w:szCs w:val="18"/>
        </w:rPr>
        <w:t>Research Group.</w:t>
      </w:r>
      <w:r w:rsidRPr="00AB016A">
        <w:rPr>
          <w:noProof/>
          <w:sz w:val="24"/>
          <w:szCs w:val="18"/>
        </w:rPr>
        <w:t xml:space="preserve"> Neurology 54(11 Suppl 5): S21-23.</w:t>
      </w:r>
    </w:p>
    <w:p w:rsidR="00AB016A" w:rsidRPr="00AB016A" w:rsidRDefault="00AB016A"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lastRenderedPageBreak/>
        <w:t>Gan-Or, Z., R. N. Alcalay, A. Bar-Shira</w:t>
      </w:r>
      <w:r w:rsidR="00AB016A" w:rsidRPr="00AB016A">
        <w:t xml:space="preserve"> </w:t>
      </w:r>
      <w:r w:rsidR="00AB016A" w:rsidRPr="00AB016A">
        <w:rPr>
          <w:noProof/>
          <w:sz w:val="24"/>
          <w:szCs w:val="18"/>
        </w:rPr>
        <w:t xml:space="preserve">et al. </w:t>
      </w:r>
      <w:r w:rsidR="00AB016A">
        <w:rPr>
          <w:noProof/>
          <w:sz w:val="24"/>
          <w:szCs w:val="18"/>
        </w:rPr>
        <w:t xml:space="preserve">(2015). </w:t>
      </w:r>
      <w:r w:rsidRPr="00AB016A">
        <w:rPr>
          <w:noProof/>
          <w:sz w:val="24"/>
          <w:szCs w:val="18"/>
        </w:rPr>
        <w:t>Genetic markers of Restless Legs</w:t>
      </w:r>
      <w:r w:rsidR="00AB016A">
        <w:rPr>
          <w:noProof/>
          <w:sz w:val="24"/>
          <w:szCs w:val="18"/>
        </w:rPr>
        <w:t xml:space="preserve"> Syndrome in Parkinson disease.</w:t>
      </w:r>
      <w:r w:rsidRPr="00AB016A">
        <w:rPr>
          <w:noProof/>
          <w:sz w:val="24"/>
          <w:szCs w:val="18"/>
        </w:rPr>
        <w:t xml:space="preserve"> Parkinsonism Relat Disord 21(6): 582-585.</w:t>
      </w:r>
    </w:p>
    <w:p w:rsidR="00AB016A" w:rsidRPr="00AB016A" w:rsidRDefault="00AB016A"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Gan-Or, Z., S. Zhou, A. Ambalavanan</w:t>
      </w:r>
      <w:r w:rsidR="00946C6A" w:rsidRPr="00946C6A">
        <w:t xml:space="preserve"> </w:t>
      </w:r>
      <w:r w:rsidR="00946C6A" w:rsidRPr="00946C6A">
        <w:rPr>
          <w:noProof/>
          <w:sz w:val="24"/>
          <w:szCs w:val="18"/>
        </w:rPr>
        <w:t xml:space="preserve">et al. </w:t>
      </w:r>
      <w:r w:rsidR="00946C6A">
        <w:rPr>
          <w:noProof/>
          <w:sz w:val="24"/>
          <w:szCs w:val="18"/>
        </w:rPr>
        <w:t xml:space="preserve">(2015). </w:t>
      </w:r>
      <w:r w:rsidRPr="00AB016A">
        <w:rPr>
          <w:noProof/>
          <w:sz w:val="24"/>
          <w:szCs w:val="18"/>
        </w:rPr>
        <w:t>Analysis of functional GLO1 variants in the BTBD9 lo</w:t>
      </w:r>
      <w:r w:rsidR="00946C6A">
        <w:rPr>
          <w:noProof/>
          <w:sz w:val="24"/>
          <w:szCs w:val="18"/>
        </w:rPr>
        <w:t>cus and restless legs syndrome.</w:t>
      </w:r>
      <w:r w:rsidRPr="00AB016A">
        <w:rPr>
          <w:noProof/>
          <w:sz w:val="24"/>
          <w:szCs w:val="18"/>
        </w:rPr>
        <w:t xml:space="preserve"> Sleep Med 16(9): 1151-1155.</w:t>
      </w:r>
    </w:p>
    <w:p w:rsidR="00946C6A" w:rsidRPr="00AB016A" w:rsidRDefault="00946C6A"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Garcia-Borreguero, D., P. Odin and C. Serran</w:t>
      </w:r>
      <w:r w:rsidR="000B1643">
        <w:rPr>
          <w:noProof/>
          <w:sz w:val="24"/>
          <w:szCs w:val="18"/>
        </w:rPr>
        <w:t xml:space="preserve">o (2003). </w:t>
      </w:r>
      <w:r w:rsidRPr="00AB016A">
        <w:rPr>
          <w:noProof/>
          <w:sz w:val="24"/>
          <w:szCs w:val="18"/>
        </w:rPr>
        <w:t>Restless legs syndrome and PD: a review of the evide</w:t>
      </w:r>
      <w:r w:rsidR="000B1643">
        <w:rPr>
          <w:noProof/>
          <w:sz w:val="24"/>
          <w:szCs w:val="18"/>
        </w:rPr>
        <w:t>nce for a possible association.</w:t>
      </w:r>
      <w:r w:rsidRPr="00AB016A">
        <w:rPr>
          <w:noProof/>
          <w:sz w:val="24"/>
          <w:szCs w:val="18"/>
        </w:rPr>
        <w:t xml:space="preserve"> Neurology 61(6 Suppl 3): S49-55.</w:t>
      </w:r>
    </w:p>
    <w:p w:rsidR="000B1643" w:rsidRPr="00AB016A" w:rsidRDefault="000B1643"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Lee, J. E., H. W. Shin, K.</w:t>
      </w:r>
      <w:r w:rsidR="000B1643">
        <w:rPr>
          <w:noProof/>
          <w:sz w:val="24"/>
          <w:szCs w:val="18"/>
        </w:rPr>
        <w:t xml:space="preserve"> S. Kim and Y. H. Sohn (2009). </w:t>
      </w:r>
      <w:r w:rsidRPr="00AB016A">
        <w:rPr>
          <w:noProof/>
          <w:sz w:val="24"/>
          <w:szCs w:val="18"/>
        </w:rPr>
        <w:t>Factors contributing to the development of restless legs syndrome in p</w:t>
      </w:r>
      <w:r w:rsidR="000B1643">
        <w:rPr>
          <w:noProof/>
          <w:sz w:val="24"/>
          <w:szCs w:val="18"/>
        </w:rPr>
        <w:t>atients with Parkinson disease.</w:t>
      </w:r>
      <w:r w:rsidRPr="00AB016A">
        <w:rPr>
          <w:noProof/>
          <w:sz w:val="24"/>
          <w:szCs w:val="18"/>
        </w:rPr>
        <w:t xml:space="preserve"> Mov Disord 24(4): 579-582.</w:t>
      </w:r>
    </w:p>
    <w:p w:rsidR="000B1643" w:rsidRPr="00AB016A" w:rsidRDefault="000B1643"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Rijsman, R. M., L. F. Schoolderman, R. S. Run</w:t>
      </w:r>
      <w:r w:rsidR="000B1643">
        <w:rPr>
          <w:noProof/>
          <w:sz w:val="24"/>
          <w:szCs w:val="18"/>
        </w:rPr>
        <w:t xml:space="preserve">dervoort and M. Louter (2014). </w:t>
      </w:r>
      <w:r w:rsidRPr="00AB016A">
        <w:rPr>
          <w:noProof/>
          <w:sz w:val="24"/>
          <w:szCs w:val="18"/>
        </w:rPr>
        <w:t>Restless legs s</w:t>
      </w:r>
      <w:r w:rsidR="000B1643">
        <w:rPr>
          <w:noProof/>
          <w:sz w:val="24"/>
          <w:szCs w:val="18"/>
        </w:rPr>
        <w:t>yndrome in Parkinson's disease.</w:t>
      </w:r>
      <w:r w:rsidRPr="00AB016A">
        <w:rPr>
          <w:noProof/>
          <w:sz w:val="24"/>
          <w:szCs w:val="18"/>
        </w:rPr>
        <w:t xml:space="preserve"> Parkinsonism Relat Disord 20 Suppl 1: S5-9.</w:t>
      </w:r>
    </w:p>
    <w:p w:rsidR="000B1643" w:rsidRPr="00AB016A" w:rsidRDefault="000B1643"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Schormair, B., C. Zhao, S.</w:t>
      </w:r>
      <w:r w:rsidR="000B1643">
        <w:rPr>
          <w:noProof/>
          <w:sz w:val="24"/>
          <w:szCs w:val="18"/>
        </w:rPr>
        <w:t xml:space="preserve"> Bell</w:t>
      </w:r>
      <w:r w:rsidRPr="00AB016A">
        <w:rPr>
          <w:noProof/>
          <w:sz w:val="24"/>
          <w:szCs w:val="18"/>
        </w:rPr>
        <w:t xml:space="preserve"> </w:t>
      </w:r>
      <w:r w:rsidR="000B1643" w:rsidRPr="000B1643">
        <w:rPr>
          <w:noProof/>
          <w:sz w:val="24"/>
          <w:szCs w:val="18"/>
        </w:rPr>
        <w:t xml:space="preserve">et al. </w:t>
      </w:r>
      <w:r w:rsidR="000B1643">
        <w:rPr>
          <w:noProof/>
          <w:sz w:val="24"/>
          <w:szCs w:val="18"/>
        </w:rPr>
        <w:t xml:space="preserve">(2017). </w:t>
      </w:r>
      <w:r w:rsidRPr="00AB016A">
        <w:rPr>
          <w:noProof/>
          <w:sz w:val="24"/>
          <w:szCs w:val="18"/>
        </w:rPr>
        <w:t>Identification of novel risk loci for restless legs syndrome in genome-wide association studies in individuals of Euro</w:t>
      </w:r>
      <w:r w:rsidR="000B1643">
        <w:rPr>
          <w:noProof/>
          <w:sz w:val="24"/>
          <w:szCs w:val="18"/>
        </w:rPr>
        <w:t>pean ancestry: a meta-analysis.</w:t>
      </w:r>
      <w:r w:rsidRPr="00AB016A">
        <w:rPr>
          <w:noProof/>
          <w:sz w:val="24"/>
          <w:szCs w:val="18"/>
        </w:rPr>
        <w:t xml:space="preserve"> Lancet Neurol 16(11): 898-907.</w:t>
      </w:r>
    </w:p>
    <w:p w:rsidR="000B1643" w:rsidRPr="00AB016A" w:rsidRDefault="000B1643"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 xml:space="preserve">Seksenyan, </w:t>
      </w:r>
      <w:r w:rsidR="000B1643">
        <w:rPr>
          <w:noProof/>
          <w:sz w:val="24"/>
          <w:szCs w:val="18"/>
        </w:rPr>
        <w:t>A., A. Kadavallore, A. E. Walts</w:t>
      </w:r>
      <w:r w:rsidRPr="00AB016A">
        <w:rPr>
          <w:noProof/>
          <w:sz w:val="24"/>
          <w:szCs w:val="18"/>
        </w:rPr>
        <w:t xml:space="preserve"> </w:t>
      </w:r>
      <w:r w:rsidR="000B1643" w:rsidRPr="000B1643">
        <w:rPr>
          <w:noProof/>
          <w:sz w:val="24"/>
          <w:szCs w:val="18"/>
        </w:rPr>
        <w:t xml:space="preserve">et al. </w:t>
      </w:r>
      <w:r w:rsidR="000B1643">
        <w:rPr>
          <w:noProof/>
          <w:sz w:val="24"/>
          <w:szCs w:val="18"/>
        </w:rPr>
        <w:t xml:space="preserve"> (2015). </w:t>
      </w:r>
      <w:bookmarkStart w:id="6" w:name="_Hlk502653880"/>
      <w:r w:rsidRPr="00AB016A">
        <w:rPr>
          <w:noProof/>
          <w:sz w:val="24"/>
          <w:szCs w:val="18"/>
        </w:rPr>
        <w:t xml:space="preserve">TOX3 is expressed in mammary ER(+) epithelial cells and regulates ER target </w:t>
      </w:r>
      <w:r w:rsidR="000B1643">
        <w:rPr>
          <w:noProof/>
          <w:sz w:val="24"/>
          <w:szCs w:val="18"/>
        </w:rPr>
        <w:t>genes in luminal breast cancer</w:t>
      </w:r>
      <w:bookmarkEnd w:id="6"/>
      <w:r w:rsidR="000B1643">
        <w:rPr>
          <w:noProof/>
          <w:sz w:val="24"/>
          <w:szCs w:val="18"/>
        </w:rPr>
        <w:t>.</w:t>
      </w:r>
      <w:r w:rsidRPr="00AB016A">
        <w:rPr>
          <w:noProof/>
          <w:sz w:val="24"/>
          <w:szCs w:val="18"/>
        </w:rPr>
        <w:t xml:space="preserve"> BMC Cancer 15: 22.</w:t>
      </w:r>
    </w:p>
    <w:p w:rsidR="000B1643" w:rsidRPr="00AB016A" w:rsidRDefault="000B1643"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Winkelmann, J., D. Czamara, B. Schormair</w:t>
      </w:r>
      <w:r w:rsidR="000B1643" w:rsidRPr="000B1643">
        <w:rPr>
          <w:noProof/>
          <w:sz w:val="24"/>
          <w:szCs w:val="18"/>
        </w:rPr>
        <w:t xml:space="preserve"> et al.</w:t>
      </w:r>
      <w:r w:rsidR="000B1643" w:rsidRPr="00AB016A">
        <w:rPr>
          <w:noProof/>
          <w:sz w:val="24"/>
          <w:szCs w:val="18"/>
        </w:rPr>
        <w:t xml:space="preserve"> </w:t>
      </w:r>
      <w:r w:rsidR="000B1643">
        <w:rPr>
          <w:noProof/>
          <w:sz w:val="24"/>
          <w:szCs w:val="18"/>
        </w:rPr>
        <w:t xml:space="preserve">(2011). </w:t>
      </w:r>
      <w:r w:rsidRPr="00AB016A">
        <w:rPr>
          <w:noProof/>
          <w:sz w:val="24"/>
          <w:szCs w:val="18"/>
        </w:rPr>
        <w:t>Genome-wide association study identifies novel restless legs syndrome susceptib</w:t>
      </w:r>
      <w:r w:rsidR="000B1643">
        <w:rPr>
          <w:noProof/>
          <w:sz w:val="24"/>
          <w:szCs w:val="18"/>
        </w:rPr>
        <w:t>ility loci on 2p14 and 16q12.1.</w:t>
      </w:r>
      <w:r w:rsidRPr="00AB016A">
        <w:rPr>
          <w:noProof/>
          <w:sz w:val="24"/>
          <w:szCs w:val="18"/>
        </w:rPr>
        <w:t xml:space="preserve"> PLoS Genet 7(7): e1002171.</w:t>
      </w:r>
    </w:p>
    <w:p w:rsidR="000B1643" w:rsidRPr="00AB016A" w:rsidRDefault="000B1643" w:rsidP="00595350">
      <w:pPr>
        <w:pStyle w:val="EndNoteBibliography"/>
        <w:spacing w:after="0"/>
        <w:rPr>
          <w:noProof/>
          <w:sz w:val="24"/>
          <w:szCs w:val="18"/>
        </w:rPr>
      </w:pPr>
    </w:p>
    <w:p w:rsidR="005118E2" w:rsidRDefault="005118E2" w:rsidP="00595350">
      <w:pPr>
        <w:pStyle w:val="EndNoteBibliography"/>
        <w:spacing w:after="0"/>
        <w:rPr>
          <w:noProof/>
          <w:sz w:val="24"/>
          <w:szCs w:val="18"/>
        </w:rPr>
      </w:pPr>
      <w:r w:rsidRPr="00AB016A">
        <w:rPr>
          <w:noProof/>
          <w:sz w:val="24"/>
          <w:szCs w:val="18"/>
        </w:rPr>
        <w:t>Yeh, P., A. S. Walters and J. W. Tsu</w:t>
      </w:r>
      <w:r w:rsidR="000B1643">
        <w:rPr>
          <w:noProof/>
          <w:sz w:val="24"/>
          <w:szCs w:val="18"/>
        </w:rPr>
        <w:t xml:space="preserve">ang (2012). </w:t>
      </w:r>
      <w:r w:rsidRPr="00AB016A">
        <w:rPr>
          <w:noProof/>
          <w:sz w:val="24"/>
          <w:szCs w:val="18"/>
        </w:rPr>
        <w:t>Restless legs syndrome: a comprehensive overview on its epidemiolog</w:t>
      </w:r>
      <w:r w:rsidR="000B1643">
        <w:rPr>
          <w:noProof/>
          <w:sz w:val="24"/>
          <w:szCs w:val="18"/>
        </w:rPr>
        <w:t>y, risk factors, and treatment.</w:t>
      </w:r>
      <w:r w:rsidRPr="00AB016A">
        <w:rPr>
          <w:noProof/>
          <w:sz w:val="24"/>
          <w:szCs w:val="18"/>
        </w:rPr>
        <w:t xml:space="preserve"> Sleep Breath 16(4): 987-1007.</w:t>
      </w:r>
    </w:p>
    <w:p w:rsidR="000B1643" w:rsidRPr="00AB016A" w:rsidRDefault="000B1643" w:rsidP="00595350">
      <w:pPr>
        <w:pStyle w:val="EndNoteBibliography"/>
        <w:spacing w:after="0"/>
        <w:rPr>
          <w:noProof/>
          <w:sz w:val="24"/>
          <w:szCs w:val="18"/>
        </w:rPr>
      </w:pPr>
    </w:p>
    <w:p w:rsidR="005118E2" w:rsidRPr="00AB016A" w:rsidRDefault="005118E2" w:rsidP="00595350">
      <w:pPr>
        <w:pStyle w:val="EndNoteBibliography"/>
        <w:rPr>
          <w:noProof/>
        </w:rPr>
      </w:pPr>
      <w:r w:rsidRPr="00AB016A">
        <w:rPr>
          <w:noProof/>
          <w:sz w:val="24"/>
          <w:szCs w:val="18"/>
        </w:rPr>
        <w:t>Yuan, S. H</w:t>
      </w:r>
      <w:r w:rsidR="000B1643">
        <w:rPr>
          <w:noProof/>
          <w:sz w:val="24"/>
          <w:szCs w:val="18"/>
        </w:rPr>
        <w:t xml:space="preserve">., Z. Qiu and A. Ghosh (2009). </w:t>
      </w:r>
      <w:r w:rsidRPr="00AB016A">
        <w:rPr>
          <w:noProof/>
          <w:sz w:val="24"/>
          <w:szCs w:val="18"/>
        </w:rPr>
        <w:t>TOX3 regulates calcium-depe</w:t>
      </w:r>
      <w:r w:rsidR="000B1643">
        <w:rPr>
          <w:noProof/>
          <w:sz w:val="24"/>
          <w:szCs w:val="18"/>
        </w:rPr>
        <w:t>ndent transcription in neurons.</w:t>
      </w:r>
      <w:r w:rsidRPr="00AB016A">
        <w:rPr>
          <w:noProof/>
          <w:sz w:val="24"/>
          <w:szCs w:val="18"/>
        </w:rPr>
        <w:t xml:space="preserve"> Proc Natl Acad Sci U S A 106(8): 2909-2914.</w:t>
      </w:r>
    </w:p>
    <w:p w:rsidR="00797531" w:rsidRDefault="00797531">
      <w:pPr>
        <w:spacing w:after="160" w:line="259" w:lineRule="auto"/>
        <w:jc w:val="left"/>
        <w:rPr>
          <w:rFonts w:cs="Times New Roman"/>
          <w:sz w:val="24"/>
          <w:szCs w:val="24"/>
          <w:lang w:val="en-US"/>
        </w:rPr>
      </w:pPr>
      <w:r>
        <w:rPr>
          <w:rFonts w:cs="Times New Roman"/>
          <w:sz w:val="24"/>
          <w:szCs w:val="24"/>
          <w:lang w:val="en-US"/>
        </w:rPr>
        <w:br w:type="page"/>
      </w:r>
    </w:p>
    <w:p w:rsidR="00797531" w:rsidRDefault="00797531" w:rsidP="00797531">
      <w:pPr>
        <w:jc w:val="both"/>
        <w:rPr>
          <w:rFonts w:cs="Times New Roman"/>
          <w:b/>
          <w:bCs/>
          <w:sz w:val="24"/>
          <w:szCs w:val="24"/>
          <w:lang w:val="en-US"/>
        </w:rPr>
        <w:sectPr w:rsidR="00797531" w:rsidSect="00595350">
          <w:pgSz w:w="12240" w:h="15840"/>
          <w:pgMar w:top="1440" w:right="1440" w:bottom="1440" w:left="1440" w:header="708" w:footer="708" w:gutter="0"/>
          <w:cols w:space="708"/>
          <w:docGrid w:linePitch="360"/>
        </w:sectPr>
      </w:pPr>
    </w:p>
    <w:p w:rsidR="00797531" w:rsidRPr="00531EBA" w:rsidRDefault="00797531" w:rsidP="00797531">
      <w:pPr>
        <w:jc w:val="both"/>
        <w:rPr>
          <w:rFonts w:cs="Times New Roman"/>
          <w:b/>
          <w:bCs/>
          <w:sz w:val="24"/>
          <w:szCs w:val="24"/>
          <w:lang w:val="en-US"/>
        </w:rPr>
      </w:pPr>
      <w:r>
        <w:rPr>
          <w:rFonts w:cs="Times New Roman"/>
          <w:b/>
          <w:bCs/>
          <w:sz w:val="24"/>
          <w:szCs w:val="24"/>
          <w:lang w:val="en-US"/>
        </w:rPr>
        <w:lastRenderedPageBreak/>
        <w:t xml:space="preserve">Table 1. Logistic regression model adjusted for age and sex of the association between </w:t>
      </w:r>
      <w:r>
        <w:rPr>
          <w:rFonts w:cs="Times New Roman"/>
          <w:b/>
          <w:bCs/>
          <w:i/>
          <w:iCs/>
          <w:sz w:val="24"/>
          <w:szCs w:val="24"/>
          <w:lang w:val="en-US"/>
        </w:rPr>
        <w:t xml:space="preserve">TOX3 </w:t>
      </w:r>
      <w:r>
        <w:rPr>
          <w:rFonts w:cs="Times New Roman"/>
          <w:b/>
          <w:bCs/>
          <w:sz w:val="24"/>
          <w:szCs w:val="24"/>
          <w:lang w:val="en-US"/>
        </w:rPr>
        <w:t xml:space="preserve">SNPs, </w:t>
      </w:r>
      <w:r w:rsidRPr="00531EBA">
        <w:rPr>
          <w:rFonts w:cs="Times New Roman"/>
          <w:b/>
          <w:bCs/>
          <w:sz w:val="24"/>
          <w:szCs w:val="24"/>
          <w:lang w:val="en-US"/>
        </w:rPr>
        <w:t>rs3104767</w:t>
      </w:r>
      <w:r>
        <w:rPr>
          <w:rFonts w:cs="Times New Roman"/>
          <w:b/>
          <w:bCs/>
          <w:sz w:val="24"/>
          <w:szCs w:val="24"/>
          <w:lang w:val="en-US"/>
        </w:rPr>
        <w:t xml:space="preserve"> and </w:t>
      </w:r>
      <w:r w:rsidRPr="00531EBA">
        <w:rPr>
          <w:rFonts w:cs="Times New Roman"/>
          <w:b/>
          <w:bCs/>
          <w:sz w:val="24"/>
          <w:szCs w:val="24"/>
          <w:lang w:val="en-US"/>
        </w:rPr>
        <w:t>rs4784226</w:t>
      </w:r>
      <w:r>
        <w:rPr>
          <w:rFonts w:cs="Times New Roman"/>
          <w:b/>
          <w:bCs/>
          <w:sz w:val="24"/>
          <w:szCs w:val="24"/>
          <w:lang w:val="en-US"/>
        </w:rPr>
        <w:t>, RLS and PD.</w:t>
      </w:r>
    </w:p>
    <w:tbl>
      <w:tblPr>
        <w:tblW w:w="13183" w:type="dxa"/>
        <w:tblLook w:val="04A0" w:firstRow="1" w:lastRow="0" w:firstColumn="1" w:lastColumn="0" w:noHBand="0" w:noVBand="1"/>
      </w:tblPr>
      <w:tblGrid>
        <w:gridCol w:w="1257"/>
        <w:gridCol w:w="1300"/>
        <w:gridCol w:w="1180"/>
        <w:gridCol w:w="2926"/>
        <w:gridCol w:w="3260"/>
        <w:gridCol w:w="1984"/>
        <w:gridCol w:w="1276"/>
      </w:tblGrid>
      <w:tr w:rsidR="00797531" w:rsidRPr="00531EBA" w:rsidTr="00481B49">
        <w:trPr>
          <w:trHeight w:val="320"/>
        </w:trPr>
        <w:tc>
          <w:tcPr>
            <w:tcW w:w="1257" w:type="dxa"/>
            <w:tcBorders>
              <w:top w:val="single" w:sz="4" w:space="0" w:color="auto"/>
              <w:left w:val="nil"/>
              <w:bottom w:val="single" w:sz="4" w:space="0" w:color="auto"/>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r w:rsidRPr="00531EBA">
              <w:rPr>
                <w:rFonts w:asciiTheme="majorBidi" w:eastAsia="Times New Roman" w:hAnsiTheme="majorBidi" w:cstheme="majorBidi"/>
                <w:color w:val="000000"/>
                <w:sz w:val="24"/>
                <w:szCs w:val="24"/>
                <w:lang w:val="en-US"/>
              </w:rPr>
              <w:t>Population</w:t>
            </w:r>
          </w:p>
        </w:tc>
        <w:tc>
          <w:tcPr>
            <w:tcW w:w="1300" w:type="dxa"/>
            <w:tcBorders>
              <w:top w:val="single" w:sz="4" w:space="0" w:color="auto"/>
              <w:left w:val="nil"/>
              <w:bottom w:val="single" w:sz="4" w:space="0" w:color="auto"/>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r w:rsidRPr="00531EBA">
              <w:rPr>
                <w:rFonts w:asciiTheme="majorBidi" w:eastAsia="Times New Roman" w:hAnsiTheme="majorBidi" w:cstheme="majorBidi"/>
                <w:color w:val="000000"/>
                <w:sz w:val="24"/>
                <w:szCs w:val="24"/>
                <w:lang w:val="en-US"/>
              </w:rPr>
              <w:t>SNP</w:t>
            </w:r>
          </w:p>
        </w:tc>
        <w:tc>
          <w:tcPr>
            <w:tcW w:w="1180" w:type="dxa"/>
            <w:tcBorders>
              <w:top w:val="single" w:sz="4" w:space="0" w:color="auto"/>
              <w:left w:val="nil"/>
              <w:bottom w:val="single" w:sz="4" w:space="0" w:color="auto"/>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Genotype</w:t>
            </w:r>
          </w:p>
        </w:tc>
        <w:tc>
          <w:tcPr>
            <w:tcW w:w="2926" w:type="dxa"/>
            <w:tcBorders>
              <w:top w:val="single" w:sz="4" w:space="0" w:color="auto"/>
              <w:left w:val="nil"/>
              <w:bottom w:val="single" w:sz="4" w:space="0" w:color="auto"/>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Genotype f</w:t>
            </w:r>
            <w:r w:rsidRPr="00531EBA">
              <w:rPr>
                <w:rFonts w:asciiTheme="majorBidi" w:eastAsia="Times New Roman" w:hAnsiTheme="majorBidi" w:cstheme="majorBidi"/>
                <w:color w:val="000000"/>
                <w:sz w:val="24"/>
                <w:szCs w:val="24"/>
                <w:lang w:val="en-US"/>
              </w:rPr>
              <w:t>requency RLS</w:t>
            </w:r>
            <w:r>
              <w:rPr>
                <w:rFonts w:asciiTheme="majorBidi" w:eastAsia="Times New Roman" w:hAnsiTheme="majorBidi" w:cstheme="majorBidi"/>
                <w:color w:val="000000"/>
                <w:sz w:val="24"/>
                <w:szCs w:val="24"/>
                <w:lang w:val="en-US"/>
              </w:rPr>
              <w:t>, % (n)</w:t>
            </w:r>
          </w:p>
        </w:tc>
        <w:tc>
          <w:tcPr>
            <w:tcW w:w="3260" w:type="dxa"/>
            <w:tcBorders>
              <w:top w:val="single" w:sz="4" w:space="0" w:color="auto"/>
              <w:left w:val="nil"/>
              <w:bottom w:val="single" w:sz="4" w:space="0" w:color="auto"/>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 xml:space="preserve">Genotype </w:t>
            </w:r>
            <w:r>
              <w:rPr>
                <w:rFonts w:asciiTheme="majorBidi" w:eastAsia="Times New Roman" w:hAnsiTheme="majorBidi" w:cstheme="majorBidi"/>
                <w:color w:val="000000"/>
                <w:sz w:val="24"/>
                <w:szCs w:val="24"/>
                <w:lang w:val="en-US"/>
              </w:rPr>
              <w:t>f</w:t>
            </w:r>
            <w:r w:rsidRPr="00531EBA">
              <w:rPr>
                <w:rFonts w:asciiTheme="majorBidi" w:eastAsia="Times New Roman" w:hAnsiTheme="majorBidi" w:cstheme="majorBidi"/>
                <w:color w:val="000000"/>
                <w:sz w:val="24"/>
                <w:szCs w:val="24"/>
                <w:lang w:val="en-US"/>
              </w:rPr>
              <w:t>requency Control</w:t>
            </w:r>
            <w:r>
              <w:rPr>
                <w:rFonts w:asciiTheme="majorBidi" w:eastAsia="Times New Roman" w:hAnsiTheme="majorBidi" w:cstheme="majorBidi"/>
                <w:color w:val="000000"/>
                <w:sz w:val="24"/>
                <w:szCs w:val="24"/>
                <w:lang w:val="en-US"/>
              </w:rPr>
              <w:t>, % (n)</w:t>
            </w:r>
          </w:p>
        </w:tc>
        <w:tc>
          <w:tcPr>
            <w:tcW w:w="1984" w:type="dxa"/>
            <w:tcBorders>
              <w:top w:val="single" w:sz="4" w:space="0" w:color="auto"/>
              <w:left w:val="nil"/>
              <w:bottom w:val="single" w:sz="4" w:space="0" w:color="auto"/>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OR (95% CI)</w:t>
            </w:r>
            <w:r w:rsidRPr="00E2016E">
              <w:rPr>
                <w:rFonts w:asciiTheme="majorBidi" w:eastAsia="Times New Roman" w:hAnsiTheme="majorBidi" w:cstheme="majorBidi"/>
                <w:color w:val="000000"/>
                <w:sz w:val="24"/>
                <w:szCs w:val="24"/>
                <w:vertAlign w:val="superscript"/>
                <w:lang w:val="en-US"/>
              </w:rPr>
              <w:t xml:space="preserve"> a</w:t>
            </w:r>
          </w:p>
        </w:tc>
        <w:tc>
          <w:tcPr>
            <w:tcW w:w="1276" w:type="dxa"/>
            <w:tcBorders>
              <w:top w:val="single" w:sz="4" w:space="0" w:color="auto"/>
              <w:left w:val="nil"/>
              <w:bottom w:val="single" w:sz="4" w:space="0" w:color="auto"/>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auto"/>
                <w:sz w:val="24"/>
                <w:szCs w:val="24"/>
                <w:lang w:val="en-US"/>
              </w:rPr>
            </w:pPr>
            <w:r w:rsidRPr="005C3353">
              <w:rPr>
                <w:rFonts w:asciiTheme="majorBidi" w:eastAsia="Times New Roman" w:hAnsiTheme="majorBidi" w:cstheme="majorBidi"/>
                <w:i/>
                <w:iCs/>
                <w:color w:val="000000"/>
                <w:sz w:val="24"/>
                <w:szCs w:val="24"/>
                <w:lang w:val="en-US"/>
              </w:rPr>
              <w:t>p</w:t>
            </w:r>
            <w:r w:rsidRPr="00531EBA">
              <w:rPr>
                <w:rFonts w:asciiTheme="majorBidi" w:eastAsia="Times New Roman" w:hAnsiTheme="majorBidi" w:cstheme="majorBidi"/>
                <w:color w:val="000000"/>
                <w:sz w:val="24"/>
                <w:szCs w:val="24"/>
                <w:lang w:val="en-US"/>
              </w:rPr>
              <w:t xml:space="preserve"> value</w:t>
            </w:r>
            <w:r>
              <w:rPr>
                <w:rFonts w:asciiTheme="majorBidi" w:eastAsia="Times New Roman" w:hAnsiTheme="majorBidi" w:cstheme="majorBidi"/>
                <w:color w:val="000000"/>
                <w:sz w:val="24"/>
                <w:szCs w:val="24"/>
                <w:lang w:val="en-US"/>
              </w:rPr>
              <w:t xml:space="preserve"> </w:t>
            </w:r>
            <w:r w:rsidRPr="00E2016E">
              <w:rPr>
                <w:rFonts w:asciiTheme="majorBidi" w:eastAsia="Times New Roman" w:hAnsiTheme="majorBidi" w:cstheme="majorBidi"/>
                <w:color w:val="000000"/>
                <w:sz w:val="24"/>
                <w:szCs w:val="24"/>
                <w:vertAlign w:val="superscript"/>
                <w:lang w:val="en-US"/>
              </w:rPr>
              <w:t>a</w:t>
            </w:r>
          </w:p>
        </w:tc>
      </w:tr>
      <w:tr w:rsidR="00797531" w:rsidRPr="00531EBA" w:rsidTr="00481B49">
        <w:trPr>
          <w:trHeight w:val="320"/>
        </w:trPr>
        <w:tc>
          <w:tcPr>
            <w:tcW w:w="1257"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RLS</w:t>
            </w:r>
          </w:p>
        </w:tc>
        <w:tc>
          <w:tcPr>
            <w:tcW w:w="1300" w:type="dxa"/>
            <w:tcBorders>
              <w:top w:val="nil"/>
              <w:left w:val="nil"/>
              <w:bottom w:val="nil"/>
              <w:right w:val="nil"/>
            </w:tcBorders>
            <w:shd w:val="clear" w:color="auto" w:fill="auto"/>
            <w:noWrap/>
            <w:vAlign w:val="bottom"/>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rs3104767</w:t>
            </w:r>
          </w:p>
        </w:tc>
        <w:tc>
          <w:tcPr>
            <w:tcW w:w="1180"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GG</w:t>
            </w:r>
          </w:p>
        </w:tc>
        <w:tc>
          <w:tcPr>
            <w:tcW w:w="2926"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42.2% (179)</w:t>
            </w:r>
          </w:p>
        </w:tc>
        <w:tc>
          <w:tcPr>
            <w:tcW w:w="3260"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32.3% (105)</w:t>
            </w:r>
          </w:p>
        </w:tc>
        <w:tc>
          <w:tcPr>
            <w:tcW w:w="1984"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Ref</w:t>
            </w:r>
          </w:p>
        </w:tc>
        <w:tc>
          <w:tcPr>
            <w:tcW w:w="1276"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auto"/>
                <w:sz w:val="24"/>
                <w:szCs w:val="24"/>
                <w:lang w:val="en-US"/>
              </w:rPr>
            </w:pPr>
            <w:r w:rsidRPr="00531EBA">
              <w:rPr>
                <w:rFonts w:asciiTheme="majorBidi" w:eastAsia="Times New Roman" w:hAnsiTheme="majorBidi" w:cstheme="majorBidi"/>
                <w:color w:val="auto"/>
                <w:sz w:val="24"/>
                <w:szCs w:val="24"/>
                <w:lang w:val="en-US"/>
              </w:rPr>
              <w:t>Ref</w:t>
            </w:r>
          </w:p>
        </w:tc>
      </w:tr>
      <w:tr w:rsidR="00797531" w:rsidRPr="00531EBA" w:rsidTr="00481B49">
        <w:trPr>
          <w:trHeight w:val="320"/>
        </w:trPr>
        <w:tc>
          <w:tcPr>
            <w:tcW w:w="1257"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p>
        </w:tc>
        <w:tc>
          <w:tcPr>
            <w:tcW w:w="1300" w:type="dxa"/>
            <w:tcBorders>
              <w:top w:val="nil"/>
              <w:left w:val="nil"/>
              <w:bottom w:val="nil"/>
              <w:right w:val="nil"/>
            </w:tcBorders>
            <w:shd w:val="clear" w:color="auto" w:fill="auto"/>
            <w:noWrap/>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p>
        </w:tc>
        <w:tc>
          <w:tcPr>
            <w:tcW w:w="1180"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GT</w:t>
            </w:r>
          </w:p>
        </w:tc>
        <w:tc>
          <w:tcPr>
            <w:tcW w:w="2926"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46.0% (195)</w:t>
            </w:r>
          </w:p>
        </w:tc>
        <w:tc>
          <w:tcPr>
            <w:tcW w:w="3260"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48.6% (158)</w:t>
            </w:r>
          </w:p>
        </w:tc>
        <w:tc>
          <w:tcPr>
            <w:tcW w:w="1984"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0.79 (0.56-1.11)</w:t>
            </w:r>
          </w:p>
        </w:tc>
        <w:tc>
          <w:tcPr>
            <w:tcW w:w="1276"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auto"/>
                <w:sz w:val="24"/>
                <w:szCs w:val="24"/>
                <w:lang w:val="en-US"/>
              </w:rPr>
            </w:pPr>
            <w:r w:rsidRPr="00531EBA">
              <w:rPr>
                <w:rFonts w:asciiTheme="majorBidi" w:eastAsia="Times New Roman" w:hAnsiTheme="majorBidi" w:cstheme="majorBidi"/>
                <w:color w:val="auto"/>
                <w:sz w:val="24"/>
                <w:szCs w:val="24"/>
                <w:lang w:val="en-US"/>
              </w:rPr>
              <w:t>0.17</w:t>
            </w:r>
          </w:p>
        </w:tc>
      </w:tr>
      <w:tr w:rsidR="00797531" w:rsidRPr="00531EBA" w:rsidTr="00481B49">
        <w:trPr>
          <w:trHeight w:val="320"/>
        </w:trPr>
        <w:tc>
          <w:tcPr>
            <w:tcW w:w="1257"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p>
        </w:tc>
        <w:tc>
          <w:tcPr>
            <w:tcW w:w="1300" w:type="dxa"/>
            <w:tcBorders>
              <w:top w:val="nil"/>
              <w:left w:val="nil"/>
              <w:bottom w:val="nil"/>
              <w:right w:val="nil"/>
            </w:tcBorders>
            <w:shd w:val="clear" w:color="auto" w:fill="auto"/>
            <w:noWrap/>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p>
        </w:tc>
        <w:tc>
          <w:tcPr>
            <w:tcW w:w="1180"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936D8">
              <w:rPr>
                <w:rFonts w:asciiTheme="majorBidi" w:eastAsia="Times New Roman" w:hAnsiTheme="majorBidi" w:cstheme="majorBidi"/>
                <w:b/>
                <w:bCs/>
                <w:color w:val="000000"/>
                <w:sz w:val="24"/>
                <w:szCs w:val="24"/>
                <w:lang w:val="en-US"/>
              </w:rPr>
              <w:t>TT</w:t>
            </w:r>
          </w:p>
        </w:tc>
        <w:tc>
          <w:tcPr>
            <w:tcW w:w="2926"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936D8">
              <w:rPr>
                <w:rFonts w:asciiTheme="majorBidi" w:eastAsia="Times New Roman" w:hAnsiTheme="majorBidi" w:cstheme="majorBidi"/>
                <w:b/>
                <w:bCs/>
                <w:color w:val="000000"/>
                <w:sz w:val="24"/>
                <w:szCs w:val="24"/>
                <w:lang w:val="en-US"/>
              </w:rPr>
              <w:t>11.8% (50)</w:t>
            </w:r>
          </w:p>
        </w:tc>
        <w:tc>
          <w:tcPr>
            <w:tcW w:w="3260"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936D8">
              <w:rPr>
                <w:rFonts w:asciiTheme="majorBidi" w:eastAsia="Times New Roman" w:hAnsiTheme="majorBidi" w:cstheme="majorBidi"/>
                <w:b/>
                <w:bCs/>
                <w:color w:val="000000"/>
                <w:sz w:val="24"/>
                <w:szCs w:val="24"/>
                <w:lang w:val="en-US"/>
              </w:rPr>
              <w:t>19.1% (62)</w:t>
            </w:r>
          </w:p>
        </w:tc>
        <w:tc>
          <w:tcPr>
            <w:tcW w:w="1984"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000000"/>
                <w:sz w:val="24"/>
                <w:szCs w:val="24"/>
                <w:lang w:val="en-US"/>
              </w:rPr>
            </w:pPr>
            <w:r w:rsidRPr="005936D8">
              <w:rPr>
                <w:rFonts w:asciiTheme="majorBidi" w:eastAsia="Times New Roman" w:hAnsiTheme="majorBidi" w:cstheme="majorBidi"/>
                <w:b/>
                <w:bCs/>
                <w:color w:val="000000"/>
                <w:sz w:val="24"/>
                <w:szCs w:val="24"/>
                <w:lang w:val="en-US"/>
              </w:rPr>
              <w:t>0.52 (0.33-0.85)</w:t>
            </w:r>
          </w:p>
        </w:tc>
        <w:tc>
          <w:tcPr>
            <w:tcW w:w="1276"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auto"/>
                <w:sz w:val="24"/>
                <w:szCs w:val="24"/>
                <w:lang w:val="en-US"/>
              </w:rPr>
            </w:pPr>
            <w:r w:rsidRPr="005936D8">
              <w:rPr>
                <w:rFonts w:asciiTheme="majorBidi" w:eastAsia="Times New Roman" w:hAnsiTheme="majorBidi" w:cstheme="majorBidi"/>
                <w:b/>
                <w:bCs/>
                <w:color w:val="auto"/>
                <w:sz w:val="24"/>
                <w:szCs w:val="24"/>
                <w:lang w:val="en-US"/>
              </w:rPr>
              <w:t>0.008</w:t>
            </w:r>
          </w:p>
        </w:tc>
      </w:tr>
      <w:tr w:rsidR="00797531" w:rsidRPr="00531EBA" w:rsidTr="00481B49">
        <w:trPr>
          <w:trHeight w:val="320"/>
        </w:trPr>
        <w:tc>
          <w:tcPr>
            <w:tcW w:w="1257"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p>
        </w:tc>
        <w:tc>
          <w:tcPr>
            <w:tcW w:w="1300" w:type="dxa"/>
            <w:tcBorders>
              <w:top w:val="nil"/>
              <w:left w:val="nil"/>
              <w:bottom w:val="nil"/>
              <w:right w:val="nil"/>
            </w:tcBorders>
            <w:shd w:val="clear" w:color="auto" w:fill="auto"/>
            <w:noWrap/>
            <w:vAlign w:val="bottom"/>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rs4784226</w:t>
            </w:r>
          </w:p>
        </w:tc>
        <w:tc>
          <w:tcPr>
            <w:tcW w:w="1180"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CC</w:t>
            </w:r>
          </w:p>
        </w:tc>
        <w:tc>
          <w:tcPr>
            <w:tcW w:w="2926"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63.4% (269</w:t>
            </w:r>
            <w:r w:rsidRPr="00531EBA">
              <w:rPr>
                <w:rFonts w:asciiTheme="majorBidi" w:eastAsia="Times New Roman" w:hAnsiTheme="majorBidi" w:cstheme="majorBidi"/>
                <w:color w:val="000000"/>
                <w:sz w:val="24"/>
                <w:szCs w:val="24"/>
                <w:lang w:val="en-US"/>
              </w:rPr>
              <w:t>)</w:t>
            </w:r>
          </w:p>
        </w:tc>
        <w:tc>
          <w:tcPr>
            <w:tcW w:w="3260"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56.3% (183</w:t>
            </w:r>
            <w:r w:rsidRPr="00531EBA">
              <w:rPr>
                <w:rFonts w:asciiTheme="majorBidi" w:eastAsia="Times New Roman" w:hAnsiTheme="majorBidi" w:cstheme="majorBidi"/>
                <w:color w:val="000000"/>
                <w:sz w:val="24"/>
                <w:szCs w:val="24"/>
                <w:lang w:val="en-US"/>
              </w:rPr>
              <w:t>)</w:t>
            </w:r>
          </w:p>
        </w:tc>
        <w:tc>
          <w:tcPr>
            <w:tcW w:w="1984"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Ref</w:t>
            </w:r>
          </w:p>
        </w:tc>
        <w:tc>
          <w:tcPr>
            <w:tcW w:w="1276"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auto"/>
                <w:sz w:val="24"/>
                <w:szCs w:val="24"/>
                <w:lang w:val="en-US"/>
              </w:rPr>
            </w:pPr>
            <w:r>
              <w:rPr>
                <w:rFonts w:asciiTheme="majorBidi" w:eastAsia="Times New Roman" w:hAnsiTheme="majorBidi" w:cstheme="majorBidi"/>
                <w:color w:val="auto"/>
                <w:sz w:val="24"/>
                <w:szCs w:val="24"/>
                <w:lang w:val="en-US"/>
              </w:rPr>
              <w:t>Ref</w:t>
            </w:r>
          </w:p>
        </w:tc>
      </w:tr>
      <w:tr w:rsidR="00797531" w:rsidRPr="00531EBA" w:rsidTr="00481B49">
        <w:trPr>
          <w:trHeight w:val="320"/>
        </w:trPr>
        <w:tc>
          <w:tcPr>
            <w:tcW w:w="1257"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p>
        </w:tc>
        <w:tc>
          <w:tcPr>
            <w:tcW w:w="1300" w:type="dxa"/>
            <w:tcBorders>
              <w:top w:val="nil"/>
              <w:left w:val="nil"/>
              <w:bottom w:val="nil"/>
              <w:right w:val="nil"/>
            </w:tcBorders>
            <w:shd w:val="clear" w:color="auto" w:fill="auto"/>
            <w:noWrap/>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p>
        </w:tc>
        <w:tc>
          <w:tcPr>
            <w:tcW w:w="1180"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CT</w:t>
            </w:r>
          </w:p>
        </w:tc>
        <w:tc>
          <w:tcPr>
            <w:tcW w:w="2926"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32.3% (137</w:t>
            </w:r>
            <w:r w:rsidRPr="00531EBA">
              <w:rPr>
                <w:rFonts w:asciiTheme="majorBidi" w:eastAsia="Times New Roman" w:hAnsiTheme="majorBidi" w:cstheme="majorBidi"/>
                <w:color w:val="000000"/>
                <w:sz w:val="24"/>
                <w:szCs w:val="24"/>
                <w:lang w:val="en-US"/>
              </w:rPr>
              <w:t>)</w:t>
            </w:r>
          </w:p>
        </w:tc>
        <w:tc>
          <w:tcPr>
            <w:tcW w:w="3260"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38.5% (125</w:t>
            </w:r>
            <w:r w:rsidRPr="00531EBA">
              <w:rPr>
                <w:rFonts w:asciiTheme="majorBidi" w:eastAsia="Times New Roman" w:hAnsiTheme="majorBidi" w:cstheme="majorBidi"/>
                <w:color w:val="000000"/>
                <w:sz w:val="24"/>
                <w:szCs w:val="24"/>
                <w:lang w:val="en-US"/>
              </w:rPr>
              <w:t>)</w:t>
            </w:r>
          </w:p>
        </w:tc>
        <w:tc>
          <w:tcPr>
            <w:tcW w:w="1984"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0.83 (0.60-1.16)</w:t>
            </w:r>
          </w:p>
        </w:tc>
        <w:tc>
          <w:tcPr>
            <w:tcW w:w="1276"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auto"/>
                <w:sz w:val="24"/>
                <w:szCs w:val="24"/>
                <w:lang w:val="en-US"/>
              </w:rPr>
            </w:pPr>
            <w:r>
              <w:rPr>
                <w:rFonts w:asciiTheme="majorBidi" w:eastAsia="Times New Roman" w:hAnsiTheme="majorBidi" w:cstheme="majorBidi"/>
                <w:color w:val="auto"/>
                <w:sz w:val="24"/>
                <w:szCs w:val="24"/>
                <w:lang w:val="en-US"/>
              </w:rPr>
              <w:t>0.27</w:t>
            </w:r>
          </w:p>
        </w:tc>
      </w:tr>
      <w:tr w:rsidR="00797531" w:rsidRPr="00531EBA" w:rsidTr="00481B49">
        <w:trPr>
          <w:trHeight w:val="320"/>
        </w:trPr>
        <w:tc>
          <w:tcPr>
            <w:tcW w:w="1257"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p>
        </w:tc>
        <w:tc>
          <w:tcPr>
            <w:tcW w:w="1300" w:type="dxa"/>
            <w:tcBorders>
              <w:top w:val="nil"/>
              <w:left w:val="nil"/>
              <w:bottom w:val="nil"/>
              <w:right w:val="nil"/>
            </w:tcBorders>
            <w:shd w:val="clear" w:color="auto" w:fill="auto"/>
            <w:noWrap/>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p>
        </w:tc>
        <w:tc>
          <w:tcPr>
            <w:tcW w:w="1180" w:type="dxa"/>
            <w:tcBorders>
              <w:top w:val="nil"/>
              <w:left w:val="nil"/>
              <w:bottom w:val="nil"/>
              <w:right w:val="nil"/>
            </w:tcBorders>
            <w:shd w:val="clear" w:color="auto" w:fill="auto"/>
            <w:vAlign w:val="center"/>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TT</w:t>
            </w:r>
          </w:p>
        </w:tc>
        <w:tc>
          <w:tcPr>
            <w:tcW w:w="2926"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4.2</w:t>
            </w:r>
            <w:r w:rsidRPr="00531EBA">
              <w:rPr>
                <w:rFonts w:asciiTheme="majorBidi" w:eastAsia="Times New Roman" w:hAnsiTheme="majorBidi" w:cstheme="majorBidi"/>
                <w:color w:val="000000"/>
                <w:sz w:val="24"/>
                <w:szCs w:val="24"/>
                <w:lang w:val="en-US"/>
              </w:rPr>
              <w:t>% (18)</w:t>
            </w:r>
          </w:p>
        </w:tc>
        <w:tc>
          <w:tcPr>
            <w:tcW w:w="3260" w:type="dxa"/>
            <w:tcBorders>
              <w:top w:val="nil"/>
              <w:left w:val="nil"/>
              <w:bottom w:val="nil"/>
              <w:right w:val="nil"/>
            </w:tcBorders>
            <w:shd w:val="clear" w:color="auto" w:fill="auto"/>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5.2</w:t>
            </w:r>
            <w:r w:rsidRPr="00531EBA">
              <w:rPr>
                <w:rFonts w:asciiTheme="majorBidi" w:eastAsia="Times New Roman" w:hAnsiTheme="majorBidi" w:cstheme="majorBidi"/>
                <w:color w:val="000000"/>
                <w:sz w:val="24"/>
                <w:szCs w:val="24"/>
                <w:lang w:val="en-US"/>
              </w:rPr>
              <w:t>% (17)</w:t>
            </w:r>
          </w:p>
        </w:tc>
        <w:tc>
          <w:tcPr>
            <w:tcW w:w="1984"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0.90 (0.43-1.86)</w:t>
            </w:r>
          </w:p>
        </w:tc>
        <w:tc>
          <w:tcPr>
            <w:tcW w:w="1276" w:type="dxa"/>
            <w:tcBorders>
              <w:top w:val="nil"/>
              <w:left w:val="nil"/>
              <w:bottom w:val="nil"/>
              <w:right w:val="nil"/>
            </w:tcBorders>
            <w:shd w:val="clear" w:color="auto" w:fill="auto"/>
          </w:tcPr>
          <w:p w:rsidR="00797531" w:rsidRDefault="00797531" w:rsidP="00481B49">
            <w:pPr>
              <w:spacing w:after="0" w:line="240" w:lineRule="auto"/>
              <w:rPr>
                <w:rFonts w:asciiTheme="majorBidi" w:eastAsia="Times New Roman" w:hAnsiTheme="majorBidi" w:cstheme="majorBidi"/>
                <w:color w:val="auto"/>
                <w:sz w:val="24"/>
                <w:szCs w:val="24"/>
                <w:lang w:val="en-US"/>
              </w:rPr>
            </w:pPr>
            <w:r>
              <w:rPr>
                <w:rFonts w:asciiTheme="majorBidi" w:eastAsia="Times New Roman" w:hAnsiTheme="majorBidi" w:cstheme="majorBidi"/>
                <w:color w:val="auto"/>
                <w:sz w:val="24"/>
                <w:szCs w:val="24"/>
                <w:lang w:val="en-US"/>
              </w:rPr>
              <w:t>0.77</w:t>
            </w:r>
          </w:p>
        </w:tc>
      </w:tr>
      <w:tr w:rsidR="00797531" w:rsidRPr="00531EBA" w:rsidTr="00481B49">
        <w:trPr>
          <w:trHeight w:val="600"/>
        </w:trPr>
        <w:tc>
          <w:tcPr>
            <w:tcW w:w="1257" w:type="dxa"/>
            <w:tcBorders>
              <w:top w:val="single" w:sz="4" w:space="0" w:color="auto"/>
              <w:left w:val="nil"/>
              <w:bottom w:val="single" w:sz="4" w:space="0" w:color="auto"/>
              <w:right w:val="nil"/>
            </w:tcBorders>
            <w:shd w:val="clear" w:color="auto" w:fill="auto"/>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Population</w:t>
            </w:r>
          </w:p>
        </w:tc>
        <w:tc>
          <w:tcPr>
            <w:tcW w:w="1300" w:type="dxa"/>
            <w:tcBorders>
              <w:top w:val="single" w:sz="4" w:space="0" w:color="auto"/>
              <w:left w:val="nil"/>
              <w:bottom w:val="single" w:sz="4" w:space="0" w:color="auto"/>
              <w:right w:val="nil"/>
            </w:tcBorders>
            <w:shd w:val="clear" w:color="auto" w:fill="auto"/>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SNP</w:t>
            </w:r>
          </w:p>
        </w:tc>
        <w:tc>
          <w:tcPr>
            <w:tcW w:w="1180" w:type="dxa"/>
            <w:tcBorders>
              <w:top w:val="single" w:sz="4" w:space="0" w:color="auto"/>
              <w:left w:val="nil"/>
              <w:bottom w:val="single" w:sz="4" w:space="0" w:color="auto"/>
              <w:right w:val="nil"/>
            </w:tcBorders>
            <w:shd w:val="clear" w:color="auto" w:fill="auto"/>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Genotype</w:t>
            </w:r>
          </w:p>
        </w:tc>
        <w:tc>
          <w:tcPr>
            <w:tcW w:w="2926" w:type="dxa"/>
            <w:tcBorders>
              <w:top w:val="single" w:sz="4" w:space="0" w:color="auto"/>
              <w:left w:val="nil"/>
              <w:bottom w:val="single" w:sz="4" w:space="0" w:color="auto"/>
              <w:right w:val="nil"/>
            </w:tcBorders>
            <w:shd w:val="clear" w:color="auto" w:fill="auto"/>
            <w:hideMark/>
          </w:tcPr>
          <w:p w:rsidR="00797531"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 xml:space="preserve">Genotype frequency PD, </w:t>
            </w:r>
          </w:p>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 (n)</w:t>
            </w:r>
          </w:p>
        </w:tc>
        <w:tc>
          <w:tcPr>
            <w:tcW w:w="3260" w:type="dxa"/>
            <w:tcBorders>
              <w:top w:val="single" w:sz="4" w:space="0" w:color="auto"/>
              <w:left w:val="nil"/>
              <w:bottom w:val="single" w:sz="4" w:space="0" w:color="auto"/>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 xml:space="preserve">Genotype </w:t>
            </w:r>
            <w:r>
              <w:rPr>
                <w:rFonts w:asciiTheme="majorBidi" w:eastAsia="Times New Roman" w:hAnsiTheme="majorBidi" w:cstheme="majorBidi"/>
                <w:color w:val="000000"/>
                <w:sz w:val="24"/>
                <w:szCs w:val="24"/>
                <w:lang w:val="en-US"/>
              </w:rPr>
              <w:t>f</w:t>
            </w:r>
            <w:r w:rsidRPr="00531EBA">
              <w:rPr>
                <w:rFonts w:asciiTheme="majorBidi" w:eastAsia="Times New Roman" w:hAnsiTheme="majorBidi" w:cstheme="majorBidi"/>
                <w:color w:val="000000"/>
                <w:sz w:val="24"/>
                <w:szCs w:val="24"/>
                <w:lang w:val="en-US"/>
              </w:rPr>
              <w:t>requency Control</w:t>
            </w:r>
            <w:r>
              <w:rPr>
                <w:rFonts w:asciiTheme="majorBidi" w:eastAsia="Times New Roman" w:hAnsiTheme="majorBidi" w:cstheme="majorBidi"/>
                <w:color w:val="000000"/>
                <w:sz w:val="24"/>
                <w:szCs w:val="24"/>
                <w:lang w:val="en-US"/>
              </w:rPr>
              <w:t>, % (n)</w:t>
            </w:r>
          </w:p>
        </w:tc>
        <w:tc>
          <w:tcPr>
            <w:tcW w:w="1984" w:type="dxa"/>
            <w:tcBorders>
              <w:top w:val="single" w:sz="4" w:space="0" w:color="auto"/>
              <w:left w:val="nil"/>
              <w:bottom w:val="single" w:sz="4" w:space="0" w:color="auto"/>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OR (95% CI)</w:t>
            </w:r>
            <w:r w:rsidRPr="00E2016E">
              <w:rPr>
                <w:rFonts w:asciiTheme="majorBidi" w:eastAsia="Times New Roman" w:hAnsiTheme="majorBidi" w:cstheme="majorBidi"/>
                <w:color w:val="000000"/>
                <w:sz w:val="24"/>
                <w:szCs w:val="24"/>
                <w:vertAlign w:val="superscript"/>
                <w:lang w:val="en-US"/>
              </w:rPr>
              <w:t xml:space="preserve"> a</w:t>
            </w:r>
          </w:p>
        </w:tc>
        <w:tc>
          <w:tcPr>
            <w:tcW w:w="1276" w:type="dxa"/>
            <w:tcBorders>
              <w:top w:val="single" w:sz="4" w:space="0" w:color="auto"/>
              <w:left w:val="nil"/>
              <w:bottom w:val="single" w:sz="4" w:space="0" w:color="auto"/>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P value</w:t>
            </w:r>
            <w:r>
              <w:rPr>
                <w:rFonts w:asciiTheme="majorBidi" w:eastAsia="Times New Roman" w:hAnsiTheme="majorBidi" w:cstheme="majorBidi"/>
                <w:color w:val="000000"/>
                <w:sz w:val="24"/>
                <w:szCs w:val="24"/>
                <w:lang w:val="en-US"/>
              </w:rPr>
              <w:t xml:space="preserve"> </w:t>
            </w:r>
            <w:r w:rsidRPr="00E2016E">
              <w:rPr>
                <w:rFonts w:asciiTheme="majorBidi" w:eastAsia="Times New Roman" w:hAnsiTheme="majorBidi" w:cstheme="majorBidi"/>
                <w:color w:val="000000"/>
                <w:sz w:val="24"/>
                <w:szCs w:val="24"/>
                <w:vertAlign w:val="superscript"/>
                <w:lang w:val="en-US"/>
              </w:rPr>
              <w:t>a</w:t>
            </w:r>
          </w:p>
        </w:tc>
      </w:tr>
      <w:tr w:rsidR="00797531" w:rsidRPr="00531EBA" w:rsidTr="00481B49">
        <w:trPr>
          <w:trHeight w:val="320"/>
        </w:trPr>
        <w:tc>
          <w:tcPr>
            <w:tcW w:w="1257"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PD</w:t>
            </w:r>
          </w:p>
        </w:tc>
        <w:tc>
          <w:tcPr>
            <w:tcW w:w="1300" w:type="dxa"/>
            <w:tcBorders>
              <w:top w:val="nil"/>
              <w:left w:val="nil"/>
              <w:bottom w:val="nil"/>
              <w:right w:val="nil"/>
            </w:tcBorders>
            <w:shd w:val="clear" w:color="auto" w:fill="auto"/>
            <w:noWrap/>
            <w:vAlign w:val="bottom"/>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rs3104767</w:t>
            </w:r>
          </w:p>
        </w:tc>
        <w:tc>
          <w:tcPr>
            <w:tcW w:w="1180"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 xml:space="preserve">GG </w:t>
            </w:r>
          </w:p>
        </w:tc>
        <w:tc>
          <w:tcPr>
            <w:tcW w:w="2926"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28.0% (180)</w:t>
            </w:r>
          </w:p>
        </w:tc>
        <w:tc>
          <w:tcPr>
            <w:tcW w:w="3260"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32.3% (198)</w:t>
            </w:r>
          </w:p>
        </w:tc>
        <w:tc>
          <w:tcPr>
            <w:tcW w:w="1984"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Ref</w:t>
            </w:r>
          </w:p>
        </w:tc>
        <w:tc>
          <w:tcPr>
            <w:tcW w:w="1276"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auto"/>
                <w:sz w:val="24"/>
                <w:szCs w:val="24"/>
                <w:lang w:val="en-US"/>
              </w:rPr>
            </w:pPr>
            <w:r>
              <w:rPr>
                <w:rFonts w:asciiTheme="majorBidi" w:eastAsia="Times New Roman" w:hAnsiTheme="majorBidi" w:cstheme="majorBidi"/>
                <w:color w:val="auto"/>
                <w:sz w:val="24"/>
                <w:szCs w:val="24"/>
                <w:lang w:val="en-US"/>
              </w:rPr>
              <w:t>Ref</w:t>
            </w:r>
          </w:p>
        </w:tc>
      </w:tr>
      <w:tr w:rsidR="00797531" w:rsidRPr="00531EBA" w:rsidTr="00481B49">
        <w:trPr>
          <w:trHeight w:val="320"/>
        </w:trPr>
        <w:tc>
          <w:tcPr>
            <w:tcW w:w="1257"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p>
        </w:tc>
        <w:tc>
          <w:tcPr>
            <w:tcW w:w="1300"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p>
        </w:tc>
        <w:tc>
          <w:tcPr>
            <w:tcW w:w="1180"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GT</w:t>
            </w:r>
          </w:p>
        </w:tc>
        <w:tc>
          <w:tcPr>
            <w:tcW w:w="2926"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51.4% (331)</w:t>
            </w:r>
          </w:p>
        </w:tc>
        <w:tc>
          <w:tcPr>
            <w:tcW w:w="3260"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48.1% (295)</w:t>
            </w:r>
          </w:p>
        </w:tc>
        <w:tc>
          <w:tcPr>
            <w:tcW w:w="1984"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1.19 (0.85-1.66)</w:t>
            </w:r>
          </w:p>
        </w:tc>
        <w:tc>
          <w:tcPr>
            <w:tcW w:w="1276"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auto"/>
                <w:sz w:val="24"/>
                <w:szCs w:val="24"/>
                <w:lang w:val="en-US"/>
              </w:rPr>
            </w:pPr>
            <w:r>
              <w:rPr>
                <w:rFonts w:asciiTheme="majorBidi" w:eastAsia="Times New Roman" w:hAnsiTheme="majorBidi" w:cstheme="majorBidi"/>
                <w:color w:val="auto"/>
                <w:sz w:val="24"/>
                <w:szCs w:val="24"/>
                <w:lang w:val="en-US"/>
              </w:rPr>
              <w:t>0.32</w:t>
            </w:r>
          </w:p>
        </w:tc>
      </w:tr>
      <w:tr w:rsidR="00797531" w:rsidRPr="00531EBA" w:rsidTr="00481B49">
        <w:trPr>
          <w:trHeight w:val="320"/>
        </w:trPr>
        <w:tc>
          <w:tcPr>
            <w:tcW w:w="1257"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p>
        </w:tc>
        <w:tc>
          <w:tcPr>
            <w:tcW w:w="1300" w:type="dxa"/>
            <w:tcBorders>
              <w:top w:val="nil"/>
              <w:left w:val="nil"/>
              <w:bottom w:val="nil"/>
              <w:right w:val="nil"/>
            </w:tcBorders>
            <w:shd w:val="clear" w:color="auto" w:fill="auto"/>
            <w:vAlign w:val="center"/>
            <w:hideMark/>
          </w:tcPr>
          <w:p w:rsidR="00797531" w:rsidRPr="005C3353" w:rsidRDefault="00797531" w:rsidP="00481B49">
            <w:pPr>
              <w:spacing w:after="0" w:line="240" w:lineRule="auto"/>
              <w:jc w:val="left"/>
              <w:rPr>
                <w:rFonts w:asciiTheme="majorBidi" w:eastAsia="Times New Roman" w:hAnsiTheme="majorBidi" w:cstheme="majorBidi"/>
                <w:b/>
                <w:bCs/>
                <w:color w:val="auto"/>
                <w:sz w:val="24"/>
                <w:szCs w:val="24"/>
                <w:lang w:val="en-US"/>
              </w:rPr>
            </w:pPr>
          </w:p>
        </w:tc>
        <w:tc>
          <w:tcPr>
            <w:tcW w:w="1180" w:type="dxa"/>
            <w:tcBorders>
              <w:top w:val="nil"/>
              <w:left w:val="nil"/>
              <w:bottom w:val="nil"/>
              <w:right w:val="nil"/>
            </w:tcBorders>
            <w:shd w:val="clear" w:color="auto" w:fill="auto"/>
            <w:vAlign w:val="center"/>
            <w:hideMark/>
          </w:tcPr>
          <w:p w:rsidR="00797531" w:rsidRPr="005C3353" w:rsidRDefault="00797531" w:rsidP="00481B49">
            <w:pPr>
              <w:spacing w:after="0" w:line="240" w:lineRule="auto"/>
              <w:jc w:val="left"/>
              <w:rPr>
                <w:rFonts w:asciiTheme="majorBidi" w:eastAsia="Times New Roman" w:hAnsiTheme="majorBidi" w:cstheme="majorBidi"/>
                <w:b/>
                <w:bCs/>
                <w:color w:val="000000"/>
                <w:sz w:val="24"/>
                <w:szCs w:val="24"/>
                <w:lang w:val="en-US"/>
              </w:rPr>
            </w:pPr>
            <w:r w:rsidRPr="005C3353">
              <w:rPr>
                <w:rFonts w:asciiTheme="majorBidi" w:eastAsia="Times New Roman" w:hAnsiTheme="majorBidi" w:cstheme="majorBidi"/>
                <w:b/>
                <w:bCs/>
                <w:color w:val="000000"/>
                <w:sz w:val="24"/>
                <w:szCs w:val="24"/>
                <w:lang w:val="en-US"/>
              </w:rPr>
              <w:t>TT</w:t>
            </w:r>
          </w:p>
        </w:tc>
        <w:tc>
          <w:tcPr>
            <w:tcW w:w="2926" w:type="dxa"/>
            <w:tcBorders>
              <w:top w:val="nil"/>
              <w:left w:val="nil"/>
              <w:bottom w:val="nil"/>
              <w:right w:val="nil"/>
            </w:tcBorders>
            <w:shd w:val="clear" w:color="auto" w:fill="auto"/>
            <w:hideMark/>
          </w:tcPr>
          <w:p w:rsidR="00797531" w:rsidRPr="005C3353" w:rsidRDefault="00797531" w:rsidP="00481B49">
            <w:pPr>
              <w:spacing w:after="0" w:line="240" w:lineRule="auto"/>
              <w:rPr>
                <w:rFonts w:asciiTheme="majorBidi" w:eastAsia="Times New Roman" w:hAnsiTheme="majorBidi" w:cstheme="majorBidi"/>
                <w:b/>
                <w:bCs/>
                <w:color w:val="000000"/>
                <w:sz w:val="24"/>
                <w:szCs w:val="24"/>
                <w:lang w:val="en-US"/>
              </w:rPr>
            </w:pPr>
            <w:r w:rsidRPr="005C3353">
              <w:rPr>
                <w:rFonts w:asciiTheme="majorBidi" w:eastAsia="Times New Roman" w:hAnsiTheme="majorBidi" w:cstheme="majorBidi"/>
                <w:b/>
                <w:bCs/>
                <w:color w:val="000000"/>
                <w:sz w:val="24"/>
                <w:szCs w:val="24"/>
                <w:lang w:val="en-US"/>
              </w:rPr>
              <w:t>20.7% (133)</w:t>
            </w:r>
          </w:p>
        </w:tc>
        <w:tc>
          <w:tcPr>
            <w:tcW w:w="3260" w:type="dxa"/>
            <w:tcBorders>
              <w:top w:val="nil"/>
              <w:left w:val="nil"/>
              <w:bottom w:val="nil"/>
              <w:right w:val="nil"/>
            </w:tcBorders>
            <w:shd w:val="clear" w:color="auto" w:fill="auto"/>
            <w:hideMark/>
          </w:tcPr>
          <w:p w:rsidR="00797531" w:rsidRPr="005C3353" w:rsidRDefault="00797531" w:rsidP="00481B49">
            <w:pPr>
              <w:spacing w:after="0" w:line="240" w:lineRule="auto"/>
              <w:rPr>
                <w:rFonts w:asciiTheme="majorBidi" w:eastAsia="Times New Roman" w:hAnsiTheme="majorBidi" w:cstheme="majorBidi"/>
                <w:b/>
                <w:bCs/>
                <w:color w:val="000000"/>
                <w:sz w:val="24"/>
                <w:szCs w:val="24"/>
                <w:lang w:val="en-US"/>
              </w:rPr>
            </w:pPr>
            <w:r w:rsidRPr="005C3353">
              <w:rPr>
                <w:rFonts w:asciiTheme="majorBidi" w:eastAsia="Times New Roman" w:hAnsiTheme="majorBidi" w:cstheme="majorBidi"/>
                <w:b/>
                <w:bCs/>
                <w:color w:val="000000"/>
                <w:sz w:val="24"/>
                <w:szCs w:val="24"/>
                <w:lang w:val="en-US"/>
              </w:rPr>
              <w:t>19.6%( (120)</w:t>
            </w:r>
          </w:p>
        </w:tc>
        <w:tc>
          <w:tcPr>
            <w:tcW w:w="1984" w:type="dxa"/>
            <w:tcBorders>
              <w:top w:val="nil"/>
              <w:left w:val="nil"/>
              <w:bottom w:val="nil"/>
              <w:right w:val="nil"/>
            </w:tcBorders>
            <w:shd w:val="clear" w:color="auto" w:fill="auto"/>
            <w:hideMark/>
          </w:tcPr>
          <w:p w:rsidR="00797531" w:rsidRPr="005C3353" w:rsidRDefault="00797531" w:rsidP="00481B49">
            <w:pPr>
              <w:spacing w:after="0" w:line="240" w:lineRule="auto"/>
              <w:rPr>
                <w:rFonts w:asciiTheme="majorBidi" w:eastAsia="Times New Roman" w:hAnsiTheme="majorBidi" w:cstheme="majorBidi"/>
                <w:b/>
                <w:bCs/>
                <w:color w:val="000000"/>
                <w:sz w:val="24"/>
                <w:szCs w:val="24"/>
                <w:lang w:val="en-US"/>
              </w:rPr>
            </w:pPr>
            <w:r w:rsidRPr="005C3353">
              <w:rPr>
                <w:rFonts w:asciiTheme="majorBidi" w:eastAsia="Times New Roman" w:hAnsiTheme="majorBidi" w:cstheme="majorBidi"/>
                <w:b/>
                <w:bCs/>
                <w:color w:val="000000"/>
                <w:sz w:val="24"/>
                <w:szCs w:val="24"/>
                <w:lang w:val="en-US"/>
              </w:rPr>
              <w:t>1.62 (1.05-2.54)</w:t>
            </w:r>
          </w:p>
        </w:tc>
        <w:tc>
          <w:tcPr>
            <w:tcW w:w="1276" w:type="dxa"/>
            <w:tcBorders>
              <w:top w:val="nil"/>
              <w:left w:val="nil"/>
              <w:bottom w:val="nil"/>
              <w:right w:val="nil"/>
            </w:tcBorders>
            <w:shd w:val="clear" w:color="auto" w:fill="auto"/>
            <w:hideMark/>
          </w:tcPr>
          <w:p w:rsidR="00797531" w:rsidRPr="005C3353" w:rsidRDefault="00797531" w:rsidP="00481B49">
            <w:pPr>
              <w:spacing w:after="0" w:line="240" w:lineRule="auto"/>
              <w:rPr>
                <w:rFonts w:asciiTheme="majorBidi" w:eastAsia="Times New Roman" w:hAnsiTheme="majorBidi" w:cstheme="majorBidi"/>
                <w:b/>
                <w:bCs/>
                <w:color w:val="auto"/>
                <w:sz w:val="24"/>
                <w:szCs w:val="24"/>
                <w:lang w:val="en-US"/>
              </w:rPr>
            </w:pPr>
            <w:r w:rsidRPr="005C3353">
              <w:rPr>
                <w:rFonts w:asciiTheme="majorBidi" w:eastAsia="Times New Roman" w:hAnsiTheme="majorBidi" w:cstheme="majorBidi"/>
                <w:b/>
                <w:bCs/>
                <w:color w:val="auto"/>
                <w:sz w:val="24"/>
                <w:szCs w:val="24"/>
                <w:lang w:val="en-US"/>
              </w:rPr>
              <w:t>0.034</w:t>
            </w:r>
            <w:r>
              <w:rPr>
                <w:rFonts w:asciiTheme="majorBidi" w:eastAsia="Times New Roman" w:hAnsiTheme="majorBidi" w:cstheme="majorBidi"/>
                <w:b/>
                <w:bCs/>
                <w:color w:val="auto"/>
                <w:sz w:val="24"/>
                <w:szCs w:val="24"/>
                <w:lang w:val="en-US"/>
              </w:rPr>
              <w:t xml:space="preserve"> </w:t>
            </w:r>
            <w:r>
              <w:rPr>
                <w:rFonts w:asciiTheme="majorBidi" w:eastAsia="Times New Roman" w:hAnsiTheme="majorBidi" w:cstheme="majorBidi"/>
                <w:b/>
                <w:bCs/>
                <w:color w:val="auto"/>
                <w:sz w:val="24"/>
                <w:szCs w:val="24"/>
                <w:vertAlign w:val="superscript"/>
                <w:lang w:val="en-US"/>
              </w:rPr>
              <w:t>b</w:t>
            </w:r>
          </w:p>
        </w:tc>
      </w:tr>
      <w:tr w:rsidR="00797531" w:rsidRPr="00531EBA" w:rsidTr="00481B49">
        <w:trPr>
          <w:trHeight w:val="320"/>
        </w:trPr>
        <w:tc>
          <w:tcPr>
            <w:tcW w:w="1257"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p>
        </w:tc>
        <w:tc>
          <w:tcPr>
            <w:tcW w:w="1300" w:type="dxa"/>
            <w:tcBorders>
              <w:top w:val="nil"/>
              <w:left w:val="nil"/>
              <w:bottom w:val="nil"/>
              <w:right w:val="nil"/>
            </w:tcBorders>
            <w:shd w:val="clear" w:color="auto" w:fill="auto"/>
            <w:noWrap/>
            <w:vAlign w:val="bottom"/>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rs4784226</w:t>
            </w:r>
          </w:p>
        </w:tc>
        <w:tc>
          <w:tcPr>
            <w:tcW w:w="1180"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CC</w:t>
            </w:r>
          </w:p>
        </w:tc>
        <w:tc>
          <w:tcPr>
            <w:tcW w:w="2926"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53.4% (344)</w:t>
            </w:r>
          </w:p>
        </w:tc>
        <w:tc>
          <w:tcPr>
            <w:tcW w:w="3260"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54.8% (336)</w:t>
            </w:r>
          </w:p>
        </w:tc>
        <w:tc>
          <w:tcPr>
            <w:tcW w:w="1984"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Ref</w:t>
            </w:r>
          </w:p>
        </w:tc>
        <w:tc>
          <w:tcPr>
            <w:tcW w:w="1276"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auto"/>
                <w:sz w:val="24"/>
                <w:szCs w:val="24"/>
                <w:lang w:val="en-US"/>
              </w:rPr>
            </w:pPr>
            <w:r>
              <w:rPr>
                <w:rFonts w:asciiTheme="majorBidi" w:eastAsia="Times New Roman" w:hAnsiTheme="majorBidi" w:cstheme="majorBidi"/>
                <w:color w:val="auto"/>
                <w:sz w:val="24"/>
                <w:szCs w:val="24"/>
                <w:lang w:val="en-US"/>
              </w:rPr>
              <w:t>Ref</w:t>
            </w:r>
          </w:p>
        </w:tc>
      </w:tr>
      <w:tr w:rsidR="00797531" w:rsidRPr="00531EBA" w:rsidTr="00481B49">
        <w:trPr>
          <w:trHeight w:val="320"/>
        </w:trPr>
        <w:tc>
          <w:tcPr>
            <w:tcW w:w="1257"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p>
        </w:tc>
        <w:tc>
          <w:tcPr>
            <w:tcW w:w="1300"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p>
        </w:tc>
        <w:tc>
          <w:tcPr>
            <w:tcW w:w="1180" w:type="dxa"/>
            <w:tcBorders>
              <w:top w:val="nil"/>
              <w:left w:val="nil"/>
              <w:bottom w:val="nil"/>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CT</w:t>
            </w:r>
          </w:p>
        </w:tc>
        <w:tc>
          <w:tcPr>
            <w:tcW w:w="2926"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39.3% (253)</w:t>
            </w:r>
          </w:p>
        </w:tc>
        <w:tc>
          <w:tcPr>
            <w:tcW w:w="3260"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36.9% (226)</w:t>
            </w:r>
          </w:p>
        </w:tc>
        <w:tc>
          <w:tcPr>
            <w:tcW w:w="1984"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1.04 (0.77-1.42)</w:t>
            </w:r>
          </w:p>
        </w:tc>
        <w:tc>
          <w:tcPr>
            <w:tcW w:w="1276" w:type="dxa"/>
            <w:tcBorders>
              <w:top w:val="nil"/>
              <w:left w:val="nil"/>
              <w:bottom w:val="nil"/>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auto"/>
                <w:sz w:val="24"/>
                <w:szCs w:val="24"/>
                <w:lang w:val="en-US"/>
              </w:rPr>
            </w:pPr>
            <w:r>
              <w:rPr>
                <w:rFonts w:asciiTheme="majorBidi" w:eastAsia="Times New Roman" w:hAnsiTheme="majorBidi" w:cstheme="majorBidi"/>
                <w:color w:val="auto"/>
                <w:sz w:val="24"/>
                <w:szCs w:val="24"/>
                <w:lang w:val="en-US"/>
              </w:rPr>
              <w:t>0.79</w:t>
            </w:r>
          </w:p>
        </w:tc>
      </w:tr>
      <w:tr w:rsidR="00797531" w:rsidRPr="00531EBA" w:rsidTr="00481B49">
        <w:trPr>
          <w:trHeight w:val="320"/>
        </w:trPr>
        <w:tc>
          <w:tcPr>
            <w:tcW w:w="1257" w:type="dxa"/>
            <w:tcBorders>
              <w:top w:val="nil"/>
              <w:left w:val="nil"/>
              <w:bottom w:val="single" w:sz="4" w:space="0" w:color="auto"/>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p>
        </w:tc>
        <w:tc>
          <w:tcPr>
            <w:tcW w:w="1300" w:type="dxa"/>
            <w:tcBorders>
              <w:top w:val="nil"/>
              <w:left w:val="nil"/>
              <w:bottom w:val="single" w:sz="4" w:space="0" w:color="auto"/>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auto"/>
                <w:sz w:val="24"/>
                <w:szCs w:val="24"/>
                <w:lang w:val="en-US"/>
              </w:rPr>
            </w:pPr>
          </w:p>
        </w:tc>
        <w:tc>
          <w:tcPr>
            <w:tcW w:w="1180" w:type="dxa"/>
            <w:tcBorders>
              <w:top w:val="nil"/>
              <w:left w:val="nil"/>
              <w:bottom w:val="single" w:sz="4" w:space="0" w:color="auto"/>
              <w:right w:val="nil"/>
            </w:tcBorders>
            <w:shd w:val="clear" w:color="auto" w:fill="auto"/>
            <w:vAlign w:val="center"/>
            <w:hideMark/>
          </w:tcPr>
          <w:p w:rsidR="00797531" w:rsidRPr="00531EBA" w:rsidRDefault="00797531" w:rsidP="00481B49">
            <w:pPr>
              <w:spacing w:after="0" w:line="240" w:lineRule="auto"/>
              <w:jc w:val="left"/>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TT</w:t>
            </w:r>
          </w:p>
        </w:tc>
        <w:tc>
          <w:tcPr>
            <w:tcW w:w="2926" w:type="dxa"/>
            <w:tcBorders>
              <w:top w:val="nil"/>
              <w:left w:val="nil"/>
              <w:bottom w:val="single" w:sz="4" w:space="0" w:color="auto"/>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7.3% (47)</w:t>
            </w:r>
          </w:p>
        </w:tc>
        <w:tc>
          <w:tcPr>
            <w:tcW w:w="3260" w:type="dxa"/>
            <w:tcBorders>
              <w:top w:val="nil"/>
              <w:left w:val="nil"/>
              <w:bottom w:val="single" w:sz="4" w:space="0" w:color="auto"/>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sidRPr="00531EBA">
              <w:rPr>
                <w:rFonts w:asciiTheme="majorBidi" w:eastAsia="Times New Roman" w:hAnsiTheme="majorBidi" w:cstheme="majorBidi"/>
                <w:color w:val="000000"/>
                <w:sz w:val="24"/>
                <w:szCs w:val="24"/>
                <w:lang w:val="en-US"/>
              </w:rPr>
              <w:t>8.3% (51)</w:t>
            </w:r>
          </w:p>
        </w:tc>
        <w:tc>
          <w:tcPr>
            <w:tcW w:w="1984" w:type="dxa"/>
            <w:tcBorders>
              <w:top w:val="nil"/>
              <w:left w:val="nil"/>
              <w:bottom w:val="single" w:sz="4" w:space="0" w:color="auto"/>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000000"/>
                <w:sz w:val="24"/>
                <w:szCs w:val="24"/>
                <w:lang w:val="en-US"/>
              </w:rPr>
            </w:pPr>
            <w:r>
              <w:rPr>
                <w:rFonts w:asciiTheme="majorBidi" w:eastAsia="Times New Roman" w:hAnsiTheme="majorBidi" w:cstheme="majorBidi"/>
                <w:color w:val="000000"/>
                <w:sz w:val="24"/>
                <w:szCs w:val="24"/>
                <w:lang w:val="en-US"/>
              </w:rPr>
              <w:t>0.85 (0.47-1.54)</w:t>
            </w:r>
          </w:p>
        </w:tc>
        <w:tc>
          <w:tcPr>
            <w:tcW w:w="1276" w:type="dxa"/>
            <w:tcBorders>
              <w:top w:val="nil"/>
              <w:left w:val="nil"/>
              <w:bottom w:val="single" w:sz="4" w:space="0" w:color="auto"/>
              <w:right w:val="nil"/>
            </w:tcBorders>
            <w:shd w:val="clear" w:color="auto" w:fill="auto"/>
            <w:hideMark/>
          </w:tcPr>
          <w:p w:rsidR="00797531" w:rsidRPr="00531EBA" w:rsidRDefault="00797531" w:rsidP="00481B49">
            <w:pPr>
              <w:spacing w:after="0" w:line="240" w:lineRule="auto"/>
              <w:rPr>
                <w:rFonts w:asciiTheme="majorBidi" w:eastAsia="Times New Roman" w:hAnsiTheme="majorBidi" w:cstheme="majorBidi"/>
                <w:color w:val="auto"/>
                <w:sz w:val="24"/>
                <w:szCs w:val="24"/>
                <w:lang w:val="en-US"/>
              </w:rPr>
            </w:pPr>
            <w:r>
              <w:rPr>
                <w:rFonts w:asciiTheme="majorBidi" w:eastAsia="Times New Roman" w:hAnsiTheme="majorBidi" w:cstheme="majorBidi"/>
                <w:color w:val="auto"/>
                <w:sz w:val="24"/>
                <w:szCs w:val="24"/>
                <w:lang w:val="en-US"/>
              </w:rPr>
              <w:t>0.60</w:t>
            </w:r>
          </w:p>
        </w:tc>
      </w:tr>
    </w:tbl>
    <w:p w:rsidR="00797531" w:rsidRDefault="00797531" w:rsidP="00797531">
      <w:pPr>
        <w:spacing w:after="0" w:line="240" w:lineRule="auto"/>
        <w:jc w:val="both"/>
        <w:rPr>
          <w:rFonts w:cs="Times New Roman"/>
          <w:sz w:val="24"/>
          <w:szCs w:val="24"/>
          <w:lang w:val="en-US"/>
        </w:rPr>
      </w:pPr>
      <w:r>
        <w:rPr>
          <w:rFonts w:cs="Times New Roman"/>
          <w:sz w:val="24"/>
          <w:szCs w:val="24"/>
          <w:lang w:val="en-US"/>
        </w:rPr>
        <w:t>RLS, restless legs syndrome; PD, Parkinson’s disease; SNP, single nucleotide polymorphism; OR, odds ratio; CI, confidence interval; n, number.</w:t>
      </w:r>
    </w:p>
    <w:p w:rsidR="00797531" w:rsidRDefault="00797531" w:rsidP="00797531">
      <w:pPr>
        <w:spacing w:after="0" w:line="240" w:lineRule="auto"/>
        <w:jc w:val="left"/>
        <w:rPr>
          <w:rFonts w:cs="Times New Roman"/>
          <w:sz w:val="24"/>
          <w:szCs w:val="24"/>
          <w:lang w:val="en-US"/>
        </w:rPr>
      </w:pPr>
      <w:proofErr w:type="spellStart"/>
      <w:proofErr w:type="gramStart"/>
      <w:r w:rsidRPr="005C3353">
        <w:rPr>
          <w:rFonts w:cs="Times New Roman"/>
          <w:sz w:val="24"/>
          <w:szCs w:val="24"/>
          <w:vertAlign w:val="superscript"/>
          <w:lang w:val="en-US"/>
        </w:rPr>
        <w:t>a</w:t>
      </w:r>
      <w:proofErr w:type="spellEnd"/>
      <w:proofErr w:type="gramEnd"/>
      <w:r>
        <w:rPr>
          <w:rFonts w:cs="Times New Roman"/>
          <w:sz w:val="24"/>
          <w:szCs w:val="24"/>
          <w:lang w:val="en-US"/>
        </w:rPr>
        <w:t xml:space="preserve"> Adjusted for age and sex</w:t>
      </w:r>
    </w:p>
    <w:p w:rsidR="00797531" w:rsidRDefault="00797531" w:rsidP="00797531">
      <w:pPr>
        <w:spacing w:after="0" w:line="240" w:lineRule="auto"/>
        <w:jc w:val="left"/>
        <w:rPr>
          <w:rFonts w:cs="Times New Roman"/>
          <w:sz w:val="24"/>
          <w:szCs w:val="24"/>
          <w:lang w:val="en-US"/>
        </w:rPr>
      </w:pPr>
      <w:r>
        <w:rPr>
          <w:rFonts w:asciiTheme="majorBidi" w:eastAsia="Times New Roman" w:hAnsiTheme="majorBidi" w:cstheme="majorBidi"/>
          <w:color w:val="000000"/>
          <w:sz w:val="24"/>
          <w:szCs w:val="24"/>
          <w:vertAlign w:val="superscript"/>
          <w:lang w:val="en-US"/>
        </w:rPr>
        <w:t xml:space="preserve">b </w:t>
      </w:r>
      <w:r>
        <w:rPr>
          <w:rFonts w:cs="Times New Roman"/>
          <w:sz w:val="24"/>
          <w:szCs w:val="24"/>
          <w:lang w:val="en-US"/>
        </w:rPr>
        <w:t xml:space="preserve">Only trend after Bonferroni correction for multiple comparisons, </w:t>
      </w:r>
      <w:r>
        <w:rPr>
          <w:rFonts w:cs="Times New Roman"/>
          <w:i/>
          <w:iCs/>
          <w:sz w:val="24"/>
          <w:szCs w:val="24"/>
          <w:lang w:val="en-US"/>
        </w:rPr>
        <w:t>p</w:t>
      </w:r>
      <w:r>
        <w:rPr>
          <w:rFonts w:cs="Times New Roman"/>
          <w:sz w:val="24"/>
          <w:szCs w:val="24"/>
          <w:lang w:val="en-US"/>
        </w:rPr>
        <w:t>=0.068.</w:t>
      </w:r>
    </w:p>
    <w:p w:rsidR="00797531" w:rsidRDefault="00797531">
      <w:pPr>
        <w:spacing w:after="160" w:line="259" w:lineRule="auto"/>
        <w:jc w:val="left"/>
        <w:rPr>
          <w:rFonts w:cs="Times New Roman"/>
          <w:sz w:val="24"/>
          <w:szCs w:val="24"/>
          <w:lang w:val="en-US"/>
        </w:rPr>
      </w:pPr>
      <w:r>
        <w:rPr>
          <w:rFonts w:cs="Times New Roman"/>
          <w:sz w:val="24"/>
          <w:szCs w:val="24"/>
          <w:lang w:val="en-US"/>
        </w:rPr>
        <w:br w:type="page"/>
      </w:r>
    </w:p>
    <w:p w:rsidR="00797531" w:rsidRDefault="00797531" w:rsidP="00797531">
      <w:pPr>
        <w:jc w:val="both"/>
        <w:rPr>
          <w:rFonts w:cs="Times New Roman"/>
          <w:b/>
          <w:bCs/>
          <w:sz w:val="24"/>
          <w:szCs w:val="24"/>
          <w:lang w:val="en-US"/>
        </w:rPr>
      </w:pPr>
      <w:r>
        <w:rPr>
          <w:rFonts w:cs="Times New Roman"/>
          <w:b/>
          <w:bCs/>
          <w:sz w:val="24"/>
          <w:szCs w:val="24"/>
          <w:lang w:val="en-US"/>
        </w:rPr>
        <w:lastRenderedPageBreak/>
        <w:t xml:space="preserve">Table 2. Inverse associations of </w:t>
      </w:r>
      <w:r>
        <w:rPr>
          <w:rFonts w:cs="Times New Roman"/>
          <w:b/>
          <w:bCs/>
          <w:i/>
          <w:iCs/>
          <w:sz w:val="24"/>
          <w:szCs w:val="24"/>
          <w:lang w:val="en-US"/>
        </w:rPr>
        <w:t>TOX3</w:t>
      </w:r>
      <w:r>
        <w:rPr>
          <w:rFonts w:cs="Times New Roman"/>
          <w:b/>
          <w:bCs/>
          <w:sz w:val="24"/>
          <w:szCs w:val="24"/>
          <w:lang w:val="en-US"/>
        </w:rPr>
        <w:t xml:space="preserve"> SNPs with RLS and PD in the current and previous studies</w:t>
      </w:r>
    </w:p>
    <w:tbl>
      <w:tblPr>
        <w:tblStyle w:val="TableGrid"/>
        <w:tblW w:w="14601" w:type="dxa"/>
        <w:tblInd w:w="-856" w:type="dxa"/>
        <w:tblLook w:val="04A0" w:firstRow="1" w:lastRow="0" w:firstColumn="1" w:lastColumn="0" w:noHBand="0" w:noVBand="1"/>
      </w:tblPr>
      <w:tblGrid>
        <w:gridCol w:w="1418"/>
        <w:gridCol w:w="1098"/>
        <w:gridCol w:w="1099"/>
        <w:gridCol w:w="1098"/>
        <w:gridCol w:w="1099"/>
        <w:gridCol w:w="1098"/>
        <w:gridCol w:w="1099"/>
        <w:gridCol w:w="1099"/>
        <w:gridCol w:w="1098"/>
        <w:gridCol w:w="1099"/>
        <w:gridCol w:w="1098"/>
        <w:gridCol w:w="1099"/>
        <w:gridCol w:w="1099"/>
      </w:tblGrid>
      <w:tr w:rsidR="00797531" w:rsidTr="00481B49">
        <w:tc>
          <w:tcPr>
            <w:tcW w:w="1418" w:type="dxa"/>
          </w:tcPr>
          <w:p w:rsidR="00797531" w:rsidRDefault="00797531" w:rsidP="00481B49">
            <w:pPr>
              <w:spacing w:after="0" w:line="240" w:lineRule="auto"/>
              <w:jc w:val="both"/>
              <w:rPr>
                <w:rFonts w:cs="Times New Roman"/>
                <w:b/>
                <w:bCs/>
                <w:sz w:val="24"/>
                <w:lang w:val="en-US"/>
              </w:rPr>
            </w:pPr>
          </w:p>
        </w:tc>
        <w:tc>
          <w:tcPr>
            <w:tcW w:w="4394" w:type="dxa"/>
            <w:gridSpan w:val="4"/>
          </w:tcPr>
          <w:p w:rsidR="00797531" w:rsidRPr="00531EBA" w:rsidRDefault="00797531" w:rsidP="00481B49">
            <w:pPr>
              <w:spacing w:after="0" w:line="240" w:lineRule="auto"/>
              <w:rPr>
                <w:rFonts w:cs="Times New Roman"/>
                <w:b/>
                <w:bCs/>
                <w:sz w:val="24"/>
                <w:lang w:val="en-US"/>
              </w:rPr>
            </w:pPr>
            <w:r w:rsidRPr="00531EBA">
              <w:rPr>
                <w:rFonts w:cs="Times New Roman"/>
                <w:b/>
                <w:bCs/>
                <w:sz w:val="24"/>
                <w:lang w:val="en-US"/>
              </w:rPr>
              <w:t>rs3104767</w:t>
            </w:r>
          </w:p>
        </w:tc>
        <w:tc>
          <w:tcPr>
            <w:tcW w:w="4394" w:type="dxa"/>
            <w:gridSpan w:val="4"/>
          </w:tcPr>
          <w:p w:rsidR="00797531" w:rsidRDefault="00797531" w:rsidP="00481B49">
            <w:pPr>
              <w:spacing w:after="0" w:line="240" w:lineRule="auto"/>
              <w:rPr>
                <w:rFonts w:cs="Times New Roman"/>
                <w:b/>
                <w:bCs/>
                <w:sz w:val="24"/>
                <w:lang w:val="en-US"/>
              </w:rPr>
            </w:pPr>
            <w:r w:rsidRPr="00531EBA">
              <w:rPr>
                <w:rFonts w:cs="Times New Roman"/>
                <w:b/>
                <w:bCs/>
                <w:sz w:val="24"/>
                <w:lang w:val="en-US"/>
              </w:rPr>
              <w:t>rs4784226</w:t>
            </w:r>
          </w:p>
        </w:tc>
        <w:tc>
          <w:tcPr>
            <w:tcW w:w="4395" w:type="dxa"/>
            <w:gridSpan w:val="4"/>
          </w:tcPr>
          <w:p w:rsidR="00797531" w:rsidRDefault="00797531" w:rsidP="00481B49">
            <w:pPr>
              <w:spacing w:after="0" w:line="240" w:lineRule="auto"/>
              <w:rPr>
                <w:rFonts w:cs="Times New Roman"/>
                <w:b/>
                <w:bCs/>
                <w:sz w:val="24"/>
                <w:lang w:val="en-US"/>
              </w:rPr>
            </w:pPr>
            <w:r>
              <w:rPr>
                <w:rFonts w:cs="Times New Roman"/>
                <w:b/>
                <w:bCs/>
                <w:sz w:val="24"/>
                <w:lang w:val="en-US"/>
              </w:rPr>
              <w:t>rs4784227</w:t>
            </w:r>
          </w:p>
        </w:tc>
      </w:tr>
      <w:tr w:rsidR="00797531" w:rsidTr="00481B49">
        <w:tc>
          <w:tcPr>
            <w:tcW w:w="1418" w:type="dxa"/>
          </w:tcPr>
          <w:p w:rsidR="00797531" w:rsidRDefault="00797531" w:rsidP="00481B49">
            <w:pPr>
              <w:spacing w:after="0" w:line="240" w:lineRule="auto"/>
              <w:jc w:val="both"/>
              <w:rPr>
                <w:rFonts w:cs="Times New Roman"/>
                <w:b/>
                <w:bCs/>
                <w:sz w:val="24"/>
                <w:lang w:val="en-US"/>
              </w:rPr>
            </w:pPr>
          </w:p>
        </w:tc>
        <w:tc>
          <w:tcPr>
            <w:tcW w:w="1098" w:type="dxa"/>
          </w:tcPr>
          <w:p w:rsidR="00797531" w:rsidRPr="00531EBA" w:rsidRDefault="00797531" w:rsidP="00481B49">
            <w:pPr>
              <w:spacing w:after="0" w:line="240" w:lineRule="auto"/>
              <w:rPr>
                <w:rFonts w:cs="Times New Roman"/>
                <w:b/>
                <w:bCs/>
                <w:sz w:val="24"/>
                <w:lang w:val="en-US"/>
              </w:rPr>
            </w:pPr>
            <w:r>
              <w:rPr>
                <w:rFonts w:cs="Times New Roman"/>
                <w:b/>
                <w:bCs/>
                <w:sz w:val="24"/>
                <w:lang w:val="en-US"/>
              </w:rPr>
              <w:t>Current study</w:t>
            </w:r>
          </w:p>
        </w:tc>
        <w:tc>
          <w:tcPr>
            <w:tcW w:w="1099" w:type="dxa"/>
          </w:tcPr>
          <w:p w:rsidR="00797531" w:rsidRPr="00531EBA" w:rsidRDefault="00797531" w:rsidP="00481B49">
            <w:pPr>
              <w:spacing w:after="0" w:line="240" w:lineRule="auto"/>
              <w:rPr>
                <w:rFonts w:cs="Times New Roman"/>
                <w:b/>
                <w:bCs/>
                <w:sz w:val="24"/>
                <w:lang w:val="en-US"/>
              </w:rPr>
            </w:pPr>
            <w:r>
              <w:rPr>
                <w:rFonts w:cs="Times New Roman"/>
                <w:b/>
                <w:bCs/>
                <w:sz w:val="24"/>
                <w:lang w:val="en-US"/>
              </w:rPr>
              <w:t>RLS GWAS</w:t>
            </w:r>
          </w:p>
        </w:tc>
        <w:tc>
          <w:tcPr>
            <w:tcW w:w="1098" w:type="dxa"/>
          </w:tcPr>
          <w:p w:rsidR="00797531" w:rsidRPr="00531EBA" w:rsidRDefault="00797531" w:rsidP="00481B49">
            <w:pPr>
              <w:spacing w:after="0" w:line="240" w:lineRule="auto"/>
              <w:rPr>
                <w:rFonts w:cs="Times New Roman"/>
                <w:b/>
                <w:bCs/>
                <w:sz w:val="24"/>
                <w:lang w:val="en-US"/>
              </w:rPr>
            </w:pPr>
            <w:r>
              <w:rPr>
                <w:rFonts w:cs="Times New Roman"/>
                <w:b/>
                <w:bCs/>
                <w:sz w:val="24"/>
                <w:lang w:val="en-US"/>
              </w:rPr>
              <w:t>PD GWAS</w:t>
            </w:r>
          </w:p>
        </w:tc>
        <w:tc>
          <w:tcPr>
            <w:tcW w:w="1099" w:type="dxa"/>
          </w:tcPr>
          <w:p w:rsidR="00797531" w:rsidRPr="00531EBA" w:rsidRDefault="00797531" w:rsidP="00481B49">
            <w:pPr>
              <w:spacing w:after="0" w:line="240" w:lineRule="auto"/>
              <w:rPr>
                <w:rFonts w:cs="Times New Roman"/>
                <w:b/>
                <w:bCs/>
                <w:sz w:val="24"/>
                <w:lang w:val="en-US"/>
              </w:rPr>
            </w:pPr>
            <w:proofErr w:type="spellStart"/>
            <w:r>
              <w:rPr>
                <w:rFonts w:cs="Times New Roman"/>
                <w:b/>
                <w:bCs/>
                <w:sz w:val="24"/>
                <w:lang w:val="en-US"/>
              </w:rPr>
              <w:t>PDgene</w:t>
            </w:r>
            <w:proofErr w:type="spellEnd"/>
          </w:p>
        </w:tc>
        <w:tc>
          <w:tcPr>
            <w:tcW w:w="1098" w:type="dxa"/>
          </w:tcPr>
          <w:p w:rsidR="00797531" w:rsidRPr="00531EBA" w:rsidRDefault="00797531" w:rsidP="00481B49">
            <w:pPr>
              <w:spacing w:after="0" w:line="240" w:lineRule="auto"/>
              <w:rPr>
                <w:rFonts w:cs="Times New Roman"/>
                <w:b/>
                <w:bCs/>
                <w:sz w:val="24"/>
                <w:lang w:val="en-US"/>
              </w:rPr>
            </w:pPr>
            <w:r>
              <w:rPr>
                <w:rFonts w:cs="Times New Roman"/>
                <w:b/>
                <w:bCs/>
                <w:sz w:val="24"/>
                <w:lang w:val="en-US"/>
              </w:rPr>
              <w:t>Current study</w:t>
            </w:r>
          </w:p>
        </w:tc>
        <w:tc>
          <w:tcPr>
            <w:tcW w:w="1099" w:type="dxa"/>
          </w:tcPr>
          <w:p w:rsidR="00797531" w:rsidRDefault="00797531" w:rsidP="00481B49">
            <w:pPr>
              <w:spacing w:after="0" w:line="240" w:lineRule="auto"/>
              <w:rPr>
                <w:rFonts w:cs="Times New Roman"/>
                <w:b/>
                <w:bCs/>
                <w:sz w:val="24"/>
                <w:lang w:val="en-US"/>
              </w:rPr>
            </w:pPr>
            <w:r>
              <w:rPr>
                <w:rFonts w:cs="Times New Roman"/>
                <w:b/>
                <w:bCs/>
                <w:sz w:val="24"/>
                <w:lang w:val="en-US"/>
              </w:rPr>
              <w:t>RLS GWAS</w:t>
            </w:r>
          </w:p>
        </w:tc>
        <w:tc>
          <w:tcPr>
            <w:tcW w:w="1099" w:type="dxa"/>
          </w:tcPr>
          <w:p w:rsidR="00797531" w:rsidRDefault="00797531" w:rsidP="00481B49">
            <w:pPr>
              <w:spacing w:after="0" w:line="240" w:lineRule="auto"/>
              <w:rPr>
                <w:rFonts w:cs="Times New Roman"/>
                <w:b/>
                <w:bCs/>
                <w:sz w:val="24"/>
                <w:lang w:val="en-US"/>
              </w:rPr>
            </w:pPr>
            <w:r>
              <w:rPr>
                <w:rFonts w:cs="Times New Roman"/>
                <w:b/>
                <w:bCs/>
                <w:sz w:val="24"/>
                <w:lang w:val="en-US"/>
              </w:rPr>
              <w:t>PD GWAS</w:t>
            </w:r>
          </w:p>
        </w:tc>
        <w:tc>
          <w:tcPr>
            <w:tcW w:w="1098" w:type="dxa"/>
          </w:tcPr>
          <w:p w:rsidR="00797531" w:rsidRDefault="00797531" w:rsidP="00481B49">
            <w:pPr>
              <w:spacing w:after="0" w:line="240" w:lineRule="auto"/>
              <w:rPr>
                <w:rFonts w:cs="Times New Roman"/>
                <w:b/>
                <w:bCs/>
                <w:sz w:val="24"/>
                <w:lang w:val="en-US"/>
              </w:rPr>
            </w:pPr>
            <w:proofErr w:type="spellStart"/>
            <w:r>
              <w:rPr>
                <w:rFonts w:cs="Times New Roman"/>
                <w:b/>
                <w:bCs/>
                <w:sz w:val="24"/>
                <w:lang w:val="en-US"/>
              </w:rPr>
              <w:t>PDgene</w:t>
            </w:r>
            <w:proofErr w:type="spellEnd"/>
          </w:p>
        </w:tc>
        <w:tc>
          <w:tcPr>
            <w:tcW w:w="1099" w:type="dxa"/>
          </w:tcPr>
          <w:p w:rsidR="00797531" w:rsidRDefault="00797531" w:rsidP="00481B49">
            <w:pPr>
              <w:spacing w:after="0" w:line="240" w:lineRule="auto"/>
              <w:rPr>
                <w:rFonts w:cs="Times New Roman"/>
                <w:b/>
                <w:bCs/>
                <w:sz w:val="24"/>
                <w:lang w:val="en-US"/>
              </w:rPr>
            </w:pPr>
            <w:r>
              <w:rPr>
                <w:rFonts w:cs="Times New Roman"/>
                <w:b/>
                <w:bCs/>
                <w:sz w:val="24"/>
                <w:lang w:val="en-US"/>
              </w:rPr>
              <w:t>Current study</w:t>
            </w:r>
          </w:p>
        </w:tc>
        <w:tc>
          <w:tcPr>
            <w:tcW w:w="1098" w:type="dxa"/>
          </w:tcPr>
          <w:p w:rsidR="00797531" w:rsidRDefault="00797531" w:rsidP="00481B49">
            <w:pPr>
              <w:spacing w:after="0" w:line="240" w:lineRule="auto"/>
              <w:rPr>
                <w:rFonts w:cs="Times New Roman"/>
                <w:b/>
                <w:bCs/>
                <w:sz w:val="24"/>
                <w:lang w:val="en-US"/>
              </w:rPr>
            </w:pPr>
            <w:r>
              <w:rPr>
                <w:rFonts w:cs="Times New Roman"/>
                <w:b/>
                <w:bCs/>
                <w:sz w:val="24"/>
                <w:lang w:val="en-US"/>
              </w:rPr>
              <w:t>RLS GWAS</w:t>
            </w:r>
          </w:p>
        </w:tc>
        <w:tc>
          <w:tcPr>
            <w:tcW w:w="1099" w:type="dxa"/>
          </w:tcPr>
          <w:p w:rsidR="00797531" w:rsidRDefault="00797531" w:rsidP="00481B49">
            <w:pPr>
              <w:spacing w:after="0" w:line="240" w:lineRule="auto"/>
              <w:rPr>
                <w:rFonts w:cs="Times New Roman"/>
                <w:b/>
                <w:bCs/>
                <w:sz w:val="24"/>
                <w:lang w:val="en-US"/>
              </w:rPr>
            </w:pPr>
            <w:r>
              <w:rPr>
                <w:rFonts w:cs="Times New Roman"/>
                <w:b/>
                <w:bCs/>
                <w:sz w:val="24"/>
                <w:lang w:val="en-US"/>
              </w:rPr>
              <w:t>PD GWAS</w:t>
            </w:r>
          </w:p>
        </w:tc>
        <w:tc>
          <w:tcPr>
            <w:tcW w:w="1099" w:type="dxa"/>
          </w:tcPr>
          <w:p w:rsidR="00797531" w:rsidRDefault="00797531" w:rsidP="00481B49">
            <w:pPr>
              <w:spacing w:after="0" w:line="240" w:lineRule="auto"/>
              <w:rPr>
                <w:rFonts w:cs="Times New Roman"/>
                <w:b/>
                <w:bCs/>
                <w:sz w:val="24"/>
                <w:lang w:val="en-US"/>
              </w:rPr>
            </w:pPr>
            <w:proofErr w:type="spellStart"/>
            <w:r>
              <w:rPr>
                <w:rFonts w:cs="Times New Roman"/>
                <w:b/>
                <w:bCs/>
                <w:sz w:val="24"/>
                <w:lang w:val="en-US"/>
              </w:rPr>
              <w:t>PDgene</w:t>
            </w:r>
            <w:proofErr w:type="spellEnd"/>
          </w:p>
        </w:tc>
      </w:tr>
      <w:tr w:rsidR="00797531" w:rsidTr="00481B49">
        <w:tc>
          <w:tcPr>
            <w:tcW w:w="1418" w:type="dxa"/>
          </w:tcPr>
          <w:p w:rsidR="00797531" w:rsidRDefault="00797531" w:rsidP="00481B49">
            <w:pPr>
              <w:spacing w:after="0" w:line="240" w:lineRule="auto"/>
              <w:jc w:val="both"/>
              <w:rPr>
                <w:rFonts w:cs="Times New Roman"/>
                <w:b/>
                <w:bCs/>
                <w:sz w:val="24"/>
                <w:lang w:val="en-US"/>
              </w:rPr>
            </w:pPr>
            <w:r>
              <w:rPr>
                <w:rFonts w:cs="Times New Roman"/>
                <w:b/>
                <w:bCs/>
                <w:sz w:val="24"/>
                <w:lang w:val="en-US"/>
              </w:rPr>
              <w:t>Association with RLS</w:t>
            </w:r>
          </w:p>
        </w:tc>
        <w:tc>
          <w:tcPr>
            <w:tcW w:w="1098" w:type="dxa"/>
          </w:tcPr>
          <w:p w:rsidR="00797531" w:rsidRPr="00FF0ED0" w:rsidRDefault="00797531" w:rsidP="00481B49">
            <w:pPr>
              <w:spacing w:after="0" w:line="240" w:lineRule="auto"/>
              <w:rPr>
                <w:rFonts w:cs="Times New Roman"/>
                <w:b/>
                <w:bCs/>
                <w:sz w:val="24"/>
                <w:lang w:val="en-US"/>
              </w:rPr>
            </w:pPr>
            <w:r w:rsidRPr="00FF0ED0">
              <w:rPr>
                <w:rFonts w:cs="Times New Roman"/>
                <w:b/>
                <w:bCs/>
                <w:sz w:val="36"/>
                <w:szCs w:val="36"/>
                <w:lang w:val="en-US"/>
              </w:rPr>
              <w:t>↓</w:t>
            </w:r>
          </w:p>
        </w:tc>
        <w:tc>
          <w:tcPr>
            <w:tcW w:w="1099" w:type="dxa"/>
          </w:tcPr>
          <w:p w:rsidR="00797531" w:rsidRDefault="00797531" w:rsidP="00481B49">
            <w:pPr>
              <w:spacing w:after="0" w:line="240" w:lineRule="auto"/>
              <w:rPr>
                <w:rFonts w:cs="Times New Roman"/>
                <w:sz w:val="24"/>
                <w:lang w:val="en-US"/>
              </w:rPr>
            </w:pPr>
            <w:r w:rsidRPr="00FF0ED0">
              <w:rPr>
                <w:rFonts w:cs="Times New Roman"/>
                <w:b/>
                <w:bCs/>
                <w:sz w:val="36"/>
                <w:szCs w:val="36"/>
                <w:lang w:val="en-US"/>
              </w:rPr>
              <w:t>↓</w:t>
            </w:r>
          </w:p>
        </w:tc>
        <w:tc>
          <w:tcPr>
            <w:tcW w:w="1098" w:type="dxa"/>
          </w:tcPr>
          <w:p w:rsidR="00797531" w:rsidRDefault="00797531" w:rsidP="00481B49">
            <w:pPr>
              <w:spacing w:after="0" w:line="240" w:lineRule="auto"/>
              <w:rPr>
                <w:rFonts w:cs="Times New Roman"/>
                <w:sz w:val="24"/>
                <w:lang w:val="en-US"/>
              </w:rPr>
            </w:pPr>
            <w:r>
              <w:rPr>
                <w:rFonts w:cs="Times New Roman"/>
                <w:sz w:val="24"/>
                <w:lang w:val="en-US"/>
              </w:rPr>
              <w:t>NT</w:t>
            </w:r>
          </w:p>
        </w:tc>
        <w:tc>
          <w:tcPr>
            <w:tcW w:w="1099" w:type="dxa"/>
          </w:tcPr>
          <w:p w:rsidR="00797531" w:rsidRDefault="00797531" w:rsidP="00481B49">
            <w:pPr>
              <w:spacing w:after="0" w:line="240" w:lineRule="auto"/>
              <w:rPr>
                <w:rFonts w:cs="Times New Roman"/>
                <w:sz w:val="24"/>
                <w:lang w:val="en-US"/>
              </w:rPr>
            </w:pPr>
            <w:r>
              <w:rPr>
                <w:rFonts w:cs="Times New Roman"/>
                <w:sz w:val="24"/>
                <w:lang w:val="en-US"/>
              </w:rPr>
              <w:t>NT</w:t>
            </w:r>
          </w:p>
        </w:tc>
        <w:tc>
          <w:tcPr>
            <w:tcW w:w="1098" w:type="dxa"/>
          </w:tcPr>
          <w:p w:rsidR="00797531" w:rsidRPr="004F238F" w:rsidRDefault="00797531" w:rsidP="00481B49">
            <w:pPr>
              <w:spacing w:after="0" w:line="240" w:lineRule="auto"/>
              <w:rPr>
                <w:rFonts w:cs="Times New Roman"/>
                <w:sz w:val="24"/>
                <w:lang w:val="en-US"/>
              </w:rPr>
            </w:pPr>
            <w:r>
              <w:rPr>
                <w:rFonts w:cs="Times New Roman"/>
                <w:sz w:val="24"/>
                <w:lang w:val="en-US"/>
              </w:rPr>
              <w:t>NS</w:t>
            </w:r>
          </w:p>
        </w:tc>
        <w:tc>
          <w:tcPr>
            <w:tcW w:w="1099" w:type="dxa"/>
          </w:tcPr>
          <w:p w:rsidR="00797531" w:rsidRDefault="00797531" w:rsidP="00481B49">
            <w:pPr>
              <w:spacing w:after="0" w:line="240" w:lineRule="auto"/>
              <w:rPr>
                <w:rFonts w:cs="Times New Roman"/>
                <w:sz w:val="24"/>
                <w:lang w:val="en-US"/>
              </w:rPr>
            </w:pPr>
            <w:r w:rsidRPr="00C93A75">
              <w:rPr>
                <w:rFonts w:cs="Times New Roman"/>
                <w:b/>
                <w:bCs/>
                <w:sz w:val="24"/>
                <w:lang w:val="en-US"/>
              </w:rPr>
              <w:t>↓</w:t>
            </w:r>
          </w:p>
        </w:tc>
        <w:tc>
          <w:tcPr>
            <w:tcW w:w="1099" w:type="dxa"/>
          </w:tcPr>
          <w:p w:rsidR="00797531" w:rsidRDefault="00797531" w:rsidP="00481B49">
            <w:pPr>
              <w:spacing w:after="0" w:line="240" w:lineRule="auto"/>
              <w:rPr>
                <w:rFonts w:cs="Times New Roman"/>
                <w:sz w:val="24"/>
                <w:lang w:val="en-US"/>
              </w:rPr>
            </w:pPr>
            <w:r>
              <w:rPr>
                <w:rFonts w:cs="Times New Roman"/>
                <w:sz w:val="24"/>
                <w:lang w:val="en-US"/>
              </w:rPr>
              <w:t>NT</w:t>
            </w:r>
          </w:p>
        </w:tc>
        <w:tc>
          <w:tcPr>
            <w:tcW w:w="1098" w:type="dxa"/>
          </w:tcPr>
          <w:p w:rsidR="00797531" w:rsidRDefault="00797531" w:rsidP="00481B49">
            <w:pPr>
              <w:spacing w:after="0" w:line="240" w:lineRule="auto"/>
              <w:rPr>
                <w:rFonts w:cs="Times New Roman"/>
                <w:sz w:val="24"/>
                <w:lang w:val="en-US"/>
              </w:rPr>
            </w:pPr>
            <w:r>
              <w:rPr>
                <w:rFonts w:cs="Times New Roman"/>
                <w:sz w:val="24"/>
                <w:lang w:val="en-US"/>
              </w:rPr>
              <w:t>NT</w:t>
            </w:r>
          </w:p>
        </w:tc>
        <w:tc>
          <w:tcPr>
            <w:tcW w:w="1099" w:type="dxa"/>
          </w:tcPr>
          <w:p w:rsidR="00797531" w:rsidRPr="004F238F" w:rsidRDefault="00797531" w:rsidP="00481B49">
            <w:pPr>
              <w:spacing w:after="0" w:line="240" w:lineRule="auto"/>
              <w:rPr>
                <w:rFonts w:cs="Times New Roman"/>
                <w:sz w:val="24"/>
                <w:lang w:val="en-US"/>
              </w:rPr>
            </w:pPr>
            <w:r>
              <w:rPr>
                <w:rFonts w:cs="Times New Roman"/>
                <w:sz w:val="24"/>
                <w:lang w:val="en-US"/>
              </w:rPr>
              <w:t>NT</w:t>
            </w:r>
          </w:p>
        </w:tc>
        <w:tc>
          <w:tcPr>
            <w:tcW w:w="1098" w:type="dxa"/>
          </w:tcPr>
          <w:p w:rsidR="00797531" w:rsidRDefault="00797531" w:rsidP="00481B49">
            <w:pPr>
              <w:spacing w:after="0" w:line="240" w:lineRule="auto"/>
              <w:rPr>
                <w:rFonts w:cs="Times New Roman"/>
                <w:sz w:val="24"/>
                <w:lang w:val="en-US"/>
              </w:rPr>
            </w:pPr>
            <w:r w:rsidRPr="00C93A75">
              <w:rPr>
                <w:rFonts w:cs="Times New Roman"/>
                <w:b/>
                <w:bCs/>
                <w:sz w:val="24"/>
                <w:lang w:val="en-US"/>
              </w:rPr>
              <w:t>↓</w:t>
            </w:r>
          </w:p>
        </w:tc>
        <w:tc>
          <w:tcPr>
            <w:tcW w:w="1099" w:type="dxa"/>
          </w:tcPr>
          <w:p w:rsidR="00797531" w:rsidRDefault="00797531" w:rsidP="00481B49">
            <w:pPr>
              <w:spacing w:after="0" w:line="240" w:lineRule="auto"/>
              <w:rPr>
                <w:rFonts w:cs="Times New Roman"/>
                <w:sz w:val="24"/>
                <w:lang w:val="en-US"/>
              </w:rPr>
            </w:pPr>
            <w:r>
              <w:rPr>
                <w:rFonts w:cs="Times New Roman"/>
                <w:sz w:val="24"/>
                <w:lang w:val="en-US"/>
              </w:rPr>
              <w:t>NT</w:t>
            </w:r>
          </w:p>
        </w:tc>
        <w:tc>
          <w:tcPr>
            <w:tcW w:w="1099" w:type="dxa"/>
          </w:tcPr>
          <w:p w:rsidR="00797531" w:rsidRDefault="00797531" w:rsidP="00481B49">
            <w:pPr>
              <w:spacing w:after="0" w:line="240" w:lineRule="auto"/>
              <w:rPr>
                <w:rFonts w:cs="Times New Roman"/>
                <w:sz w:val="24"/>
                <w:lang w:val="en-US"/>
              </w:rPr>
            </w:pPr>
            <w:r>
              <w:rPr>
                <w:rFonts w:cs="Times New Roman"/>
                <w:sz w:val="24"/>
                <w:lang w:val="en-US"/>
              </w:rPr>
              <w:t>NT</w:t>
            </w:r>
          </w:p>
        </w:tc>
      </w:tr>
      <w:tr w:rsidR="00797531" w:rsidTr="00481B49">
        <w:tc>
          <w:tcPr>
            <w:tcW w:w="1418" w:type="dxa"/>
          </w:tcPr>
          <w:p w:rsidR="00797531" w:rsidRDefault="00797531" w:rsidP="00481B49">
            <w:pPr>
              <w:spacing w:after="0" w:line="240" w:lineRule="auto"/>
              <w:jc w:val="both"/>
              <w:rPr>
                <w:rFonts w:cs="Times New Roman"/>
                <w:b/>
                <w:bCs/>
                <w:sz w:val="24"/>
                <w:lang w:val="en-US"/>
              </w:rPr>
            </w:pPr>
            <w:r>
              <w:rPr>
                <w:rFonts w:cs="Times New Roman"/>
                <w:b/>
                <w:bCs/>
                <w:sz w:val="24"/>
                <w:lang w:val="en-US"/>
              </w:rPr>
              <w:t>Association with PD</w:t>
            </w:r>
          </w:p>
        </w:tc>
        <w:tc>
          <w:tcPr>
            <w:tcW w:w="1098" w:type="dxa"/>
          </w:tcPr>
          <w:p w:rsidR="00797531" w:rsidRPr="00FF0ED0" w:rsidRDefault="00797531" w:rsidP="00481B49">
            <w:pPr>
              <w:spacing w:after="0" w:line="240" w:lineRule="auto"/>
              <w:rPr>
                <w:rFonts w:cs="Times New Roman"/>
                <w:b/>
                <w:bCs/>
                <w:sz w:val="24"/>
                <w:lang w:val="en-US"/>
              </w:rPr>
            </w:pPr>
            <w:r w:rsidRPr="00FF0ED0">
              <w:rPr>
                <w:rFonts w:cs="Times New Roman"/>
                <w:b/>
                <w:bCs/>
                <w:sz w:val="36"/>
                <w:szCs w:val="36"/>
                <w:lang w:val="en-US"/>
              </w:rPr>
              <w:t>↑</w:t>
            </w:r>
            <w:r w:rsidRPr="009F16D9">
              <w:rPr>
                <w:rFonts w:cs="Times New Roman"/>
                <w:sz w:val="24"/>
                <w:vertAlign w:val="superscript"/>
                <w:lang w:val="en-US"/>
              </w:rPr>
              <w:t>a</w:t>
            </w:r>
          </w:p>
        </w:tc>
        <w:tc>
          <w:tcPr>
            <w:tcW w:w="1099" w:type="dxa"/>
          </w:tcPr>
          <w:p w:rsidR="00797531" w:rsidRDefault="00797531" w:rsidP="00481B49">
            <w:pPr>
              <w:spacing w:after="0" w:line="240" w:lineRule="auto"/>
              <w:rPr>
                <w:rFonts w:cs="Times New Roman"/>
                <w:sz w:val="24"/>
                <w:lang w:val="en-US"/>
              </w:rPr>
            </w:pPr>
            <w:r>
              <w:rPr>
                <w:rFonts w:cs="Times New Roman"/>
                <w:sz w:val="24"/>
                <w:lang w:val="en-US"/>
              </w:rPr>
              <w:t>NT</w:t>
            </w:r>
          </w:p>
        </w:tc>
        <w:tc>
          <w:tcPr>
            <w:tcW w:w="1098" w:type="dxa"/>
          </w:tcPr>
          <w:p w:rsidR="00797531" w:rsidRDefault="00797531" w:rsidP="00481B49">
            <w:pPr>
              <w:spacing w:after="0" w:line="240" w:lineRule="auto"/>
              <w:rPr>
                <w:rFonts w:cs="Times New Roman"/>
                <w:sz w:val="24"/>
                <w:lang w:val="en-US"/>
              </w:rPr>
            </w:pPr>
            <w:r w:rsidRPr="00C93A75">
              <w:rPr>
                <w:rFonts w:cs="Times New Roman"/>
                <w:b/>
                <w:bCs/>
                <w:sz w:val="24"/>
                <w:lang w:val="en-US"/>
              </w:rPr>
              <w:t>↑</w:t>
            </w:r>
          </w:p>
        </w:tc>
        <w:tc>
          <w:tcPr>
            <w:tcW w:w="1099" w:type="dxa"/>
          </w:tcPr>
          <w:p w:rsidR="00797531" w:rsidRDefault="00797531" w:rsidP="00481B49">
            <w:pPr>
              <w:spacing w:after="0" w:line="240" w:lineRule="auto"/>
              <w:rPr>
                <w:rFonts w:cs="Times New Roman"/>
                <w:sz w:val="24"/>
                <w:lang w:val="en-US"/>
              </w:rPr>
            </w:pPr>
            <w:r w:rsidRPr="00FF0ED0">
              <w:rPr>
                <w:rFonts w:cs="Times New Roman"/>
                <w:b/>
                <w:bCs/>
                <w:sz w:val="36"/>
                <w:szCs w:val="36"/>
                <w:lang w:val="en-US"/>
              </w:rPr>
              <w:t>↑</w:t>
            </w:r>
          </w:p>
        </w:tc>
        <w:tc>
          <w:tcPr>
            <w:tcW w:w="1098" w:type="dxa"/>
          </w:tcPr>
          <w:p w:rsidR="00797531" w:rsidRPr="004F238F" w:rsidRDefault="00797531" w:rsidP="00481B49">
            <w:pPr>
              <w:spacing w:after="0" w:line="240" w:lineRule="auto"/>
              <w:rPr>
                <w:rFonts w:cs="Times New Roman"/>
                <w:sz w:val="24"/>
                <w:lang w:val="en-US"/>
              </w:rPr>
            </w:pPr>
            <w:r>
              <w:rPr>
                <w:rFonts w:cs="Times New Roman"/>
                <w:sz w:val="24"/>
                <w:lang w:val="en-US"/>
              </w:rPr>
              <w:t>NS</w:t>
            </w:r>
          </w:p>
        </w:tc>
        <w:tc>
          <w:tcPr>
            <w:tcW w:w="1099" w:type="dxa"/>
          </w:tcPr>
          <w:p w:rsidR="00797531" w:rsidRDefault="00797531" w:rsidP="00481B49">
            <w:pPr>
              <w:spacing w:after="0" w:line="240" w:lineRule="auto"/>
              <w:rPr>
                <w:rFonts w:cs="Times New Roman"/>
                <w:sz w:val="24"/>
                <w:lang w:val="en-US"/>
              </w:rPr>
            </w:pPr>
            <w:r>
              <w:rPr>
                <w:rFonts w:cs="Times New Roman"/>
                <w:sz w:val="24"/>
                <w:lang w:val="en-US"/>
              </w:rPr>
              <w:t>NT</w:t>
            </w:r>
          </w:p>
        </w:tc>
        <w:tc>
          <w:tcPr>
            <w:tcW w:w="1099" w:type="dxa"/>
          </w:tcPr>
          <w:p w:rsidR="00797531" w:rsidRDefault="00797531" w:rsidP="00481B49">
            <w:pPr>
              <w:spacing w:after="0" w:line="240" w:lineRule="auto"/>
              <w:rPr>
                <w:rFonts w:cs="Times New Roman"/>
                <w:sz w:val="24"/>
                <w:lang w:val="en-US"/>
              </w:rPr>
            </w:pPr>
            <w:r w:rsidRPr="00C93A75">
              <w:rPr>
                <w:rFonts w:cs="Times New Roman"/>
                <w:b/>
                <w:bCs/>
                <w:sz w:val="24"/>
                <w:lang w:val="en-US"/>
              </w:rPr>
              <w:t>↑</w:t>
            </w:r>
          </w:p>
        </w:tc>
        <w:tc>
          <w:tcPr>
            <w:tcW w:w="1098" w:type="dxa"/>
          </w:tcPr>
          <w:p w:rsidR="00797531" w:rsidRDefault="00797531" w:rsidP="00481B49">
            <w:pPr>
              <w:spacing w:after="0" w:line="240" w:lineRule="auto"/>
              <w:rPr>
                <w:rFonts w:cs="Times New Roman"/>
                <w:sz w:val="24"/>
                <w:lang w:val="en-US"/>
              </w:rPr>
            </w:pPr>
            <w:r w:rsidRPr="00FF0ED0">
              <w:rPr>
                <w:rFonts w:cs="Times New Roman"/>
                <w:b/>
                <w:bCs/>
                <w:sz w:val="36"/>
                <w:szCs w:val="36"/>
                <w:lang w:val="en-US"/>
              </w:rPr>
              <w:t>↑</w:t>
            </w:r>
          </w:p>
        </w:tc>
        <w:tc>
          <w:tcPr>
            <w:tcW w:w="1099" w:type="dxa"/>
          </w:tcPr>
          <w:p w:rsidR="00797531" w:rsidRPr="004F238F" w:rsidRDefault="00797531" w:rsidP="00481B49">
            <w:pPr>
              <w:spacing w:after="0" w:line="240" w:lineRule="auto"/>
              <w:rPr>
                <w:rFonts w:cs="Times New Roman"/>
                <w:sz w:val="24"/>
                <w:lang w:val="en-US"/>
              </w:rPr>
            </w:pPr>
            <w:r>
              <w:rPr>
                <w:rFonts w:cs="Times New Roman"/>
                <w:sz w:val="24"/>
                <w:lang w:val="en-US"/>
              </w:rPr>
              <w:t>NT</w:t>
            </w:r>
          </w:p>
        </w:tc>
        <w:tc>
          <w:tcPr>
            <w:tcW w:w="1098" w:type="dxa"/>
          </w:tcPr>
          <w:p w:rsidR="00797531" w:rsidRDefault="00797531" w:rsidP="00481B49">
            <w:pPr>
              <w:spacing w:after="0" w:line="240" w:lineRule="auto"/>
              <w:rPr>
                <w:rFonts w:cs="Times New Roman"/>
                <w:sz w:val="24"/>
                <w:lang w:val="en-US"/>
              </w:rPr>
            </w:pPr>
            <w:r>
              <w:rPr>
                <w:rFonts w:cs="Times New Roman"/>
                <w:sz w:val="24"/>
                <w:lang w:val="en-US"/>
              </w:rPr>
              <w:t>NT</w:t>
            </w:r>
          </w:p>
        </w:tc>
        <w:tc>
          <w:tcPr>
            <w:tcW w:w="1099" w:type="dxa"/>
          </w:tcPr>
          <w:p w:rsidR="00797531" w:rsidRDefault="00797531" w:rsidP="00481B49">
            <w:pPr>
              <w:spacing w:after="0" w:line="240" w:lineRule="auto"/>
              <w:rPr>
                <w:rFonts w:cs="Times New Roman"/>
                <w:sz w:val="24"/>
                <w:lang w:val="en-US"/>
              </w:rPr>
            </w:pPr>
            <w:r w:rsidRPr="00FF0ED0">
              <w:rPr>
                <w:rFonts w:cs="Times New Roman"/>
                <w:b/>
                <w:bCs/>
                <w:sz w:val="36"/>
                <w:szCs w:val="36"/>
                <w:lang w:val="en-US"/>
              </w:rPr>
              <w:t>↑</w:t>
            </w:r>
          </w:p>
        </w:tc>
        <w:tc>
          <w:tcPr>
            <w:tcW w:w="1099" w:type="dxa"/>
          </w:tcPr>
          <w:p w:rsidR="00797531" w:rsidRDefault="00797531" w:rsidP="00481B49">
            <w:pPr>
              <w:spacing w:after="0" w:line="240" w:lineRule="auto"/>
              <w:rPr>
                <w:rFonts w:cs="Times New Roman"/>
                <w:sz w:val="24"/>
                <w:lang w:val="en-US"/>
              </w:rPr>
            </w:pPr>
            <w:r w:rsidRPr="00FF0ED0">
              <w:rPr>
                <w:rFonts w:cs="Times New Roman"/>
                <w:b/>
                <w:bCs/>
                <w:sz w:val="36"/>
                <w:szCs w:val="36"/>
                <w:lang w:val="en-US"/>
              </w:rPr>
              <w:t>↑</w:t>
            </w:r>
          </w:p>
        </w:tc>
      </w:tr>
    </w:tbl>
    <w:p w:rsidR="00797531" w:rsidRDefault="00797531" w:rsidP="00797531">
      <w:pPr>
        <w:spacing w:after="0" w:line="240" w:lineRule="auto"/>
        <w:jc w:val="both"/>
        <w:rPr>
          <w:rFonts w:cs="Times New Roman"/>
          <w:sz w:val="24"/>
          <w:szCs w:val="24"/>
          <w:lang w:val="en-US"/>
        </w:rPr>
      </w:pPr>
      <w:r>
        <w:rPr>
          <w:rFonts w:cs="Times New Roman"/>
          <w:sz w:val="24"/>
          <w:szCs w:val="24"/>
          <w:lang w:val="en-US"/>
        </w:rPr>
        <w:t>The arrows point the direction of association of the minor allele. Arrow pointing down indicates reduced risk associated with the minor allele, arrow pointing up indicates increases risk associated with the minor allele. Large arrows indicate that the association is based on published data, and the small arrows indicate inferred effect based on linkage disequilibrium with the other SNPs, since all three SNPs are in LD (</w:t>
      </w:r>
      <w:r w:rsidRPr="00B92D6E">
        <w:rPr>
          <w:rFonts w:cs="Times New Roman"/>
          <w:sz w:val="24"/>
          <w:szCs w:val="24"/>
          <w:lang w:val="en-US"/>
        </w:rPr>
        <w:t>rs4784226</w:t>
      </w:r>
      <w:r>
        <w:rPr>
          <w:rFonts w:cs="Times New Roman"/>
          <w:sz w:val="24"/>
          <w:szCs w:val="24"/>
          <w:lang w:val="en-US"/>
        </w:rPr>
        <w:t xml:space="preserve"> and </w:t>
      </w:r>
      <w:r w:rsidRPr="00B92D6E">
        <w:rPr>
          <w:rFonts w:cs="Times New Roman"/>
          <w:sz w:val="24"/>
          <w:szCs w:val="24"/>
          <w:lang w:val="en-US"/>
        </w:rPr>
        <w:t>rs4784227</w:t>
      </w:r>
      <w:r>
        <w:rPr>
          <w:rFonts w:cs="Times New Roman"/>
          <w:sz w:val="24"/>
          <w:szCs w:val="24"/>
          <w:lang w:val="en-US"/>
        </w:rPr>
        <w:t xml:space="preserve"> in almost full LD, and </w:t>
      </w:r>
      <w:r w:rsidRPr="00B92D6E">
        <w:rPr>
          <w:rFonts w:cs="Times New Roman"/>
          <w:sz w:val="24"/>
          <w:szCs w:val="24"/>
          <w:lang w:val="en-US"/>
        </w:rPr>
        <w:t>rs3104767</w:t>
      </w:r>
      <w:r>
        <w:rPr>
          <w:rFonts w:cs="Times New Roman"/>
          <w:sz w:val="24"/>
          <w:szCs w:val="24"/>
          <w:lang w:val="en-US"/>
        </w:rPr>
        <w:t xml:space="preserve"> is in partial LD with the two other SNPs).</w:t>
      </w:r>
    </w:p>
    <w:p w:rsidR="00797531" w:rsidRDefault="00797531" w:rsidP="00797531">
      <w:pPr>
        <w:spacing w:after="0" w:line="240" w:lineRule="auto"/>
        <w:jc w:val="both"/>
        <w:rPr>
          <w:rFonts w:cs="Times New Roman"/>
          <w:sz w:val="24"/>
          <w:szCs w:val="24"/>
          <w:lang w:val="en-US"/>
        </w:rPr>
      </w:pPr>
      <w:r>
        <w:rPr>
          <w:rFonts w:cs="Times New Roman"/>
          <w:sz w:val="24"/>
          <w:szCs w:val="24"/>
          <w:lang w:val="en-US"/>
        </w:rPr>
        <w:t xml:space="preserve">RLS, restless legs syndrome; PD, Parkinson’s disease; GWAS, genome-wide association study; </w:t>
      </w:r>
      <w:proofErr w:type="spellStart"/>
      <w:r>
        <w:rPr>
          <w:rFonts w:cs="Times New Roman"/>
          <w:sz w:val="24"/>
          <w:szCs w:val="24"/>
          <w:lang w:val="en-US"/>
        </w:rPr>
        <w:t>PDgene</w:t>
      </w:r>
      <w:proofErr w:type="spellEnd"/>
      <w:r>
        <w:rPr>
          <w:rFonts w:cs="Times New Roman"/>
          <w:sz w:val="24"/>
          <w:szCs w:val="24"/>
          <w:lang w:val="en-US"/>
        </w:rPr>
        <w:t xml:space="preserve">, the </w:t>
      </w:r>
      <w:proofErr w:type="spellStart"/>
      <w:r>
        <w:rPr>
          <w:rFonts w:cs="Times New Roman"/>
          <w:sz w:val="24"/>
          <w:szCs w:val="24"/>
          <w:lang w:val="en-US"/>
        </w:rPr>
        <w:t>PDgene</w:t>
      </w:r>
      <w:proofErr w:type="spellEnd"/>
      <w:r>
        <w:rPr>
          <w:rFonts w:cs="Times New Roman"/>
          <w:sz w:val="24"/>
          <w:szCs w:val="24"/>
          <w:lang w:val="en-US"/>
        </w:rPr>
        <w:t xml:space="preserve"> database at </w:t>
      </w:r>
      <w:r w:rsidRPr="00B92D6E">
        <w:rPr>
          <w:rFonts w:cs="Times New Roman"/>
          <w:sz w:val="24"/>
          <w:szCs w:val="24"/>
          <w:lang w:val="en-US"/>
        </w:rPr>
        <w:t>www.pdgene.org</w:t>
      </w:r>
      <w:r>
        <w:rPr>
          <w:rFonts w:cs="Times New Roman"/>
          <w:sz w:val="24"/>
          <w:szCs w:val="24"/>
          <w:lang w:val="en-US"/>
        </w:rPr>
        <w:t>; NT, not tested; NS, not significant.</w:t>
      </w:r>
    </w:p>
    <w:p w:rsidR="00797531" w:rsidRPr="009F16D9" w:rsidRDefault="00797531" w:rsidP="00797531">
      <w:pPr>
        <w:spacing w:line="240" w:lineRule="auto"/>
        <w:jc w:val="both"/>
        <w:rPr>
          <w:rFonts w:cs="Times New Roman"/>
          <w:sz w:val="24"/>
          <w:szCs w:val="24"/>
          <w:lang w:val="en-US"/>
        </w:rPr>
      </w:pPr>
      <w:r w:rsidRPr="009F16D9">
        <w:rPr>
          <w:rFonts w:cs="Times New Roman"/>
          <w:sz w:val="24"/>
          <w:szCs w:val="24"/>
          <w:vertAlign w:val="superscript"/>
          <w:lang w:val="en-US"/>
        </w:rPr>
        <w:t>a</w:t>
      </w:r>
      <w:r>
        <w:rPr>
          <w:rFonts w:cs="Times New Roman"/>
          <w:sz w:val="24"/>
          <w:szCs w:val="24"/>
          <w:vertAlign w:val="superscript"/>
          <w:lang w:val="en-US"/>
        </w:rPr>
        <w:t xml:space="preserve"> </w:t>
      </w:r>
      <w:r>
        <w:rPr>
          <w:rFonts w:cs="Times New Roman"/>
          <w:sz w:val="24"/>
          <w:szCs w:val="24"/>
          <w:lang w:val="en-US"/>
        </w:rPr>
        <w:t>Nominal association</w:t>
      </w:r>
    </w:p>
    <w:p w:rsidR="00797531" w:rsidRPr="00FF0ED0" w:rsidRDefault="00797531" w:rsidP="00797531">
      <w:pPr>
        <w:spacing w:line="240" w:lineRule="auto"/>
        <w:jc w:val="both"/>
        <w:rPr>
          <w:rFonts w:cs="Times New Roman"/>
          <w:sz w:val="24"/>
          <w:szCs w:val="24"/>
          <w:lang w:val="en-US"/>
        </w:rPr>
      </w:pPr>
    </w:p>
    <w:p w:rsidR="00797531" w:rsidRPr="00FF0ED0" w:rsidRDefault="00797531" w:rsidP="00797531">
      <w:pPr>
        <w:spacing w:after="0" w:line="240" w:lineRule="auto"/>
        <w:jc w:val="left"/>
        <w:rPr>
          <w:rFonts w:cs="Times New Roman"/>
          <w:sz w:val="24"/>
          <w:szCs w:val="24"/>
          <w:lang w:val="en-US"/>
        </w:rPr>
      </w:pPr>
      <w:bookmarkStart w:id="7" w:name="_GoBack"/>
      <w:bookmarkEnd w:id="7"/>
    </w:p>
    <w:p w:rsidR="005118E2" w:rsidRPr="00553C3A" w:rsidRDefault="005118E2" w:rsidP="00595350">
      <w:pPr>
        <w:spacing w:after="0"/>
        <w:ind w:left="720" w:hanging="720"/>
        <w:jc w:val="both"/>
        <w:rPr>
          <w:rFonts w:cs="Times New Roman"/>
          <w:sz w:val="24"/>
          <w:szCs w:val="24"/>
          <w:lang w:val="en-US"/>
        </w:rPr>
      </w:pPr>
    </w:p>
    <w:p w:rsidR="008320A9" w:rsidRDefault="008320A9"/>
    <w:sectPr w:rsidR="008320A9" w:rsidSect="00797531">
      <w:pgSz w:w="15840" w:h="12240"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338B"/>
    <w:multiLevelType w:val="multilevel"/>
    <w:tmpl w:val="E01421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33C278B"/>
    <w:multiLevelType w:val="hybridMultilevel"/>
    <w:tmpl w:val="081688E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51FB49A0"/>
    <w:multiLevelType w:val="hybridMultilevel"/>
    <w:tmpl w:val="3EF23AB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2733AE8"/>
    <w:multiLevelType w:val="hybridMultilevel"/>
    <w:tmpl w:val="375E6B0E"/>
    <w:lvl w:ilvl="0" w:tplc="40661208">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709300C8"/>
    <w:multiLevelType w:val="hybridMultilevel"/>
    <w:tmpl w:val="4782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070028"/>
    <w:multiLevelType w:val="hybridMultilevel"/>
    <w:tmpl w:val="897A88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5118E2"/>
    <w:rsid w:val="00000065"/>
    <w:rsid w:val="000004E7"/>
    <w:rsid w:val="00001AC8"/>
    <w:rsid w:val="00002A8A"/>
    <w:rsid w:val="00006980"/>
    <w:rsid w:val="00010971"/>
    <w:rsid w:val="00011F35"/>
    <w:rsid w:val="00013440"/>
    <w:rsid w:val="0001392F"/>
    <w:rsid w:val="00013A58"/>
    <w:rsid w:val="00015EB5"/>
    <w:rsid w:val="00016FCE"/>
    <w:rsid w:val="000179F7"/>
    <w:rsid w:val="00020CF6"/>
    <w:rsid w:val="000222C0"/>
    <w:rsid w:val="00023728"/>
    <w:rsid w:val="000242EF"/>
    <w:rsid w:val="00024B71"/>
    <w:rsid w:val="00025A07"/>
    <w:rsid w:val="00025ABB"/>
    <w:rsid w:val="000262B5"/>
    <w:rsid w:val="000304E4"/>
    <w:rsid w:val="000334E4"/>
    <w:rsid w:val="0003590F"/>
    <w:rsid w:val="000361EA"/>
    <w:rsid w:val="00036D22"/>
    <w:rsid w:val="00036EA8"/>
    <w:rsid w:val="00037598"/>
    <w:rsid w:val="0004033B"/>
    <w:rsid w:val="00041071"/>
    <w:rsid w:val="000414A7"/>
    <w:rsid w:val="00041501"/>
    <w:rsid w:val="00043C14"/>
    <w:rsid w:val="00044B01"/>
    <w:rsid w:val="00045F87"/>
    <w:rsid w:val="00046156"/>
    <w:rsid w:val="00046496"/>
    <w:rsid w:val="000470CA"/>
    <w:rsid w:val="000500D5"/>
    <w:rsid w:val="00053660"/>
    <w:rsid w:val="00053D90"/>
    <w:rsid w:val="00054430"/>
    <w:rsid w:val="000545A8"/>
    <w:rsid w:val="000558CB"/>
    <w:rsid w:val="00056528"/>
    <w:rsid w:val="00057038"/>
    <w:rsid w:val="00060505"/>
    <w:rsid w:val="000632ED"/>
    <w:rsid w:val="00063DEB"/>
    <w:rsid w:val="0006512F"/>
    <w:rsid w:val="00065B51"/>
    <w:rsid w:val="00066F16"/>
    <w:rsid w:val="00067F08"/>
    <w:rsid w:val="00070F08"/>
    <w:rsid w:val="0007224B"/>
    <w:rsid w:val="00072543"/>
    <w:rsid w:val="00072555"/>
    <w:rsid w:val="000726C6"/>
    <w:rsid w:val="00073EA3"/>
    <w:rsid w:val="00074AD1"/>
    <w:rsid w:val="00074B3C"/>
    <w:rsid w:val="00075F91"/>
    <w:rsid w:val="0007760C"/>
    <w:rsid w:val="00077FE7"/>
    <w:rsid w:val="00077FFC"/>
    <w:rsid w:val="000813EA"/>
    <w:rsid w:val="00081786"/>
    <w:rsid w:val="00082657"/>
    <w:rsid w:val="00082C39"/>
    <w:rsid w:val="000836D3"/>
    <w:rsid w:val="00085347"/>
    <w:rsid w:val="00086316"/>
    <w:rsid w:val="00090AF9"/>
    <w:rsid w:val="00090BF9"/>
    <w:rsid w:val="00091743"/>
    <w:rsid w:val="00092BCF"/>
    <w:rsid w:val="00096459"/>
    <w:rsid w:val="0009759E"/>
    <w:rsid w:val="000A039A"/>
    <w:rsid w:val="000A0568"/>
    <w:rsid w:val="000A1B80"/>
    <w:rsid w:val="000A1BB1"/>
    <w:rsid w:val="000A2679"/>
    <w:rsid w:val="000A2B6F"/>
    <w:rsid w:val="000A41CF"/>
    <w:rsid w:val="000A49CD"/>
    <w:rsid w:val="000B091E"/>
    <w:rsid w:val="000B0A54"/>
    <w:rsid w:val="000B15F8"/>
    <w:rsid w:val="000B1643"/>
    <w:rsid w:val="000B308F"/>
    <w:rsid w:val="000B3966"/>
    <w:rsid w:val="000B3F46"/>
    <w:rsid w:val="000B42C5"/>
    <w:rsid w:val="000B47D6"/>
    <w:rsid w:val="000B5166"/>
    <w:rsid w:val="000B63F0"/>
    <w:rsid w:val="000B6CAE"/>
    <w:rsid w:val="000C1A1E"/>
    <w:rsid w:val="000C434C"/>
    <w:rsid w:val="000C67CE"/>
    <w:rsid w:val="000C70EA"/>
    <w:rsid w:val="000C75EE"/>
    <w:rsid w:val="000C781F"/>
    <w:rsid w:val="000D121C"/>
    <w:rsid w:val="000D1EC8"/>
    <w:rsid w:val="000D32FF"/>
    <w:rsid w:val="000D3922"/>
    <w:rsid w:val="000D6422"/>
    <w:rsid w:val="000D678B"/>
    <w:rsid w:val="000D6C20"/>
    <w:rsid w:val="000E07E7"/>
    <w:rsid w:val="000E1E52"/>
    <w:rsid w:val="000E433E"/>
    <w:rsid w:val="000E63A8"/>
    <w:rsid w:val="000F3ACD"/>
    <w:rsid w:val="000F41CC"/>
    <w:rsid w:val="000F47CA"/>
    <w:rsid w:val="000F5E42"/>
    <w:rsid w:val="00101D3E"/>
    <w:rsid w:val="00105F11"/>
    <w:rsid w:val="00111636"/>
    <w:rsid w:val="00111642"/>
    <w:rsid w:val="001135A0"/>
    <w:rsid w:val="00113DE7"/>
    <w:rsid w:val="00114EFF"/>
    <w:rsid w:val="00115DFD"/>
    <w:rsid w:val="00116771"/>
    <w:rsid w:val="001169BE"/>
    <w:rsid w:val="00116D4F"/>
    <w:rsid w:val="001203D8"/>
    <w:rsid w:val="001222CB"/>
    <w:rsid w:val="00123D84"/>
    <w:rsid w:val="00124B16"/>
    <w:rsid w:val="001265BC"/>
    <w:rsid w:val="00126A91"/>
    <w:rsid w:val="00126B41"/>
    <w:rsid w:val="00131091"/>
    <w:rsid w:val="00133EA5"/>
    <w:rsid w:val="001357D8"/>
    <w:rsid w:val="00135BFC"/>
    <w:rsid w:val="00137B1B"/>
    <w:rsid w:val="00137FD9"/>
    <w:rsid w:val="00142367"/>
    <w:rsid w:val="00142572"/>
    <w:rsid w:val="00142D47"/>
    <w:rsid w:val="001441AD"/>
    <w:rsid w:val="00144370"/>
    <w:rsid w:val="00144F47"/>
    <w:rsid w:val="0014538F"/>
    <w:rsid w:val="00146691"/>
    <w:rsid w:val="00146F98"/>
    <w:rsid w:val="001503B8"/>
    <w:rsid w:val="001507C8"/>
    <w:rsid w:val="00150DA7"/>
    <w:rsid w:val="00150FEC"/>
    <w:rsid w:val="001514C7"/>
    <w:rsid w:val="0015220B"/>
    <w:rsid w:val="00152530"/>
    <w:rsid w:val="00152869"/>
    <w:rsid w:val="00152ADE"/>
    <w:rsid w:val="00154076"/>
    <w:rsid w:val="001546E3"/>
    <w:rsid w:val="00154F6A"/>
    <w:rsid w:val="0015681B"/>
    <w:rsid w:val="0015685A"/>
    <w:rsid w:val="00157624"/>
    <w:rsid w:val="00157ED7"/>
    <w:rsid w:val="00160339"/>
    <w:rsid w:val="001615F2"/>
    <w:rsid w:val="00161646"/>
    <w:rsid w:val="00163C00"/>
    <w:rsid w:val="00165159"/>
    <w:rsid w:val="00165BA9"/>
    <w:rsid w:val="001714C2"/>
    <w:rsid w:val="00171A27"/>
    <w:rsid w:val="00171A6D"/>
    <w:rsid w:val="0017204A"/>
    <w:rsid w:val="0017212F"/>
    <w:rsid w:val="00172DCD"/>
    <w:rsid w:val="00172E11"/>
    <w:rsid w:val="00172E97"/>
    <w:rsid w:val="00173DE5"/>
    <w:rsid w:val="00174C63"/>
    <w:rsid w:val="00174C83"/>
    <w:rsid w:val="0017623F"/>
    <w:rsid w:val="00180477"/>
    <w:rsid w:val="00180B2F"/>
    <w:rsid w:val="00181E8F"/>
    <w:rsid w:val="001835A8"/>
    <w:rsid w:val="00187CC8"/>
    <w:rsid w:val="001901CC"/>
    <w:rsid w:val="00191643"/>
    <w:rsid w:val="00191649"/>
    <w:rsid w:val="00193035"/>
    <w:rsid w:val="0019372D"/>
    <w:rsid w:val="0019514B"/>
    <w:rsid w:val="00196A4C"/>
    <w:rsid w:val="001A1458"/>
    <w:rsid w:val="001A23B6"/>
    <w:rsid w:val="001A2E5A"/>
    <w:rsid w:val="001A4E30"/>
    <w:rsid w:val="001A5B8A"/>
    <w:rsid w:val="001A68D0"/>
    <w:rsid w:val="001B00E9"/>
    <w:rsid w:val="001B02A8"/>
    <w:rsid w:val="001B04FD"/>
    <w:rsid w:val="001B0EB9"/>
    <w:rsid w:val="001B25A1"/>
    <w:rsid w:val="001B3C57"/>
    <w:rsid w:val="001B4B2B"/>
    <w:rsid w:val="001B52BA"/>
    <w:rsid w:val="001B536D"/>
    <w:rsid w:val="001B5F0E"/>
    <w:rsid w:val="001B5F20"/>
    <w:rsid w:val="001B63FC"/>
    <w:rsid w:val="001C0A5D"/>
    <w:rsid w:val="001C2188"/>
    <w:rsid w:val="001C35F7"/>
    <w:rsid w:val="001C3F0B"/>
    <w:rsid w:val="001C49E1"/>
    <w:rsid w:val="001C5FE4"/>
    <w:rsid w:val="001C637C"/>
    <w:rsid w:val="001C664E"/>
    <w:rsid w:val="001D1114"/>
    <w:rsid w:val="001D43DF"/>
    <w:rsid w:val="001D5116"/>
    <w:rsid w:val="001D6370"/>
    <w:rsid w:val="001E02C5"/>
    <w:rsid w:val="001E1674"/>
    <w:rsid w:val="001E382B"/>
    <w:rsid w:val="001E55F2"/>
    <w:rsid w:val="001F0086"/>
    <w:rsid w:val="001F14C5"/>
    <w:rsid w:val="001F1959"/>
    <w:rsid w:val="001F2F66"/>
    <w:rsid w:val="001F323B"/>
    <w:rsid w:val="001F60A3"/>
    <w:rsid w:val="001F69E7"/>
    <w:rsid w:val="001F6AD5"/>
    <w:rsid w:val="001F6B2A"/>
    <w:rsid w:val="001F7C6C"/>
    <w:rsid w:val="001F7CA1"/>
    <w:rsid w:val="001F7FF7"/>
    <w:rsid w:val="00201961"/>
    <w:rsid w:val="00202F8E"/>
    <w:rsid w:val="00203281"/>
    <w:rsid w:val="0020792A"/>
    <w:rsid w:val="00210BDE"/>
    <w:rsid w:val="00210CC2"/>
    <w:rsid w:val="0021362A"/>
    <w:rsid w:val="00216979"/>
    <w:rsid w:val="00217224"/>
    <w:rsid w:val="00217B0A"/>
    <w:rsid w:val="00220056"/>
    <w:rsid w:val="00220AE4"/>
    <w:rsid w:val="00221F84"/>
    <w:rsid w:val="002226AB"/>
    <w:rsid w:val="0022303B"/>
    <w:rsid w:val="0022360E"/>
    <w:rsid w:val="0022377E"/>
    <w:rsid w:val="002240C2"/>
    <w:rsid w:val="00230189"/>
    <w:rsid w:val="00230258"/>
    <w:rsid w:val="0023067C"/>
    <w:rsid w:val="00233C36"/>
    <w:rsid w:val="00233FD4"/>
    <w:rsid w:val="00234290"/>
    <w:rsid w:val="00234319"/>
    <w:rsid w:val="002355C6"/>
    <w:rsid w:val="00236612"/>
    <w:rsid w:val="00236C03"/>
    <w:rsid w:val="00237313"/>
    <w:rsid w:val="00237F56"/>
    <w:rsid w:val="002409D7"/>
    <w:rsid w:val="00242442"/>
    <w:rsid w:val="002432C8"/>
    <w:rsid w:val="00244199"/>
    <w:rsid w:val="002443FB"/>
    <w:rsid w:val="00246D80"/>
    <w:rsid w:val="002472B9"/>
    <w:rsid w:val="00251C2B"/>
    <w:rsid w:val="002538A7"/>
    <w:rsid w:val="002543D7"/>
    <w:rsid w:val="00254688"/>
    <w:rsid w:val="00255A33"/>
    <w:rsid w:val="00255E70"/>
    <w:rsid w:val="00256149"/>
    <w:rsid w:val="002578EE"/>
    <w:rsid w:val="00257FC2"/>
    <w:rsid w:val="00260A6D"/>
    <w:rsid w:val="00264540"/>
    <w:rsid w:val="00265DF5"/>
    <w:rsid w:val="0026631B"/>
    <w:rsid w:val="00266DB7"/>
    <w:rsid w:val="00267222"/>
    <w:rsid w:val="00270CEE"/>
    <w:rsid w:val="00277326"/>
    <w:rsid w:val="00277F66"/>
    <w:rsid w:val="00284AC9"/>
    <w:rsid w:val="002871A2"/>
    <w:rsid w:val="00291BFD"/>
    <w:rsid w:val="00291DDF"/>
    <w:rsid w:val="0029440D"/>
    <w:rsid w:val="00294881"/>
    <w:rsid w:val="00294C8A"/>
    <w:rsid w:val="002A0A04"/>
    <w:rsid w:val="002A2499"/>
    <w:rsid w:val="002A48B0"/>
    <w:rsid w:val="002B3AC3"/>
    <w:rsid w:val="002B4668"/>
    <w:rsid w:val="002B5ABE"/>
    <w:rsid w:val="002B700F"/>
    <w:rsid w:val="002B7807"/>
    <w:rsid w:val="002C2DA5"/>
    <w:rsid w:val="002C6DC1"/>
    <w:rsid w:val="002C6E59"/>
    <w:rsid w:val="002D14B3"/>
    <w:rsid w:val="002D17FC"/>
    <w:rsid w:val="002D1AAF"/>
    <w:rsid w:val="002D36E0"/>
    <w:rsid w:val="002D446F"/>
    <w:rsid w:val="002D4BD6"/>
    <w:rsid w:val="002D4E30"/>
    <w:rsid w:val="002D5214"/>
    <w:rsid w:val="002D58B8"/>
    <w:rsid w:val="002D6408"/>
    <w:rsid w:val="002D70AB"/>
    <w:rsid w:val="002E0A74"/>
    <w:rsid w:val="002E0DAE"/>
    <w:rsid w:val="002E2C92"/>
    <w:rsid w:val="002E73C2"/>
    <w:rsid w:val="002F138D"/>
    <w:rsid w:val="002F1A09"/>
    <w:rsid w:val="002F3806"/>
    <w:rsid w:val="002F4617"/>
    <w:rsid w:val="002F5324"/>
    <w:rsid w:val="002F57E9"/>
    <w:rsid w:val="0030163C"/>
    <w:rsid w:val="003039E9"/>
    <w:rsid w:val="00312609"/>
    <w:rsid w:val="00312DF9"/>
    <w:rsid w:val="0031368C"/>
    <w:rsid w:val="003140C0"/>
    <w:rsid w:val="00314DB3"/>
    <w:rsid w:val="00315363"/>
    <w:rsid w:val="00316B90"/>
    <w:rsid w:val="00320A2A"/>
    <w:rsid w:val="003219CF"/>
    <w:rsid w:val="003246DD"/>
    <w:rsid w:val="0032649E"/>
    <w:rsid w:val="00330244"/>
    <w:rsid w:val="00331447"/>
    <w:rsid w:val="00331D36"/>
    <w:rsid w:val="00332550"/>
    <w:rsid w:val="00333EA4"/>
    <w:rsid w:val="003347DA"/>
    <w:rsid w:val="00334F75"/>
    <w:rsid w:val="003371C0"/>
    <w:rsid w:val="00337203"/>
    <w:rsid w:val="0034109B"/>
    <w:rsid w:val="00341249"/>
    <w:rsid w:val="003412DA"/>
    <w:rsid w:val="00341A64"/>
    <w:rsid w:val="00341B21"/>
    <w:rsid w:val="00344648"/>
    <w:rsid w:val="00344D6B"/>
    <w:rsid w:val="0034532A"/>
    <w:rsid w:val="00346350"/>
    <w:rsid w:val="0034731F"/>
    <w:rsid w:val="00350A70"/>
    <w:rsid w:val="00350EB7"/>
    <w:rsid w:val="003528EB"/>
    <w:rsid w:val="00352C2E"/>
    <w:rsid w:val="00360560"/>
    <w:rsid w:val="00360E01"/>
    <w:rsid w:val="00360EC2"/>
    <w:rsid w:val="00360FAA"/>
    <w:rsid w:val="00363E6F"/>
    <w:rsid w:val="003640BE"/>
    <w:rsid w:val="0036500C"/>
    <w:rsid w:val="003659C0"/>
    <w:rsid w:val="00365C16"/>
    <w:rsid w:val="00366915"/>
    <w:rsid w:val="00371514"/>
    <w:rsid w:val="003732F0"/>
    <w:rsid w:val="003743BC"/>
    <w:rsid w:val="00374A4C"/>
    <w:rsid w:val="00375D02"/>
    <w:rsid w:val="003771C7"/>
    <w:rsid w:val="00377C7F"/>
    <w:rsid w:val="00380991"/>
    <w:rsid w:val="00381352"/>
    <w:rsid w:val="003832C0"/>
    <w:rsid w:val="0038411E"/>
    <w:rsid w:val="00384291"/>
    <w:rsid w:val="003846DB"/>
    <w:rsid w:val="0038498E"/>
    <w:rsid w:val="00387797"/>
    <w:rsid w:val="0039020D"/>
    <w:rsid w:val="00392956"/>
    <w:rsid w:val="00396E2F"/>
    <w:rsid w:val="003A0FAC"/>
    <w:rsid w:val="003A1856"/>
    <w:rsid w:val="003A42B6"/>
    <w:rsid w:val="003A481B"/>
    <w:rsid w:val="003A5B5C"/>
    <w:rsid w:val="003A66C0"/>
    <w:rsid w:val="003A6EE2"/>
    <w:rsid w:val="003A74BD"/>
    <w:rsid w:val="003A7CAA"/>
    <w:rsid w:val="003A7E44"/>
    <w:rsid w:val="003B2013"/>
    <w:rsid w:val="003B25E8"/>
    <w:rsid w:val="003B480F"/>
    <w:rsid w:val="003B6132"/>
    <w:rsid w:val="003C0504"/>
    <w:rsid w:val="003C0F3A"/>
    <w:rsid w:val="003C28F1"/>
    <w:rsid w:val="003C293E"/>
    <w:rsid w:val="003C304D"/>
    <w:rsid w:val="003C36CD"/>
    <w:rsid w:val="003C7F94"/>
    <w:rsid w:val="003D14FE"/>
    <w:rsid w:val="003D26A7"/>
    <w:rsid w:val="003D2714"/>
    <w:rsid w:val="003D3FC0"/>
    <w:rsid w:val="003D40DC"/>
    <w:rsid w:val="003D5004"/>
    <w:rsid w:val="003D7B97"/>
    <w:rsid w:val="003E03F4"/>
    <w:rsid w:val="003E0777"/>
    <w:rsid w:val="003E1895"/>
    <w:rsid w:val="003E1BB0"/>
    <w:rsid w:val="003E4D2A"/>
    <w:rsid w:val="003E50C3"/>
    <w:rsid w:val="003E66DE"/>
    <w:rsid w:val="003E6C15"/>
    <w:rsid w:val="003F063F"/>
    <w:rsid w:val="003F0E1F"/>
    <w:rsid w:val="003F1888"/>
    <w:rsid w:val="003F1C8F"/>
    <w:rsid w:val="003F45AD"/>
    <w:rsid w:val="003F5431"/>
    <w:rsid w:val="003F6397"/>
    <w:rsid w:val="004002B8"/>
    <w:rsid w:val="00400E2D"/>
    <w:rsid w:val="00402E6D"/>
    <w:rsid w:val="004042D4"/>
    <w:rsid w:val="00405F97"/>
    <w:rsid w:val="00411B2C"/>
    <w:rsid w:val="00412330"/>
    <w:rsid w:val="00412335"/>
    <w:rsid w:val="00416EDC"/>
    <w:rsid w:val="004179D3"/>
    <w:rsid w:val="00420646"/>
    <w:rsid w:val="00420C58"/>
    <w:rsid w:val="00420DBF"/>
    <w:rsid w:val="00421541"/>
    <w:rsid w:val="00421B3C"/>
    <w:rsid w:val="004225C1"/>
    <w:rsid w:val="004232D7"/>
    <w:rsid w:val="00425058"/>
    <w:rsid w:val="0042544C"/>
    <w:rsid w:val="00426287"/>
    <w:rsid w:val="00426513"/>
    <w:rsid w:val="004265C7"/>
    <w:rsid w:val="00430206"/>
    <w:rsid w:val="0043063E"/>
    <w:rsid w:val="00432057"/>
    <w:rsid w:val="0043350C"/>
    <w:rsid w:val="0043484B"/>
    <w:rsid w:val="00434CC4"/>
    <w:rsid w:val="00436712"/>
    <w:rsid w:val="0044137E"/>
    <w:rsid w:val="00441848"/>
    <w:rsid w:val="0044229E"/>
    <w:rsid w:val="004431E0"/>
    <w:rsid w:val="00444334"/>
    <w:rsid w:val="0044447C"/>
    <w:rsid w:val="004444EC"/>
    <w:rsid w:val="004448AF"/>
    <w:rsid w:val="00446B50"/>
    <w:rsid w:val="0044768A"/>
    <w:rsid w:val="004509DA"/>
    <w:rsid w:val="00453E67"/>
    <w:rsid w:val="00454F94"/>
    <w:rsid w:val="00456743"/>
    <w:rsid w:val="00456D29"/>
    <w:rsid w:val="00457B68"/>
    <w:rsid w:val="00457F75"/>
    <w:rsid w:val="004623C8"/>
    <w:rsid w:val="00462595"/>
    <w:rsid w:val="004633CA"/>
    <w:rsid w:val="00463C87"/>
    <w:rsid w:val="004655EC"/>
    <w:rsid w:val="00465F8E"/>
    <w:rsid w:val="00466F96"/>
    <w:rsid w:val="00467DAA"/>
    <w:rsid w:val="00470779"/>
    <w:rsid w:val="00473654"/>
    <w:rsid w:val="00475F25"/>
    <w:rsid w:val="004770D2"/>
    <w:rsid w:val="0048199D"/>
    <w:rsid w:val="00483C7B"/>
    <w:rsid w:val="004847AF"/>
    <w:rsid w:val="00485548"/>
    <w:rsid w:val="00485B4E"/>
    <w:rsid w:val="00485B80"/>
    <w:rsid w:val="004861B5"/>
    <w:rsid w:val="0048692C"/>
    <w:rsid w:val="00487B2C"/>
    <w:rsid w:val="00490A23"/>
    <w:rsid w:val="00492863"/>
    <w:rsid w:val="004935D4"/>
    <w:rsid w:val="00496345"/>
    <w:rsid w:val="00497766"/>
    <w:rsid w:val="00497C1E"/>
    <w:rsid w:val="004A0349"/>
    <w:rsid w:val="004A0B0B"/>
    <w:rsid w:val="004A0B53"/>
    <w:rsid w:val="004A0EBE"/>
    <w:rsid w:val="004A4393"/>
    <w:rsid w:val="004A4F3B"/>
    <w:rsid w:val="004A5212"/>
    <w:rsid w:val="004A7A85"/>
    <w:rsid w:val="004B0E63"/>
    <w:rsid w:val="004B1047"/>
    <w:rsid w:val="004B1B1D"/>
    <w:rsid w:val="004B3B30"/>
    <w:rsid w:val="004B55DE"/>
    <w:rsid w:val="004B6C59"/>
    <w:rsid w:val="004B781D"/>
    <w:rsid w:val="004B7A80"/>
    <w:rsid w:val="004C0372"/>
    <w:rsid w:val="004C074F"/>
    <w:rsid w:val="004C077E"/>
    <w:rsid w:val="004C400E"/>
    <w:rsid w:val="004C69E6"/>
    <w:rsid w:val="004D04BD"/>
    <w:rsid w:val="004D2423"/>
    <w:rsid w:val="004D283A"/>
    <w:rsid w:val="004D311B"/>
    <w:rsid w:val="004D4A4D"/>
    <w:rsid w:val="004D5595"/>
    <w:rsid w:val="004D5AA2"/>
    <w:rsid w:val="004D5E9D"/>
    <w:rsid w:val="004D6A4D"/>
    <w:rsid w:val="004E3372"/>
    <w:rsid w:val="004E3D7A"/>
    <w:rsid w:val="004E57BE"/>
    <w:rsid w:val="004F04FC"/>
    <w:rsid w:val="004F098D"/>
    <w:rsid w:val="004F0BF7"/>
    <w:rsid w:val="004F1286"/>
    <w:rsid w:val="004F338E"/>
    <w:rsid w:val="004F5486"/>
    <w:rsid w:val="004F5BD8"/>
    <w:rsid w:val="004F6786"/>
    <w:rsid w:val="004F6AAC"/>
    <w:rsid w:val="00500993"/>
    <w:rsid w:val="00501060"/>
    <w:rsid w:val="00501B5C"/>
    <w:rsid w:val="00501EA5"/>
    <w:rsid w:val="00501F84"/>
    <w:rsid w:val="00502095"/>
    <w:rsid w:val="00504661"/>
    <w:rsid w:val="005118E2"/>
    <w:rsid w:val="00511F16"/>
    <w:rsid w:val="00512453"/>
    <w:rsid w:val="0051382C"/>
    <w:rsid w:val="00515697"/>
    <w:rsid w:val="0051614D"/>
    <w:rsid w:val="00516B16"/>
    <w:rsid w:val="005176B5"/>
    <w:rsid w:val="00522AB9"/>
    <w:rsid w:val="00522C76"/>
    <w:rsid w:val="005241C7"/>
    <w:rsid w:val="0052443D"/>
    <w:rsid w:val="005268E2"/>
    <w:rsid w:val="00526A3D"/>
    <w:rsid w:val="005274F1"/>
    <w:rsid w:val="00531370"/>
    <w:rsid w:val="00533775"/>
    <w:rsid w:val="0053724A"/>
    <w:rsid w:val="00542BDC"/>
    <w:rsid w:val="005443E1"/>
    <w:rsid w:val="00545659"/>
    <w:rsid w:val="005466EA"/>
    <w:rsid w:val="005468D4"/>
    <w:rsid w:val="00546E8A"/>
    <w:rsid w:val="0055159A"/>
    <w:rsid w:val="00552B4F"/>
    <w:rsid w:val="00552E00"/>
    <w:rsid w:val="00557C99"/>
    <w:rsid w:val="00561599"/>
    <w:rsid w:val="00561AC1"/>
    <w:rsid w:val="00564D7A"/>
    <w:rsid w:val="00565F89"/>
    <w:rsid w:val="005663AF"/>
    <w:rsid w:val="00567B57"/>
    <w:rsid w:val="00567CE1"/>
    <w:rsid w:val="00570077"/>
    <w:rsid w:val="0057225F"/>
    <w:rsid w:val="005726CB"/>
    <w:rsid w:val="005732BA"/>
    <w:rsid w:val="00574A9C"/>
    <w:rsid w:val="0057698C"/>
    <w:rsid w:val="00577148"/>
    <w:rsid w:val="00577A11"/>
    <w:rsid w:val="005830A4"/>
    <w:rsid w:val="005840B2"/>
    <w:rsid w:val="00586214"/>
    <w:rsid w:val="00586EBF"/>
    <w:rsid w:val="00591056"/>
    <w:rsid w:val="00591576"/>
    <w:rsid w:val="0059296C"/>
    <w:rsid w:val="00594C56"/>
    <w:rsid w:val="00594D4D"/>
    <w:rsid w:val="005A0362"/>
    <w:rsid w:val="005A17C8"/>
    <w:rsid w:val="005A2C63"/>
    <w:rsid w:val="005A3942"/>
    <w:rsid w:val="005A777C"/>
    <w:rsid w:val="005B3125"/>
    <w:rsid w:val="005B3DE7"/>
    <w:rsid w:val="005B4477"/>
    <w:rsid w:val="005B46CB"/>
    <w:rsid w:val="005B6787"/>
    <w:rsid w:val="005C044A"/>
    <w:rsid w:val="005C24E0"/>
    <w:rsid w:val="005C6635"/>
    <w:rsid w:val="005C6DFA"/>
    <w:rsid w:val="005D05BB"/>
    <w:rsid w:val="005D07B9"/>
    <w:rsid w:val="005D1F39"/>
    <w:rsid w:val="005D2029"/>
    <w:rsid w:val="005D25AA"/>
    <w:rsid w:val="005D4C03"/>
    <w:rsid w:val="005D4FD2"/>
    <w:rsid w:val="005E150E"/>
    <w:rsid w:val="005E1C7D"/>
    <w:rsid w:val="005E3915"/>
    <w:rsid w:val="005E3F62"/>
    <w:rsid w:val="005E45E2"/>
    <w:rsid w:val="005E4AB6"/>
    <w:rsid w:val="005F0022"/>
    <w:rsid w:val="005F0559"/>
    <w:rsid w:val="005F3326"/>
    <w:rsid w:val="005F4479"/>
    <w:rsid w:val="005F647A"/>
    <w:rsid w:val="00601F56"/>
    <w:rsid w:val="006026C1"/>
    <w:rsid w:val="00603117"/>
    <w:rsid w:val="00604BA2"/>
    <w:rsid w:val="00607F6B"/>
    <w:rsid w:val="00610367"/>
    <w:rsid w:val="00610E17"/>
    <w:rsid w:val="0061467D"/>
    <w:rsid w:val="0061470E"/>
    <w:rsid w:val="00615518"/>
    <w:rsid w:val="00616182"/>
    <w:rsid w:val="006168F2"/>
    <w:rsid w:val="00617086"/>
    <w:rsid w:val="00617717"/>
    <w:rsid w:val="00620450"/>
    <w:rsid w:val="00621C7A"/>
    <w:rsid w:val="006223C5"/>
    <w:rsid w:val="00623527"/>
    <w:rsid w:val="00624EA6"/>
    <w:rsid w:val="00625BEA"/>
    <w:rsid w:val="006277A8"/>
    <w:rsid w:val="00631C60"/>
    <w:rsid w:val="00632322"/>
    <w:rsid w:val="00633319"/>
    <w:rsid w:val="006338A1"/>
    <w:rsid w:val="006357F9"/>
    <w:rsid w:val="00635F93"/>
    <w:rsid w:val="00640D02"/>
    <w:rsid w:val="00641841"/>
    <w:rsid w:val="00642EF0"/>
    <w:rsid w:val="006450B1"/>
    <w:rsid w:val="0064573F"/>
    <w:rsid w:val="00650249"/>
    <w:rsid w:val="006502D3"/>
    <w:rsid w:val="0065151C"/>
    <w:rsid w:val="006526C4"/>
    <w:rsid w:val="00652AAB"/>
    <w:rsid w:val="00652D42"/>
    <w:rsid w:val="0065325F"/>
    <w:rsid w:val="00653E54"/>
    <w:rsid w:val="006547D1"/>
    <w:rsid w:val="00655589"/>
    <w:rsid w:val="0065688C"/>
    <w:rsid w:val="00656BBF"/>
    <w:rsid w:val="006572C6"/>
    <w:rsid w:val="00657DA6"/>
    <w:rsid w:val="00660F50"/>
    <w:rsid w:val="006618A5"/>
    <w:rsid w:val="006639F9"/>
    <w:rsid w:val="006669D3"/>
    <w:rsid w:val="0067052D"/>
    <w:rsid w:val="0067090C"/>
    <w:rsid w:val="00676FF6"/>
    <w:rsid w:val="00677616"/>
    <w:rsid w:val="006776CC"/>
    <w:rsid w:val="00680915"/>
    <w:rsid w:val="00680BE7"/>
    <w:rsid w:val="006817AE"/>
    <w:rsid w:val="00681D10"/>
    <w:rsid w:val="00684262"/>
    <w:rsid w:val="006877F9"/>
    <w:rsid w:val="0068799C"/>
    <w:rsid w:val="00687DD6"/>
    <w:rsid w:val="0069070E"/>
    <w:rsid w:val="00692047"/>
    <w:rsid w:val="006930DF"/>
    <w:rsid w:val="006937D7"/>
    <w:rsid w:val="00694A69"/>
    <w:rsid w:val="00695875"/>
    <w:rsid w:val="00695DBF"/>
    <w:rsid w:val="00695F2D"/>
    <w:rsid w:val="00696B2C"/>
    <w:rsid w:val="00697015"/>
    <w:rsid w:val="006A0B8E"/>
    <w:rsid w:val="006A27A6"/>
    <w:rsid w:val="006A2A72"/>
    <w:rsid w:val="006A2C08"/>
    <w:rsid w:val="006A3BC6"/>
    <w:rsid w:val="006A4A1C"/>
    <w:rsid w:val="006A6499"/>
    <w:rsid w:val="006A7152"/>
    <w:rsid w:val="006B2625"/>
    <w:rsid w:val="006B343A"/>
    <w:rsid w:val="006B3547"/>
    <w:rsid w:val="006B3C46"/>
    <w:rsid w:val="006B43C2"/>
    <w:rsid w:val="006B49C8"/>
    <w:rsid w:val="006B4AFB"/>
    <w:rsid w:val="006B520C"/>
    <w:rsid w:val="006B5BD8"/>
    <w:rsid w:val="006B70D9"/>
    <w:rsid w:val="006B7B63"/>
    <w:rsid w:val="006C4679"/>
    <w:rsid w:val="006C47AD"/>
    <w:rsid w:val="006C59C0"/>
    <w:rsid w:val="006C6DC0"/>
    <w:rsid w:val="006C7056"/>
    <w:rsid w:val="006D12DF"/>
    <w:rsid w:val="006D185F"/>
    <w:rsid w:val="006D2BFF"/>
    <w:rsid w:val="006D3591"/>
    <w:rsid w:val="006D398F"/>
    <w:rsid w:val="006E256D"/>
    <w:rsid w:val="006E2773"/>
    <w:rsid w:val="006E3107"/>
    <w:rsid w:val="006E332C"/>
    <w:rsid w:val="006E6534"/>
    <w:rsid w:val="006E6C2B"/>
    <w:rsid w:val="006E7D73"/>
    <w:rsid w:val="006E7E3F"/>
    <w:rsid w:val="006F1276"/>
    <w:rsid w:val="006F2170"/>
    <w:rsid w:val="006F3FD6"/>
    <w:rsid w:val="006F4E89"/>
    <w:rsid w:val="006F5782"/>
    <w:rsid w:val="006F7030"/>
    <w:rsid w:val="007021F1"/>
    <w:rsid w:val="0070330C"/>
    <w:rsid w:val="00704F10"/>
    <w:rsid w:val="00705BF2"/>
    <w:rsid w:val="007071B4"/>
    <w:rsid w:val="00707872"/>
    <w:rsid w:val="00707939"/>
    <w:rsid w:val="007128F8"/>
    <w:rsid w:val="00715F45"/>
    <w:rsid w:val="007170D5"/>
    <w:rsid w:val="007206C1"/>
    <w:rsid w:val="00724552"/>
    <w:rsid w:val="00727A37"/>
    <w:rsid w:val="007332A4"/>
    <w:rsid w:val="00733E22"/>
    <w:rsid w:val="00734958"/>
    <w:rsid w:val="0073722E"/>
    <w:rsid w:val="0074046F"/>
    <w:rsid w:val="007411B3"/>
    <w:rsid w:val="007419D4"/>
    <w:rsid w:val="007433BB"/>
    <w:rsid w:val="00743C56"/>
    <w:rsid w:val="007442BF"/>
    <w:rsid w:val="00744445"/>
    <w:rsid w:val="00744871"/>
    <w:rsid w:val="00744A4A"/>
    <w:rsid w:val="00753053"/>
    <w:rsid w:val="00753AAE"/>
    <w:rsid w:val="00753D7A"/>
    <w:rsid w:val="0075421E"/>
    <w:rsid w:val="00755327"/>
    <w:rsid w:val="00755EAE"/>
    <w:rsid w:val="0075609B"/>
    <w:rsid w:val="007560F3"/>
    <w:rsid w:val="00764E75"/>
    <w:rsid w:val="00765665"/>
    <w:rsid w:val="007657AD"/>
    <w:rsid w:val="00765BE3"/>
    <w:rsid w:val="00773B70"/>
    <w:rsid w:val="007745F8"/>
    <w:rsid w:val="00774D89"/>
    <w:rsid w:val="00776A27"/>
    <w:rsid w:val="00780607"/>
    <w:rsid w:val="0078446A"/>
    <w:rsid w:val="00784E18"/>
    <w:rsid w:val="00785C34"/>
    <w:rsid w:val="007860B7"/>
    <w:rsid w:val="00787E07"/>
    <w:rsid w:val="0079019E"/>
    <w:rsid w:val="00791466"/>
    <w:rsid w:val="00792AFF"/>
    <w:rsid w:val="00792D75"/>
    <w:rsid w:val="007938E8"/>
    <w:rsid w:val="00793D18"/>
    <w:rsid w:val="00794E2E"/>
    <w:rsid w:val="007968C1"/>
    <w:rsid w:val="00796A38"/>
    <w:rsid w:val="00796DE6"/>
    <w:rsid w:val="00796F9F"/>
    <w:rsid w:val="00797531"/>
    <w:rsid w:val="007976FD"/>
    <w:rsid w:val="007A0B8F"/>
    <w:rsid w:val="007A3598"/>
    <w:rsid w:val="007A4774"/>
    <w:rsid w:val="007A4BBC"/>
    <w:rsid w:val="007A4DA2"/>
    <w:rsid w:val="007A5276"/>
    <w:rsid w:val="007A5C4E"/>
    <w:rsid w:val="007A783F"/>
    <w:rsid w:val="007A7C4B"/>
    <w:rsid w:val="007B055A"/>
    <w:rsid w:val="007B1A47"/>
    <w:rsid w:val="007B24D1"/>
    <w:rsid w:val="007B2CA9"/>
    <w:rsid w:val="007B6ACD"/>
    <w:rsid w:val="007B6E83"/>
    <w:rsid w:val="007C0378"/>
    <w:rsid w:val="007C3C47"/>
    <w:rsid w:val="007C3DF4"/>
    <w:rsid w:val="007C40DF"/>
    <w:rsid w:val="007C42E3"/>
    <w:rsid w:val="007C4363"/>
    <w:rsid w:val="007C4836"/>
    <w:rsid w:val="007C5CF8"/>
    <w:rsid w:val="007C5FBD"/>
    <w:rsid w:val="007C651D"/>
    <w:rsid w:val="007C69CF"/>
    <w:rsid w:val="007D27EA"/>
    <w:rsid w:val="007D2B0F"/>
    <w:rsid w:val="007D2BB4"/>
    <w:rsid w:val="007D301D"/>
    <w:rsid w:val="007D3329"/>
    <w:rsid w:val="007E0197"/>
    <w:rsid w:val="007E2B58"/>
    <w:rsid w:val="007E4A82"/>
    <w:rsid w:val="007E53AE"/>
    <w:rsid w:val="007E6BB5"/>
    <w:rsid w:val="007E7F5A"/>
    <w:rsid w:val="007F168A"/>
    <w:rsid w:val="007F1758"/>
    <w:rsid w:val="007F299D"/>
    <w:rsid w:val="007F2B19"/>
    <w:rsid w:val="007F4B33"/>
    <w:rsid w:val="00800745"/>
    <w:rsid w:val="00803E74"/>
    <w:rsid w:val="00805638"/>
    <w:rsid w:val="00805D0E"/>
    <w:rsid w:val="00812D89"/>
    <w:rsid w:val="00813B63"/>
    <w:rsid w:val="00814CBC"/>
    <w:rsid w:val="00815C9F"/>
    <w:rsid w:val="00815CA4"/>
    <w:rsid w:val="00816019"/>
    <w:rsid w:val="00816306"/>
    <w:rsid w:val="008207B7"/>
    <w:rsid w:val="00820A86"/>
    <w:rsid w:val="008227DB"/>
    <w:rsid w:val="0082439F"/>
    <w:rsid w:val="00827CE0"/>
    <w:rsid w:val="00830453"/>
    <w:rsid w:val="008314DC"/>
    <w:rsid w:val="00831ADB"/>
    <w:rsid w:val="008320A9"/>
    <w:rsid w:val="00833055"/>
    <w:rsid w:val="0083349A"/>
    <w:rsid w:val="00833AB6"/>
    <w:rsid w:val="00833FA4"/>
    <w:rsid w:val="0083426A"/>
    <w:rsid w:val="008364A2"/>
    <w:rsid w:val="00843484"/>
    <w:rsid w:val="00846F9E"/>
    <w:rsid w:val="00847070"/>
    <w:rsid w:val="00847907"/>
    <w:rsid w:val="0085116D"/>
    <w:rsid w:val="008523D1"/>
    <w:rsid w:val="0085357D"/>
    <w:rsid w:val="008542F5"/>
    <w:rsid w:val="00854FFC"/>
    <w:rsid w:val="008553B4"/>
    <w:rsid w:val="0085578A"/>
    <w:rsid w:val="00855C0B"/>
    <w:rsid w:val="008565E4"/>
    <w:rsid w:val="008620C3"/>
    <w:rsid w:val="00862892"/>
    <w:rsid w:val="00862DDB"/>
    <w:rsid w:val="0086582A"/>
    <w:rsid w:val="00866CD9"/>
    <w:rsid w:val="008700A5"/>
    <w:rsid w:val="00870312"/>
    <w:rsid w:val="008717D4"/>
    <w:rsid w:val="00872E65"/>
    <w:rsid w:val="00872ED9"/>
    <w:rsid w:val="00874C77"/>
    <w:rsid w:val="00876E6B"/>
    <w:rsid w:val="008770B1"/>
    <w:rsid w:val="0088322C"/>
    <w:rsid w:val="0088382C"/>
    <w:rsid w:val="00884894"/>
    <w:rsid w:val="00885769"/>
    <w:rsid w:val="008858E4"/>
    <w:rsid w:val="00885C10"/>
    <w:rsid w:val="00886A55"/>
    <w:rsid w:val="00890949"/>
    <w:rsid w:val="00891671"/>
    <w:rsid w:val="00891DD6"/>
    <w:rsid w:val="00892140"/>
    <w:rsid w:val="00892A91"/>
    <w:rsid w:val="008930DC"/>
    <w:rsid w:val="0089446A"/>
    <w:rsid w:val="008944BE"/>
    <w:rsid w:val="008957E7"/>
    <w:rsid w:val="00895F87"/>
    <w:rsid w:val="008A11A7"/>
    <w:rsid w:val="008A331E"/>
    <w:rsid w:val="008A3F42"/>
    <w:rsid w:val="008A68B9"/>
    <w:rsid w:val="008B0470"/>
    <w:rsid w:val="008B06D7"/>
    <w:rsid w:val="008B09FC"/>
    <w:rsid w:val="008B12B7"/>
    <w:rsid w:val="008B15CF"/>
    <w:rsid w:val="008B33C3"/>
    <w:rsid w:val="008B5199"/>
    <w:rsid w:val="008B578C"/>
    <w:rsid w:val="008B765E"/>
    <w:rsid w:val="008C1855"/>
    <w:rsid w:val="008C245F"/>
    <w:rsid w:val="008C2D0B"/>
    <w:rsid w:val="008C526E"/>
    <w:rsid w:val="008C551E"/>
    <w:rsid w:val="008C5645"/>
    <w:rsid w:val="008C6ED4"/>
    <w:rsid w:val="008C76E0"/>
    <w:rsid w:val="008D2B5F"/>
    <w:rsid w:val="008D4453"/>
    <w:rsid w:val="008D4ED6"/>
    <w:rsid w:val="008D518D"/>
    <w:rsid w:val="008D6D27"/>
    <w:rsid w:val="008D70DD"/>
    <w:rsid w:val="008E0ACD"/>
    <w:rsid w:val="008E1FF4"/>
    <w:rsid w:val="008E24DB"/>
    <w:rsid w:val="008E2AE2"/>
    <w:rsid w:val="008E30B9"/>
    <w:rsid w:val="008E4721"/>
    <w:rsid w:val="008E7B81"/>
    <w:rsid w:val="008F3A56"/>
    <w:rsid w:val="008F4A96"/>
    <w:rsid w:val="008F652F"/>
    <w:rsid w:val="009008B6"/>
    <w:rsid w:val="00900B42"/>
    <w:rsid w:val="00901CD4"/>
    <w:rsid w:val="00902DB0"/>
    <w:rsid w:val="00906795"/>
    <w:rsid w:val="00916C44"/>
    <w:rsid w:val="00917BC5"/>
    <w:rsid w:val="00920ABD"/>
    <w:rsid w:val="00920F4E"/>
    <w:rsid w:val="00922FA0"/>
    <w:rsid w:val="00924367"/>
    <w:rsid w:val="00925C0D"/>
    <w:rsid w:val="00926216"/>
    <w:rsid w:val="0093188E"/>
    <w:rsid w:val="009322BC"/>
    <w:rsid w:val="00934249"/>
    <w:rsid w:val="00936C3E"/>
    <w:rsid w:val="00936E74"/>
    <w:rsid w:val="00937728"/>
    <w:rsid w:val="009416DF"/>
    <w:rsid w:val="00943511"/>
    <w:rsid w:val="009439C7"/>
    <w:rsid w:val="009442DA"/>
    <w:rsid w:val="00946C6A"/>
    <w:rsid w:val="0094795B"/>
    <w:rsid w:val="00953213"/>
    <w:rsid w:val="00953468"/>
    <w:rsid w:val="00955BC6"/>
    <w:rsid w:val="00957BF5"/>
    <w:rsid w:val="009623DF"/>
    <w:rsid w:val="00963F98"/>
    <w:rsid w:val="00966604"/>
    <w:rsid w:val="00967091"/>
    <w:rsid w:val="00967F62"/>
    <w:rsid w:val="00970DDD"/>
    <w:rsid w:val="00970E3C"/>
    <w:rsid w:val="00973123"/>
    <w:rsid w:val="0097678D"/>
    <w:rsid w:val="0098557E"/>
    <w:rsid w:val="009855D8"/>
    <w:rsid w:val="00986193"/>
    <w:rsid w:val="00986EB4"/>
    <w:rsid w:val="009918FC"/>
    <w:rsid w:val="00993B20"/>
    <w:rsid w:val="009958FC"/>
    <w:rsid w:val="00996CD5"/>
    <w:rsid w:val="00997790"/>
    <w:rsid w:val="009A0265"/>
    <w:rsid w:val="009A20FB"/>
    <w:rsid w:val="009A2B8A"/>
    <w:rsid w:val="009A587B"/>
    <w:rsid w:val="009B127A"/>
    <w:rsid w:val="009B52C0"/>
    <w:rsid w:val="009C0C2D"/>
    <w:rsid w:val="009C0D1A"/>
    <w:rsid w:val="009C1901"/>
    <w:rsid w:val="009C24B4"/>
    <w:rsid w:val="009C26A2"/>
    <w:rsid w:val="009C3DC2"/>
    <w:rsid w:val="009C4CE9"/>
    <w:rsid w:val="009C5438"/>
    <w:rsid w:val="009C5877"/>
    <w:rsid w:val="009C690F"/>
    <w:rsid w:val="009C7579"/>
    <w:rsid w:val="009D0309"/>
    <w:rsid w:val="009D33BC"/>
    <w:rsid w:val="009D3800"/>
    <w:rsid w:val="009D3E07"/>
    <w:rsid w:val="009D67A8"/>
    <w:rsid w:val="009D74B4"/>
    <w:rsid w:val="009D7931"/>
    <w:rsid w:val="009E054C"/>
    <w:rsid w:val="009E14FC"/>
    <w:rsid w:val="009E3A37"/>
    <w:rsid w:val="009E3D7E"/>
    <w:rsid w:val="009E43B5"/>
    <w:rsid w:val="009E4922"/>
    <w:rsid w:val="009E5486"/>
    <w:rsid w:val="009E6308"/>
    <w:rsid w:val="009E6E5B"/>
    <w:rsid w:val="009E7CB2"/>
    <w:rsid w:val="009E7FB7"/>
    <w:rsid w:val="009F0D79"/>
    <w:rsid w:val="009F12F6"/>
    <w:rsid w:val="009F1AD9"/>
    <w:rsid w:val="009F4CE6"/>
    <w:rsid w:val="009F5191"/>
    <w:rsid w:val="009F524A"/>
    <w:rsid w:val="009F7357"/>
    <w:rsid w:val="00A047D0"/>
    <w:rsid w:val="00A04A75"/>
    <w:rsid w:val="00A05D92"/>
    <w:rsid w:val="00A10063"/>
    <w:rsid w:val="00A11501"/>
    <w:rsid w:val="00A11BD7"/>
    <w:rsid w:val="00A11ECB"/>
    <w:rsid w:val="00A1223C"/>
    <w:rsid w:val="00A1230A"/>
    <w:rsid w:val="00A1555D"/>
    <w:rsid w:val="00A1663B"/>
    <w:rsid w:val="00A17231"/>
    <w:rsid w:val="00A17633"/>
    <w:rsid w:val="00A20610"/>
    <w:rsid w:val="00A23193"/>
    <w:rsid w:val="00A2481A"/>
    <w:rsid w:val="00A257A5"/>
    <w:rsid w:val="00A259AE"/>
    <w:rsid w:val="00A30020"/>
    <w:rsid w:val="00A30F9A"/>
    <w:rsid w:val="00A3110D"/>
    <w:rsid w:val="00A31A49"/>
    <w:rsid w:val="00A32F7D"/>
    <w:rsid w:val="00A36218"/>
    <w:rsid w:val="00A37249"/>
    <w:rsid w:val="00A406E7"/>
    <w:rsid w:val="00A412D3"/>
    <w:rsid w:val="00A42910"/>
    <w:rsid w:val="00A4554C"/>
    <w:rsid w:val="00A45843"/>
    <w:rsid w:val="00A46593"/>
    <w:rsid w:val="00A527AF"/>
    <w:rsid w:val="00A528BC"/>
    <w:rsid w:val="00A557A7"/>
    <w:rsid w:val="00A56585"/>
    <w:rsid w:val="00A612AD"/>
    <w:rsid w:val="00A61418"/>
    <w:rsid w:val="00A62144"/>
    <w:rsid w:val="00A643CE"/>
    <w:rsid w:val="00A64F91"/>
    <w:rsid w:val="00A65CFC"/>
    <w:rsid w:val="00A66282"/>
    <w:rsid w:val="00A66E96"/>
    <w:rsid w:val="00A70879"/>
    <w:rsid w:val="00A73238"/>
    <w:rsid w:val="00A7382B"/>
    <w:rsid w:val="00A73ED3"/>
    <w:rsid w:val="00A7481D"/>
    <w:rsid w:val="00A74C26"/>
    <w:rsid w:val="00A75AB5"/>
    <w:rsid w:val="00A75E09"/>
    <w:rsid w:val="00A76C3B"/>
    <w:rsid w:val="00A77C71"/>
    <w:rsid w:val="00A83F20"/>
    <w:rsid w:val="00A86A78"/>
    <w:rsid w:val="00A87EC4"/>
    <w:rsid w:val="00A903BC"/>
    <w:rsid w:val="00A9045B"/>
    <w:rsid w:val="00A905C8"/>
    <w:rsid w:val="00A93EA4"/>
    <w:rsid w:val="00A94C82"/>
    <w:rsid w:val="00A9591D"/>
    <w:rsid w:val="00A95B64"/>
    <w:rsid w:val="00A9692B"/>
    <w:rsid w:val="00AA076D"/>
    <w:rsid w:val="00AA08D7"/>
    <w:rsid w:val="00AA22FF"/>
    <w:rsid w:val="00AA5DD6"/>
    <w:rsid w:val="00AB016A"/>
    <w:rsid w:val="00AB22CC"/>
    <w:rsid w:val="00AB3EE9"/>
    <w:rsid w:val="00AB4879"/>
    <w:rsid w:val="00AB5540"/>
    <w:rsid w:val="00AB63B1"/>
    <w:rsid w:val="00AB6909"/>
    <w:rsid w:val="00AB6E0B"/>
    <w:rsid w:val="00AB717D"/>
    <w:rsid w:val="00AC0374"/>
    <w:rsid w:val="00AC0468"/>
    <w:rsid w:val="00AC41D1"/>
    <w:rsid w:val="00AC56A7"/>
    <w:rsid w:val="00AC7DBC"/>
    <w:rsid w:val="00AD06AB"/>
    <w:rsid w:val="00AD1B4C"/>
    <w:rsid w:val="00AD3A50"/>
    <w:rsid w:val="00AD3F05"/>
    <w:rsid w:val="00AD4A78"/>
    <w:rsid w:val="00AD60C2"/>
    <w:rsid w:val="00AD6BDF"/>
    <w:rsid w:val="00AD753E"/>
    <w:rsid w:val="00AE24C4"/>
    <w:rsid w:val="00AE34AE"/>
    <w:rsid w:val="00AE4D5E"/>
    <w:rsid w:val="00AE583D"/>
    <w:rsid w:val="00AE5968"/>
    <w:rsid w:val="00AE6601"/>
    <w:rsid w:val="00AE7CEA"/>
    <w:rsid w:val="00AF777E"/>
    <w:rsid w:val="00B01DA1"/>
    <w:rsid w:val="00B03214"/>
    <w:rsid w:val="00B033A2"/>
    <w:rsid w:val="00B03FF8"/>
    <w:rsid w:val="00B04268"/>
    <w:rsid w:val="00B04501"/>
    <w:rsid w:val="00B076F1"/>
    <w:rsid w:val="00B10E8B"/>
    <w:rsid w:val="00B110F0"/>
    <w:rsid w:val="00B1377B"/>
    <w:rsid w:val="00B142FE"/>
    <w:rsid w:val="00B15DCB"/>
    <w:rsid w:val="00B2082C"/>
    <w:rsid w:val="00B22DAA"/>
    <w:rsid w:val="00B23446"/>
    <w:rsid w:val="00B25BB8"/>
    <w:rsid w:val="00B26651"/>
    <w:rsid w:val="00B2794B"/>
    <w:rsid w:val="00B32F26"/>
    <w:rsid w:val="00B33906"/>
    <w:rsid w:val="00B34398"/>
    <w:rsid w:val="00B35658"/>
    <w:rsid w:val="00B3711C"/>
    <w:rsid w:val="00B37249"/>
    <w:rsid w:val="00B4059D"/>
    <w:rsid w:val="00B40FB6"/>
    <w:rsid w:val="00B423F3"/>
    <w:rsid w:val="00B43B4D"/>
    <w:rsid w:val="00B46107"/>
    <w:rsid w:val="00B46AD9"/>
    <w:rsid w:val="00B47565"/>
    <w:rsid w:val="00B47E54"/>
    <w:rsid w:val="00B50EB3"/>
    <w:rsid w:val="00B512B4"/>
    <w:rsid w:val="00B519AB"/>
    <w:rsid w:val="00B52B31"/>
    <w:rsid w:val="00B53E66"/>
    <w:rsid w:val="00B5511A"/>
    <w:rsid w:val="00B557A4"/>
    <w:rsid w:val="00B563EB"/>
    <w:rsid w:val="00B569F8"/>
    <w:rsid w:val="00B57125"/>
    <w:rsid w:val="00B613D2"/>
    <w:rsid w:val="00B613FD"/>
    <w:rsid w:val="00B62C84"/>
    <w:rsid w:val="00B6406F"/>
    <w:rsid w:val="00B6433B"/>
    <w:rsid w:val="00B64620"/>
    <w:rsid w:val="00B65999"/>
    <w:rsid w:val="00B65CF6"/>
    <w:rsid w:val="00B66ED2"/>
    <w:rsid w:val="00B712B3"/>
    <w:rsid w:val="00B71604"/>
    <w:rsid w:val="00B717BA"/>
    <w:rsid w:val="00B76DE2"/>
    <w:rsid w:val="00B81587"/>
    <w:rsid w:val="00B82352"/>
    <w:rsid w:val="00B83894"/>
    <w:rsid w:val="00B84491"/>
    <w:rsid w:val="00B84D32"/>
    <w:rsid w:val="00B879EE"/>
    <w:rsid w:val="00B906E0"/>
    <w:rsid w:val="00B92723"/>
    <w:rsid w:val="00B93593"/>
    <w:rsid w:val="00B952A6"/>
    <w:rsid w:val="00B95957"/>
    <w:rsid w:val="00B97539"/>
    <w:rsid w:val="00BA3016"/>
    <w:rsid w:val="00BA4112"/>
    <w:rsid w:val="00BA49DC"/>
    <w:rsid w:val="00BA6A56"/>
    <w:rsid w:val="00BA7CFE"/>
    <w:rsid w:val="00BB0D91"/>
    <w:rsid w:val="00BB120A"/>
    <w:rsid w:val="00BB2C38"/>
    <w:rsid w:val="00BB3F68"/>
    <w:rsid w:val="00BB424D"/>
    <w:rsid w:val="00BB631C"/>
    <w:rsid w:val="00BB7DC3"/>
    <w:rsid w:val="00BC05E3"/>
    <w:rsid w:val="00BC18E4"/>
    <w:rsid w:val="00BC1B23"/>
    <w:rsid w:val="00BC25AA"/>
    <w:rsid w:val="00BC333B"/>
    <w:rsid w:val="00BC3C79"/>
    <w:rsid w:val="00BC451C"/>
    <w:rsid w:val="00BD076B"/>
    <w:rsid w:val="00BD5A2A"/>
    <w:rsid w:val="00BD733C"/>
    <w:rsid w:val="00BE5E11"/>
    <w:rsid w:val="00BF053B"/>
    <w:rsid w:val="00BF1323"/>
    <w:rsid w:val="00BF1484"/>
    <w:rsid w:val="00BF1908"/>
    <w:rsid w:val="00BF3AC4"/>
    <w:rsid w:val="00BF4F4F"/>
    <w:rsid w:val="00BF51E2"/>
    <w:rsid w:val="00BF62B0"/>
    <w:rsid w:val="00BF64D7"/>
    <w:rsid w:val="00BF7292"/>
    <w:rsid w:val="00C01988"/>
    <w:rsid w:val="00C023C6"/>
    <w:rsid w:val="00C04872"/>
    <w:rsid w:val="00C04CDC"/>
    <w:rsid w:val="00C0590C"/>
    <w:rsid w:val="00C06E6E"/>
    <w:rsid w:val="00C07761"/>
    <w:rsid w:val="00C078D6"/>
    <w:rsid w:val="00C14602"/>
    <w:rsid w:val="00C15D54"/>
    <w:rsid w:val="00C15D7F"/>
    <w:rsid w:val="00C21C64"/>
    <w:rsid w:val="00C2577E"/>
    <w:rsid w:val="00C261CC"/>
    <w:rsid w:val="00C30C53"/>
    <w:rsid w:val="00C30D8D"/>
    <w:rsid w:val="00C343C1"/>
    <w:rsid w:val="00C35CD0"/>
    <w:rsid w:val="00C36253"/>
    <w:rsid w:val="00C37B09"/>
    <w:rsid w:val="00C401B6"/>
    <w:rsid w:val="00C4306E"/>
    <w:rsid w:val="00C455C5"/>
    <w:rsid w:val="00C4660A"/>
    <w:rsid w:val="00C46782"/>
    <w:rsid w:val="00C531E2"/>
    <w:rsid w:val="00C5400F"/>
    <w:rsid w:val="00C54569"/>
    <w:rsid w:val="00C55D85"/>
    <w:rsid w:val="00C61F0B"/>
    <w:rsid w:val="00C63BCA"/>
    <w:rsid w:val="00C65553"/>
    <w:rsid w:val="00C67678"/>
    <w:rsid w:val="00C73A92"/>
    <w:rsid w:val="00C73D40"/>
    <w:rsid w:val="00C74F9E"/>
    <w:rsid w:val="00C76172"/>
    <w:rsid w:val="00C7680D"/>
    <w:rsid w:val="00C810D1"/>
    <w:rsid w:val="00C81795"/>
    <w:rsid w:val="00C820CD"/>
    <w:rsid w:val="00C87295"/>
    <w:rsid w:val="00C924FA"/>
    <w:rsid w:val="00C93FA6"/>
    <w:rsid w:val="00C943E5"/>
    <w:rsid w:val="00C94EE9"/>
    <w:rsid w:val="00C96016"/>
    <w:rsid w:val="00C97260"/>
    <w:rsid w:val="00C976BC"/>
    <w:rsid w:val="00CA22D5"/>
    <w:rsid w:val="00CA25D1"/>
    <w:rsid w:val="00CA3A0B"/>
    <w:rsid w:val="00CA3CC1"/>
    <w:rsid w:val="00CA3D6E"/>
    <w:rsid w:val="00CA7013"/>
    <w:rsid w:val="00CA7570"/>
    <w:rsid w:val="00CA794C"/>
    <w:rsid w:val="00CB00CA"/>
    <w:rsid w:val="00CB08D7"/>
    <w:rsid w:val="00CB2475"/>
    <w:rsid w:val="00CB2D0C"/>
    <w:rsid w:val="00CB38D5"/>
    <w:rsid w:val="00CB54B9"/>
    <w:rsid w:val="00CB6329"/>
    <w:rsid w:val="00CB6A26"/>
    <w:rsid w:val="00CB6E04"/>
    <w:rsid w:val="00CB7752"/>
    <w:rsid w:val="00CB7DD3"/>
    <w:rsid w:val="00CC1FB3"/>
    <w:rsid w:val="00CC4232"/>
    <w:rsid w:val="00CC44C6"/>
    <w:rsid w:val="00CC47CF"/>
    <w:rsid w:val="00CD08B0"/>
    <w:rsid w:val="00CD11C0"/>
    <w:rsid w:val="00CD20A0"/>
    <w:rsid w:val="00CD4119"/>
    <w:rsid w:val="00CD73AD"/>
    <w:rsid w:val="00CD7834"/>
    <w:rsid w:val="00CD7C40"/>
    <w:rsid w:val="00CE01C2"/>
    <w:rsid w:val="00CE460F"/>
    <w:rsid w:val="00CE67E0"/>
    <w:rsid w:val="00CF01CB"/>
    <w:rsid w:val="00CF02EF"/>
    <w:rsid w:val="00CF0A35"/>
    <w:rsid w:val="00CF247A"/>
    <w:rsid w:val="00CF28C7"/>
    <w:rsid w:val="00CF314D"/>
    <w:rsid w:val="00CF3FE8"/>
    <w:rsid w:val="00CF5074"/>
    <w:rsid w:val="00CF5609"/>
    <w:rsid w:val="00CF5A65"/>
    <w:rsid w:val="00CF5B83"/>
    <w:rsid w:val="00D00974"/>
    <w:rsid w:val="00D00A50"/>
    <w:rsid w:val="00D01AF8"/>
    <w:rsid w:val="00D038EE"/>
    <w:rsid w:val="00D03A07"/>
    <w:rsid w:val="00D03B4D"/>
    <w:rsid w:val="00D060A0"/>
    <w:rsid w:val="00D0740F"/>
    <w:rsid w:val="00D10BAC"/>
    <w:rsid w:val="00D10DAC"/>
    <w:rsid w:val="00D1144B"/>
    <w:rsid w:val="00D12642"/>
    <w:rsid w:val="00D131CE"/>
    <w:rsid w:val="00D1441E"/>
    <w:rsid w:val="00D147B9"/>
    <w:rsid w:val="00D1534A"/>
    <w:rsid w:val="00D208F7"/>
    <w:rsid w:val="00D23E1A"/>
    <w:rsid w:val="00D23E5F"/>
    <w:rsid w:val="00D2449E"/>
    <w:rsid w:val="00D263B7"/>
    <w:rsid w:val="00D26EB6"/>
    <w:rsid w:val="00D26FB6"/>
    <w:rsid w:val="00D306D2"/>
    <w:rsid w:val="00D31F8D"/>
    <w:rsid w:val="00D343DB"/>
    <w:rsid w:val="00D34717"/>
    <w:rsid w:val="00D34EE1"/>
    <w:rsid w:val="00D37F3C"/>
    <w:rsid w:val="00D422A4"/>
    <w:rsid w:val="00D43D55"/>
    <w:rsid w:val="00D452F4"/>
    <w:rsid w:val="00D45AF6"/>
    <w:rsid w:val="00D47F18"/>
    <w:rsid w:val="00D507CD"/>
    <w:rsid w:val="00D51369"/>
    <w:rsid w:val="00D52E60"/>
    <w:rsid w:val="00D53190"/>
    <w:rsid w:val="00D54099"/>
    <w:rsid w:val="00D540BB"/>
    <w:rsid w:val="00D57273"/>
    <w:rsid w:val="00D616AD"/>
    <w:rsid w:val="00D640D2"/>
    <w:rsid w:val="00D66ACA"/>
    <w:rsid w:val="00D676D9"/>
    <w:rsid w:val="00D71A5D"/>
    <w:rsid w:val="00D73F15"/>
    <w:rsid w:val="00D811FB"/>
    <w:rsid w:val="00D82FAC"/>
    <w:rsid w:val="00D85247"/>
    <w:rsid w:val="00D86BB1"/>
    <w:rsid w:val="00D87632"/>
    <w:rsid w:val="00D87B9E"/>
    <w:rsid w:val="00D91188"/>
    <w:rsid w:val="00D924B7"/>
    <w:rsid w:val="00D92E3C"/>
    <w:rsid w:val="00D95013"/>
    <w:rsid w:val="00D95E28"/>
    <w:rsid w:val="00D96181"/>
    <w:rsid w:val="00D963B1"/>
    <w:rsid w:val="00DA0E3E"/>
    <w:rsid w:val="00DA23EE"/>
    <w:rsid w:val="00DA260F"/>
    <w:rsid w:val="00DA7043"/>
    <w:rsid w:val="00DA71E3"/>
    <w:rsid w:val="00DA7A44"/>
    <w:rsid w:val="00DB09C3"/>
    <w:rsid w:val="00DB45CD"/>
    <w:rsid w:val="00DB4761"/>
    <w:rsid w:val="00DB61FC"/>
    <w:rsid w:val="00DB6BE9"/>
    <w:rsid w:val="00DB7B35"/>
    <w:rsid w:val="00DC14AA"/>
    <w:rsid w:val="00DC15AD"/>
    <w:rsid w:val="00DC1668"/>
    <w:rsid w:val="00DC1EEC"/>
    <w:rsid w:val="00DC2AF5"/>
    <w:rsid w:val="00DC4AD7"/>
    <w:rsid w:val="00DC6B5B"/>
    <w:rsid w:val="00DC7192"/>
    <w:rsid w:val="00DC7362"/>
    <w:rsid w:val="00DC7B74"/>
    <w:rsid w:val="00DD1932"/>
    <w:rsid w:val="00DD244E"/>
    <w:rsid w:val="00DD26B3"/>
    <w:rsid w:val="00DD35C1"/>
    <w:rsid w:val="00DD45E2"/>
    <w:rsid w:val="00DD74DB"/>
    <w:rsid w:val="00DD7610"/>
    <w:rsid w:val="00DE0BC5"/>
    <w:rsid w:val="00DE0C7A"/>
    <w:rsid w:val="00DE1D2C"/>
    <w:rsid w:val="00DE3B70"/>
    <w:rsid w:val="00DE445A"/>
    <w:rsid w:val="00DE45A2"/>
    <w:rsid w:val="00DE46E3"/>
    <w:rsid w:val="00DE4AD4"/>
    <w:rsid w:val="00DE5D57"/>
    <w:rsid w:val="00DE699E"/>
    <w:rsid w:val="00DF1721"/>
    <w:rsid w:val="00DF1AC6"/>
    <w:rsid w:val="00DF2F8D"/>
    <w:rsid w:val="00DF51AE"/>
    <w:rsid w:val="00DF6628"/>
    <w:rsid w:val="00DF78D9"/>
    <w:rsid w:val="00E01EC6"/>
    <w:rsid w:val="00E0269B"/>
    <w:rsid w:val="00E03DD2"/>
    <w:rsid w:val="00E047F3"/>
    <w:rsid w:val="00E05AA9"/>
    <w:rsid w:val="00E06787"/>
    <w:rsid w:val="00E06D29"/>
    <w:rsid w:val="00E10027"/>
    <w:rsid w:val="00E1003E"/>
    <w:rsid w:val="00E10EDE"/>
    <w:rsid w:val="00E11A0F"/>
    <w:rsid w:val="00E11EEC"/>
    <w:rsid w:val="00E12519"/>
    <w:rsid w:val="00E12EF7"/>
    <w:rsid w:val="00E1354F"/>
    <w:rsid w:val="00E1547D"/>
    <w:rsid w:val="00E22B0B"/>
    <w:rsid w:val="00E231B1"/>
    <w:rsid w:val="00E23C0C"/>
    <w:rsid w:val="00E32842"/>
    <w:rsid w:val="00E33F66"/>
    <w:rsid w:val="00E34714"/>
    <w:rsid w:val="00E352CD"/>
    <w:rsid w:val="00E4250B"/>
    <w:rsid w:val="00E4569E"/>
    <w:rsid w:val="00E471E8"/>
    <w:rsid w:val="00E477A2"/>
    <w:rsid w:val="00E4787C"/>
    <w:rsid w:val="00E51522"/>
    <w:rsid w:val="00E52B51"/>
    <w:rsid w:val="00E5492B"/>
    <w:rsid w:val="00E5495A"/>
    <w:rsid w:val="00E55715"/>
    <w:rsid w:val="00E56248"/>
    <w:rsid w:val="00E56B2B"/>
    <w:rsid w:val="00E57EB4"/>
    <w:rsid w:val="00E60E1D"/>
    <w:rsid w:val="00E6380D"/>
    <w:rsid w:val="00E63F83"/>
    <w:rsid w:val="00E641FA"/>
    <w:rsid w:val="00E64A76"/>
    <w:rsid w:val="00E650BB"/>
    <w:rsid w:val="00E67973"/>
    <w:rsid w:val="00E67B83"/>
    <w:rsid w:val="00E702D5"/>
    <w:rsid w:val="00E707D0"/>
    <w:rsid w:val="00E72C60"/>
    <w:rsid w:val="00E73B1C"/>
    <w:rsid w:val="00E73E6E"/>
    <w:rsid w:val="00E76902"/>
    <w:rsid w:val="00E77336"/>
    <w:rsid w:val="00E8029E"/>
    <w:rsid w:val="00E811B7"/>
    <w:rsid w:val="00E817BB"/>
    <w:rsid w:val="00E818FA"/>
    <w:rsid w:val="00E82FE1"/>
    <w:rsid w:val="00E8368A"/>
    <w:rsid w:val="00E841BA"/>
    <w:rsid w:val="00E84789"/>
    <w:rsid w:val="00E84D30"/>
    <w:rsid w:val="00E8542B"/>
    <w:rsid w:val="00E862D8"/>
    <w:rsid w:val="00E8641F"/>
    <w:rsid w:val="00E86AEF"/>
    <w:rsid w:val="00E87019"/>
    <w:rsid w:val="00E87EE9"/>
    <w:rsid w:val="00E87F5E"/>
    <w:rsid w:val="00E90164"/>
    <w:rsid w:val="00E905CF"/>
    <w:rsid w:val="00E9063B"/>
    <w:rsid w:val="00E920B3"/>
    <w:rsid w:val="00E93049"/>
    <w:rsid w:val="00E937F2"/>
    <w:rsid w:val="00E96906"/>
    <w:rsid w:val="00E96A5B"/>
    <w:rsid w:val="00E97755"/>
    <w:rsid w:val="00EA0CA1"/>
    <w:rsid w:val="00EA14F9"/>
    <w:rsid w:val="00EA368C"/>
    <w:rsid w:val="00EA4FA1"/>
    <w:rsid w:val="00EA5911"/>
    <w:rsid w:val="00EA5BD5"/>
    <w:rsid w:val="00EA72CE"/>
    <w:rsid w:val="00EB09DB"/>
    <w:rsid w:val="00EB0F3B"/>
    <w:rsid w:val="00EB1CB7"/>
    <w:rsid w:val="00EB34DF"/>
    <w:rsid w:val="00EB3C30"/>
    <w:rsid w:val="00EB4DA8"/>
    <w:rsid w:val="00EC0330"/>
    <w:rsid w:val="00EC10E8"/>
    <w:rsid w:val="00EC21AB"/>
    <w:rsid w:val="00EC32F4"/>
    <w:rsid w:val="00EC3FAB"/>
    <w:rsid w:val="00EC572A"/>
    <w:rsid w:val="00EC5ADC"/>
    <w:rsid w:val="00ED2D90"/>
    <w:rsid w:val="00ED3E09"/>
    <w:rsid w:val="00ED41E5"/>
    <w:rsid w:val="00ED4496"/>
    <w:rsid w:val="00ED5054"/>
    <w:rsid w:val="00EE108D"/>
    <w:rsid w:val="00EE48AB"/>
    <w:rsid w:val="00EE5B67"/>
    <w:rsid w:val="00EF0ADC"/>
    <w:rsid w:val="00EF2508"/>
    <w:rsid w:val="00EF2857"/>
    <w:rsid w:val="00EF4C79"/>
    <w:rsid w:val="00EF4DB2"/>
    <w:rsid w:val="00F013B1"/>
    <w:rsid w:val="00F02488"/>
    <w:rsid w:val="00F02DAC"/>
    <w:rsid w:val="00F03535"/>
    <w:rsid w:val="00F044CF"/>
    <w:rsid w:val="00F04CCE"/>
    <w:rsid w:val="00F0680C"/>
    <w:rsid w:val="00F0680D"/>
    <w:rsid w:val="00F078D8"/>
    <w:rsid w:val="00F108D8"/>
    <w:rsid w:val="00F11053"/>
    <w:rsid w:val="00F111A6"/>
    <w:rsid w:val="00F11C57"/>
    <w:rsid w:val="00F13883"/>
    <w:rsid w:val="00F16AFE"/>
    <w:rsid w:val="00F1759E"/>
    <w:rsid w:val="00F21AD0"/>
    <w:rsid w:val="00F22D7F"/>
    <w:rsid w:val="00F23AC3"/>
    <w:rsid w:val="00F26B91"/>
    <w:rsid w:val="00F27E1D"/>
    <w:rsid w:val="00F317B7"/>
    <w:rsid w:val="00F340EC"/>
    <w:rsid w:val="00F352C5"/>
    <w:rsid w:val="00F3756F"/>
    <w:rsid w:val="00F37AFF"/>
    <w:rsid w:val="00F40DF0"/>
    <w:rsid w:val="00F41BD3"/>
    <w:rsid w:val="00F41F05"/>
    <w:rsid w:val="00F4390A"/>
    <w:rsid w:val="00F43AE3"/>
    <w:rsid w:val="00F46413"/>
    <w:rsid w:val="00F4687A"/>
    <w:rsid w:val="00F508E2"/>
    <w:rsid w:val="00F521C3"/>
    <w:rsid w:val="00F54A53"/>
    <w:rsid w:val="00F54AC0"/>
    <w:rsid w:val="00F55D12"/>
    <w:rsid w:val="00F57247"/>
    <w:rsid w:val="00F604B6"/>
    <w:rsid w:val="00F61B68"/>
    <w:rsid w:val="00F61C86"/>
    <w:rsid w:val="00F632C7"/>
    <w:rsid w:val="00F634FE"/>
    <w:rsid w:val="00F64E42"/>
    <w:rsid w:val="00F711FA"/>
    <w:rsid w:val="00F73F4D"/>
    <w:rsid w:val="00F746C7"/>
    <w:rsid w:val="00F74B3C"/>
    <w:rsid w:val="00F800E1"/>
    <w:rsid w:val="00F811CA"/>
    <w:rsid w:val="00F827EA"/>
    <w:rsid w:val="00F83856"/>
    <w:rsid w:val="00F862BB"/>
    <w:rsid w:val="00F87408"/>
    <w:rsid w:val="00F9230D"/>
    <w:rsid w:val="00F92498"/>
    <w:rsid w:val="00F92632"/>
    <w:rsid w:val="00F93849"/>
    <w:rsid w:val="00F93946"/>
    <w:rsid w:val="00F95764"/>
    <w:rsid w:val="00FA3859"/>
    <w:rsid w:val="00FA4429"/>
    <w:rsid w:val="00FA5712"/>
    <w:rsid w:val="00FA6230"/>
    <w:rsid w:val="00FB0D81"/>
    <w:rsid w:val="00FB3D53"/>
    <w:rsid w:val="00FB60EA"/>
    <w:rsid w:val="00FB6304"/>
    <w:rsid w:val="00FB7444"/>
    <w:rsid w:val="00FC00A6"/>
    <w:rsid w:val="00FC03DA"/>
    <w:rsid w:val="00FC06EC"/>
    <w:rsid w:val="00FC1476"/>
    <w:rsid w:val="00FC2E1C"/>
    <w:rsid w:val="00FC3A66"/>
    <w:rsid w:val="00FC4910"/>
    <w:rsid w:val="00FC4F55"/>
    <w:rsid w:val="00FC7675"/>
    <w:rsid w:val="00FC786E"/>
    <w:rsid w:val="00FC79D3"/>
    <w:rsid w:val="00FD2AE4"/>
    <w:rsid w:val="00FD43BB"/>
    <w:rsid w:val="00FD6F24"/>
    <w:rsid w:val="00FE0A94"/>
    <w:rsid w:val="00FE1043"/>
    <w:rsid w:val="00FE25D6"/>
    <w:rsid w:val="00FE3FF8"/>
    <w:rsid w:val="00FE46F9"/>
    <w:rsid w:val="00FE632A"/>
    <w:rsid w:val="00FE6609"/>
    <w:rsid w:val="00FE73C9"/>
    <w:rsid w:val="00FE7D38"/>
    <w:rsid w:val="00FF2591"/>
    <w:rsid w:val="00FF2A7F"/>
    <w:rsid w:val="00FF3734"/>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6D8DB"/>
  <w15:chartTrackingRefBased/>
  <w15:docId w15:val="{7EA7DD5A-4785-428C-9E2A-CEFDFCB6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118E2"/>
    <w:pPr>
      <w:spacing w:after="200" w:line="480" w:lineRule="auto"/>
      <w:jc w:val="center"/>
    </w:pPr>
    <w:rPr>
      <w:rFonts w:ascii="Times New Roman" w:hAnsi="Times New Roman"/>
      <w:color w:val="000000" w:themeColor="text1"/>
      <w:sz w:val="32"/>
      <w:lang w:val="fr-CA"/>
    </w:rPr>
  </w:style>
  <w:style w:type="paragraph" w:styleId="Heading1">
    <w:name w:val="heading 1"/>
    <w:basedOn w:val="Normal"/>
    <w:next w:val="Normal"/>
    <w:link w:val="Heading1Char"/>
    <w:uiPriority w:val="9"/>
    <w:qFormat/>
    <w:rsid w:val="005118E2"/>
    <w:pPr>
      <w:keepNext/>
      <w:keepLines/>
      <w:spacing w:before="240" w:after="0"/>
      <w:outlineLvl w:val="0"/>
    </w:pPr>
    <w:rPr>
      <w:rFonts w:asciiTheme="majorHAnsi" w:eastAsiaTheme="majorEastAsia" w:hAnsiTheme="majorHAnsi" w:cstheme="majorBidi"/>
      <w:color w:val="2F5496" w:themeColor="accent1" w:themeShade="BF"/>
      <w:szCs w:val="32"/>
    </w:rPr>
  </w:style>
  <w:style w:type="paragraph" w:styleId="Heading2">
    <w:name w:val="heading 2"/>
    <w:basedOn w:val="Normal"/>
    <w:next w:val="Normal"/>
    <w:link w:val="Heading2Char"/>
    <w:uiPriority w:val="9"/>
    <w:semiHidden/>
    <w:unhideWhenUsed/>
    <w:qFormat/>
    <w:rsid w:val="005118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118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18E2"/>
    <w:rPr>
      <w:rFonts w:asciiTheme="majorHAnsi" w:eastAsiaTheme="majorEastAsia" w:hAnsiTheme="majorHAnsi" w:cstheme="majorBidi"/>
      <w:color w:val="2F5496" w:themeColor="accent1" w:themeShade="BF"/>
      <w:sz w:val="32"/>
      <w:szCs w:val="32"/>
      <w:lang w:val="fr-CA"/>
    </w:rPr>
  </w:style>
  <w:style w:type="character" w:customStyle="1" w:styleId="Heading2Char">
    <w:name w:val="Heading 2 Char"/>
    <w:basedOn w:val="DefaultParagraphFont"/>
    <w:link w:val="Heading2"/>
    <w:uiPriority w:val="9"/>
    <w:semiHidden/>
    <w:rsid w:val="005118E2"/>
    <w:rPr>
      <w:rFonts w:asciiTheme="majorHAnsi" w:eastAsiaTheme="majorEastAsia" w:hAnsiTheme="majorHAnsi" w:cstheme="majorBidi"/>
      <w:color w:val="2F5496" w:themeColor="accent1" w:themeShade="BF"/>
      <w:sz w:val="26"/>
      <w:szCs w:val="26"/>
      <w:lang w:val="fr-CA"/>
    </w:rPr>
  </w:style>
  <w:style w:type="character" w:customStyle="1" w:styleId="Heading3Char">
    <w:name w:val="Heading 3 Char"/>
    <w:basedOn w:val="DefaultParagraphFont"/>
    <w:link w:val="Heading3"/>
    <w:uiPriority w:val="9"/>
    <w:semiHidden/>
    <w:rsid w:val="005118E2"/>
    <w:rPr>
      <w:rFonts w:asciiTheme="majorHAnsi" w:eastAsiaTheme="majorEastAsia" w:hAnsiTheme="majorHAnsi" w:cstheme="majorBidi"/>
      <w:color w:val="1F3763" w:themeColor="accent1" w:themeShade="7F"/>
      <w:sz w:val="24"/>
      <w:szCs w:val="24"/>
      <w:lang w:val="fr-CA"/>
    </w:rPr>
  </w:style>
  <w:style w:type="paragraph" w:customStyle="1" w:styleId="EndNoteBibliographyTitle">
    <w:name w:val="EndNote Bibliography Title"/>
    <w:basedOn w:val="Normal"/>
    <w:rsid w:val="005118E2"/>
    <w:pPr>
      <w:spacing w:after="0"/>
    </w:pPr>
    <w:rPr>
      <w:rFonts w:cs="Times New Roman"/>
      <w:lang w:val="en-US"/>
    </w:rPr>
  </w:style>
  <w:style w:type="paragraph" w:customStyle="1" w:styleId="EndNoteBibliography">
    <w:name w:val="EndNote Bibliography"/>
    <w:basedOn w:val="Normal"/>
    <w:rsid w:val="005118E2"/>
    <w:pPr>
      <w:spacing w:line="240" w:lineRule="auto"/>
      <w:jc w:val="left"/>
    </w:pPr>
    <w:rPr>
      <w:rFonts w:cs="Times New Roman"/>
      <w:lang w:val="en-US"/>
    </w:rPr>
  </w:style>
  <w:style w:type="character" w:styleId="CommentReference">
    <w:name w:val="annotation reference"/>
    <w:basedOn w:val="DefaultParagraphFont"/>
    <w:uiPriority w:val="99"/>
    <w:semiHidden/>
    <w:unhideWhenUsed/>
    <w:rsid w:val="005118E2"/>
    <w:rPr>
      <w:sz w:val="16"/>
      <w:szCs w:val="16"/>
    </w:rPr>
  </w:style>
  <w:style w:type="paragraph" w:styleId="CommentText">
    <w:name w:val="annotation text"/>
    <w:basedOn w:val="Normal"/>
    <w:link w:val="CommentTextChar"/>
    <w:uiPriority w:val="99"/>
    <w:semiHidden/>
    <w:unhideWhenUsed/>
    <w:rsid w:val="005118E2"/>
    <w:pPr>
      <w:spacing w:line="240" w:lineRule="auto"/>
    </w:pPr>
    <w:rPr>
      <w:sz w:val="20"/>
      <w:szCs w:val="20"/>
    </w:rPr>
  </w:style>
  <w:style w:type="character" w:customStyle="1" w:styleId="CommentTextChar">
    <w:name w:val="Comment Text Char"/>
    <w:basedOn w:val="DefaultParagraphFont"/>
    <w:link w:val="CommentText"/>
    <w:uiPriority w:val="99"/>
    <w:semiHidden/>
    <w:rsid w:val="005118E2"/>
    <w:rPr>
      <w:rFonts w:ascii="Times New Roman" w:hAnsi="Times New Roman"/>
      <w:color w:val="000000" w:themeColor="text1"/>
      <w:sz w:val="20"/>
      <w:szCs w:val="20"/>
      <w:lang w:val="fr-CA"/>
    </w:rPr>
  </w:style>
  <w:style w:type="paragraph" w:styleId="CommentSubject">
    <w:name w:val="annotation subject"/>
    <w:basedOn w:val="CommentText"/>
    <w:next w:val="CommentText"/>
    <w:link w:val="CommentSubjectChar"/>
    <w:uiPriority w:val="99"/>
    <w:semiHidden/>
    <w:unhideWhenUsed/>
    <w:rsid w:val="005118E2"/>
    <w:rPr>
      <w:b/>
      <w:bCs/>
    </w:rPr>
  </w:style>
  <w:style w:type="character" w:customStyle="1" w:styleId="CommentSubjectChar">
    <w:name w:val="Comment Subject Char"/>
    <w:basedOn w:val="CommentTextChar"/>
    <w:link w:val="CommentSubject"/>
    <w:uiPriority w:val="99"/>
    <w:semiHidden/>
    <w:rsid w:val="005118E2"/>
    <w:rPr>
      <w:rFonts w:ascii="Times New Roman" w:hAnsi="Times New Roman"/>
      <w:b/>
      <w:bCs/>
      <w:color w:val="000000" w:themeColor="text1"/>
      <w:sz w:val="20"/>
      <w:szCs w:val="20"/>
      <w:lang w:val="fr-CA"/>
    </w:rPr>
  </w:style>
  <w:style w:type="paragraph" w:styleId="BalloonText">
    <w:name w:val="Balloon Text"/>
    <w:basedOn w:val="Normal"/>
    <w:link w:val="BalloonTextChar"/>
    <w:uiPriority w:val="99"/>
    <w:semiHidden/>
    <w:unhideWhenUsed/>
    <w:rsid w:val="005118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8E2"/>
    <w:rPr>
      <w:rFonts w:ascii="Segoe UI" w:hAnsi="Segoe UI" w:cs="Segoe UI"/>
      <w:color w:val="000000" w:themeColor="text1"/>
      <w:sz w:val="18"/>
      <w:szCs w:val="18"/>
      <w:lang w:val="fr-CA"/>
    </w:rPr>
  </w:style>
  <w:style w:type="paragraph" w:styleId="Revision">
    <w:name w:val="Revision"/>
    <w:hidden/>
    <w:uiPriority w:val="99"/>
    <w:semiHidden/>
    <w:rsid w:val="005118E2"/>
    <w:pPr>
      <w:spacing w:after="0" w:line="240" w:lineRule="auto"/>
    </w:pPr>
    <w:rPr>
      <w:rFonts w:ascii="Times New Roman" w:hAnsi="Times New Roman"/>
      <w:color w:val="000000" w:themeColor="text1"/>
      <w:sz w:val="32"/>
      <w:lang w:val="fr-CA"/>
    </w:rPr>
  </w:style>
  <w:style w:type="paragraph" w:styleId="ListParagraph">
    <w:name w:val="List Paragraph"/>
    <w:basedOn w:val="Normal"/>
    <w:uiPriority w:val="34"/>
    <w:qFormat/>
    <w:rsid w:val="005118E2"/>
    <w:pPr>
      <w:ind w:left="720"/>
      <w:contextualSpacing/>
    </w:pPr>
  </w:style>
  <w:style w:type="character" w:styleId="Hyperlink">
    <w:name w:val="Hyperlink"/>
    <w:basedOn w:val="DefaultParagraphFont"/>
    <w:uiPriority w:val="99"/>
    <w:unhideWhenUsed/>
    <w:rsid w:val="005118E2"/>
    <w:rPr>
      <w:color w:val="0563C1" w:themeColor="hyperlink"/>
      <w:u w:val="single"/>
    </w:rPr>
  </w:style>
  <w:style w:type="character" w:customStyle="1" w:styleId="Mention1">
    <w:name w:val="Mention1"/>
    <w:basedOn w:val="DefaultParagraphFont"/>
    <w:uiPriority w:val="99"/>
    <w:semiHidden/>
    <w:unhideWhenUsed/>
    <w:rsid w:val="005118E2"/>
    <w:rPr>
      <w:color w:val="2B579A"/>
      <w:shd w:val="clear" w:color="auto" w:fill="E6E6E6"/>
    </w:rPr>
  </w:style>
  <w:style w:type="paragraph" w:styleId="Header">
    <w:name w:val="header"/>
    <w:basedOn w:val="Normal"/>
    <w:link w:val="HeaderChar"/>
    <w:uiPriority w:val="99"/>
    <w:unhideWhenUsed/>
    <w:rsid w:val="005118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8E2"/>
    <w:rPr>
      <w:rFonts w:ascii="Times New Roman" w:hAnsi="Times New Roman"/>
      <w:color w:val="000000" w:themeColor="text1"/>
      <w:sz w:val="32"/>
      <w:lang w:val="fr-CA"/>
    </w:rPr>
  </w:style>
  <w:style w:type="paragraph" w:styleId="Footer">
    <w:name w:val="footer"/>
    <w:basedOn w:val="Normal"/>
    <w:link w:val="FooterChar"/>
    <w:uiPriority w:val="99"/>
    <w:unhideWhenUsed/>
    <w:rsid w:val="005118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8E2"/>
    <w:rPr>
      <w:rFonts w:ascii="Times New Roman" w:hAnsi="Times New Roman"/>
      <w:color w:val="000000" w:themeColor="text1"/>
      <w:sz w:val="32"/>
      <w:lang w:val="fr-CA"/>
    </w:rPr>
  </w:style>
  <w:style w:type="table" w:styleId="TableGrid">
    <w:name w:val="Table Grid"/>
    <w:basedOn w:val="TableNormal"/>
    <w:uiPriority w:val="39"/>
    <w:rsid w:val="005118E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118E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3043</Words>
  <Characters>17349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gan or</dc:creator>
  <cp:keywords/>
  <dc:description/>
  <cp:lastModifiedBy>ziv gan or</cp:lastModifiedBy>
  <cp:revision>3</cp:revision>
  <dcterms:created xsi:type="dcterms:W3CDTF">2020-06-27T20:43:00Z</dcterms:created>
  <dcterms:modified xsi:type="dcterms:W3CDTF">2020-06-27T20:44:00Z</dcterms:modified>
</cp:coreProperties>
</file>