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5F4" w:rsidRPr="007B52EC" w:rsidRDefault="001F541F" w:rsidP="007B52EC">
      <w:pPr>
        <w:jc w:val="both"/>
        <w:rPr>
          <w:rFonts w:asciiTheme="minorHAnsi" w:hAnsiTheme="minorHAnsi" w:cs="Arial"/>
        </w:rPr>
      </w:pPr>
      <w:r w:rsidRPr="007B52EC">
        <w:rPr>
          <w:rFonts w:asciiTheme="minorHAnsi" w:hAnsiTheme="minorHAnsi" w:cs="Arial"/>
          <w:b/>
          <w:bCs/>
          <w:u w:val="single"/>
        </w:rPr>
        <w:t>Begriffe und Abkürzungen</w:t>
      </w:r>
    </w:p>
    <w:p w:rsidR="00DB55F4" w:rsidRPr="007B52EC" w:rsidRDefault="00894304" w:rsidP="007B52EC">
      <w:pPr>
        <w:jc w:val="both"/>
        <w:rPr>
          <w:rFonts w:asciiTheme="minorHAnsi" w:hAnsiTheme="minorHAnsi" w:cs="Arial"/>
        </w:rPr>
      </w:pPr>
      <w:r w:rsidRPr="007B52EC">
        <w:rPr>
          <w:rFonts w:asciiTheme="minorHAnsi" w:hAnsiTheme="minorHAnsi" w:cs="Arial"/>
        </w:rPr>
        <w:t xml:space="preserve">Zusätzlich gelten die Begriffe und Abkürzungen der CEN TS 16827 </w:t>
      </w:r>
    </w:p>
    <w:p w:rsidR="00894304" w:rsidRPr="007B52EC" w:rsidRDefault="00894304" w:rsidP="007B52EC">
      <w:pPr>
        <w:jc w:val="both"/>
        <w:rPr>
          <w:rFonts w:asciiTheme="minorHAnsi" w:hAnsiTheme="minorHAnsi" w:cs="Arial"/>
        </w:rPr>
      </w:pPr>
    </w:p>
    <w:p w:rsidR="00DB55F4" w:rsidRPr="007B52EC" w:rsidRDefault="001F541F" w:rsidP="007B52EC">
      <w:pPr>
        <w:jc w:val="both"/>
        <w:rPr>
          <w:rFonts w:asciiTheme="minorHAnsi" w:hAnsiTheme="minorHAnsi" w:cs="Arial"/>
          <w:b/>
          <w:bCs/>
          <w:u w:val="single"/>
        </w:rPr>
      </w:pPr>
      <w:r w:rsidRPr="007B52EC">
        <w:rPr>
          <w:rFonts w:asciiTheme="minorHAnsi" w:hAnsiTheme="minorHAnsi" w:cs="Arial"/>
          <w:b/>
          <w:bCs/>
          <w:u w:val="single"/>
        </w:rPr>
        <w:t>Begriffe:</w:t>
      </w:r>
    </w:p>
    <w:p w:rsidR="00C414EF" w:rsidRPr="007B52EC" w:rsidRDefault="00CC64BC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Anforderung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lang w:eastAsia="de-DE"/>
        </w:rPr>
        <w:t xml:space="preserve">Festgelegte Erfordernisse und Erwartungen. </w:t>
      </w:r>
    </w:p>
    <w:p w:rsidR="00C414EF" w:rsidRPr="007B52EC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7B52EC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Audit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lang w:eastAsia="de-DE"/>
        </w:rPr>
        <w:t xml:space="preserve">Prozess, der systematisch, unabhängig und dokumentiert ist, um objektive Nachweise zu erhalten. </w:t>
      </w:r>
    </w:p>
    <w:p w:rsidR="00C414EF" w:rsidRPr="007B52EC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7B52EC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Auditprogramm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lang w:eastAsia="de-DE"/>
        </w:rPr>
        <w:t xml:space="preserve">Auf einen spezifischen Zweck gerichteter Satz von einem oder mehreren </w:t>
      </w:r>
      <w:r w:rsidRPr="007B52EC">
        <w:rPr>
          <w:rFonts w:asciiTheme="minorHAnsi" w:hAnsiTheme="minorHAnsi" w:cs="Arial"/>
          <w:i/>
          <w:iCs/>
          <w:lang w:eastAsia="de-DE"/>
        </w:rPr>
        <w:t>Audits.</w:t>
      </w:r>
    </w:p>
    <w:p w:rsidR="00C414EF" w:rsidRPr="007B52EC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7B52EC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Auditkriterien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lang w:eastAsia="de-DE"/>
        </w:rPr>
        <w:t>Politiken, Informationen und</w:t>
      </w:r>
      <w:r w:rsidR="00594DDF">
        <w:rPr>
          <w:rFonts w:asciiTheme="minorHAnsi" w:hAnsiTheme="minorHAnsi" w:cs="Arial"/>
          <w:lang w:eastAsia="de-DE"/>
        </w:rPr>
        <w:t>/o</w:t>
      </w:r>
      <w:r w:rsidRPr="007B52EC">
        <w:rPr>
          <w:rFonts w:asciiTheme="minorHAnsi" w:hAnsiTheme="minorHAnsi" w:cs="Arial"/>
          <w:lang w:eastAsia="de-DE"/>
        </w:rPr>
        <w:t xml:space="preserve">der Anforderungen als Bezugsgrundlage zum Vergleich mit Auditgrundlagen. </w:t>
      </w:r>
    </w:p>
    <w:p w:rsidR="00C414EF" w:rsidRPr="007B52EC" w:rsidRDefault="00594DD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Auditnachweis/</w:t>
      </w:r>
      <w:r w:rsidR="00C414EF" w:rsidRPr="007B52EC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Objektiver Nachweis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lang w:eastAsia="de-DE"/>
        </w:rPr>
        <w:t>Erhobene oder gestellte Aufzeichnungen, Feststellungen und</w:t>
      </w:r>
      <w:r w:rsidR="00594DDF">
        <w:rPr>
          <w:rFonts w:asciiTheme="minorHAnsi" w:hAnsiTheme="minorHAnsi" w:cs="Arial"/>
          <w:lang w:eastAsia="de-DE"/>
        </w:rPr>
        <w:t>/</w:t>
      </w:r>
      <w:r w:rsidRPr="007B52EC">
        <w:rPr>
          <w:rFonts w:asciiTheme="minorHAnsi" w:hAnsiTheme="minorHAnsi" w:cs="Arial"/>
          <w:lang w:eastAsia="de-DE"/>
        </w:rPr>
        <w:t>oder andere Informationen die auf Auditkriterien zutreffen und verifiziert werden können.</w:t>
      </w:r>
    </w:p>
    <w:p w:rsidR="00C414EF" w:rsidRPr="007B52EC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7B52EC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Auditfeststellung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lang w:eastAsia="de-DE"/>
        </w:rPr>
        <w:t xml:space="preserve">Beurteilungsergebnisse aus Auditnachweisen gegen Auditkriterien. </w:t>
      </w:r>
    </w:p>
    <w:p w:rsidR="00C414EF" w:rsidRPr="007B52EC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7B52EC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Ausgliedern (Verb)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lang w:eastAsia="de-DE"/>
        </w:rPr>
        <w:t xml:space="preserve">Zu treffende Vereinbarungen in denen Externe von der Organisation teilweise oder ganze Prozesse wahrnehmen. </w:t>
      </w:r>
    </w:p>
    <w:p w:rsidR="00C414EF" w:rsidRPr="007B52EC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7B52EC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Behördliche Anforderung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lang w:eastAsia="de-DE"/>
        </w:rPr>
        <w:t xml:space="preserve">Eine durch eine vom Gesetzgeber mandatierte Behörde verbindliche Anforderung. </w:t>
      </w:r>
    </w:p>
    <w:p w:rsidR="00C414EF" w:rsidRPr="007B52EC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7B52EC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Beteiligung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lang w:eastAsia="de-DE"/>
        </w:rPr>
        <w:t xml:space="preserve">An gemeinsamen Zielen mitwirken und dazu beitragen. </w:t>
      </w:r>
    </w:p>
    <w:p w:rsidR="00C414EF" w:rsidRPr="007B52EC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7B52EC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Bestimmung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lang w:eastAsia="de-DE"/>
        </w:rPr>
        <w:t xml:space="preserve">Ermittlung eines oder mehrerer </w:t>
      </w:r>
      <w:r w:rsidRPr="007B52EC">
        <w:rPr>
          <w:rFonts w:asciiTheme="minorHAnsi" w:hAnsiTheme="minorHAnsi" w:cs="Arial"/>
          <w:i/>
          <w:iCs/>
          <w:lang w:eastAsia="de-DE"/>
        </w:rPr>
        <w:t xml:space="preserve">Merkmale mit Werten. </w:t>
      </w:r>
    </w:p>
    <w:p w:rsidR="00C414EF" w:rsidRPr="007B52EC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7B52EC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Bewertung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i/>
          <w:iCs/>
          <w:lang w:eastAsia="de-DE"/>
        </w:rPr>
        <w:t xml:space="preserve">Bestimmung </w:t>
      </w:r>
      <w:r w:rsidRPr="007B52EC">
        <w:rPr>
          <w:rFonts w:asciiTheme="minorHAnsi" w:hAnsiTheme="minorHAnsi" w:cs="Arial"/>
          <w:lang w:eastAsia="de-DE"/>
        </w:rPr>
        <w:t xml:space="preserve">der Angemessenheit, </w:t>
      </w:r>
      <w:r w:rsidRPr="007B52EC">
        <w:rPr>
          <w:rFonts w:asciiTheme="minorHAnsi" w:hAnsiTheme="minorHAnsi" w:cs="Arial"/>
          <w:i/>
          <w:iCs/>
          <w:lang w:eastAsia="de-DE"/>
        </w:rPr>
        <w:t xml:space="preserve">Wirksamkeit und Eignung </w:t>
      </w:r>
      <w:r w:rsidRPr="007B52EC">
        <w:rPr>
          <w:rFonts w:asciiTheme="minorHAnsi" w:hAnsiTheme="minorHAnsi" w:cs="Arial"/>
          <w:lang w:eastAsia="de-DE"/>
        </w:rPr>
        <w:t xml:space="preserve">eines </w:t>
      </w:r>
      <w:r w:rsidRPr="007B52EC">
        <w:rPr>
          <w:rFonts w:asciiTheme="minorHAnsi" w:hAnsiTheme="minorHAnsi" w:cs="Arial"/>
          <w:i/>
          <w:iCs/>
          <w:lang w:eastAsia="de-DE"/>
        </w:rPr>
        <w:t xml:space="preserve">Objektes </w:t>
      </w:r>
      <w:r w:rsidRPr="007B52EC">
        <w:rPr>
          <w:rFonts w:asciiTheme="minorHAnsi" w:hAnsiTheme="minorHAnsi" w:cs="Arial"/>
          <w:lang w:eastAsia="de-DE"/>
        </w:rPr>
        <w:t xml:space="preserve">um festgelegte </w:t>
      </w:r>
      <w:r w:rsidRPr="007B52EC">
        <w:rPr>
          <w:rFonts w:asciiTheme="minorHAnsi" w:hAnsiTheme="minorHAnsi" w:cs="Arial"/>
          <w:i/>
          <w:iCs/>
          <w:lang w:eastAsia="de-DE"/>
        </w:rPr>
        <w:t xml:space="preserve">Ziele </w:t>
      </w:r>
      <w:r w:rsidRPr="007B52EC">
        <w:rPr>
          <w:rFonts w:asciiTheme="minorHAnsi" w:hAnsiTheme="minorHAnsi" w:cs="Arial"/>
          <w:lang w:eastAsia="de-DE"/>
        </w:rPr>
        <w:t>zu erreichen.</w:t>
      </w:r>
    </w:p>
    <w:p w:rsidR="007E5A46" w:rsidRDefault="007E5A46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</w:p>
    <w:p w:rsidR="00C414EF" w:rsidRPr="007B52EC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7B52EC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lastRenderedPageBreak/>
        <w:t>Daten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lang w:eastAsia="de-DE"/>
        </w:rPr>
        <w:t xml:space="preserve">Fakten über ein oder mehrere </w:t>
      </w:r>
      <w:r w:rsidRPr="007B52EC">
        <w:rPr>
          <w:rFonts w:asciiTheme="minorHAnsi" w:hAnsiTheme="minorHAnsi" w:cs="Arial"/>
          <w:i/>
          <w:iCs/>
          <w:lang w:eastAsia="de-DE"/>
        </w:rPr>
        <w:t>Objekte.</w:t>
      </w:r>
    </w:p>
    <w:p w:rsidR="00C414EF" w:rsidRPr="007B52EC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7B52EC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Dienstleistung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lang w:eastAsia="de-DE"/>
        </w:rPr>
        <w:t xml:space="preserve">Ergebnis von Tätigkeiten, die immateriell sind und zwischen Anbieter und Kunden ausgeführt werden. </w:t>
      </w:r>
    </w:p>
    <w:p w:rsidR="00C414EF" w:rsidRPr="007B52EC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7B52EC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Dokumentierte Informationen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i/>
          <w:iCs/>
          <w:lang w:eastAsia="de-DE"/>
        </w:rPr>
        <w:t xml:space="preserve">Notwendige Informationen inkl. Medien, die gelenkt und aufrechterhalten werden. </w:t>
      </w:r>
    </w:p>
    <w:p w:rsidR="00C414EF" w:rsidRPr="007B52EC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7B52EC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Entwicklung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lang w:eastAsia="de-DE"/>
        </w:rPr>
        <w:t>Prozesse</w:t>
      </w:r>
      <w:r w:rsidR="00594DDF">
        <w:rPr>
          <w:rFonts w:asciiTheme="minorHAnsi" w:hAnsiTheme="minorHAnsi" w:cs="Arial"/>
          <w:lang w:eastAsia="de-DE"/>
        </w:rPr>
        <w:t>,</w:t>
      </w:r>
      <w:r w:rsidRPr="007B52EC">
        <w:rPr>
          <w:rFonts w:asciiTheme="minorHAnsi" w:hAnsiTheme="minorHAnsi" w:cs="Arial"/>
          <w:lang w:eastAsia="de-DE"/>
        </w:rPr>
        <w:t xml:space="preserve"> die detaillierte Anforderungen an ein Objekt umsetzen. </w:t>
      </w:r>
    </w:p>
    <w:p w:rsidR="00C414EF" w:rsidRPr="007B52EC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7B52EC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Ergebnis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lang w:eastAsia="de-DE"/>
        </w:rPr>
        <w:t>Ergebnis(e) von einem oder mehreren Prozessen. Beispiel: Dienstleistung(en), Verfahrenstechnische Produkte sowie Hard- und Software.</w:t>
      </w:r>
    </w:p>
    <w:p w:rsidR="00C414EF" w:rsidRPr="007B52EC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7B52EC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Fortlaufende Verbesserung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lang w:eastAsia="de-DE"/>
        </w:rPr>
        <w:t xml:space="preserve">Dauerhafte Tätigkeit(en) zur Leistungssteigerung. </w:t>
      </w:r>
    </w:p>
    <w:p w:rsidR="00C414EF" w:rsidRPr="007B52EC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7B52EC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Freigabe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lang w:eastAsia="de-DE"/>
        </w:rPr>
        <w:t xml:space="preserve">Übergangserlaubnis zur nächsten </w:t>
      </w:r>
      <w:r w:rsidRPr="007B52EC">
        <w:rPr>
          <w:rFonts w:asciiTheme="minorHAnsi" w:hAnsiTheme="minorHAnsi" w:cs="Arial"/>
          <w:i/>
          <w:iCs/>
          <w:lang w:eastAsia="de-DE"/>
        </w:rPr>
        <w:t>Prozessstufe.</w:t>
      </w:r>
    </w:p>
    <w:p w:rsidR="00C414EF" w:rsidRPr="007B52EC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7B52EC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Funktion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lang w:eastAsia="de-DE"/>
        </w:rPr>
        <w:t xml:space="preserve">Wahrnehmen einer Rolle durch eine Organisationseinheit. </w:t>
      </w:r>
    </w:p>
    <w:p w:rsidR="00C414EF" w:rsidRPr="007B52EC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7B52EC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Gesetzliche Anforderung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lang w:eastAsia="de-DE"/>
        </w:rPr>
        <w:t xml:space="preserve">Gesetzlich festgelegte und verbindliche </w:t>
      </w:r>
      <w:r w:rsidRPr="007B52EC">
        <w:rPr>
          <w:rFonts w:asciiTheme="minorHAnsi" w:hAnsiTheme="minorHAnsi" w:cs="Arial"/>
          <w:i/>
          <w:iCs/>
          <w:lang w:eastAsia="de-DE"/>
        </w:rPr>
        <w:t xml:space="preserve">Anforderungen. </w:t>
      </w:r>
    </w:p>
    <w:p w:rsidR="00C414EF" w:rsidRPr="007B52EC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7B52EC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Infrastruktur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i/>
          <w:iCs/>
          <w:lang w:eastAsia="de-DE"/>
        </w:rPr>
        <w:t xml:space="preserve">Satz </w:t>
      </w:r>
      <w:r w:rsidRPr="007B52EC">
        <w:rPr>
          <w:rFonts w:asciiTheme="minorHAnsi" w:hAnsiTheme="minorHAnsi" w:cs="Arial"/>
          <w:lang w:eastAsia="de-DE"/>
        </w:rPr>
        <w:t xml:space="preserve">von notwendigen Einrichtungen, Ausrüstungen und </w:t>
      </w:r>
      <w:r w:rsidRPr="007B52EC">
        <w:rPr>
          <w:rFonts w:asciiTheme="minorHAnsi" w:hAnsiTheme="minorHAnsi" w:cs="Arial"/>
          <w:i/>
          <w:iCs/>
          <w:lang w:eastAsia="de-DE"/>
        </w:rPr>
        <w:t>Dienstleistungen</w:t>
      </w:r>
      <w:r w:rsidR="00594DDF">
        <w:rPr>
          <w:rFonts w:asciiTheme="minorHAnsi" w:hAnsiTheme="minorHAnsi" w:cs="Arial"/>
          <w:i/>
          <w:iCs/>
          <w:lang w:eastAsia="de-DE"/>
        </w:rPr>
        <w:t>,</w:t>
      </w:r>
      <w:r w:rsidRPr="007B52EC">
        <w:rPr>
          <w:rFonts w:asciiTheme="minorHAnsi" w:hAnsiTheme="minorHAnsi" w:cs="Arial"/>
          <w:i/>
          <w:iCs/>
          <w:lang w:eastAsia="de-DE"/>
        </w:rPr>
        <w:t xml:space="preserve"> welche für den Betrieb notwendig sind.</w:t>
      </w:r>
    </w:p>
    <w:p w:rsidR="00C414EF" w:rsidRPr="007B52EC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7B52EC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Informationssystem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lang w:eastAsia="de-DE"/>
        </w:rPr>
        <w:t xml:space="preserve">Ein in der Organisation bestehendes Netzwerk zur Kommunikation. </w:t>
      </w:r>
    </w:p>
    <w:p w:rsidR="00C414EF" w:rsidRPr="007B52EC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7B52EC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Interessierte Partei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i/>
          <w:iCs/>
          <w:lang w:eastAsia="de-DE"/>
        </w:rPr>
        <w:t xml:space="preserve">Organisation, </w:t>
      </w:r>
      <w:r w:rsidRPr="007B52EC">
        <w:rPr>
          <w:rFonts w:asciiTheme="minorHAnsi" w:hAnsiTheme="minorHAnsi" w:cs="Arial"/>
          <w:lang w:eastAsia="de-DE"/>
        </w:rPr>
        <w:t xml:space="preserve">die Entscheidungen und Tätigkeiten </w:t>
      </w:r>
      <w:r w:rsidR="00594DDF">
        <w:rPr>
          <w:rFonts w:asciiTheme="minorHAnsi" w:hAnsiTheme="minorHAnsi" w:cs="Arial"/>
          <w:lang w:eastAsia="de-DE"/>
        </w:rPr>
        <w:t>beeinflussen, diese beeinflusst</w:t>
      </w:r>
      <w:r w:rsidRPr="007B52EC">
        <w:rPr>
          <w:rFonts w:asciiTheme="minorHAnsi" w:hAnsiTheme="minorHAnsi" w:cs="Arial"/>
          <w:lang w:eastAsia="de-DE"/>
        </w:rPr>
        <w:t xml:space="preserve">/ oder von denen gefühlt beeinflusst sein kann. </w:t>
      </w:r>
    </w:p>
    <w:p w:rsidR="00C414EF" w:rsidRPr="007B52EC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7B52EC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Kompetenz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lang w:eastAsia="de-DE"/>
        </w:rPr>
        <w:t xml:space="preserve">Die Fähigkeit, beabsichtigte Ergebnisse </w:t>
      </w:r>
      <w:r w:rsidR="00594DDF" w:rsidRPr="007B52EC">
        <w:rPr>
          <w:rFonts w:asciiTheme="minorHAnsi" w:hAnsiTheme="minorHAnsi" w:cs="Arial"/>
          <w:lang w:eastAsia="de-DE"/>
        </w:rPr>
        <w:t xml:space="preserve">mittels Wissen und Fertigkeiten </w:t>
      </w:r>
      <w:r w:rsidRPr="007B52EC">
        <w:rPr>
          <w:rFonts w:asciiTheme="minorHAnsi" w:hAnsiTheme="minorHAnsi" w:cs="Arial"/>
          <w:lang w:eastAsia="de-DE"/>
        </w:rPr>
        <w:t xml:space="preserve">zu erreichen. </w:t>
      </w:r>
    </w:p>
    <w:p w:rsidR="00C414EF" w:rsidRPr="007B52EC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7B52EC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lastRenderedPageBreak/>
        <w:t>Konformität</w:t>
      </w:r>
    </w:p>
    <w:p w:rsidR="00594DDF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i/>
          <w:iCs/>
          <w:lang w:eastAsia="de-DE"/>
        </w:rPr>
      </w:pPr>
      <w:r w:rsidRPr="007B52EC">
        <w:rPr>
          <w:rFonts w:asciiTheme="minorHAnsi" w:hAnsiTheme="minorHAnsi" w:cs="Arial"/>
          <w:lang w:eastAsia="de-DE"/>
        </w:rPr>
        <w:t xml:space="preserve">Erfüllung einer oder mehrerer </w:t>
      </w:r>
      <w:r w:rsidRPr="007B52EC">
        <w:rPr>
          <w:rFonts w:asciiTheme="minorHAnsi" w:hAnsiTheme="minorHAnsi" w:cs="Arial"/>
          <w:i/>
          <w:iCs/>
          <w:lang w:eastAsia="de-DE"/>
        </w:rPr>
        <w:t xml:space="preserve">Anforderungen. </w:t>
      </w:r>
    </w:p>
    <w:p w:rsidR="00C414EF" w:rsidRPr="007B52EC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7B52EC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Korrektur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lang w:eastAsia="de-DE"/>
        </w:rPr>
        <w:t xml:space="preserve">Beseitigung einer Nichtkonformität, die in der Regel im Rahmen von einer Korrekturmaßnahme stattfindet. </w:t>
      </w:r>
    </w:p>
    <w:p w:rsidR="00C414EF" w:rsidRPr="007B52EC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7B52EC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Korrekturmaßnahme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lang w:eastAsia="de-DE"/>
        </w:rPr>
        <w:t xml:space="preserve">Maßnahme, die einen Fehler in der Ursache beseitigt und dessen erneutes Auftreten vermeidet. </w:t>
      </w:r>
    </w:p>
    <w:p w:rsidR="00C414EF" w:rsidRPr="007B52EC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7B52EC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Kontext der Organisation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lang w:eastAsia="de-DE"/>
        </w:rPr>
        <w:t>Eine Kombination v</w:t>
      </w:r>
      <w:r w:rsidR="00594DDF">
        <w:rPr>
          <w:rFonts w:asciiTheme="minorHAnsi" w:hAnsiTheme="minorHAnsi" w:cs="Arial"/>
          <w:lang w:eastAsia="de-DE"/>
        </w:rPr>
        <w:t>on Bedingungen Faktoren (intern</w:t>
      </w:r>
      <w:r w:rsidRPr="007B52EC">
        <w:rPr>
          <w:rFonts w:asciiTheme="minorHAnsi" w:hAnsiTheme="minorHAnsi" w:cs="Arial"/>
          <w:lang w:eastAsia="de-DE"/>
        </w:rPr>
        <w:t>/extern), die Auswirkung auf das Unternehmensvorgehen haben. Dies bezieht sich im Besonderen auf Produkte, Dienstleistungen, interessierte Parteien und Investitionen. Somit sind dies die wirtschaftlichen Rahmenbedingungen.</w:t>
      </w:r>
    </w:p>
    <w:p w:rsidR="00C414EF" w:rsidRPr="007B52EC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7B52EC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Leistung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lang w:eastAsia="de-DE"/>
        </w:rPr>
        <w:t xml:space="preserve">Ergebnis das messbar ist. </w:t>
      </w:r>
    </w:p>
    <w:p w:rsidR="00C414EF" w:rsidRPr="007B52EC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7B52EC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Leistungsindikator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i/>
          <w:iCs/>
          <w:lang w:eastAsia="de-DE"/>
        </w:rPr>
        <w:t xml:space="preserve">Merkmal </w:t>
      </w:r>
      <w:r w:rsidRPr="007B52EC">
        <w:rPr>
          <w:rFonts w:asciiTheme="minorHAnsi" w:hAnsiTheme="minorHAnsi" w:cs="Arial"/>
          <w:lang w:eastAsia="de-DE"/>
        </w:rPr>
        <w:t>mit signifikanter Auswirkung auf Ergebnisse und Kundenzufriedenheit.</w:t>
      </w:r>
    </w:p>
    <w:p w:rsidR="00C414EF" w:rsidRPr="007B52EC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7B52EC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Lieferant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lang w:eastAsia="de-DE"/>
        </w:rPr>
        <w:t xml:space="preserve">Anbieter, die ein </w:t>
      </w:r>
      <w:r w:rsidRPr="007B52EC">
        <w:rPr>
          <w:rFonts w:asciiTheme="minorHAnsi" w:hAnsiTheme="minorHAnsi" w:cs="Arial"/>
          <w:i/>
          <w:iCs/>
          <w:lang w:eastAsia="de-DE"/>
        </w:rPr>
        <w:t xml:space="preserve">Produkt </w:t>
      </w:r>
      <w:r w:rsidRPr="007B52EC">
        <w:rPr>
          <w:rFonts w:asciiTheme="minorHAnsi" w:hAnsiTheme="minorHAnsi" w:cs="Arial"/>
          <w:lang w:eastAsia="de-DE"/>
        </w:rPr>
        <w:t xml:space="preserve">oder </w:t>
      </w:r>
      <w:r w:rsidRPr="007B52EC">
        <w:rPr>
          <w:rFonts w:asciiTheme="minorHAnsi" w:hAnsiTheme="minorHAnsi" w:cs="Arial"/>
          <w:i/>
          <w:iCs/>
          <w:lang w:eastAsia="de-DE"/>
        </w:rPr>
        <w:t xml:space="preserve">Dienstleistungen </w:t>
      </w:r>
      <w:r w:rsidRPr="007B52EC">
        <w:rPr>
          <w:rFonts w:asciiTheme="minorHAnsi" w:hAnsiTheme="minorHAnsi" w:cs="Arial"/>
          <w:lang w:eastAsia="de-DE"/>
        </w:rPr>
        <w:t>bereitstellen.</w:t>
      </w:r>
    </w:p>
    <w:p w:rsidR="00C414EF" w:rsidRPr="007B52EC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7B52EC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Managementsystem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lang w:eastAsia="de-DE"/>
        </w:rPr>
        <w:t>Zusammenhängende und gegenseitig beeinflussende Elemente, um die Politik, die Ziele und Prozesse einzuhalten.</w:t>
      </w:r>
    </w:p>
    <w:p w:rsidR="00C414EF" w:rsidRPr="007B52EC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7B52EC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Messung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i/>
          <w:iCs/>
          <w:lang w:eastAsia="de-DE"/>
        </w:rPr>
        <w:t>Bestimmung eines Wertes mittels eines Prozesses.</w:t>
      </w:r>
    </w:p>
    <w:p w:rsidR="00C414EF" w:rsidRPr="007B52EC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7B52EC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Management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lang w:eastAsia="de-DE"/>
        </w:rPr>
        <w:t xml:space="preserve">Abgestimmte Tätigkeiten zur Lenkung einer </w:t>
      </w:r>
      <w:r w:rsidRPr="007B52EC">
        <w:rPr>
          <w:rFonts w:asciiTheme="minorHAnsi" w:hAnsiTheme="minorHAnsi" w:cs="Arial"/>
          <w:i/>
          <w:iCs/>
          <w:lang w:eastAsia="de-DE"/>
        </w:rPr>
        <w:t>Organisation.</w:t>
      </w:r>
    </w:p>
    <w:p w:rsidR="00C414EF" w:rsidRPr="007B52EC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7B52EC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Mangel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i/>
          <w:iCs/>
          <w:lang w:eastAsia="de-DE"/>
        </w:rPr>
        <w:t>Ein für den beabsichtigten oder festgelegten Gebrauch erkannter Fehler.</w:t>
      </w:r>
    </w:p>
    <w:p w:rsidR="00C414EF" w:rsidRPr="007B52EC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7B52EC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Merkmal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lang w:eastAsia="de-DE"/>
        </w:rPr>
        <w:t>Kennzeichnende Eigenschaft.</w:t>
      </w:r>
    </w:p>
    <w:p w:rsidR="00C414EF" w:rsidRPr="007B52EC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7B52EC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Nichtkonformität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i/>
          <w:iCs/>
          <w:lang w:eastAsia="de-DE"/>
        </w:rPr>
      </w:pPr>
      <w:r w:rsidRPr="007B52EC">
        <w:rPr>
          <w:rFonts w:asciiTheme="minorHAnsi" w:hAnsiTheme="minorHAnsi" w:cs="Arial"/>
          <w:lang w:eastAsia="de-DE"/>
        </w:rPr>
        <w:t xml:space="preserve">Fehler bzw. mangelnde Erfüllung einer </w:t>
      </w:r>
      <w:r w:rsidRPr="007B52EC">
        <w:rPr>
          <w:rFonts w:asciiTheme="minorHAnsi" w:hAnsiTheme="minorHAnsi" w:cs="Arial"/>
          <w:i/>
          <w:iCs/>
          <w:lang w:eastAsia="de-DE"/>
        </w:rPr>
        <w:t>Anforderung.</w:t>
      </w:r>
    </w:p>
    <w:p w:rsidR="00C414EF" w:rsidRPr="007B52EC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7B52EC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lastRenderedPageBreak/>
        <w:t>Nutzer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lang w:eastAsia="de-DE"/>
        </w:rPr>
        <w:t>Personenkreis, der Produkte und Dienstleistungen empfängt oder empfangen könnte. Dies kann auch intern sein.</w:t>
      </w:r>
    </w:p>
    <w:p w:rsidR="00C414EF" w:rsidRPr="007B52EC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7B52EC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Nutzerzufriedenheit</w:t>
      </w:r>
    </w:p>
    <w:p w:rsidR="00C414EF" w:rsidRPr="007B52EC" w:rsidRDefault="00DC2BFE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lang w:eastAsia="de-DE"/>
        </w:rPr>
        <w:t>Nutzerw</w:t>
      </w:r>
      <w:r w:rsidR="00C414EF" w:rsidRPr="007B52EC">
        <w:rPr>
          <w:rFonts w:asciiTheme="minorHAnsi" w:hAnsiTheme="minorHAnsi" w:cs="Arial"/>
          <w:lang w:eastAsia="de-DE"/>
        </w:rPr>
        <w:t xml:space="preserve">ahrnehmung zum Grad der Erfüllung der Erwartungen. </w:t>
      </w:r>
    </w:p>
    <w:p w:rsidR="00C414EF" w:rsidRPr="007B52EC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7B52EC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Oberste Leitung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lang w:eastAsia="de-DE"/>
        </w:rPr>
        <w:t xml:space="preserve">Person/-en/gruppe, die eine </w:t>
      </w:r>
      <w:r w:rsidRPr="007B52EC">
        <w:rPr>
          <w:rFonts w:asciiTheme="minorHAnsi" w:hAnsiTheme="minorHAnsi" w:cs="Arial"/>
          <w:i/>
          <w:iCs/>
          <w:lang w:eastAsia="de-DE"/>
        </w:rPr>
        <w:t xml:space="preserve">Organisation </w:t>
      </w:r>
      <w:r w:rsidRPr="007B52EC">
        <w:rPr>
          <w:rFonts w:asciiTheme="minorHAnsi" w:hAnsiTheme="minorHAnsi" w:cs="Arial"/>
          <w:lang w:eastAsia="de-DE"/>
        </w:rPr>
        <w:t>auf oberster Ebene lenkt.</w:t>
      </w:r>
    </w:p>
    <w:p w:rsidR="00C414EF" w:rsidRPr="007B52EC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7B52EC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Objektiver Nachweis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i/>
          <w:iCs/>
          <w:lang w:eastAsia="de-DE"/>
        </w:rPr>
        <w:t xml:space="preserve">Bestätigung das Daten wahr und existent sind. </w:t>
      </w:r>
    </w:p>
    <w:p w:rsidR="00C414EF" w:rsidRPr="007B52EC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7B52EC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Organisation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lang w:eastAsia="de-DE"/>
        </w:rPr>
        <w:t xml:space="preserve">Person/-en/gruppe mit Funktionen, Verantwortlichkeiten, Befugnissen und Beziehungen zur Zielerreichung. </w:t>
      </w:r>
    </w:p>
    <w:p w:rsidR="00C414EF" w:rsidRPr="007B52EC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7B52EC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Politik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lang w:eastAsia="de-DE"/>
        </w:rPr>
        <w:t xml:space="preserve">Absichten und Ausrichtung einer </w:t>
      </w:r>
      <w:r w:rsidRPr="007B52EC">
        <w:rPr>
          <w:rFonts w:asciiTheme="minorHAnsi" w:hAnsiTheme="minorHAnsi" w:cs="Arial"/>
          <w:i/>
          <w:iCs/>
          <w:lang w:eastAsia="de-DE"/>
        </w:rPr>
        <w:t>Organisation die durch die oberste Leitung festgelegt ist.</w:t>
      </w:r>
    </w:p>
    <w:p w:rsidR="00C414EF" w:rsidRPr="007B52EC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7B52EC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Prozess</w:t>
      </w:r>
    </w:p>
    <w:p w:rsidR="00C414EF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lang w:eastAsia="de-DE"/>
        </w:rPr>
        <w:t>Eine oder mehrere Tätigkeiten, die sich gegenseitig beeinflussen und Eingaben in Ergebnisse wandelt.</w:t>
      </w:r>
    </w:p>
    <w:p w:rsidR="006C0F81" w:rsidRDefault="006C0F81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7B52EC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Prozess</w:t>
      </w:r>
      <w:r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mittel</w:t>
      </w:r>
    </w:p>
    <w:p w:rsidR="00DC2BFE" w:rsidRPr="006C0F81" w:rsidRDefault="00DC2BFE" w:rsidP="006C0F81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lang w:eastAsia="de-DE"/>
        </w:rPr>
        <w:t xml:space="preserve">Zur Realisierung eines Prozesses erforderliche Hilfsmittel oder deren Kombination </w:t>
      </w:r>
      <w:r w:rsidR="006C0F81">
        <w:rPr>
          <w:rFonts w:asciiTheme="minorHAnsi" w:hAnsiTheme="minorHAnsi" w:cs="Arial"/>
          <w:lang w:eastAsia="de-DE"/>
        </w:rPr>
        <w:t>wie Geräte, Software oder appara</w:t>
      </w:r>
      <w:r w:rsidRPr="007B52EC">
        <w:rPr>
          <w:rFonts w:asciiTheme="minorHAnsi" w:hAnsiTheme="minorHAnsi" w:cs="Arial"/>
          <w:lang w:eastAsia="de-DE"/>
        </w:rPr>
        <w:t>tive Hilfsmittel</w:t>
      </w:r>
      <w:r w:rsidR="006C0F81">
        <w:rPr>
          <w:rFonts w:asciiTheme="minorHAnsi" w:hAnsiTheme="minorHAnsi" w:cs="Arial"/>
          <w:lang w:eastAsia="de-DE"/>
        </w:rPr>
        <w:t>.</w:t>
      </w:r>
    </w:p>
    <w:p w:rsidR="00DC2BFE" w:rsidRPr="007B52EC" w:rsidRDefault="00DC2BFE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7B52EC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Prüfmittel</w:t>
      </w:r>
    </w:p>
    <w:p w:rsidR="00DC2BFE" w:rsidRPr="007B52EC" w:rsidRDefault="00DC2BFE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</w:rPr>
      </w:pPr>
      <w:r w:rsidRPr="007B52EC">
        <w:rPr>
          <w:rFonts w:asciiTheme="minorHAnsi" w:hAnsiTheme="minorHAnsi" w:cs="Arial"/>
          <w:lang w:eastAsia="de-DE"/>
        </w:rPr>
        <w:t>Zur Realisierung einer Messung erforderliche Hilfsmittel oder deren Kombination wie Geräte, Software, Normale, Referenzmaterialien und apparative Hilfsmittel.</w:t>
      </w:r>
      <w:r w:rsidRPr="007B52EC">
        <w:rPr>
          <w:rFonts w:asciiTheme="minorHAnsi" w:hAnsiTheme="minorHAnsi" w:cs="Arial"/>
          <w:b/>
          <w:bCs/>
        </w:rPr>
        <w:t xml:space="preserve"> </w:t>
      </w:r>
    </w:p>
    <w:p w:rsidR="00C414EF" w:rsidRPr="007B52EC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7B52EC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Qualität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lang w:eastAsia="de-DE"/>
        </w:rPr>
        <w:t xml:space="preserve">Inhärente </w:t>
      </w:r>
      <w:r w:rsidRPr="007B52EC">
        <w:rPr>
          <w:rFonts w:asciiTheme="minorHAnsi" w:hAnsiTheme="minorHAnsi" w:cs="Arial"/>
          <w:i/>
          <w:iCs/>
          <w:lang w:eastAsia="de-DE"/>
        </w:rPr>
        <w:t xml:space="preserve">Merkmale </w:t>
      </w:r>
      <w:r w:rsidRPr="007B52EC">
        <w:rPr>
          <w:rFonts w:asciiTheme="minorHAnsi" w:hAnsiTheme="minorHAnsi" w:cs="Arial"/>
          <w:lang w:eastAsia="de-DE"/>
        </w:rPr>
        <w:t xml:space="preserve">eines </w:t>
      </w:r>
      <w:r w:rsidRPr="007B52EC">
        <w:rPr>
          <w:rFonts w:asciiTheme="minorHAnsi" w:hAnsiTheme="minorHAnsi" w:cs="Arial"/>
          <w:i/>
          <w:iCs/>
          <w:lang w:eastAsia="de-DE"/>
        </w:rPr>
        <w:t xml:space="preserve">Objekts und der Grad in Anforderungen </w:t>
      </w:r>
      <w:r w:rsidRPr="007B52EC">
        <w:rPr>
          <w:rFonts w:asciiTheme="minorHAnsi" w:hAnsiTheme="minorHAnsi" w:cs="Arial"/>
          <w:lang w:eastAsia="de-DE"/>
        </w:rPr>
        <w:t>erfüllt werden.</w:t>
      </w:r>
    </w:p>
    <w:p w:rsidR="00C414EF" w:rsidRPr="007B52EC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7B52EC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Qualitätsmanagement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i/>
          <w:iCs/>
          <w:lang w:eastAsia="de-DE"/>
        </w:rPr>
        <w:t>Management in Bezug auf Qualität.</w:t>
      </w:r>
    </w:p>
    <w:p w:rsidR="00C414EF" w:rsidRPr="007B52EC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7B52EC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Qualitätspolitik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i/>
          <w:iCs/>
          <w:lang w:eastAsia="de-DE"/>
        </w:rPr>
        <w:t>Festgelegte Politik in Bezug auf Qualität.</w:t>
      </w:r>
    </w:p>
    <w:p w:rsidR="00C414EF" w:rsidRPr="0050440D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50440D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Qualitätsziel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i/>
          <w:iCs/>
          <w:lang w:eastAsia="de-DE"/>
        </w:rPr>
        <w:t xml:space="preserve">Ziel, </w:t>
      </w:r>
      <w:r w:rsidRPr="007B52EC">
        <w:rPr>
          <w:rFonts w:asciiTheme="minorHAnsi" w:hAnsiTheme="minorHAnsi" w:cs="Arial"/>
          <w:lang w:eastAsia="de-DE"/>
        </w:rPr>
        <w:t xml:space="preserve">das bezüglich der </w:t>
      </w:r>
      <w:r w:rsidRPr="007B52EC">
        <w:rPr>
          <w:rFonts w:asciiTheme="minorHAnsi" w:hAnsiTheme="minorHAnsi" w:cs="Arial"/>
          <w:i/>
          <w:iCs/>
          <w:lang w:eastAsia="de-DE"/>
        </w:rPr>
        <w:t xml:space="preserve">Qualität erstellt ist. </w:t>
      </w:r>
    </w:p>
    <w:p w:rsidR="00C414EF" w:rsidRPr="0050440D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50440D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lastRenderedPageBreak/>
        <w:t>Reklamation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lang w:eastAsia="de-DE"/>
        </w:rPr>
        <w:t>Information zur Unzufriedenheit in Bezug auf Dienstleistungen und Produkte mit Anspruch auf Reaktion.</w:t>
      </w:r>
    </w:p>
    <w:p w:rsidR="00C414EF" w:rsidRPr="0050440D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50440D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Risiko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lang w:eastAsia="de-DE"/>
        </w:rPr>
        <w:t>Die Ungewissheit einer Auswirkung auf zu erwartende Ergebnisse.</w:t>
      </w:r>
    </w:p>
    <w:p w:rsidR="00C414EF" w:rsidRPr="0050440D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50440D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Rückmeldungen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lang w:eastAsia="de-DE"/>
        </w:rPr>
        <w:t>Informationen zu eigenen Dienstleistungen.</w:t>
      </w:r>
    </w:p>
    <w:p w:rsidR="00C414EF" w:rsidRPr="0050440D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50440D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Rückverfolgbarkeit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lang w:eastAsia="de-DE"/>
        </w:rPr>
        <w:t xml:space="preserve">Die mögliche Verfolgung eines Objektes über seinen Werdegang. </w:t>
      </w:r>
    </w:p>
    <w:p w:rsidR="00C414EF" w:rsidRPr="006C0F81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6C0F81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Strategie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lang w:eastAsia="de-DE"/>
        </w:rPr>
        <w:t>Tätigkeiten</w:t>
      </w:r>
      <w:r w:rsidR="006C0F81">
        <w:rPr>
          <w:rFonts w:asciiTheme="minorHAnsi" w:hAnsiTheme="minorHAnsi" w:cs="Arial"/>
          <w:lang w:eastAsia="de-DE"/>
        </w:rPr>
        <w:t>,</w:t>
      </w:r>
      <w:r w:rsidRPr="007B52EC">
        <w:rPr>
          <w:rFonts w:asciiTheme="minorHAnsi" w:hAnsiTheme="minorHAnsi" w:cs="Arial"/>
          <w:lang w:eastAsia="de-DE"/>
        </w:rPr>
        <w:t xml:space="preserve"> die ein </w:t>
      </w:r>
      <w:r w:rsidRPr="007B52EC">
        <w:rPr>
          <w:rFonts w:asciiTheme="minorHAnsi" w:hAnsiTheme="minorHAnsi" w:cs="Arial"/>
          <w:i/>
          <w:iCs/>
          <w:lang w:eastAsia="de-DE"/>
        </w:rPr>
        <w:t>Ziel geplant erreichen.</w:t>
      </w:r>
    </w:p>
    <w:p w:rsidR="00C414EF" w:rsidRPr="006C0F81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6C0F81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System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lang w:eastAsia="de-DE"/>
        </w:rPr>
        <w:t xml:space="preserve">Satz </w:t>
      </w:r>
      <w:r w:rsidR="00B4345C">
        <w:rPr>
          <w:rFonts w:asciiTheme="minorHAnsi" w:hAnsiTheme="minorHAnsi" w:cs="Arial"/>
          <w:lang w:eastAsia="de-DE"/>
        </w:rPr>
        <w:t>aufeinander beziehende und mehrere</w:t>
      </w:r>
      <w:r w:rsidRPr="007B52EC">
        <w:rPr>
          <w:rFonts w:asciiTheme="minorHAnsi" w:hAnsiTheme="minorHAnsi" w:cs="Arial"/>
          <w:lang w:eastAsia="de-DE"/>
        </w:rPr>
        <w:t xml:space="preserve"> sich gegenseitig beeinflussende Elemente, die zusammenhängend sind.</w:t>
      </w:r>
    </w:p>
    <w:p w:rsidR="00C414EF" w:rsidRPr="006C0F81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6C0F81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Überwachung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i/>
          <w:iCs/>
          <w:lang w:eastAsia="de-DE"/>
        </w:rPr>
        <w:t xml:space="preserve">Bestimmter Zustand von einem oder mehreren Systemen und Tätigkeiten. </w:t>
      </w:r>
    </w:p>
    <w:p w:rsidR="00C414EF" w:rsidRPr="006C0F81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6C0F81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Validierung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lang w:eastAsia="de-DE"/>
        </w:rPr>
        <w:t>Nachweis, dass Anforderungen für einen beabsichtigten Gebrauch bzw. Anwendung erfüllt sind.</w:t>
      </w:r>
    </w:p>
    <w:p w:rsidR="00C414EF" w:rsidRPr="006C0F81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6C0F81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Verbesserung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lang w:eastAsia="de-DE"/>
        </w:rPr>
        <w:t xml:space="preserve">Steigern der </w:t>
      </w:r>
      <w:r w:rsidRPr="007B52EC">
        <w:rPr>
          <w:rFonts w:asciiTheme="minorHAnsi" w:hAnsiTheme="minorHAnsi" w:cs="Arial"/>
          <w:i/>
          <w:iCs/>
          <w:lang w:eastAsia="de-DE"/>
        </w:rPr>
        <w:t>Leistung durch eine Tätigkeit.</w:t>
      </w:r>
    </w:p>
    <w:p w:rsidR="00C414EF" w:rsidRPr="006C0F81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6C0F81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Verifizierung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lang w:eastAsia="de-DE"/>
        </w:rPr>
        <w:t xml:space="preserve">Objektiver Nachweis, dass Anforderungen erfüllt sind. </w:t>
      </w:r>
    </w:p>
    <w:p w:rsidR="00C414EF" w:rsidRPr="006C0F81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6C0F81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Vertrag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lang w:eastAsia="de-DE"/>
        </w:rPr>
        <w:t>Gegenseitige übereinstimmende Willenserklärung und somit eine bindende Vereinbarung.</w:t>
      </w:r>
    </w:p>
    <w:p w:rsidR="00C414EF" w:rsidRPr="006C0F81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6C0F81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Wirksamkeit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lang w:eastAsia="de-DE"/>
        </w:rPr>
        <w:t xml:space="preserve">Grad der Verwirklichung von Tätigkeiten und Zielerreichung. </w:t>
      </w:r>
    </w:p>
    <w:p w:rsidR="00C414EF" w:rsidRPr="007B52EC" w:rsidRDefault="00C414EF" w:rsidP="007B52EC">
      <w:pPr>
        <w:pStyle w:val="KeinLeerraum"/>
        <w:jc w:val="both"/>
        <w:rPr>
          <w:rFonts w:cs="Arial"/>
          <w:sz w:val="24"/>
          <w:szCs w:val="24"/>
          <w:lang w:eastAsia="de-DE"/>
        </w:rPr>
      </w:pPr>
    </w:p>
    <w:p w:rsidR="007E5A46" w:rsidRDefault="007E5A46">
      <w:pPr>
        <w:keepNext w:val="0"/>
        <w:widowControl/>
        <w:shd w:val="clear" w:color="auto" w:fill="auto"/>
        <w:suppressAutoHyphens w:val="0"/>
        <w:rPr>
          <w:rFonts w:asciiTheme="minorHAnsi" w:eastAsiaTheme="majorEastAsia" w:hAnsiTheme="minorHAnsi" w:cs="Arial"/>
          <w:b/>
          <w:bCs/>
          <w:color w:val="939FAD"/>
          <w:lang w:eastAsia="en-US" w:bidi="ar-SA"/>
        </w:rPr>
      </w:pPr>
      <w:bookmarkStart w:id="0" w:name="_Toc436289190"/>
      <w:r>
        <w:rPr>
          <w:rFonts w:asciiTheme="minorHAnsi" w:hAnsiTheme="minorHAnsi" w:cs="Arial"/>
          <w:color w:val="939FAD"/>
        </w:rPr>
        <w:br w:type="page"/>
      </w:r>
    </w:p>
    <w:p w:rsidR="00C414EF" w:rsidRPr="007B52EC" w:rsidRDefault="00C414EF" w:rsidP="007B52EC">
      <w:pPr>
        <w:pStyle w:val="berschrift2"/>
        <w:jc w:val="both"/>
        <w:rPr>
          <w:rFonts w:asciiTheme="minorHAnsi" w:hAnsiTheme="minorHAnsi" w:cs="Arial"/>
          <w:color w:val="939FAD"/>
          <w:sz w:val="24"/>
          <w:szCs w:val="24"/>
        </w:rPr>
      </w:pPr>
      <w:r w:rsidRPr="007B52EC">
        <w:rPr>
          <w:rFonts w:asciiTheme="minorHAnsi" w:hAnsiTheme="minorHAnsi" w:cs="Arial"/>
          <w:color w:val="939FAD"/>
          <w:sz w:val="24"/>
          <w:szCs w:val="24"/>
        </w:rPr>
        <w:lastRenderedPageBreak/>
        <w:t>Abkürzungen</w:t>
      </w:r>
      <w:bookmarkEnd w:id="0"/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61"/>
        <w:gridCol w:w="7581"/>
      </w:tblGrid>
      <w:tr w:rsidR="00C414EF" w:rsidRPr="007B52EC" w:rsidTr="007B52EC">
        <w:trPr>
          <w:trHeight w:val="397"/>
        </w:trPr>
        <w:tc>
          <w:tcPr>
            <w:tcW w:w="1661" w:type="dxa"/>
          </w:tcPr>
          <w:p w:rsidR="00C414EF" w:rsidRPr="007B52EC" w:rsidRDefault="00C414EF" w:rsidP="007B52EC">
            <w:pPr>
              <w:pStyle w:val="KeinLeerraum"/>
              <w:jc w:val="both"/>
              <w:rPr>
                <w:rFonts w:cs="Arial"/>
                <w:sz w:val="24"/>
                <w:szCs w:val="24"/>
                <w:lang w:eastAsia="de-DE"/>
              </w:rPr>
            </w:pPr>
            <w:r w:rsidRPr="007B52EC">
              <w:rPr>
                <w:rFonts w:cs="Arial"/>
                <w:sz w:val="24"/>
                <w:szCs w:val="24"/>
                <w:lang w:eastAsia="de-DE"/>
              </w:rPr>
              <w:t>AA</w:t>
            </w:r>
          </w:p>
        </w:tc>
        <w:tc>
          <w:tcPr>
            <w:tcW w:w="7581" w:type="dxa"/>
          </w:tcPr>
          <w:p w:rsidR="00C414EF" w:rsidRPr="007B52EC" w:rsidRDefault="00C414EF" w:rsidP="007B52EC">
            <w:pPr>
              <w:pStyle w:val="KeinLeerraum"/>
              <w:jc w:val="both"/>
              <w:rPr>
                <w:rFonts w:cs="Arial"/>
                <w:sz w:val="24"/>
                <w:szCs w:val="24"/>
                <w:lang w:eastAsia="de-DE"/>
              </w:rPr>
            </w:pPr>
            <w:r w:rsidRPr="007B52EC">
              <w:rPr>
                <w:rFonts w:cs="Arial"/>
                <w:sz w:val="24"/>
                <w:szCs w:val="24"/>
                <w:lang w:eastAsia="de-DE"/>
              </w:rPr>
              <w:t>Arbeitsanweisung</w:t>
            </w:r>
          </w:p>
        </w:tc>
      </w:tr>
      <w:tr w:rsidR="00C414EF" w:rsidRPr="007B52EC" w:rsidTr="007B52EC">
        <w:trPr>
          <w:trHeight w:val="397"/>
        </w:trPr>
        <w:tc>
          <w:tcPr>
            <w:tcW w:w="1661" w:type="dxa"/>
          </w:tcPr>
          <w:p w:rsidR="00C414EF" w:rsidRPr="007B52EC" w:rsidRDefault="00C414EF" w:rsidP="007B52EC">
            <w:pPr>
              <w:pStyle w:val="KeinLeerraum"/>
              <w:jc w:val="both"/>
              <w:rPr>
                <w:rFonts w:cs="Arial"/>
                <w:sz w:val="24"/>
                <w:szCs w:val="24"/>
                <w:lang w:eastAsia="de-DE"/>
              </w:rPr>
            </w:pPr>
            <w:r w:rsidRPr="007B52EC">
              <w:rPr>
                <w:rFonts w:cs="Arial"/>
                <w:sz w:val="24"/>
                <w:szCs w:val="24"/>
                <w:lang w:eastAsia="de-DE"/>
              </w:rPr>
              <w:t>Abt.</w:t>
            </w:r>
          </w:p>
        </w:tc>
        <w:tc>
          <w:tcPr>
            <w:tcW w:w="7581" w:type="dxa"/>
          </w:tcPr>
          <w:p w:rsidR="00C414EF" w:rsidRPr="007B52EC" w:rsidRDefault="00C414EF" w:rsidP="007B52EC">
            <w:pPr>
              <w:pStyle w:val="KeinLeerraum"/>
              <w:jc w:val="both"/>
              <w:rPr>
                <w:rFonts w:cs="Arial"/>
                <w:sz w:val="24"/>
                <w:szCs w:val="24"/>
                <w:lang w:eastAsia="de-DE"/>
              </w:rPr>
            </w:pPr>
            <w:r w:rsidRPr="007B52EC">
              <w:rPr>
                <w:rFonts w:cs="Arial"/>
                <w:sz w:val="24"/>
                <w:szCs w:val="24"/>
                <w:lang w:eastAsia="de-DE"/>
              </w:rPr>
              <w:t>Abteilung</w:t>
            </w:r>
          </w:p>
        </w:tc>
      </w:tr>
      <w:tr w:rsidR="00894304" w:rsidRPr="007B52EC" w:rsidTr="007B52EC">
        <w:trPr>
          <w:trHeight w:val="397"/>
        </w:trPr>
        <w:tc>
          <w:tcPr>
            <w:tcW w:w="1661" w:type="dxa"/>
          </w:tcPr>
          <w:p w:rsidR="00894304" w:rsidRPr="007B52EC" w:rsidRDefault="00894304" w:rsidP="007B52EC">
            <w:pPr>
              <w:pStyle w:val="KeinLeerraum"/>
              <w:jc w:val="both"/>
              <w:rPr>
                <w:rFonts w:cs="Arial"/>
                <w:sz w:val="24"/>
                <w:szCs w:val="24"/>
                <w:lang w:eastAsia="de-DE"/>
              </w:rPr>
            </w:pPr>
            <w:proofErr w:type="spellStart"/>
            <w:r w:rsidRPr="007B52EC">
              <w:rPr>
                <w:rFonts w:cs="Arial"/>
                <w:sz w:val="24"/>
                <w:szCs w:val="24"/>
                <w:lang w:eastAsia="de-DE"/>
              </w:rPr>
              <w:t>DAkkS</w:t>
            </w:r>
            <w:proofErr w:type="spellEnd"/>
          </w:p>
        </w:tc>
        <w:tc>
          <w:tcPr>
            <w:tcW w:w="7581" w:type="dxa"/>
          </w:tcPr>
          <w:p w:rsidR="00894304" w:rsidRPr="007B52EC" w:rsidRDefault="00894304" w:rsidP="007B52EC">
            <w:pPr>
              <w:pStyle w:val="KeinLeerraum"/>
              <w:jc w:val="both"/>
              <w:rPr>
                <w:rFonts w:cs="Arial"/>
                <w:sz w:val="24"/>
                <w:szCs w:val="24"/>
                <w:lang w:eastAsia="de-DE"/>
              </w:rPr>
            </w:pPr>
            <w:r w:rsidRPr="007B52EC">
              <w:rPr>
                <w:rFonts w:cs="Arial"/>
                <w:sz w:val="24"/>
                <w:szCs w:val="24"/>
                <w:lang w:eastAsia="de-DE"/>
              </w:rPr>
              <w:t>Deutsche Akkreditierungsstelle</w:t>
            </w:r>
          </w:p>
        </w:tc>
      </w:tr>
      <w:tr w:rsidR="00C414EF" w:rsidRPr="007B52EC" w:rsidTr="007B52EC">
        <w:trPr>
          <w:trHeight w:val="397"/>
        </w:trPr>
        <w:tc>
          <w:tcPr>
            <w:tcW w:w="1661" w:type="dxa"/>
          </w:tcPr>
          <w:p w:rsidR="00C414EF" w:rsidRPr="007B52EC" w:rsidRDefault="00C414EF" w:rsidP="007B52EC">
            <w:pPr>
              <w:pStyle w:val="KeinLeerraum"/>
              <w:jc w:val="both"/>
              <w:rPr>
                <w:rFonts w:cs="Arial"/>
                <w:sz w:val="24"/>
                <w:szCs w:val="24"/>
                <w:lang w:eastAsia="de-DE"/>
              </w:rPr>
            </w:pPr>
            <w:r w:rsidRPr="007B52EC">
              <w:rPr>
                <w:rFonts w:cs="Arial"/>
                <w:sz w:val="24"/>
                <w:szCs w:val="24"/>
                <w:lang w:eastAsia="de-DE"/>
              </w:rPr>
              <w:t>DIN</w:t>
            </w:r>
          </w:p>
        </w:tc>
        <w:tc>
          <w:tcPr>
            <w:tcW w:w="7581" w:type="dxa"/>
          </w:tcPr>
          <w:p w:rsidR="00C414EF" w:rsidRPr="007B52EC" w:rsidRDefault="00C414EF" w:rsidP="007B52EC">
            <w:pPr>
              <w:pStyle w:val="KeinLeerraum"/>
              <w:jc w:val="both"/>
              <w:rPr>
                <w:rFonts w:cs="Arial"/>
                <w:sz w:val="24"/>
                <w:szCs w:val="24"/>
                <w:lang w:eastAsia="de-DE"/>
              </w:rPr>
            </w:pPr>
            <w:r w:rsidRPr="007B52EC">
              <w:rPr>
                <w:rFonts w:cs="Arial"/>
                <w:sz w:val="24"/>
                <w:szCs w:val="24"/>
                <w:lang w:eastAsia="de-DE"/>
              </w:rPr>
              <w:t>Deutsche Industrie Norm</w:t>
            </w:r>
          </w:p>
        </w:tc>
      </w:tr>
      <w:tr w:rsidR="00C414EF" w:rsidRPr="007B52EC" w:rsidTr="007B52EC">
        <w:trPr>
          <w:trHeight w:val="397"/>
        </w:trPr>
        <w:tc>
          <w:tcPr>
            <w:tcW w:w="1661" w:type="dxa"/>
          </w:tcPr>
          <w:p w:rsidR="00C414EF" w:rsidRPr="007B52EC" w:rsidRDefault="00C414EF" w:rsidP="007B52EC">
            <w:pPr>
              <w:pStyle w:val="KeinLeerraum"/>
              <w:jc w:val="both"/>
              <w:rPr>
                <w:rFonts w:cs="Arial"/>
                <w:sz w:val="24"/>
                <w:szCs w:val="24"/>
                <w:lang w:eastAsia="de-DE"/>
              </w:rPr>
            </w:pPr>
            <w:r w:rsidRPr="007B52EC">
              <w:rPr>
                <w:rFonts w:cs="Arial"/>
                <w:sz w:val="24"/>
                <w:szCs w:val="24"/>
                <w:lang w:eastAsia="de-DE"/>
              </w:rPr>
              <w:t>DKD</w:t>
            </w:r>
          </w:p>
        </w:tc>
        <w:tc>
          <w:tcPr>
            <w:tcW w:w="7581" w:type="dxa"/>
          </w:tcPr>
          <w:p w:rsidR="00C414EF" w:rsidRPr="007B52EC" w:rsidRDefault="00C414EF" w:rsidP="007B52EC">
            <w:pPr>
              <w:pStyle w:val="KeinLeerraum"/>
              <w:jc w:val="both"/>
              <w:rPr>
                <w:rFonts w:cs="Arial"/>
                <w:sz w:val="24"/>
                <w:szCs w:val="24"/>
                <w:lang w:eastAsia="de-DE"/>
              </w:rPr>
            </w:pPr>
            <w:r w:rsidRPr="007B52EC">
              <w:rPr>
                <w:rFonts w:cs="Arial"/>
                <w:sz w:val="24"/>
                <w:szCs w:val="24"/>
                <w:lang w:eastAsia="de-DE"/>
              </w:rPr>
              <w:t>Deutscher Kalibrierdienst</w:t>
            </w:r>
          </w:p>
        </w:tc>
      </w:tr>
      <w:tr w:rsidR="00C414EF" w:rsidRPr="007E5A46" w:rsidTr="007B52EC">
        <w:trPr>
          <w:trHeight w:val="397"/>
        </w:trPr>
        <w:tc>
          <w:tcPr>
            <w:tcW w:w="1661" w:type="dxa"/>
          </w:tcPr>
          <w:p w:rsidR="00C414EF" w:rsidRPr="007B52EC" w:rsidRDefault="00C414EF" w:rsidP="007B52EC">
            <w:pPr>
              <w:pStyle w:val="KeinLeerraum"/>
              <w:jc w:val="both"/>
              <w:rPr>
                <w:rFonts w:cs="Arial"/>
                <w:sz w:val="24"/>
                <w:szCs w:val="24"/>
                <w:lang w:eastAsia="de-DE"/>
              </w:rPr>
            </w:pPr>
            <w:r w:rsidRPr="007B52EC">
              <w:rPr>
                <w:rFonts w:cs="Arial"/>
                <w:sz w:val="24"/>
                <w:szCs w:val="24"/>
                <w:lang w:eastAsia="de-DE"/>
              </w:rPr>
              <w:t>EA</w:t>
            </w:r>
          </w:p>
        </w:tc>
        <w:tc>
          <w:tcPr>
            <w:tcW w:w="7581" w:type="dxa"/>
          </w:tcPr>
          <w:p w:rsidR="00C414EF" w:rsidRPr="007B52EC" w:rsidRDefault="00C414EF" w:rsidP="007B52EC">
            <w:pPr>
              <w:pStyle w:val="KeinLeerraum"/>
              <w:jc w:val="both"/>
              <w:rPr>
                <w:rFonts w:cs="Arial"/>
                <w:sz w:val="24"/>
                <w:szCs w:val="24"/>
                <w:lang w:val="en-US" w:eastAsia="de-DE"/>
              </w:rPr>
            </w:pPr>
            <w:r w:rsidRPr="007B52EC">
              <w:rPr>
                <w:rFonts w:cs="Arial"/>
                <w:sz w:val="24"/>
                <w:szCs w:val="24"/>
                <w:lang w:val="en-US" w:eastAsia="de-DE"/>
              </w:rPr>
              <w:t>European co-operation for Accreditation of Laboratories</w:t>
            </w:r>
          </w:p>
        </w:tc>
      </w:tr>
      <w:tr w:rsidR="00894304" w:rsidRPr="007B52EC" w:rsidTr="007B52EC">
        <w:trPr>
          <w:trHeight w:val="397"/>
        </w:trPr>
        <w:tc>
          <w:tcPr>
            <w:tcW w:w="1661" w:type="dxa"/>
          </w:tcPr>
          <w:p w:rsidR="00894304" w:rsidRPr="007B52EC" w:rsidRDefault="00894304" w:rsidP="007B52EC">
            <w:pPr>
              <w:pStyle w:val="KeinLeerraum"/>
              <w:jc w:val="both"/>
              <w:rPr>
                <w:rFonts w:cs="Arial"/>
                <w:sz w:val="24"/>
                <w:szCs w:val="24"/>
                <w:lang w:eastAsia="de-DE"/>
              </w:rPr>
            </w:pPr>
            <w:r w:rsidRPr="007B52EC">
              <w:rPr>
                <w:rFonts w:cs="Arial"/>
                <w:sz w:val="24"/>
                <w:szCs w:val="24"/>
                <w:lang w:eastAsia="de-DE"/>
              </w:rPr>
              <w:t>EDV</w:t>
            </w:r>
          </w:p>
        </w:tc>
        <w:tc>
          <w:tcPr>
            <w:tcW w:w="7581" w:type="dxa"/>
          </w:tcPr>
          <w:p w:rsidR="00894304" w:rsidRPr="007B52EC" w:rsidRDefault="00894304" w:rsidP="007B52EC">
            <w:pPr>
              <w:pStyle w:val="KeinLeerraum"/>
              <w:jc w:val="both"/>
              <w:rPr>
                <w:rFonts w:cs="Arial"/>
                <w:sz w:val="24"/>
                <w:szCs w:val="24"/>
                <w:lang w:val="en-US" w:eastAsia="de-DE"/>
              </w:rPr>
            </w:pPr>
            <w:r w:rsidRPr="007B52EC">
              <w:rPr>
                <w:rFonts w:cs="Arial"/>
                <w:sz w:val="24"/>
                <w:szCs w:val="24"/>
              </w:rPr>
              <w:t>Elektronische Datenverarbeitung</w:t>
            </w:r>
          </w:p>
        </w:tc>
      </w:tr>
      <w:tr w:rsidR="00C414EF" w:rsidRPr="007B52EC" w:rsidTr="007B52EC">
        <w:trPr>
          <w:trHeight w:val="397"/>
        </w:trPr>
        <w:tc>
          <w:tcPr>
            <w:tcW w:w="1661" w:type="dxa"/>
          </w:tcPr>
          <w:p w:rsidR="00C414EF" w:rsidRPr="007B52EC" w:rsidRDefault="00C414EF" w:rsidP="007B52EC">
            <w:pPr>
              <w:pStyle w:val="KeinLeerraum"/>
              <w:jc w:val="both"/>
              <w:rPr>
                <w:rFonts w:cs="Arial"/>
                <w:sz w:val="24"/>
                <w:szCs w:val="24"/>
                <w:lang w:eastAsia="de-DE"/>
              </w:rPr>
            </w:pPr>
            <w:r w:rsidRPr="007B52EC">
              <w:rPr>
                <w:rFonts w:cs="Arial"/>
                <w:sz w:val="24"/>
                <w:szCs w:val="24"/>
                <w:lang w:eastAsia="de-DE"/>
              </w:rPr>
              <w:t>EN</w:t>
            </w:r>
          </w:p>
        </w:tc>
        <w:tc>
          <w:tcPr>
            <w:tcW w:w="7581" w:type="dxa"/>
          </w:tcPr>
          <w:p w:rsidR="00C414EF" w:rsidRPr="007B52EC" w:rsidRDefault="00C414EF" w:rsidP="007B52EC">
            <w:pPr>
              <w:pStyle w:val="KeinLeerraum"/>
              <w:jc w:val="both"/>
              <w:rPr>
                <w:rFonts w:cs="Arial"/>
                <w:sz w:val="24"/>
                <w:szCs w:val="24"/>
                <w:lang w:eastAsia="de-DE"/>
              </w:rPr>
            </w:pPr>
            <w:r w:rsidRPr="007B52EC">
              <w:rPr>
                <w:rFonts w:cs="Arial"/>
                <w:sz w:val="24"/>
                <w:szCs w:val="24"/>
                <w:lang w:eastAsia="de-DE"/>
              </w:rPr>
              <w:t>Europäische Norm</w:t>
            </w:r>
          </w:p>
        </w:tc>
      </w:tr>
      <w:tr w:rsidR="00C414EF" w:rsidRPr="007B52EC" w:rsidTr="007B52EC">
        <w:trPr>
          <w:trHeight w:val="397"/>
        </w:trPr>
        <w:tc>
          <w:tcPr>
            <w:tcW w:w="1661" w:type="dxa"/>
          </w:tcPr>
          <w:p w:rsidR="00C414EF" w:rsidRPr="007B52EC" w:rsidRDefault="00C414EF" w:rsidP="007B52EC">
            <w:pPr>
              <w:pStyle w:val="KeinLeerraum"/>
              <w:jc w:val="both"/>
              <w:rPr>
                <w:rFonts w:cs="Arial"/>
                <w:sz w:val="24"/>
                <w:szCs w:val="24"/>
                <w:lang w:eastAsia="de-DE"/>
              </w:rPr>
            </w:pPr>
            <w:proofErr w:type="spellStart"/>
            <w:r w:rsidRPr="007B52EC">
              <w:rPr>
                <w:rFonts w:cs="Arial"/>
                <w:sz w:val="24"/>
                <w:szCs w:val="24"/>
                <w:lang w:eastAsia="de-DE"/>
              </w:rPr>
              <w:t>Entw</w:t>
            </w:r>
            <w:proofErr w:type="spellEnd"/>
            <w:r w:rsidRPr="007B52EC">
              <w:rPr>
                <w:rFonts w:cs="Arial"/>
                <w:sz w:val="24"/>
                <w:szCs w:val="24"/>
                <w:lang w:eastAsia="de-DE"/>
              </w:rPr>
              <w:t>.</w:t>
            </w:r>
          </w:p>
        </w:tc>
        <w:tc>
          <w:tcPr>
            <w:tcW w:w="7581" w:type="dxa"/>
          </w:tcPr>
          <w:p w:rsidR="00C414EF" w:rsidRPr="007B52EC" w:rsidRDefault="00C414EF" w:rsidP="007B52EC">
            <w:pPr>
              <w:pStyle w:val="KeinLeerraum"/>
              <w:jc w:val="both"/>
              <w:rPr>
                <w:rFonts w:cs="Arial"/>
                <w:sz w:val="24"/>
                <w:szCs w:val="24"/>
                <w:lang w:eastAsia="de-DE"/>
              </w:rPr>
            </w:pPr>
            <w:r w:rsidRPr="007B52EC">
              <w:rPr>
                <w:rFonts w:cs="Arial"/>
                <w:sz w:val="24"/>
                <w:szCs w:val="24"/>
                <w:lang w:eastAsia="de-DE"/>
              </w:rPr>
              <w:t>Entwicklung</w:t>
            </w:r>
          </w:p>
        </w:tc>
      </w:tr>
      <w:tr w:rsidR="00894304" w:rsidRPr="007B52EC" w:rsidTr="007B52EC">
        <w:trPr>
          <w:trHeight w:val="397"/>
        </w:trPr>
        <w:tc>
          <w:tcPr>
            <w:tcW w:w="1661" w:type="dxa"/>
          </w:tcPr>
          <w:p w:rsidR="00894304" w:rsidRPr="007B52EC" w:rsidRDefault="00894304" w:rsidP="007B52EC">
            <w:pPr>
              <w:pStyle w:val="KeinLeerraum"/>
              <w:jc w:val="both"/>
              <w:rPr>
                <w:rFonts w:cs="Arial"/>
                <w:sz w:val="24"/>
                <w:szCs w:val="24"/>
                <w:lang w:eastAsia="de-DE"/>
              </w:rPr>
            </w:pPr>
            <w:r w:rsidRPr="007B52EC">
              <w:rPr>
                <w:rFonts w:cs="Arial"/>
                <w:sz w:val="24"/>
                <w:szCs w:val="24"/>
                <w:lang w:eastAsia="de-DE"/>
              </w:rPr>
              <w:t>FA</w:t>
            </w:r>
          </w:p>
        </w:tc>
        <w:tc>
          <w:tcPr>
            <w:tcW w:w="7581" w:type="dxa"/>
          </w:tcPr>
          <w:p w:rsidR="00894304" w:rsidRPr="007B52EC" w:rsidRDefault="00894304" w:rsidP="007B52EC">
            <w:pPr>
              <w:pStyle w:val="KeinLeerraum"/>
              <w:jc w:val="both"/>
              <w:rPr>
                <w:rFonts w:cs="Arial"/>
                <w:sz w:val="24"/>
                <w:szCs w:val="24"/>
                <w:lang w:eastAsia="de-DE"/>
              </w:rPr>
            </w:pPr>
            <w:r w:rsidRPr="007B52EC">
              <w:rPr>
                <w:rFonts w:cs="Arial"/>
                <w:sz w:val="24"/>
                <w:szCs w:val="24"/>
                <w:lang w:eastAsia="de-DE"/>
              </w:rPr>
              <w:t>Facharzt</w:t>
            </w:r>
          </w:p>
        </w:tc>
      </w:tr>
      <w:tr w:rsidR="00C414EF" w:rsidRPr="007B52EC" w:rsidTr="007B52EC">
        <w:trPr>
          <w:trHeight w:val="397"/>
        </w:trPr>
        <w:tc>
          <w:tcPr>
            <w:tcW w:w="1661" w:type="dxa"/>
          </w:tcPr>
          <w:p w:rsidR="00C414EF" w:rsidRPr="007B52EC" w:rsidRDefault="00C414EF" w:rsidP="007B52EC">
            <w:pPr>
              <w:pStyle w:val="KeinLeerraum"/>
              <w:jc w:val="both"/>
              <w:rPr>
                <w:rFonts w:cs="Arial"/>
                <w:sz w:val="24"/>
                <w:szCs w:val="24"/>
                <w:lang w:eastAsia="de-DE"/>
              </w:rPr>
            </w:pPr>
            <w:r w:rsidRPr="007B52EC">
              <w:rPr>
                <w:rFonts w:cs="Arial"/>
                <w:sz w:val="24"/>
                <w:szCs w:val="24"/>
                <w:lang w:eastAsia="de-DE"/>
              </w:rPr>
              <w:t>FMEA</w:t>
            </w:r>
          </w:p>
        </w:tc>
        <w:tc>
          <w:tcPr>
            <w:tcW w:w="7581" w:type="dxa"/>
          </w:tcPr>
          <w:p w:rsidR="00C414EF" w:rsidRPr="007B52EC" w:rsidRDefault="00C414EF" w:rsidP="007B52EC">
            <w:pPr>
              <w:pStyle w:val="KeinLeerraum"/>
              <w:jc w:val="both"/>
              <w:rPr>
                <w:rFonts w:cs="Arial"/>
                <w:sz w:val="24"/>
                <w:szCs w:val="24"/>
                <w:lang w:eastAsia="de-DE"/>
              </w:rPr>
            </w:pPr>
            <w:r w:rsidRPr="007B52EC">
              <w:rPr>
                <w:rFonts w:cs="Arial"/>
                <w:sz w:val="24"/>
                <w:szCs w:val="24"/>
                <w:lang w:eastAsia="de-DE"/>
              </w:rPr>
              <w:t>Fehlermöglichkeits- und -</w:t>
            </w:r>
            <w:proofErr w:type="spellStart"/>
            <w:r w:rsidRPr="007B52EC">
              <w:rPr>
                <w:rFonts w:cs="Arial"/>
                <w:sz w:val="24"/>
                <w:szCs w:val="24"/>
                <w:lang w:eastAsia="de-DE"/>
              </w:rPr>
              <w:t>einflussgröße</w:t>
            </w:r>
            <w:proofErr w:type="spellEnd"/>
          </w:p>
        </w:tc>
      </w:tr>
      <w:tr w:rsidR="00894304" w:rsidRPr="007B52EC" w:rsidTr="007B52EC">
        <w:trPr>
          <w:trHeight w:val="397"/>
        </w:trPr>
        <w:tc>
          <w:tcPr>
            <w:tcW w:w="1661" w:type="dxa"/>
          </w:tcPr>
          <w:p w:rsidR="00894304" w:rsidRPr="007B52EC" w:rsidRDefault="00894304" w:rsidP="007B52EC">
            <w:pPr>
              <w:jc w:val="both"/>
              <w:rPr>
                <w:rFonts w:asciiTheme="minorHAnsi" w:hAnsiTheme="minorHAnsi" w:cs="Arial"/>
              </w:rPr>
            </w:pPr>
            <w:r w:rsidRPr="007B52EC">
              <w:rPr>
                <w:rFonts w:asciiTheme="minorHAnsi" w:hAnsiTheme="minorHAnsi" w:cs="Arial"/>
              </w:rPr>
              <w:t>GLP</w:t>
            </w:r>
          </w:p>
        </w:tc>
        <w:tc>
          <w:tcPr>
            <w:tcW w:w="7581" w:type="dxa"/>
          </w:tcPr>
          <w:p w:rsidR="00894304" w:rsidRPr="007B52EC" w:rsidRDefault="00894304" w:rsidP="007B52EC">
            <w:pPr>
              <w:jc w:val="both"/>
              <w:rPr>
                <w:rFonts w:asciiTheme="minorHAnsi" w:hAnsiTheme="minorHAnsi" w:cs="Arial"/>
              </w:rPr>
            </w:pPr>
            <w:proofErr w:type="spellStart"/>
            <w:r w:rsidRPr="007B52EC">
              <w:rPr>
                <w:rFonts w:asciiTheme="minorHAnsi" w:hAnsiTheme="minorHAnsi" w:cs="Arial"/>
              </w:rPr>
              <w:t>Good</w:t>
            </w:r>
            <w:proofErr w:type="spellEnd"/>
            <w:r w:rsidRPr="007B52EC">
              <w:rPr>
                <w:rFonts w:asciiTheme="minorHAnsi" w:hAnsiTheme="minorHAnsi" w:cs="Arial"/>
              </w:rPr>
              <w:t xml:space="preserve"> Laboratory Practice</w:t>
            </w:r>
          </w:p>
        </w:tc>
      </w:tr>
      <w:tr w:rsidR="00894304" w:rsidRPr="007B52EC" w:rsidTr="007B52EC">
        <w:trPr>
          <w:trHeight w:val="397"/>
        </w:trPr>
        <w:tc>
          <w:tcPr>
            <w:tcW w:w="1661" w:type="dxa"/>
          </w:tcPr>
          <w:p w:rsidR="00894304" w:rsidRPr="007B52EC" w:rsidRDefault="00894304" w:rsidP="007B52EC">
            <w:pPr>
              <w:jc w:val="both"/>
              <w:rPr>
                <w:rFonts w:asciiTheme="minorHAnsi" w:hAnsiTheme="minorHAnsi" w:cs="Arial"/>
              </w:rPr>
            </w:pPr>
            <w:r w:rsidRPr="007B52EC">
              <w:rPr>
                <w:rFonts w:asciiTheme="minorHAnsi" w:hAnsiTheme="minorHAnsi" w:cs="Arial"/>
              </w:rPr>
              <w:t>GMP</w:t>
            </w:r>
          </w:p>
        </w:tc>
        <w:tc>
          <w:tcPr>
            <w:tcW w:w="7581" w:type="dxa"/>
          </w:tcPr>
          <w:p w:rsidR="00894304" w:rsidRPr="007B52EC" w:rsidRDefault="00894304" w:rsidP="007B52EC">
            <w:pPr>
              <w:jc w:val="both"/>
              <w:rPr>
                <w:rFonts w:asciiTheme="minorHAnsi" w:hAnsiTheme="minorHAnsi" w:cs="Arial"/>
              </w:rPr>
            </w:pPr>
            <w:proofErr w:type="spellStart"/>
            <w:r w:rsidRPr="007B52EC">
              <w:rPr>
                <w:rFonts w:asciiTheme="minorHAnsi" w:hAnsiTheme="minorHAnsi" w:cs="Arial"/>
              </w:rPr>
              <w:t>Good</w:t>
            </w:r>
            <w:proofErr w:type="spellEnd"/>
            <w:r w:rsidRPr="007B52EC">
              <w:rPr>
                <w:rFonts w:asciiTheme="minorHAnsi" w:hAnsiTheme="minorHAnsi" w:cs="Arial"/>
              </w:rPr>
              <w:t xml:space="preserve"> Manufacturing Practice</w:t>
            </w:r>
          </w:p>
        </w:tc>
      </w:tr>
      <w:tr w:rsidR="00412189" w:rsidRPr="007B52EC" w:rsidTr="007B52EC">
        <w:trPr>
          <w:trHeight w:val="397"/>
        </w:trPr>
        <w:tc>
          <w:tcPr>
            <w:tcW w:w="1661" w:type="dxa"/>
          </w:tcPr>
          <w:p w:rsidR="00412189" w:rsidRPr="007B52EC" w:rsidRDefault="00412189" w:rsidP="007B52EC">
            <w:pPr>
              <w:pStyle w:val="KeinLeerraum"/>
              <w:jc w:val="both"/>
              <w:rPr>
                <w:rFonts w:cs="Arial"/>
                <w:sz w:val="24"/>
                <w:szCs w:val="24"/>
                <w:lang w:eastAsia="de-DE"/>
              </w:rPr>
            </w:pPr>
            <w:r w:rsidRPr="007B52EC">
              <w:rPr>
                <w:rFonts w:cs="Arial"/>
                <w:sz w:val="24"/>
                <w:szCs w:val="24"/>
                <w:lang w:eastAsia="de-DE"/>
              </w:rPr>
              <w:t>MA</w:t>
            </w:r>
          </w:p>
        </w:tc>
        <w:tc>
          <w:tcPr>
            <w:tcW w:w="7581" w:type="dxa"/>
          </w:tcPr>
          <w:p w:rsidR="00412189" w:rsidRPr="007B52EC" w:rsidRDefault="00412189" w:rsidP="007B52EC">
            <w:pPr>
              <w:pStyle w:val="KeinLeerraum"/>
              <w:jc w:val="both"/>
              <w:rPr>
                <w:rFonts w:cs="Arial"/>
                <w:sz w:val="24"/>
                <w:szCs w:val="24"/>
                <w:lang w:eastAsia="de-DE"/>
              </w:rPr>
            </w:pPr>
            <w:r w:rsidRPr="007B52EC">
              <w:rPr>
                <w:rFonts w:cs="Arial"/>
                <w:sz w:val="24"/>
                <w:szCs w:val="24"/>
                <w:lang w:eastAsia="de-DE"/>
              </w:rPr>
              <w:t>Mitarbeiter/-innen</w:t>
            </w:r>
          </w:p>
        </w:tc>
      </w:tr>
      <w:tr w:rsidR="00412189" w:rsidRPr="007B52EC" w:rsidTr="007B52EC">
        <w:trPr>
          <w:trHeight w:val="397"/>
        </w:trPr>
        <w:tc>
          <w:tcPr>
            <w:tcW w:w="1661" w:type="dxa"/>
          </w:tcPr>
          <w:p w:rsidR="00412189" w:rsidRPr="007B52EC" w:rsidRDefault="00412189" w:rsidP="007B52EC">
            <w:pPr>
              <w:jc w:val="both"/>
              <w:rPr>
                <w:rFonts w:asciiTheme="minorHAnsi" w:hAnsiTheme="minorHAnsi" w:cs="Arial"/>
              </w:rPr>
            </w:pPr>
            <w:r w:rsidRPr="007B52EC">
              <w:rPr>
                <w:rFonts w:asciiTheme="minorHAnsi" w:hAnsiTheme="minorHAnsi" w:cs="Arial"/>
              </w:rPr>
              <w:t>MedGV</w:t>
            </w:r>
          </w:p>
        </w:tc>
        <w:tc>
          <w:tcPr>
            <w:tcW w:w="7581" w:type="dxa"/>
          </w:tcPr>
          <w:p w:rsidR="00412189" w:rsidRPr="007B52EC" w:rsidRDefault="00412189" w:rsidP="007B52EC">
            <w:pPr>
              <w:jc w:val="both"/>
              <w:rPr>
                <w:rFonts w:asciiTheme="minorHAnsi" w:hAnsiTheme="minorHAnsi" w:cs="Arial"/>
              </w:rPr>
            </w:pPr>
            <w:r w:rsidRPr="007B52EC">
              <w:rPr>
                <w:rFonts w:asciiTheme="minorHAnsi" w:hAnsiTheme="minorHAnsi" w:cs="Arial"/>
              </w:rPr>
              <w:t>Medizingeräteverordnung</w:t>
            </w:r>
          </w:p>
        </w:tc>
      </w:tr>
      <w:tr w:rsidR="00412189" w:rsidRPr="007B52EC" w:rsidTr="007B52EC">
        <w:trPr>
          <w:trHeight w:val="397"/>
        </w:trPr>
        <w:tc>
          <w:tcPr>
            <w:tcW w:w="1661" w:type="dxa"/>
          </w:tcPr>
          <w:p w:rsidR="00412189" w:rsidRPr="007B52EC" w:rsidRDefault="00412189" w:rsidP="007B52EC">
            <w:pPr>
              <w:jc w:val="both"/>
              <w:rPr>
                <w:rFonts w:asciiTheme="minorHAnsi" w:hAnsiTheme="minorHAnsi" w:cs="Arial"/>
              </w:rPr>
            </w:pPr>
            <w:r w:rsidRPr="007B52EC">
              <w:rPr>
                <w:rFonts w:asciiTheme="minorHAnsi" w:hAnsiTheme="minorHAnsi" w:cs="Arial"/>
              </w:rPr>
              <w:t>MPBetreibV</w:t>
            </w:r>
          </w:p>
        </w:tc>
        <w:tc>
          <w:tcPr>
            <w:tcW w:w="7581" w:type="dxa"/>
          </w:tcPr>
          <w:p w:rsidR="00412189" w:rsidRPr="007B52EC" w:rsidRDefault="00412189" w:rsidP="007B52EC">
            <w:pPr>
              <w:jc w:val="both"/>
              <w:rPr>
                <w:rFonts w:asciiTheme="minorHAnsi" w:hAnsiTheme="minorHAnsi" w:cs="Arial"/>
              </w:rPr>
            </w:pPr>
            <w:r w:rsidRPr="007B52EC">
              <w:rPr>
                <w:rFonts w:asciiTheme="minorHAnsi" w:hAnsiTheme="minorHAnsi" w:cs="Arial"/>
              </w:rPr>
              <w:t>Medizinprodukte-Betreiberverordnung</w:t>
            </w:r>
          </w:p>
        </w:tc>
      </w:tr>
      <w:tr w:rsidR="00412189" w:rsidRPr="007B52EC" w:rsidTr="007B52EC">
        <w:trPr>
          <w:trHeight w:val="397"/>
        </w:trPr>
        <w:tc>
          <w:tcPr>
            <w:tcW w:w="1661" w:type="dxa"/>
          </w:tcPr>
          <w:p w:rsidR="00412189" w:rsidRPr="007B52EC" w:rsidRDefault="00412189" w:rsidP="007B52EC">
            <w:pPr>
              <w:jc w:val="both"/>
              <w:rPr>
                <w:rFonts w:asciiTheme="minorHAnsi" w:hAnsiTheme="minorHAnsi" w:cs="Arial"/>
              </w:rPr>
            </w:pPr>
            <w:r w:rsidRPr="007B52EC">
              <w:rPr>
                <w:rFonts w:asciiTheme="minorHAnsi" w:hAnsiTheme="minorHAnsi" w:cs="Arial"/>
              </w:rPr>
              <w:t>MPG</w:t>
            </w:r>
          </w:p>
        </w:tc>
        <w:tc>
          <w:tcPr>
            <w:tcW w:w="7581" w:type="dxa"/>
          </w:tcPr>
          <w:p w:rsidR="00412189" w:rsidRPr="007B52EC" w:rsidRDefault="00412189" w:rsidP="007B52EC">
            <w:pPr>
              <w:jc w:val="both"/>
              <w:rPr>
                <w:rFonts w:asciiTheme="minorHAnsi" w:hAnsiTheme="minorHAnsi" w:cs="Arial"/>
              </w:rPr>
            </w:pPr>
            <w:r w:rsidRPr="007B52EC">
              <w:rPr>
                <w:rFonts w:asciiTheme="minorHAnsi" w:hAnsiTheme="minorHAnsi" w:cs="Arial"/>
              </w:rPr>
              <w:t>Medizinproduktegesetz</w:t>
            </w:r>
          </w:p>
        </w:tc>
      </w:tr>
      <w:tr w:rsidR="00412189" w:rsidRPr="007B52EC" w:rsidTr="007B52EC">
        <w:trPr>
          <w:trHeight w:val="397"/>
        </w:trPr>
        <w:tc>
          <w:tcPr>
            <w:tcW w:w="1661" w:type="dxa"/>
          </w:tcPr>
          <w:p w:rsidR="00412189" w:rsidRPr="007B52EC" w:rsidRDefault="00412189" w:rsidP="007B52EC">
            <w:pPr>
              <w:jc w:val="both"/>
              <w:rPr>
                <w:rFonts w:asciiTheme="minorHAnsi" w:hAnsiTheme="minorHAnsi" w:cs="Arial"/>
              </w:rPr>
            </w:pPr>
            <w:r w:rsidRPr="007B52EC">
              <w:rPr>
                <w:rFonts w:asciiTheme="minorHAnsi" w:hAnsiTheme="minorHAnsi" w:cs="Arial"/>
              </w:rPr>
              <w:t>MPSV</w:t>
            </w:r>
          </w:p>
        </w:tc>
        <w:tc>
          <w:tcPr>
            <w:tcW w:w="7581" w:type="dxa"/>
          </w:tcPr>
          <w:p w:rsidR="00412189" w:rsidRPr="007B52EC" w:rsidRDefault="00412189" w:rsidP="007B52EC">
            <w:pPr>
              <w:jc w:val="both"/>
              <w:rPr>
                <w:rFonts w:asciiTheme="minorHAnsi" w:hAnsiTheme="minorHAnsi" w:cs="Arial"/>
              </w:rPr>
            </w:pPr>
            <w:r w:rsidRPr="007B52EC">
              <w:rPr>
                <w:rFonts w:asciiTheme="minorHAnsi" w:hAnsiTheme="minorHAnsi" w:cs="Arial"/>
              </w:rPr>
              <w:t>Medizinprodukte-Sicherheitsplanverordnung</w:t>
            </w:r>
          </w:p>
        </w:tc>
      </w:tr>
      <w:tr w:rsidR="00412189" w:rsidRPr="007B52EC" w:rsidTr="007B52EC">
        <w:trPr>
          <w:trHeight w:val="397"/>
        </w:trPr>
        <w:tc>
          <w:tcPr>
            <w:tcW w:w="1661" w:type="dxa"/>
          </w:tcPr>
          <w:p w:rsidR="00412189" w:rsidRPr="007B52EC" w:rsidRDefault="00412189" w:rsidP="007B52EC">
            <w:pPr>
              <w:pStyle w:val="KeinLeerraum"/>
              <w:jc w:val="both"/>
              <w:rPr>
                <w:rFonts w:cs="Arial"/>
                <w:sz w:val="24"/>
                <w:szCs w:val="24"/>
                <w:lang w:eastAsia="de-DE"/>
              </w:rPr>
            </w:pPr>
            <w:r w:rsidRPr="007B52EC">
              <w:rPr>
                <w:rFonts w:cs="Arial"/>
                <w:sz w:val="24"/>
                <w:szCs w:val="24"/>
                <w:lang w:eastAsia="de-DE"/>
              </w:rPr>
              <w:t>MTA</w:t>
            </w:r>
          </w:p>
        </w:tc>
        <w:tc>
          <w:tcPr>
            <w:tcW w:w="7581" w:type="dxa"/>
          </w:tcPr>
          <w:p w:rsidR="00412189" w:rsidRPr="007B52EC" w:rsidRDefault="00412189" w:rsidP="007B52EC">
            <w:pPr>
              <w:pStyle w:val="KeinLeerraum"/>
              <w:jc w:val="both"/>
              <w:rPr>
                <w:rFonts w:cs="Arial"/>
                <w:sz w:val="24"/>
                <w:szCs w:val="24"/>
                <w:lang w:eastAsia="de-DE"/>
              </w:rPr>
            </w:pPr>
            <w:r w:rsidRPr="007B52EC">
              <w:rPr>
                <w:rFonts w:cs="Arial"/>
                <w:sz w:val="24"/>
                <w:szCs w:val="24"/>
                <w:lang w:eastAsia="de-DE"/>
              </w:rPr>
              <w:t>Medizinisch Technische(r) Assistent(in)</w:t>
            </w:r>
          </w:p>
        </w:tc>
      </w:tr>
      <w:tr w:rsidR="00412189" w:rsidRPr="007B52EC" w:rsidTr="007B52EC">
        <w:trPr>
          <w:trHeight w:val="397"/>
        </w:trPr>
        <w:tc>
          <w:tcPr>
            <w:tcW w:w="1661" w:type="dxa"/>
          </w:tcPr>
          <w:p w:rsidR="00412189" w:rsidRPr="007B52EC" w:rsidRDefault="00412189" w:rsidP="007B52EC">
            <w:pPr>
              <w:pStyle w:val="KeinLeerraum"/>
              <w:jc w:val="both"/>
              <w:rPr>
                <w:rFonts w:cs="Arial"/>
                <w:sz w:val="24"/>
                <w:szCs w:val="24"/>
                <w:lang w:eastAsia="de-DE"/>
              </w:rPr>
            </w:pPr>
            <w:r w:rsidRPr="007B52EC">
              <w:rPr>
                <w:rFonts w:cs="Arial"/>
                <w:sz w:val="24"/>
                <w:szCs w:val="24"/>
                <w:lang w:eastAsia="de-DE"/>
              </w:rPr>
              <w:t>QM</w:t>
            </w:r>
          </w:p>
        </w:tc>
        <w:tc>
          <w:tcPr>
            <w:tcW w:w="7581" w:type="dxa"/>
          </w:tcPr>
          <w:p w:rsidR="00412189" w:rsidRPr="007B52EC" w:rsidRDefault="00412189" w:rsidP="007B52EC">
            <w:pPr>
              <w:pStyle w:val="KeinLeerraum"/>
              <w:jc w:val="both"/>
              <w:rPr>
                <w:rFonts w:cs="Arial"/>
                <w:sz w:val="24"/>
                <w:szCs w:val="24"/>
                <w:lang w:eastAsia="de-DE"/>
              </w:rPr>
            </w:pPr>
            <w:r w:rsidRPr="007B52EC">
              <w:rPr>
                <w:rFonts w:cs="Arial"/>
                <w:sz w:val="24"/>
                <w:szCs w:val="24"/>
                <w:lang w:eastAsia="de-DE"/>
              </w:rPr>
              <w:t>Qualitätsmanagement</w:t>
            </w:r>
          </w:p>
        </w:tc>
      </w:tr>
      <w:tr w:rsidR="00412189" w:rsidRPr="007B52EC" w:rsidTr="007B52EC">
        <w:trPr>
          <w:trHeight w:val="397"/>
        </w:trPr>
        <w:tc>
          <w:tcPr>
            <w:tcW w:w="1661" w:type="dxa"/>
          </w:tcPr>
          <w:p w:rsidR="00412189" w:rsidRPr="007B52EC" w:rsidRDefault="00412189" w:rsidP="007B52EC">
            <w:pPr>
              <w:pStyle w:val="KeinLeerraum"/>
              <w:jc w:val="both"/>
              <w:rPr>
                <w:rFonts w:cs="Arial"/>
                <w:sz w:val="24"/>
                <w:szCs w:val="24"/>
                <w:lang w:eastAsia="de-DE"/>
              </w:rPr>
            </w:pPr>
            <w:r w:rsidRPr="007B52EC">
              <w:rPr>
                <w:rFonts w:cs="Arial"/>
                <w:sz w:val="24"/>
                <w:szCs w:val="24"/>
                <w:lang w:eastAsia="de-DE"/>
              </w:rPr>
              <w:t>QMB</w:t>
            </w:r>
          </w:p>
        </w:tc>
        <w:tc>
          <w:tcPr>
            <w:tcW w:w="7581" w:type="dxa"/>
          </w:tcPr>
          <w:p w:rsidR="00412189" w:rsidRPr="007B52EC" w:rsidRDefault="00412189" w:rsidP="007B52EC">
            <w:pPr>
              <w:pStyle w:val="KeinLeerraum"/>
              <w:jc w:val="both"/>
              <w:rPr>
                <w:rFonts w:cs="Arial"/>
                <w:sz w:val="24"/>
                <w:szCs w:val="24"/>
                <w:lang w:eastAsia="de-DE"/>
              </w:rPr>
            </w:pPr>
            <w:r w:rsidRPr="007B52EC">
              <w:rPr>
                <w:rFonts w:cs="Arial"/>
                <w:sz w:val="24"/>
                <w:szCs w:val="24"/>
                <w:lang w:eastAsia="de-DE"/>
              </w:rPr>
              <w:t xml:space="preserve">Qualitätsmanagementbeauftragter (neue Bezeichnung: </w:t>
            </w:r>
            <w:proofErr w:type="spellStart"/>
            <w:r w:rsidRPr="007B52EC">
              <w:rPr>
                <w:rFonts w:cs="Arial"/>
                <w:sz w:val="24"/>
                <w:szCs w:val="24"/>
                <w:lang w:eastAsia="de-DE"/>
              </w:rPr>
              <w:t>BdoL</w:t>
            </w:r>
            <w:proofErr w:type="spellEnd"/>
            <w:r w:rsidRPr="007B52EC">
              <w:rPr>
                <w:rFonts w:cs="Arial"/>
                <w:sz w:val="24"/>
                <w:szCs w:val="24"/>
                <w:lang w:eastAsia="de-DE"/>
              </w:rPr>
              <w:t>)</w:t>
            </w:r>
          </w:p>
        </w:tc>
      </w:tr>
      <w:tr w:rsidR="00412189" w:rsidRPr="007B52EC" w:rsidTr="007B52EC">
        <w:trPr>
          <w:trHeight w:val="397"/>
        </w:trPr>
        <w:tc>
          <w:tcPr>
            <w:tcW w:w="1661" w:type="dxa"/>
          </w:tcPr>
          <w:p w:rsidR="00412189" w:rsidRPr="007B52EC" w:rsidRDefault="00412189" w:rsidP="007B52EC">
            <w:pPr>
              <w:pStyle w:val="KeinLeerraum"/>
              <w:jc w:val="both"/>
              <w:rPr>
                <w:rFonts w:cs="Arial"/>
                <w:sz w:val="24"/>
                <w:szCs w:val="24"/>
                <w:lang w:eastAsia="de-DE"/>
              </w:rPr>
            </w:pPr>
            <w:r w:rsidRPr="007B52EC">
              <w:rPr>
                <w:rFonts w:cs="Arial"/>
                <w:sz w:val="24"/>
                <w:szCs w:val="24"/>
                <w:lang w:eastAsia="de-DE"/>
              </w:rPr>
              <w:t>QMH</w:t>
            </w:r>
          </w:p>
        </w:tc>
        <w:tc>
          <w:tcPr>
            <w:tcW w:w="7581" w:type="dxa"/>
          </w:tcPr>
          <w:p w:rsidR="00412189" w:rsidRPr="007B52EC" w:rsidRDefault="00412189" w:rsidP="007B52EC">
            <w:pPr>
              <w:pStyle w:val="KeinLeerraum"/>
              <w:jc w:val="both"/>
              <w:rPr>
                <w:rFonts w:cs="Arial"/>
                <w:sz w:val="24"/>
                <w:szCs w:val="24"/>
                <w:lang w:eastAsia="de-DE"/>
              </w:rPr>
            </w:pPr>
            <w:r w:rsidRPr="007B52EC">
              <w:rPr>
                <w:rFonts w:cs="Arial"/>
                <w:sz w:val="24"/>
                <w:szCs w:val="24"/>
                <w:lang w:eastAsia="de-DE"/>
              </w:rPr>
              <w:t>Qualitätsmanagement-Handbuch</w:t>
            </w:r>
            <w:bookmarkStart w:id="1" w:name="_GoBack"/>
            <w:bookmarkEnd w:id="1"/>
          </w:p>
        </w:tc>
      </w:tr>
      <w:tr w:rsidR="00412189" w:rsidRPr="007B52EC" w:rsidTr="007B52EC">
        <w:trPr>
          <w:trHeight w:val="397"/>
        </w:trPr>
        <w:tc>
          <w:tcPr>
            <w:tcW w:w="1661" w:type="dxa"/>
          </w:tcPr>
          <w:p w:rsidR="00412189" w:rsidRPr="007B52EC" w:rsidRDefault="00412189" w:rsidP="007B52EC">
            <w:pPr>
              <w:pStyle w:val="KeinLeerraum"/>
              <w:jc w:val="both"/>
              <w:rPr>
                <w:rFonts w:cs="Arial"/>
                <w:sz w:val="24"/>
                <w:szCs w:val="24"/>
                <w:lang w:eastAsia="de-DE"/>
              </w:rPr>
            </w:pPr>
            <w:r w:rsidRPr="007B52EC">
              <w:rPr>
                <w:rFonts w:cs="Arial"/>
                <w:sz w:val="24"/>
                <w:szCs w:val="24"/>
                <w:lang w:eastAsia="de-DE"/>
              </w:rPr>
              <w:t>QS</w:t>
            </w:r>
          </w:p>
        </w:tc>
        <w:tc>
          <w:tcPr>
            <w:tcW w:w="7581" w:type="dxa"/>
          </w:tcPr>
          <w:p w:rsidR="00412189" w:rsidRPr="007B52EC" w:rsidRDefault="00412189" w:rsidP="007B52EC">
            <w:pPr>
              <w:pStyle w:val="KeinLeerraum"/>
              <w:jc w:val="both"/>
              <w:rPr>
                <w:rFonts w:cs="Arial"/>
                <w:sz w:val="24"/>
                <w:szCs w:val="24"/>
                <w:lang w:eastAsia="de-DE"/>
              </w:rPr>
            </w:pPr>
            <w:r w:rsidRPr="007B52EC">
              <w:rPr>
                <w:rFonts w:cs="Arial"/>
                <w:sz w:val="24"/>
                <w:szCs w:val="24"/>
                <w:lang w:eastAsia="de-DE"/>
              </w:rPr>
              <w:t>Qualitätssicherung</w:t>
            </w:r>
          </w:p>
        </w:tc>
      </w:tr>
      <w:tr w:rsidR="00412189" w:rsidRPr="007B52EC" w:rsidTr="007B52EC">
        <w:trPr>
          <w:trHeight w:val="397"/>
        </w:trPr>
        <w:tc>
          <w:tcPr>
            <w:tcW w:w="1661" w:type="dxa"/>
          </w:tcPr>
          <w:p w:rsidR="00412189" w:rsidRPr="007B52EC" w:rsidRDefault="00412189" w:rsidP="007B52EC">
            <w:pPr>
              <w:pStyle w:val="KeinLeerraum"/>
              <w:jc w:val="both"/>
              <w:rPr>
                <w:rFonts w:cs="Arial"/>
                <w:sz w:val="24"/>
                <w:szCs w:val="24"/>
                <w:lang w:eastAsia="de-DE"/>
              </w:rPr>
            </w:pPr>
            <w:r w:rsidRPr="007B52EC">
              <w:rPr>
                <w:rFonts w:cs="Arial"/>
                <w:sz w:val="24"/>
                <w:szCs w:val="24"/>
                <w:lang w:eastAsia="de-DE"/>
              </w:rPr>
              <w:t>TNM</w:t>
            </w:r>
          </w:p>
        </w:tc>
        <w:tc>
          <w:tcPr>
            <w:tcW w:w="7581" w:type="dxa"/>
          </w:tcPr>
          <w:p w:rsidR="00412189" w:rsidRPr="007B52EC" w:rsidRDefault="00412189" w:rsidP="007B52EC">
            <w:pPr>
              <w:pStyle w:val="KeinLeerraum"/>
              <w:jc w:val="both"/>
              <w:rPr>
                <w:rFonts w:cs="Arial"/>
                <w:sz w:val="24"/>
                <w:szCs w:val="24"/>
                <w:lang w:eastAsia="de-DE"/>
              </w:rPr>
            </w:pPr>
            <w:r w:rsidRPr="007B52EC">
              <w:rPr>
                <w:rFonts w:cs="Arial"/>
                <w:sz w:val="24"/>
                <w:szCs w:val="24"/>
                <w:lang w:eastAsia="de-DE"/>
              </w:rPr>
              <w:t>Allgemein anerkanntes System zur Klassifikation der malignen Tumoren</w:t>
            </w:r>
          </w:p>
        </w:tc>
      </w:tr>
      <w:tr w:rsidR="00412189" w:rsidRPr="007B52EC" w:rsidTr="007B52EC">
        <w:trPr>
          <w:trHeight w:val="397"/>
        </w:trPr>
        <w:tc>
          <w:tcPr>
            <w:tcW w:w="1661" w:type="dxa"/>
          </w:tcPr>
          <w:p w:rsidR="00412189" w:rsidRPr="007B52EC" w:rsidRDefault="00412189" w:rsidP="007B52EC">
            <w:pPr>
              <w:pStyle w:val="KeinLeerraum"/>
              <w:jc w:val="both"/>
              <w:rPr>
                <w:rFonts w:cs="Arial"/>
                <w:sz w:val="24"/>
                <w:szCs w:val="24"/>
                <w:lang w:eastAsia="de-DE"/>
              </w:rPr>
            </w:pPr>
            <w:r w:rsidRPr="007B52EC">
              <w:rPr>
                <w:rFonts w:cs="Arial"/>
                <w:sz w:val="24"/>
                <w:szCs w:val="24"/>
                <w:lang w:eastAsia="de-DE"/>
              </w:rPr>
              <w:t>VA</w:t>
            </w:r>
          </w:p>
        </w:tc>
        <w:tc>
          <w:tcPr>
            <w:tcW w:w="7581" w:type="dxa"/>
          </w:tcPr>
          <w:p w:rsidR="00412189" w:rsidRPr="007B52EC" w:rsidRDefault="00412189" w:rsidP="007B52EC">
            <w:pPr>
              <w:pStyle w:val="KeinLeerraum"/>
              <w:jc w:val="both"/>
              <w:rPr>
                <w:rFonts w:cs="Arial"/>
                <w:sz w:val="24"/>
                <w:szCs w:val="24"/>
                <w:lang w:eastAsia="de-DE"/>
              </w:rPr>
            </w:pPr>
            <w:r w:rsidRPr="007B52EC">
              <w:rPr>
                <w:rFonts w:cs="Arial"/>
                <w:sz w:val="24"/>
                <w:szCs w:val="24"/>
                <w:lang w:eastAsia="de-DE"/>
              </w:rPr>
              <w:t>Verfahrensanweisung</w:t>
            </w:r>
          </w:p>
        </w:tc>
      </w:tr>
    </w:tbl>
    <w:p w:rsidR="00FC72F4" w:rsidRPr="007B52EC" w:rsidRDefault="00FC72F4" w:rsidP="007B52EC">
      <w:pPr>
        <w:jc w:val="both"/>
        <w:rPr>
          <w:rFonts w:asciiTheme="minorHAnsi" w:hAnsiTheme="minorHAnsi" w:cs="Arial"/>
        </w:rPr>
      </w:pPr>
    </w:p>
    <w:sectPr w:rsidR="00FC72F4" w:rsidRPr="007B52EC">
      <w:headerReference w:type="default" r:id="rId6"/>
      <w:footerReference w:type="default" r:id="rId7"/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2C35" w:rsidRDefault="00E32C35" w:rsidP="00C414EF">
      <w:r>
        <w:separator/>
      </w:r>
    </w:p>
  </w:endnote>
  <w:endnote w:type="continuationSeparator" w:id="0">
    <w:p w:rsidR="00E32C35" w:rsidRDefault="00E32C35" w:rsidP="00C41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8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182"/>
      <w:gridCol w:w="4819"/>
      <w:gridCol w:w="2637"/>
    </w:tblGrid>
    <w:tr w:rsidR="00CC64BC" w:rsidRPr="005316C4" w:rsidTr="00527190">
      <w:tc>
        <w:tcPr>
          <w:tcW w:w="2182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CC64BC" w:rsidRPr="005316C4" w:rsidRDefault="00527190" w:rsidP="00CC64BC">
          <w:pPr>
            <w:pStyle w:val="QEP-FuzeileUV"/>
            <w:snapToGrid w:val="0"/>
            <w:rPr>
              <w:rFonts w:asciiTheme="minorHAnsi" w:hAnsiTheme="minorHAnsi" w:cs="Arial"/>
              <w:color w:val="808080"/>
              <w:sz w:val="24"/>
              <w:szCs w:val="24"/>
            </w:rPr>
          </w:pPr>
          <w:r>
            <w:rPr>
              <w:rFonts w:asciiTheme="minorHAnsi" w:hAnsiTheme="minorHAnsi" w:cs="Arial"/>
              <w:color w:val="808080"/>
              <w:sz w:val="24"/>
              <w:szCs w:val="24"/>
            </w:rPr>
            <w:t>Revision:</w:t>
          </w:r>
        </w:p>
      </w:tc>
      <w:tc>
        <w:tcPr>
          <w:tcW w:w="4819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CC64BC" w:rsidRPr="005316C4" w:rsidRDefault="00CC64BC" w:rsidP="00150093">
          <w:pPr>
            <w:pStyle w:val="QEP-FuzeileUV"/>
            <w:snapToGrid w:val="0"/>
            <w:rPr>
              <w:rFonts w:asciiTheme="minorHAnsi" w:hAnsiTheme="minorHAnsi" w:cs="Arial"/>
              <w:color w:val="808080"/>
              <w:sz w:val="24"/>
              <w:szCs w:val="24"/>
            </w:rPr>
          </w:pPr>
          <w:r>
            <w:rPr>
              <w:rFonts w:asciiTheme="minorHAnsi" w:hAnsiTheme="minorHAnsi" w:cs="Arial"/>
              <w:color w:val="808080"/>
              <w:sz w:val="24"/>
              <w:szCs w:val="24"/>
            </w:rPr>
            <w:fldChar w:fldCharType="begin"/>
          </w:r>
          <w:r>
            <w:rPr>
              <w:rFonts w:asciiTheme="minorHAnsi" w:hAnsiTheme="minorHAnsi" w:cs="Arial"/>
              <w:color w:val="808080"/>
              <w:sz w:val="24"/>
              <w:szCs w:val="24"/>
            </w:rPr>
            <w:instrText xml:space="preserve"> FILENAME   \* MERGEFORMAT </w:instrText>
          </w:r>
          <w:r>
            <w:rPr>
              <w:rFonts w:asciiTheme="minorHAnsi" w:hAnsiTheme="minorHAnsi" w:cs="Arial"/>
              <w:color w:val="808080"/>
              <w:sz w:val="24"/>
              <w:szCs w:val="24"/>
            </w:rPr>
            <w:fldChar w:fldCharType="separate"/>
          </w:r>
          <w:r w:rsidR="00527190">
            <w:rPr>
              <w:rFonts w:asciiTheme="minorHAnsi" w:hAnsiTheme="minorHAnsi" w:cs="Arial"/>
              <w:noProof/>
              <w:color w:val="808080"/>
              <w:sz w:val="24"/>
              <w:szCs w:val="24"/>
            </w:rPr>
            <w:t>08.2b_GBN_Begriffe_und_Abkürzungen.docx</w:t>
          </w:r>
          <w:r>
            <w:rPr>
              <w:rFonts w:asciiTheme="minorHAnsi" w:hAnsiTheme="minorHAnsi" w:cs="Arial"/>
              <w:color w:val="808080"/>
              <w:sz w:val="24"/>
              <w:szCs w:val="24"/>
            </w:rPr>
            <w:fldChar w:fldCharType="end"/>
          </w:r>
        </w:p>
      </w:tc>
      <w:tc>
        <w:tcPr>
          <w:tcW w:w="2637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CC64BC" w:rsidRPr="005316C4" w:rsidRDefault="00CC64BC" w:rsidP="00CC64BC">
          <w:pPr>
            <w:pStyle w:val="QEP-FuzeileUV"/>
            <w:snapToGrid w:val="0"/>
            <w:jc w:val="right"/>
            <w:rPr>
              <w:rFonts w:asciiTheme="minorHAnsi" w:hAnsiTheme="minorHAnsi" w:cs="Arial"/>
              <w:color w:val="808080"/>
              <w:sz w:val="24"/>
              <w:szCs w:val="24"/>
            </w:rPr>
          </w:pPr>
          <w:r w:rsidRPr="005316C4">
            <w:rPr>
              <w:rFonts w:asciiTheme="minorHAnsi" w:hAnsiTheme="minorHAnsi" w:cs="Arial"/>
              <w:color w:val="808080"/>
              <w:sz w:val="24"/>
              <w:szCs w:val="24"/>
            </w:rPr>
            <w:t>Seite:</w:t>
          </w:r>
        </w:p>
      </w:tc>
    </w:tr>
  </w:tbl>
  <w:p w:rsidR="00AB737A" w:rsidRPr="00117DC4" w:rsidRDefault="00AB737A" w:rsidP="00AB737A">
    <w:pPr>
      <w:rPr>
        <w:sz w:val="4"/>
        <w:szCs w:val="17"/>
      </w:rPr>
    </w:pPr>
  </w:p>
  <w:p w:rsidR="00AB737A" w:rsidRPr="00AB737A" w:rsidRDefault="00AB737A" w:rsidP="00AB737A">
    <w:pPr>
      <w:rPr>
        <w:rFonts w:ascii="Arial" w:hAnsi="Arial" w:cs="Arial"/>
        <w:sz w:val="6"/>
        <w:szCs w:val="17"/>
      </w:rPr>
    </w:pPr>
  </w:p>
  <w:p w:rsidR="001A20B0" w:rsidRDefault="001A20B0" w:rsidP="001A20B0">
    <w:pPr>
      <w:rPr>
        <w:rFonts w:asciiTheme="minorHAnsi" w:hAnsiTheme="minorHAnsi"/>
        <w:i/>
        <w:sz w:val="17"/>
        <w:szCs w:val="17"/>
      </w:rPr>
    </w:pPr>
    <w:r w:rsidRPr="00527190">
      <w:rPr>
        <w:rFonts w:asciiTheme="minorHAnsi" w:hAnsiTheme="minorHAnsi"/>
        <w:i/>
        <w:sz w:val="17"/>
        <w:szCs w:val="17"/>
      </w:rPr>
      <w:t xml:space="preserve">Das Urheberrecht (Copyright) für dieses Dokument liegt beim German </w:t>
    </w:r>
    <w:proofErr w:type="spellStart"/>
    <w:r w:rsidRPr="00527190">
      <w:rPr>
        <w:rFonts w:asciiTheme="minorHAnsi" w:hAnsiTheme="minorHAnsi"/>
        <w:i/>
        <w:sz w:val="17"/>
        <w:szCs w:val="17"/>
      </w:rPr>
      <w:t>Biobank</w:t>
    </w:r>
    <w:proofErr w:type="spellEnd"/>
    <w:r w:rsidRPr="00527190">
      <w:rPr>
        <w:rFonts w:asciiTheme="minorHAnsi" w:hAnsiTheme="minorHAnsi"/>
        <w:i/>
        <w:sz w:val="17"/>
        <w:szCs w:val="17"/>
      </w:rPr>
      <w:t xml:space="preserve"> </w:t>
    </w:r>
    <w:proofErr w:type="spellStart"/>
    <w:r w:rsidRPr="00527190">
      <w:rPr>
        <w:rFonts w:asciiTheme="minorHAnsi" w:hAnsiTheme="minorHAnsi"/>
        <w:i/>
        <w:sz w:val="17"/>
        <w:szCs w:val="17"/>
      </w:rPr>
      <w:t>Node</w:t>
    </w:r>
    <w:proofErr w:type="spellEnd"/>
    <w:r w:rsidRPr="00527190">
      <w:rPr>
        <w:rFonts w:asciiTheme="minorHAnsi" w:hAnsiTheme="minorHAnsi"/>
        <w:i/>
        <w:sz w:val="17"/>
        <w:szCs w:val="17"/>
      </w:rPr>
      <w:t xml:space="preserve"> (GBN). Die Weitergabe der Inhalte an Dritte ist nicht gestattet.</w:t>
    </w:r>
  </w:p>
  <w:p w:rsidR="00527190" w:rsidRPr="00527190" w:rsidRDefault="00527190" w:rsidP="001A20B0">
    <w:pPr>
      <w:rPr>
        <w:rFonts w:asciiTheme="minorHAnsi" w:hAnsiTheme="minorHAnsi"/>
        <w:i/>
        <w:sz w:val="17"/>
        <w:szCs w:val="17"/>
      </w:rPr>
    </w:pPr>
  </w:p>
  <w:p w:rsidR="00CC64BC" w:rsidRPr="00397BA6" w:rsidRDefault="00CC64BC" w:rsidP="00CC64BC">
    <w:pPr>
      <w:pStyle w:val="Fuzeile"/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2C35" w:rsidRDefault="00E32C35" w:rsidP="00C414EF">
      <w:r>
        <w:separator/>
      </w:r>
    </w:p>
  </w:footnote>
  <w:footnote w:type="continuationSeparator" w:id="0">
    <w:p w:rsidR="00E32C35" w:rsidRDefault="00E32C35" w:rsidP="00C41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4EF" w:rsidRDefault="00D070D7">
    <w:pPr>
      <w:pStyle w:val="Kopfzeile"/>
    </w:pPr>
    <w:r>
      <w:rPr>
        <w:noProof/>
        <w:lang w:eastAsia="de-DE" w:bidi="ar-SA"/>
      </w:rPr>
      <w:drawing>
        <wp:anchor distT="0" distB="0" distL="114300" distR="114300" simplePos="0" relativeHeight="251658240" behindDoc="0" locked="0" layoutInCell="1" allowOverlap="1" wp14:anchorId="6B607EBA" wp14:editId="6FEAA791">
          <wp:simplePos x="0" y="0"/>
          <wp:positionH relativeFrom="column">
            <wp:posOffset>4383929</wp:posOffset>
          </wp:positionH>
          <wp:positionV relativeFrom="paragraph">
            <wp:posOffset>111125</wp:posOffset>
          </wp:positionV>
          <wp:extent cx="2044700" cy="926465"/>
          <wp:effectExtent l="0" t="0" r="0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BN_RGB_schwarz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4700" cy="9264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414EF" w:rsidRDefault="00C414EF">
    <w:pPr>
      <w:pStyle w:val="Kopfzeile"/>
    </w:pPr>
  </w:p>
  <w:p w:rsidR="00D070D7" w:rsidRDefault="00D070D7">
    <w:pPr>
      <w:pStyle w:val="Kopfzeile"/>
    </w:pPr>
  </w:p>
  <w:p w:rsidR="00D070D7" w:rsidRDefault="00D070D7">
    <w:pPr>
      <w:pStyle w:val="Kopfzeile"/>
    </w:pPr>
  </w:p>
  <w:p w:rsidR="00D070D7" w:rsidRDefault="00D070D7">
    <w:pPr>
      <w:pStyle w:val="Kopfzeile"/>
    </w:pPr>
  </w:p>
  <w:p w:rsidR="00D070D7" w:rsidRDefault="00D070D7">
    <w:pPr>
      <w:pStyle w:val="Kopfzeile"/>
    </w:pPr>
  </w:p>
  <w:tbl>
    <w:tblPr>
      <w:tblW w:w="9978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212"/>
      <w:gridCol w:w="3553"/>
      <w:gridCol w:w="3213"/>
    </w:tblGrid>
    <w:tr w:rsidR="00950BA6" w:rsidRPr="00D070D7" w:rsidTr="00AB737A">
      <w:tc>
        <w:tcPr>
          <w:tcW w:w="3212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950BA6" w:rsidRPr="00D070D7" w:rsidRDefault="00950BA6" w:rsidP="00A70C57">
          <w:pPr>
            <w:pStyle w:val="TableContents"/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</w:pPr>
          <w:r w:rsidRPr="00D070D7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 xml:space="preserve">Name der </w:t>
          </w:r>
          <w:proofErr w:type="spellStart"/>
          <w:r w:rsidRPr="00D070D7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>Biobank</w:t>
          </w:r>
          <w:proofErr w:type="spellEnd"/>
        </w:p>
      </w:tc>
      <w:tc>
        <w:tcPr>
          <w:tcW w:w="3553" w:type="dxa"/>
          <w:vMerge w:val="restart"/>
          <w:tcBorders>
            <w:top w:val="single" w:sz="2" w:space="0" w:color="000000"/>
            <w:left w:val="single" w:sz="2" w:space="0" w:color="000000"/>
          </w:tcBorders>
          <w:shd w:val="clear" w:color="auto" w:fill="939FAD"/>
          <w:vAlign w:val="center"/>
        </w:tcPr>
        <w:p w:rsidR="00950BA6" w:rsidRPr="00950BA6" w:rsidRDefault="00950BA6" w:rsidP="00950BA6">
          <w:pPr>
            <w:pStyle w:val="TableContents"/>
            <w:jc w:val="center"/>
            <w:rPr>
              <w:rStyle w:val="Hervorhebung"/>
              <w:rFonts w:asciiTheme="minorHAnsi" w:hAnsiTheme="minorHAnsi" w:cs="Arial"/>
              <w:b/>
              <w:i w:val="0"/>
              <w:sz w:val="28"/>
              <w:szCs w:val="28"/>
            </w:rPr>
          </w:pPr>
          <w:r w:rsidRPr="00950BA6">
            <w:rPr>
              <w:rStyle w:val="Hervorhebung"/>
              <w:rFonts w:asciiTheme="minorHAnsi" w:hAnsiTheme="minorHAnsi" w:cs="Arial"/>
              <w:b/>
              <w:i w:val="0"/>
              <w:color w:val="FFFFFF" w:themeColor="background1"/>
              <w:sz w:val="28"/>
              <w:szCs w:val="28"/>
            </w:rPr>
            <w:t>Begriffe und Abkürzungen</w:t>
          </w:r>
        </w:p>
      </w:tc>
      <w:tc>
        <w:tcPr>
          <w:tcW w:w="3213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950BA6" w:rsidRPr="00914443" w:rsidRDefault="00950BA6" w:rsidP="00A70C57">
          <w:pPr>
            <w:pStyle w:val="TableContents"/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</w:pPr>
          <w:r w:rsidRPr="00914443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 xml:space="preserve">Leitung der </w:t>
          </w:r>
          <w:proofErr w:type="spellStart"/>
          <w:r w:rsidRPr="00914443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>Biobank</w:t>
          </w:r>
          <w:proofErr w:type="spellEnd"/>
          <w:r w:rsidRPr="00914443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 xml:space="preserve"> XXX</w:t>
          </w:r>
        </w:p>
      </w:tc>
    </w:tr>
    <w:tr w:rsidR="00950BA6" w:rsidRPr="00D070D7" w:rsidTr="00AB737A">
      <w:tc>
        <w:tcPr>
          <w:tcW w:w="3212" w:type="dxa"/>
          <w:tcBorders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950BA6" w:rsidRPr="00D070D7" w:rsidRDefault="00950BA6" w:rsidP="00D070D7">
          <w:pPr>
            <w:pStyle w:val="TableContents"/>
            <w:jc w:val="center"/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</w:pPr>
          <w:r w:rsidRPr="00D070D7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>E</w:t>
          </w:r>
          <w:r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>vtl.</w:t>
          </w:r>
          <w:r w:rsidRPr="00D070D7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 xml:space="preserve"> Logo</w:t>
          </w:r>
        </w:p>
      </w:tc>
      <w:tc>
        <w:tcPr>
          <w:tcW w:w="3553" w:type="dxa"/>
          <w:vMerge/>
          <w:tcBorders>
            <w:left w:val="single" w:sz="2" w:space="0" w:color="000000"/>
            <w:bottom w:val="single" w:sz="2" w:space="0" w:color="000000"/>
          </w:tcBorders>
          <w:shd w:val="clear" w:color="auto" w:fill="939FAD"/>
        </w:tcPr>
        <w:p w:rsidR="00950BA6" w:rsidRPr="00914443" w:rsidRDefault="00950BA6" w:rsidP="00D070D7">
          <w:pPr>
            <w:pStyle w:val="TableContents"/>
            <w:jc w:val="center"/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</w:pPr>
        </w:p>
      </w:tc>
      <w:tc>
        <w:tcPr>
          <w:tcW w:w="3213" w:type="dxa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950BA6" w:rsidRPr="00914443" w:rsidRDefault="00950BA6" w:rsidP="00D070D7">
          <w:pPr>
            <w:pStyle w:val="TableContents"/>
            <w:jc w:val="center"/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</w:pPr>
          <w:r w:rsidRPr="00914443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>Qualitätsmanagement-handbuch</w:t>
          </w:r>
        </w:p>
      </w:tc>
    </w:tr>
  </w:tbl>
  <w:p w:rsidR="00D070D7" w:rsidRPr="00D070D7" w:rsidRDefault="00D070D7">
    <w:pPr>
      <w:pStyle w:val="Kopfzeile"/>
      <w:rPr>
        <w:rFonts w:asciiTheme="minorHAnsi" w:hAnsiTheme="minorHAnsi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5F4"/>
    <w:rsid w:val="00150093"/>
    <w:rsid w:val="001A20B0"/>
    <w:rsid w:val="001F541F"/>
    <w:rsid w:val="002E6BFE"/>
    <w:rsid w:val="00397BA6"/>
    <w:rsid w:val="00412189"/>
    <w:rsid w:val="0050440D"/>
    <w:rsid w:val="00527190"/>
    <w:rsid w:val="00532DE2"/>
    <w:rsid w:val="00594DDF"/>
    <w:rsid w:val="006C0F81"/>
    <w:rsid w:val="007B52EC"/>
    <w:rsid w:val="007E5A46"/>
    <w:rsid w:val="00894304"/>
    <w:rsid w:val="00914443"/>
    <w:rsid w:val="00950BA6"/>
    <w:rsid w:val="00AB737A"/>
    <w:rsid w:val="00B4345C"/>
    <w:rsid w:val="00BF5B02"/>
    <w:rsid w:val="00C15AC2"/>
    <w:rsid w:val="00C414EF"/>
    <w:rsid w:val="00CC64BC"/>
    <w:rsid w:val="00D070D7"/>
    <w:rsid w:val="00D6794F"/>
    <w:rsid w:val="00DB55F4"/>
    <w:rsid w:val="00DC2BFE"/>
    <w:rsid w:val="00DC3917"/>
    <w:rsid w:val="00E322C5"/>
    <w:rsid w:val="00E32C35"/>
    <w:rsid w:val="00FC7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EAA5B1"/>
  <w15:docId w15:val="{FDFD8874-5DE0-46E5-8073-5DAA0AC2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ahoma"/>
        <w:sz w:val="24"/>
        <w:szCs w:val="24"/>
        <w:lang w:val="de-DE" w:eastAsia="zh-CN" w:bidi="hi-IN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keepNext/>
      <w:widowControl w:val="0"/>
      <w:shd w:val="clear" w:color="auto" w:fill="FFFFFF"/>
      <w:suppressAutoHyphens/>
    </w:p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414EF"/>
    <w:pPr>
      <w:keepLines/>
      <w:widowControl/>
      <w:shd w:val="clear" w:color="auto" w:fill="auto"/>
      <w:suppressAutoHyphens w:val="0"/>
      <w:spacing w:before="200" w:line="276" w:lineRule="auto"/>
      <w:textAlignment w:val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 w:bidi="ar-SA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C414EF"/>
    <w:pPr>
      <w:keepLines/>
      <w:widowControl/>
      <w:shd w:val="clear" w:color="auto" w:fill="auto"/>
      <w:suppressAutoHyphens w:val="0"/>
      <w:spacing w:before="200" w:line="276" w:lineRule="auto"/>
      <w:textAlignment w:val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qFormat/>
    <w:pPr>
      <w:spacing w:before="240" w:after="120"/>
    </w:pPr>
    <w:rPr>
      <w:rFonts w:ascii="Arial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qFormat/>
    <w:pPr>
      <w:suppressLineNumbers/>
    </w:pPr>
  </w:style>
  <w:style w:type="paragraph" w:customStyle="1" w:styleId="TabellenInhalt">
    <w:name w:val="Tabellen Inhalt"/>
    <w:basedOn w:val="Standard"/>
    <w:qFormat/>
    <w:pPr>
      <w:suppressLineNumbers/>
    </w:pPr>
  </w:style>
  <w:style w:type="character" w:styleId="Kommentarzeichen">
    <w:name w:val="annotation reference"/>
    <w:basedOn w:val="Absatz-Standardschriftart"/>
    <w:uiPriority w:val="99"/>
    <w:semiHidden/>
    <w:unhideWhenUsed/>
    <w:rsid w:val="00E322C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322C5"/>
    <w:pPr>
      <w:keepNext w:val="0"/>
      <w:shd w:val="clear" w:color="auto" w:fill="auto"/>
      <w:autoSpaceDN w:val="0"/>
    </w:pPr>
    <w:rPr>
      <w:rFonts w:cs="Mangal"/>
      <w:kern w:val="3"/>
      <w:sz w:val="20"/>
      <w:szCs w:val="18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322C5"/>
    <w:rPr>
      <w:rFonts w:cs="Mangal"/>
      <w:kern w:val="3"/>
      <w:sz w:val="20"/>
      <w:szCs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22C5"/>
    <w:rPr>
      <w:rFonts w:ascii="Tahoma" w:hAnsi="Tahoma" w:cs="Mangal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22C5"/>
    <w:rPr>
      <w:rFonts w:ascii="Tahoma" w:hAnsi="Tahoma" w:cs="Mangal"/>
      <w:sz w:val="16"/>
      <w:szCs w:val="14"/>
      <w:shd w:val="clear" w:color="auto" w:fill="FFFFFF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414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 w:bidi="ar-SA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C414EF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 w:bidi="ar-SA"/>
    </w:rPr>
  </w:style>
  <w:style w:type="paragraph" w:styleId="KeinLeerraum">
    <w:name w:val="No Spacing"/>
    <w:uiPriority w:val="1"/>
    <w:qFormat/>
    <w:rsid w:val="00C414EF"/>
    <w:pPr>
      <w:textAlignment w:val="auto"/>
    </w:pPr>
    <w:rPr>
      <w:rFonts w:asciiTheme="minorHAnsi" w:eastAsiaTheme="minorEastAsia" w:hAnsiTheme="minorHAnsi" w:cstheme="minorBidi"/>
      <w:sz w:val="22"/>
      <w:szCs w:val="22"/>
      <w:lang w:eastAsia="en-US" w:bidi="ar-SA"/>
    </w:rPr>
  </w:style>
  <w:style w:type="paragraph" w:styleId="Kopfzeile">
    <w:name w:val="header"/>
    <w:basedOn w:val="Standard"/>
    <w:link w:val="KopfzeileZchn"/>
    <w:uiPriority w:val="99"/>
    <w:unhideWhenUsed/>
    <w:rsid w:val="00C414EF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C414EF"/>
    <w:rPr>
      <w:rFonts w:cs="Mangal"/>
      <w:szCs w:val="21"/>
      <w:shd w:val="clear" w:color="auto" w:fill="FFFFFF"/>
    </w:rPr>
  </w:style>
  <w:style w:type="paragraph" w:styleId="Fuzeile">
    <w:name w:val="footer"/>
    <w:basedOn w:val="Standard"/>
    <w:link w:val="FuzeileZchn"/>
    <w:uiPriority w:val="99"/>
    <w:unhideWhenUsed/>
    <w:rsid w:val="00C414EF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C414EF"/>
    <w:rPr>
      <w:rFonts w:cs="Mangal"/>
      <w:szCs w:val="21"/>
      <w:shd w:val="clear" w:color="auto" w:fill="FFFFFF"/>
    </w:rPr>
  </w:style>
  <w:style w:type="paragraph" w:customStyle="1" w:styleId="TableContents">
    <w:name w:val="Table Contents"/>
    <w:basedOn w:val="Standard"/>
    <w:rsid w:val="00C414EF"/>
    <w:pPr>
      <w:keepNext w:val="0"/>
      <w:suppressLineNumbers/>
      <w:shd w:val="clear" w:color="auto" w:fill="auto"/>
      <w:autoSpaceDN w:val="0"/>
    </w:pPr>
    <w:rPr>
      <w:kern w:val="3"/>
    </w:rPr>
  </w:style>
  <w:style w:type="character" w:styleId="Hervorhebung">
    <w:name w:val="Emphasis"/>
    <w:qFormat/>
    <w:rsid w:val="00C414EF"/>
    <w:rPr>
      <w:i/>
      <w:iCs/>
    </w:rPr>
  </w:style>
  <w:style w:type="paragraph" w:customStyle="1" w:styleId="QEP-FuzeileUV">
    <w:name w:val="QEP-Fußzeile UV"/>
    <w:basedOn w:val="Standard"/>
    <w:rsid w:val="00CC64BC"/>
    <w:pPr>
      <w:keepNext w:val="0"/>
      <w:shd w:val="clear" w:color="auto" w:fill="auto"/>
      <w:tabs>
        <w:tab w:val="center" w:pos="4536"/>
        <w:tab w:val="right" w:pos="9072"/>
      </w:tabs>
      <w:autoSpaceDN w:val="0"/>
    </w:pPr>
    <w:rPr>
      <w:rFonts w:ascii="Tahoma" w:hAnsi="Tahoma"/>
      <w:kern w:val="3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924</Words>
  <Characters>5828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Charite Universitaetsmedizin Berlin</Company>
  <LinksUpToDate>false</LinksUpToDate>
  <CharactersWithSpaces>6739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Sabrina Schmitt</dc:creator>
  <cp:lastModifiedBy>Hartfeldt, Christiane</cp:lastModifiedBy>
  <cp:revision>12</cp:revision>
  <dcterms:created xsi:type="dcterms:W3CDTF">2017-03-21T14:42:00Z</dcterms:created>
  <dcterms:modified xsi:type="dcterms:W3CDTF">2018-10-16T10:08:00Z</dcterms:modified>
  <dc:language>de-DE</dc:language>
</cp:coreProperties>
</file>