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Anwendungsbereich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/>
          <w:iCs/>
        </w:rPr>
        <w:t xml:space="preserve">Hier wird der Geltungsbereich des Dokuments genannt, alle am Prozess beteiligten Einrichtungen sind zu nennen (Name </w:t>
      </w:r>
      <w:proofErr w:type="spellStart"/>
      <w:r w:rsidRPr="00ED2A28">
        <w:rPr>
          <w:rFonts w:asciiTheme="minorHAnsi" w:hAnsiTheme="minorHAnsi" w:cs="Arial"/>
          <w:i/>
          <w:iCs/>
        </w:rPr>
        <w:t>Biobank</w:t>
      </w:r>
      <w:proofErr w:type="spellEnd"/>
      <w:r w:rsidRPr="00ED2A28">
        <w:rPr>
          <w:rFonts w:asciiTheme="minorHAnsi" w:hAnsiTheme="minorHAnsi" w:cs="Arial"/>
          <w:i/>
          <w:iCs/>
        </w:rPr>
        <w:t xml:space="preserve"> </w:t>
      </w:r>
      <w:r w:rsidRPr="002C3FE5">
        <w:rPr>
          <w:rFonts w:asciiTheme="minorHAnsi" w:hAnsiTheme="minorHAnsi" w:cs="Arial"/>
          <w:bCs/>
          <w:i/>
          <w:iCs/>
        </w:rPr>
        <w:t>und</w:t>
      </w:r>
      <w:r w:rsidRPr="00ED2A28">
        <w:rPr>
          <w:rFonts w:asciiTheme="minorHAnsi" w:hAnsiTheme="minorHAnsi" w:cs="Arial"/>
          <w:b/>
          <w:bCs/>
          <w:i/>
          <w:iCs/>
        </w:rPr>
        <w:t xml:space="preserve"> assoziierte Einrichtungen</w:t>
      </w:r>
      <w:r w:rsidRPr="002C3FE5">
        <w:rPr>
          <w:rFonts w:asciiTheme="minorHAnsi" w:hAnsiTheme="minorHAnsi" w:cs="Arial"/>
          <w:bCs/>
          <w:i/>
          <w:iCs/>
        </w:rPr>
        <w:t>)</w:t>
      </w:r>
      <w:r w:rsidR="002C3FE5" w:rsidRPr="002C3FE5">
        <w:rPr>
          <w:rFonts w:asciiTheme="minorHAnsi" w:hAnsiTheme="minorHAnsi" w:cs="Arial"/>
          <w:bCs/>
          <w:iCs/>
        </w:rPr>
        <w:t>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Cs/>
        </w:rPr>
        <w:t>Diese Verfahrensanweisung beschreibt den Prozess der Probenanforderung durch den und die Probenabgabe an den Nutzer.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Zuständigkeiten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  <w:iCs/>
        </w:rPr>
        <w:t>Nennung der für den Prozess zuständigen und verantwortlichen Personen (Funktionsbeschreibung, keine Namen, siehe auch separat anzufertigende „Verantwortlichkeitsmatrix“)</w:t>
      </w:r>
      <w:r w:rsidR="002C3FE5">
        <w:rPr>
          <w:rFonts w:asciiTheme="minorHAnsi" w:hAnsiTheme="minorHAnsi" w:cs="Arial"/>
          <w:i/>
          <w:iCs/>
        </w:rPr>
        <w:t>.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  <w:color w:val="000000"/>
        </w:rPr>
        <w:t xml:space="preserve">Die </w:t>
      </w:r>
      <w:proofErr w:type="spellStart"/>
      <w:r w:rsidRPr="00ED2A28">
        <w:rPr>
          <w:rFonts w:asciiTheme="minorHAnsi" w:hAnsiTheme="minorHAnsi" w:cs="Arial"/>
          <w:i/>
          <w:color w:val="000000"/>
        </w:rPr>
        <w:t>Biobank</w:t>
      </w:r>
      <w:proofErr w:type="spellEnd"/>
      <w:r w:rsidRPr="00ED2A28">
        <w:rPr>
          <w:rFonts w:asciiTheme="minorHAnsi" w:hAnsiTheme="minorHAnsi" w:cs="Arial"/>
          <w:i/>
          <w:color w:val="000000"/>
        </w:rPr>
        <w:t xml:space="preserve"> muss die prozessrelevanten Zuständigkeiten intern festlegen und umsetzen.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  <w:color w:val="23FF23"/>
        </w:rPr>
      </w:pPr>
    </w:p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Begriffe und Abkürzungen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siehe Dokument „Begriffe und Abkürzungen“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für dieses Dokument gelten zusätzlich: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  <w:b/>
          <w:bCs/>
        </w:rPr>
      </w:pPr>
    </w:p>
    <w:p w:rsidR="00BC6DC5" w:rsidRPr="00ED2A28" w:rsidRDefault="00E46179" w:rsidP="000B4BEB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Allgemein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/>
          <w:iCs/>
        </w:rPr>
        <w:t>Allgemeine Aussagen hinsichtlich der Durchführung des jeweiligen Verfahrens:</w:t>
      </w:r>
    </w:p>
    <w:p w:rsidR="00E6053F" w:rsidRPr="00ED2A28" w:rsidRDefault="00E6053F" w:rsidP="000B4BEB">
      <w:pPr>
        <w:ind w:left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Handelsübliche Produkte sind nach den Angaben des Herstellers anzuwenden, bei Abweichungen liegt die Verantwortung beim Anwender.</w:t>
      </w:r>
    </w:p>
    <w:p w:rsidR="00BC6DC5" w:rsidRPr="00ED2A28" w:rsidRDefault="00BC6DC5" w:rsidP="000B4BEB">
      <w:pPr>
        <w:ind w:left="426"/>
        <w:jc w:val="both"/>
        <w:rPr>
          <w:rFonts w:asciiTheme="minorHAnsi" w:hAnsiTheme="minorHAnsi" w:cs="Arial"/>
          <w:i/>
        </w:rPr>
      </w:pP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Die Anforderung von Proben bzw. Leistungen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erfolgt nach den Vorgaben der internen Geschäfts- sowie der Nutzerordnung der </w:t>
      </w:r>
      <w:proofErr w:type="spellStart"/>
      <w:r w:rsidRPr="007D47CC">
        <w:rPr>
          <w:rFonts w:asciiTheme="minorHAnsi" w:hAnsiTheme="minorHAnsi" w:cs="Arial"/>
        </w:rPr>
        <w:t>Biobank</w:t>
      </w:r>
      <w:proofErr w:type="spellEnd"/>
      <w:r w:rsidRPr="007D47CC">
        <w:rPr>
          <w:rFonts w:asciiTheme="minorHAnsi" w:hAnsiTheme="minorHAnsi" w:cs="Arial"/>
        </w:rPr>
        <w:t xml:space="preserve"> (</w:t>
      </w:r>
      <w:r w:rsidR="002855E9" w:rsidRPr="007D47CC">
        <w:rPr>
          <w:rFonts w:asciiTheme="minorHAnsi" w:hAnsiTheme="minorHAnsi" w:cs="Arial"/>
        </w:rPr>
        <w:t>bzw.</w:t>
      </w:r>
      <w:r w:rsidR="002C3FE5" w:rsidRPr="007D47CC">
        <w:rPr>
          <w:rFonts w:asciiTheme="minorHAnsi" w:hAnsiTheme="minorHAnsi" w:cs="Arial"/>
        </w:rPr>
        <w:t xml:space="preserve"> ist </w:t>
      </w:r>
      <w:r w:rsidR="00E6053F" w:rsidRPr="007D47CC">
        <w:rPr>
          <w:rFonts w:asciiTheme="minorHAnsi" w:hAnsiTheme="minorHAnsi" w:cs="Arial"/>
        </w:rPr>
        <w:t xml:space="preserve">ggf. </w:t>
      </w:r>
      <w:r w:rsidRPr="007D47CC">
        <w:rPr>
          <w:rFonts w:asciiTheme="minorHAnsi" w:hAnsiTheme="minorHAnsi" w:cs="Arial"/>
        </w:rPr>
        <w:t>zu erstellen).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Bei der Abgabe von angeforderten Biomaterialproben an den Nutzer </w:t>
      </w:r>
      <w:r w:rsidR="00E6053F" w:rsidRPr="00ED2A28">
        <w:rPr>
          <w:rFonts w:asciiTheme="minorHAnsi" w:hAnsiTheme="minorHAnsi" w:cs="Arial"/>
        </w:rPr>
        <w:t>wird ein</w:t>
      </w:r>
      <w:r w:rsidRPr="00ED2A28">
        <w:rPr>
          <w:rFonts w:asciiTheme="minorHAnsi" w:hAnsiTheme="minorHAnsi" w:cs="Arial"/>
        </w:rPr>
        <w:t xml:space="preserve"> Übergabedokument (siehe 5.2) </w:t>
      </w:r>
      <w:r w:rsidR="00E6053F" w:rsidRPr="00ED2A28">
        <w:rPr>
          <w:rFonts w:asciiTheme="minorHAnsi" w:hAnsiTheme="minorHAnsi" w:cs="Arial"/>
        </w:rPr>
        <w:t>erstellt</w:t>
      </w:r>
      <w:r w:rsidRPr="00ED2A28">
        <w:rPr>
          <w:rFonts w:asciiTheme="minorHAnsi" w:hAnsiTheme="minorHAnsi" w:cs="Arial"/>
        </w:rPr>
        <w:t>.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Der gesamte Ab- und </w:t>
      </w:r>
      <w:proofErr w:type="spellStart"/>
      <w:r w:rsidRPr="00ED2A28">
        <w:rPr>
          <w:rFonts w:asciiTheme="minorHAnsi" w:hAnsiTheme="minorHAnsi" w:cs="Arial"/>
        </w:rPr>
        <w:t>Weitergabeprozess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erfüllt</w:t>
      </w:r>
      <w:r w:rsidRPr="00ED2A28">
        <w:rPr>
          <w:rFonts w:asciiTheme="minorHAnsi" w:hAnsiTheme="minorHAnsi" w:cs="Arial"/>
        </w:rPr>
        <w:t xml:space="preserve"> alle aktuell gültigen Richtlinien zur Biosicherheit. Alle notwendigen Informationen zu den Proben und zum angemessenen Umgang mit diesen </w:t>
      </w:r>
      <w:r w:rsidR="00E6053F" w:rsidRPr="00ED2A28">
        <w:rPr>
          <w:rFonts w:asciiTheme="minorHAnsi" w:hAnsiTheme="minorHAnsi" w:cs="Arial"/>
        </w:rPr>
        <w:t>werden</w:t>
      </w:r>
      <w:r w:rsidRPr="00ED2A28">
        <w:rPr>
          <w:rFonts w:asciiTheme="minorHAnsi" w:hAnsiTheme="minorHAnsi" w:cs="Arial"/>
        </w:rPr>
        <w:t xml:space="preserve"> allen am Prozess beteiligten Parteien </w:t>
      </w:r>
      <w:r w:rsidR="00E6053F" w:rsidRPr="00ED2A28">
        <w:rPr>
          <w:rFonts w:asciiTheme="minorHAnsi" w:hAnsiTheme="minorHAnsi" w:cs="Arial"/>
        </w:rPr>
        <w:t>mitgeteilt.</w:t>
      </w:r>
    </w:p>
    <w:p w:rsidR="00BC6DC5" w:rsidRPr="00ED2A28" w:rsidRDefault="00BC6DC5">
      <w:pPr>
        <w:pStyle w:val="Default"/>
        <w:rPr>
          <w:rFonts w:asciiTheme="minorHAnsi" w:hAnsiTheme="minorHAnsi"/>
        </w:rPr>
      </w:pPr>
    </w:p>
    <w:p w:rsidR="00BC6DC5" w:rsidRPr="00ED2A28" w:rsidRDefault="00BC6DC5">
      <w:pPr>
        <w:pStyle w:val="Default"/>
        <w:rPr>
          <w:rFonts w:asciiTheme="minorHAnsi" w:hAnsiTheme="minorHAnsi"/>
        </w:rPr>
      </w:pPr>
    </w:p>
    <w:p w:rsidR="00BC6DC5" w:rsidRPr="00ED2A28" w:rsidRDefault="00E46179" w:rsidP="000B4BEB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 xml:space="preserve">Durchführung (ggf. </w:t>
      </w:r>
      <w:proofErr w:type="spellStart"/>
      <w:r w:rsidRPr="00ED2A28">
        <w:rPr>
          <w:rFonts w:asciiTheme="minorHAnsi" w:hAnsiTheme="minorHAnsi" w:cs="Arial"/>
          <w:b/>
          <w:bCs/>
        </w:rPr>
        <w:t>FlowChart</w:t>
      </w:r>
      <w:proofErr w:type="spellEnd"/>
      <w:r w:rsidRPr="00ED2A28">
        <w:rPr>
          <w:rFonts w:asciiTheme="minorHAnsi" w:hAnsiTheme="minorHAnsi" w:cs="Arial"/>
          <w:b/>
          <w:bCs/>
        </w:rPr>
        <w:t>)</w:t>
      </w:r>
    </w:p>
    <w:p w:rsidR="00BC6DC5" w:rsidRPr="00ED2A28" w:rsidRDefault="00BC6DC5">
      <w:pPr>
        <w:pStyle w:val="Listenabsatz"/>
        <w:jc w:val="both"/>
        <w:rPr>
          <w:rFonts w:asciiTheme="minorHAnsi" w:hAnsiTheme="minorHAnsi" w:cs="Arial"/>
          <w:b/>
          <w:bCs/>
        </w:rPr>
      </w:pPr>
    </w:p>
    <w:p w:rsidR="00BC6DC5" w:rsidRPr="002855E9" w:rsidRDefault="00E4617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Probenanforderung</w:t>
      </w:r>
    </w:p>
    <w:p w:rsidR="00BC6DC5" w:rsidRPr="00ED2A28" w:rsidRDefault="00E46179">
      <w:pPr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ab/>
      </w:r>
      <w:r w:rsidRPr="00ED2A28">
        <w:rPr>
          <w:rFonts w:asciiTheme="minorHAnsi" w:hAnsiTheme="minorHAnsi" w:cs="Arial"/>
          <w:i/>
          <w:iCs/>
        </w:rPr>
        <w:t xml:space="preserve">Beschreibung des Verfahrens inklusive der für die jeweiligen Unterschritte </w:t>
      </w:r>
      <w:r w:rsidRPr="00ED2A28">
        <w:rPr>
          <w:rFonts w:asciiTheme="minorHAnsi" w:hAnsiTheme="minorHAnsi" w:cs="Arial"/>
          <w:i/>
          <w:iCs/>
        </w:rPr>
        <w:tab/>
        <w:t>zuständigen Personen, erforderlichen Geräte, Räume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Ein schriftlicher Biomaterialanforderungsantrag (siehe 8. Anhänge) wird vom Nutzer bei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eingereicht und der Leitung vorgelegt. Voraussetzung ist ein definiertes wissenschaftliches Projekt mit einer kurzen Projektbeschreibung sowie ein gültiges </w:t>
      </w:r>
      <w:r w:rsidRPr="00ED2A28">
        <w:rPr>
          <w:rFonts w:asciiTheme="minorHAnsi" w:hAnsiTheme="minorHAnsi" w:cs="Arial"/>
        </w:rPr>
        <w:lastRenderedPageBreak/>
        <w:t>Ethikvotum. Innerhalb</w:t>
      </w:r>
      <w:r w:rsidRPr="00ED2A28">
        <w:rPr>
          <w:rFonts w:asciiTheme="minorHAnsi" w:hAnsiTheme="minorHAnsi" w:cs="Arial"/>
          <w:i/>
        </w:rPr>
        <w:t xml:space="preserve"> </w:t>
      </w:r>
      <w:r w:rsidR="00E6053F" w:rsidRPr="00ED2A28">
        <w:rPr>
          <w:rFonts w:asciiTheme="minorHAnsi" w:hAnsiTheme="minorHAnsi" w:cs="Arial"/>
          <w:i/>
        </w:rPr>
        <w:t>…………………………(</w:t>
      </w:r>
      <w:r w:rsidRPr="00ED2A28">
        <w:rPr>
          <w:rFonts w:asciiTheme="minorHAnsi" w:hAnsiTheme="minorHAnsi" w:cs="Arial"/>
          <w:i/>
        </w:rPr>
        <w:t>einer intern zu definierenden Zeit</w:t>
      </w:r>
      <w:r w:rsidR="00E6053F" w:rsidRPr="00ED2A28">
        <w:rPr>
          <w:rFonts w:asciiTheme="minorHAnsi" w:hAnsiTheme="minorHAnsi" w:cs="Arial"/>
          <w:i/>
        </w:rPr>
        <w:t>)</w:t>
      </w:r>
      <w:r w:rsidRPr="00ED2A28">
        <w:rPr>
          <w:rFonts w:asciiTheme="minorHAnsi" w:hAnsiTheme="minorHAnsi" w:cs="Arial"/>
        </w:rPr>
        <w:t xml:space="preserve"> entscheidet die Leitung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über die Zuweisung der angeforderten Proben.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Im Rahmen der Probenanforderung werden erfasst und dokumentiert: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pStyle w:val="Listenabsatz"/>
        <w:numPr>
          <w:ilvl w:val="0"/>
          <w:numId w:val="22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Projektantrag bzw. Ethikvotum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Projektleiter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Ggf. Kooperationspartner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I</w:t>
      </w:r>
      <w:r w:rsidR="00C05EDF">
        <w:rPr>
          <w:rFonts w:asciiTheme="minorHAnsi" w:hAnsiTheme="minorHAnsi" w:cs="Arial"/>
        </w:rPr>
        <w:t>nterne Projekt- bzw. Antrags ID</w:t>
      </w:r>
    </w:p>
    <w:p w:rsidR="00BC6DC5" w:rsidRPr="00ED2A28" w:rsidRDefault="00C05EDF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Art und Menge des Biomaterials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ggf. technische Dienstleistungen (IHC, Nukleinsäure-Isolationen, etc.)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zuständige Mitarbeiter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Die Probenanforderung wird durch</w:t>
      </w:r>
      <w:r w:rsidR="00E6053F" w:rsidRPr="00ED2A28">
        <w:rPr>
          <w:rFonts w:asciiTheme="minorHAnsi" w:hAnsiTheme="minorHAnsi" w:cs="Arial"/>
        </w:rPr>
        <w:t xml:space="preserve"> ……………………</w:t>
      </w:r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(</w:t>
      </w:r>
      <w:r w:rsidRPr="00ED2A28">
        <w:rPr>
          <w:rFonts w:asciiTheme="minorHAnsi" w:hAnsiTheme="minorHAnsi" w:cs="Arial"/>
          <w:i/>
        </w:rPr>
        <w:t>die zuständigen Gremien</w:t>
      </w:r>
      <w:r w:rsidR="00E6053F" w:rsidRPr="00ED2A28">
        <w:rPr>
          <w:rFonts w:asciiTheme="minorHAnsi" w:hAnsiTheme="minorHAnsi" w:cs="Arial"/>
          <w:i/>
        </w:rPr>
        <w:t>)</w:t>
      </w:r>
      <w:r w:rsidRPr="00ED2A28">
        <w:rPr>
          <w:rFonts w:asciiTheme="minorHAnsi" w:hAnsiTheme="minorHAnsi" w:cs="Arial"/>
        </w:rPr>
        <w:t xml:space="preserve"> geprüft und gemäß der Nutzerordnung </w:t>
      </w:r>
      <w:r w:rsidR="00E6053F" w:rsidRPr="00ED2A28">
        <w:rPr>
          <w:rFonts w:asciiTheme="minorHAnsi" w:hAnsiTheme="minorHAnsi" w:cs="Arial"/>
        </w:rPr>
        <w:t xml:space="preserve">wird über deren </w:t>
      </w:r>
      <w:r w:rsidRPr="00ED2A28">
        <w:rPr>
          <w:rFonts w:asciiTheme="minorHAnsi" w:hAnsiTheme="minorHAnsi" w:cs="Arial"/>
        </w:rPr>
        <w:t>Freigabe entschieden.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Dem Nutzer wird das Ergebnis zeitnah schriftlich mitgeteilt. Bei Genehmigung (siehe 8. Anhänge) werden die Proben entsprechend bearbeitet und ggfs. ein Übergabetermin vereinbart.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2855E9" w:rsidRDefault="00E46179" w:rsidP="002855E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Probenübergabe</w:t>
      </w:r>
    </w:p>
    <w:p w:rsidR="00E6535A" w:rsidRPr="00ED2A28" w:rsidRDefault="00E6535A">
      <w:pPr>
        <w:jc w:val="both"/>
        <w:rPr>
          <w:rFonts w:asciiTheme="minorHAnsi" w:hAnsiTheme="minorHAnsi" w:cs="Arial"/>
        </w:rPr>
      </w:pPr>
    </w:p>
    <w:p w:rsidR="00E6535A" w:rsidRPr="00ED2A28" w:rsidRDefault="000B29E6" w:rsidP="00641317">
      <w:pPr>
        <w:ind w:left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Im Rahmen der</w:t>
      </w:r>
      <w:r w:rsidR="00E6535A" w:rsidRPr="00ED2A28">
        <w:rPr>
          <w:rFonts w:asciiTheme="minorHAnsi" w:hAnsiTheme="minorHAnsi" w:cs="Arial"/>
        </w:rPr>
        <w:t xml:space="preserve"> Probenübergabe </w:t>
      </w:r>
      <w:r w:rsidRPr="00ED2A28">
        <w:rPr>
          <w:rFonts w:asciiTheme="minorHAnsi" w:hAnsiTheme="minorHAnsi" w:cs="Arial"/>
        </w:rPr>
        <w:t xml:space="preserve">erstellt die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535A" w:rsidRPr="00ED2A28">
        <w:rPr>
          <w:rFonts w:asciiTheme="minorHAnsi" w:hAnsiTheme="minorHAnsi" w:cs="Arial"/>
        </w:rPr>
        <w:t>ein Zertifikat</w:t>
      </w:r>
      <w:r w:rsidRPr="00ED2A28">
        <w:rPr>
          <w:rFonts w:asciiTheme="minorHAnsi" w:hAnsiTheme="minorHAnsi" w:cs="Arial"/>
        </w:rPr>
        <w:t xml:space="preserve"> (elektronisch oder in Papierform)</w:t>
      </w:r>
      <w:r w:rsidR="00E6535A" w:rsidRPr="00ED2A28">
        <w:rPr>
          <w:rFonts w:asciiTheme="minorHAnsi" w:hAnsiTheme="minorHAnsi" w:cs="Arial"/>
        </w:rPr>
        <w:t xml:space="preserve">, welches folgende Informationen </w:t>
      </w:r>
      <w:r w:rsidR="00C77371" w:rsidRPr="00ED2A28">
        <w:rPr>
          <w:rFonts w:asciiTheme="minorHAnsi" w:hAnsiTheme="minorHAnsi" w:cs="Arial"/>
        </w:rPr>
        <w:t>enthält</w:t>
      </w:r>
      <w:r w:rsidR="00E6535A" w:rsidRPr="00ED2A28">
        <w:rPr>
          <w:rFonts w:asciiTheme="minorHAnsi" w:hAnsiTheme="minorHAnsi" w:cs="Arial"/>
        </w:rPr>
        <w:t xml:space="preserve"> (Mindestangaben):</w:t>
      </w:r>
    </w:p>
    <w:p w:rsidR="00E6535A" w:rsidRPr="00ED2A28" w:rsidRDefault="00E6535A" w:rsidP="00641317">
      <w:pPr>
        <w:ind w:left="709"/>
        <w:jc w:val="both"/>
        <w:rPr>
          <w:rFonts w:asciiTheme="minorHAnsi" w:hAnsiTheme="minorHAnsi" w:cs="Arial"/>
        </w:rPr>
      </w:pP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Titel (z.B. Probenzertifikat, -report,…)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Name und Adresse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bzw. Ort der </w:t>
      </w:r>
      <w:proofErr w:type="spellStart"/>
      <w:r w:rsidRPr="00ED2A28">
        <w:rPr>
          <w:rFonts w:asciiTheme="minorHAnsi" w:hAnsiTheme="minorHAnsi" w:cs="Arial"/>
        </w:rPr>
        <w:t>Probenprozessierung</w:t>
      </w:r>
      <w:proofErr w:type="spellEnd"/>
      <w:r w:rsidRPr="00ED2A28">
        <w:rPr>
          <w:rFonts w:asciiTheme="minorHAnsi" w:hAnsiTheme="minorHAnsi" w:cs="Arial"/>
        </w:rPr>
        <w:t xml:space="preserve"> sofern nicht die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Eindeutige Identifikation des Zertifikats sowie Seitennummerierung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Qualitätsrelevante Informationen zur Probenhistorie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Probencharakteristika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Methoden zur Probencharakterisierung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Testergebnisse – und </w:t>
      </w:r>
      <w:proofErr w:type="spellStart"/>
      <w:r w:rsidRPr="00ED2A28">
        <w:rPr>
          <w:rFonts w:asciiTheme="minorHAnsi" w:hAnsiTheme="minorHAnsi" w:cs="Arial"/>
        </w:rPr>
        <w:t>methoden</w:t>
      </w:r>
      <w:proofErr w:type="spellEnd"/>
      <w:r w:rsidRPr="00ED2A28">
        <w:rPr>
          <w:rFonts w:asciiTheme="minorHAnsi" w:hAnsiTheme="minorHAnsi" w:cs="Arial"/>
        </w:rPr>
        <w:t xml:space="preserve"> (ggf. inklusive Messunsicherheiten)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Einlagerungsbedingungen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Lagerbedingungen</w:t>
      </w:r>
    </w:p>
    <w:p w:rsidR="00E6535A" w:rsidRPr="00ED2A28" w:rsidRDefault="00C77371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Freigabe des Zertifikats (Name und Funktion)</w:t>
      </w:r>
    </w:p>
    <w:p w:rsidR="00C77371" w:rsidRPr="00ED2A28" w:rsidRDefault="00C77371" w:rsidP="00C77371">
      <w:pPr>
        <w:jc w:val="both"/>
        <w:rPr>
          <w:rFonts w:asciiTheme="minorHAnsi" w:hAnsiTheme="minorHAnsi" w:cs="Arial"/>
        </w:rPr>
      </w:pPr>
    </w:p>
    <w:p w:rsidR="00C77371" w:rsidRPr="00ED2A28" w:rsidRDefault="00C77371" w:rsidP="00C77371">
      <w:pPr>
        <w:jc w:val="both"/>
        <w:rPr>
          <w:rFonts w:asciiTheme="minorHAnsi" w:hAnsiTheme="minorHAnsi" w:cs="Arial"/>
        </w:rPr>
      </w:pPr>
    </w:p>
    <w:p w:rsidR="00E6535A" w:rsidRPr="00ED2A28" w:rsidRDefault="000B29E6">
      <w:pPr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br w:type="page"/>
      </w: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lastRenderedPageBreak/>
        <w:t xml:space="preserve">Bei der Übergabe des Biomaterials muss der </w:t>
      </w:r>
      <w:r w:rsidR="00E6535A" w:rsidRPr="00ED2A28">
        <w:rPr>
          <w:rFonts w:asciiTheme="minorHAnsi" w:hAnsiTheme="minorHAnsi" w:cs="Arial"/>
        </w:rPr>
        <w:t>Nutzer</w:t>
      </w:r>
      <w:r w:rsidRPr="00ED2A28">
        <w:rPr>
          <w:rFonts w:asciiTheme="minorHAnsi" w:hAnsiTheme="minorHAnsi" w:cs="Arial"/>
        </w:rPr>
        <w:t xml:space="preserve"> für den Erhalt der Proben </w:t>
      </w:r>
      <w:r w:rsidR="000B29E6" w:rsidRPr="00ED2A28">
        <w:rPr>
          <w:rFonts w:asciiTheme="minorHAnsi" w:hAnsiTheme="minorHAnsi" w:cs="Arial"/>
        </w:rPr>
        <w:t xml:space="preserve">außerdem </w:t>
      </w:r>
      <w:r w:rsidRPr="00ED2A28">
        <w:rPr>
          <w:rFonts w:asciiTheme="minorHAnsi" w:hAnsiTheme="minorHAnsi" w:cs="Arial"/>
        </w:rPr>
        <w:t>eine Bestätigung vorlegen und ein Übergabedokument/Material Transfer Agreement unterschreiben (siehe 8. Anhänge).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Das Übergabedokument sollte unter anderem folgende Aspekte berücksichtigen: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  <w:i/>
        </w:rPr>
      </w:pPr>
    </w:p>
    <w:p w:rsidR="00BC6DC5" w:rsidRPr="00ED2A28" w:rsidRDefault="00E46179" w:rsidP="00641317">
      <w:pPr>
        <w:pStyle w:val="Listenabsatz"/>
        <w:numPr>
          <w:ilvl w:val="0"/>
          <w:numId w:val="2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spez. Probencharakteristika (Art, Menge; optional QC-Angaben)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Haftungsausschluss bei unsachgemäßem Gebrauch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Gefahrenübertrag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1418" w:hanging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Verwendung der Proben ausschließlich für den beabsichtigten bzw. freigegebenen Gebrauch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Ausschluss der Weitergabe oder der Veräußerung an Dritte</w:t>
      </w:r>
    </w:p>
    <w:p w:rsidR="00BC6DC5" w:rsidRPr="00ED2A28" w:rsidRDefault="00E46179" w:rsidP="00641317">
      <w:pPr>
        <w:pStyle w:val="Listenabsatz"/>
        <w:numPr>
          <w:ilvl w:val="0"/>
          <w:numId w:val="25"/>
        </w:num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Umgang mit Probenresten</w:t>
      </w:r>
    </w:p>
    <w:p w:rsidR="00BC6DC5" w:rsidRPr="00ED2A28" w:rsidRDefault="00E46179" w:rsidP="00641317">
      <w:pPr>
        <w:pStyle w:val="Listenabsatz"/>
        <w:numPr>
          <w:ilvl w:val="0"/>
          <w:numId w:val="5"/>
        </w:num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Rückmeldung zum Projektfortschritt</w:t>
      </w:r>
    </w:p>
    <w:p w:rsidR="00BC6DC5" w:rsidRPr="00ED2A28" w:rsidRDefault="00E46179" w:rsidP="00641317">
      <w:pPr>
        <w:pStyle w:val="Listenabsatz"/>
        <w:numPr>
          <w:ilvl w:val="0"/>
          <w:numId w:val="5"/>
        </w:numPr>
        <w:ind w:left="1418" w:hanging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 xml:space="preserve">Adäquate Berücksichtigung der Leistung der </w:t>
      </w:r>
      <w:proofErr w:type="spellStart"/>
      <w:r w:rsidRPr="00ED2A28">
        <w:rPr>
          <w:rFonts w:asciiTheme="minorHAnsi" w:hAnsiTheme="minorHAnsi" w:cs="Arial"/>
          <w:i/>
        </w:rPr>
        <w:t>Biobank</w:t>
      </w:r>
      <w:proofErr w:type="spellEnd"/>
      <w:r w:rsidRPr="00ED2A28">
        <w:rPr>
          <w:rFonts w:asciiTheme="minorHAnsi" w:hAnsiTheme="minorHAnsi" w:cs="Arial"/>
          <w:i/>
        </w:rPr>
        <w:t xml:space="preserve"> im Rahmen der Ergebnisverwertung (z. B. Publikationen, Patente etc.)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Alle notwendigen Vorkehrungen sind so zu treffen, dass die Probe den Nutzer unversehrt und in angeforderter Art und Weise erreicht. Die entsprechenden Verantwortlichkeiten sind im Vorfeld zu regeln.</w:t>
      </w:r>
    </w:p>
    <w:p w:rsidR="00E6053F" w:rsidRPr="00ED2A28" w:rsidRDefault="00E6053F" w:rsidP="00641317">
      <w:pPr>
        <w:ind w:left="709"/>
        <w:jc w:val="both"/>
        <w:rPr>
          <w:rFonts w:asciiTheme="minorHAnsi" w:hAnsiTheme="minorHAnsi" w:cs="Arial"/>
        </w:rPr>
      </w:pPr>
    </w:p>
    <w:p w:rsidR="00E6535A" w:rsidRPr="00ED2A28" w:rsidRDefault="00E46179" w:rsidP="00641317">
      <w:pPr>
        <w:ind w:left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Die Übergabe </w:t>
      </w:r>
      <w:proofErr w:type="spellStart"/>
      <w:r w:rsidRPr="00ED2A28">
        <w:rPr>
          <w:rFonts w:asciiTheme="minorHAnsi" w:hAnsiTheme="minorHAnsi" w:cs="Arial"/>
        </w:rPr>
        <w:t>kryokonservierter</w:t>
      </w:r>
      <w:proofErr w:type="spellEnd"/>
      <w:r w:rsidRPr="00ED2A28">
        <w:rPr>
          <w:rFonts w:asciiTheme="minorHAnsi" w:hAnsiTheme="minorHAnsi" w:cs="Arial"/>
        </w:rPr>
        <w:t xml:space="preserve"> Proben </w:t>
      </w:r>
      <w:r w:rsidR="00E6053F" w:rsidRPr="00ED2A28">
        <w:rPr>
          <w:rFonts w:asciiTheme="minorHAnsi" w:hAnsiTheme="minorHAnsi" w:cs="Arial"/>
        </w:rPr>
        <w:t>erfolgt ohne Unterbrechung der Kühlkette</w:t>
      </w:r>
      <w:r w:rsidRPr="00ED2A28">
        <w:rPr>
          <w:rFonts w:asciiTheme="minorHAnsi" w:hAnsiTheme="minorHAnsi" w:cs="Arial"/>
        </w:rPr>
        <w:t xml:space="preserve">. </w:t>
      </w:r>
    </w:p>
    <w:p w:rsidR="00E6053F" w:rsidRPr="00ED2A28" w:rsidRDefault="00E6053F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6053F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(</w:t>
      </w:r>
      <w:r w:rsidR="00E46179" w:rsidRPr="00ED2A28">
        <w:rPr>
          <w:rFonts w:asciiTheme="minorHAnsi" w:hAnsiTheme="minorHAnsi" w:cs="Arial"/>
          <w:i/>
        </w:rPr>
        <w:t>Dazu sind ggf. gesonderte Vereinbarungen mit dem jeweils beauftragten Transportunternehmen zu treffen</w:t>
      </w:r>
      <w:r w:rsidRPr="00ED2A28">
        <w:rPr>
          <w:rFonts w:asciiTheme="minorHAnsi" w:hAnsiTheme="minorHAnsi" w:cs="Arial"/>
          <w:i/>
        </w:rPr>
        <w:t xml:space="preserve"> und zu dokumentieren</w:t>
      </w:r>
      <w:r w:rsidR="00E46179" w:rsidRPr="00ED2A28">
        <w:rPr>
          <w:rFonts w:asciiTheme="minorHAnsi" w:hAnsiTheme="minorHAnsi" w:cs="Arial"/>
          <w:i/>
        </w:rPr>
        <w:t>.</w:t>
      </w:r>
      <w:r w:rsidRPr="00ED2A28">
        <w:rPr>
          <w:rFonts w:asciiTheme="minorHAnsi" w:hAnsiTheme="minorHAnsi" w:cs="Arial"/>
          <w:i/>
        </w:rPr>
        <w:t>)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Nicht verwendetes Material oder verwendungsfähiges Material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nach Ende der Untersuchungen gemäß  geltender Vorgaben </w:t>
      </w:r>
      <w:r w:rsidR="00E6053F" w:rsidRPr="00ED2A28">
        <w:rPr>
          <w:rFonts w:asciiTheme="minorHAnsi" w:hAnsiTheme="minorHAnsi" w:cs="Arial"/>
        </w:rPr>
        <w:t>entsorgt</w:t>
      </w:r>
      <w:r w:rsidRPr="00ED2A28">
        <w:rPr>
          <w:rFonts w:asciiTheme="minorHAnsi" w:hAnsiTheme="minorHAnsi" w:cs="Arial"/>
        </w:rPr>
        <w:t>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</w:rPr>
        <w:t xml:space="preserve">Der gesamte Prozess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 xml:space="preserve">von den verantwortlichen Mitarbeitern </w:t>
      </w:r>
      <w:r w:rsidRPr="00ED2A28">
        <w:rPr>
          <w:rFonts w:asciiTheme="minorHAnsi" w:hAnsiTheme="minorHAnsi" w:cs="Arial"/>
        </w:rPr>
        <w:t>bis zur Probenübernahme dokumentiert.</w:t>
      </w:r>
      <w:r w:rsidR="00E6053F"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  <w:i/>
        </w:rPr>
        <w:t>(Hier Angabe der Dokumentationsart – Datenbank, Tabellenform, ..)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0B29E6" w:rsidRPr="00ED2A28" w:rsidRDefault="000B29E6" w:rsidP="002855E9">
      <w:pPr>
        <w:pStyle w:val="Listenabsatz"/>
        <w:jc w:val="both"/>
        <w:rPr>
          <w:rFonts w:asciiTheme="minorHAnsi" w:hAnsiTheme="minorHAnsi" w:cs="Arial"/>
          <w:b/>
          <w:bCs/>
          <w:vanish/>
        </w:rPr>
      </w:pPr>
    </w:p>
    <w:p w:rsidR="00BC6DC5" w:rsidRPr="002855E9" w:rsidRDefault="00E46179" w:rsidP="002855E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Projektdokumentation</w:t>
      </w:r>
    </w:p>
    <w:p w:rsidR="00BC6DC5" w:rsidRPr="00ED2A28" w:rsidRDefault="00BC6DC5">
      <w:pPr>
        <w:jc w:val="both"/>
        <w:rPr>
          <w:rFonts w:asciiTheme="minorHAnsi" w:hAnsiTheme="minorHAnsi" w:cs="Arial"/>
          <w:b/>
          <w:bCs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Die Projektdokumentation erfolgt fortlaufend.</w:t>
      </w:r>
    </w:p>
    <w:p w:rsidR="00BC6DC5" w:rsidRPr="00ED2A28" w:rsidRDefault="002855E9" w:rsidP="00641317">
      <w:pPr>
        <w:ind w:left="70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Das </w:t>
      </w:r>
      <w:r w:rsidR="00E46179" w:rsidRPr="00ED2A28">
        <w:rPr>
          <w:rFonts w:asciiTheme="minorHAnsi" w:hAnsiTheme="minorHAnsi" w:cs="Arial"/>
        </w:rPr>
        <w:t xml:space="preserve">Basisdokument ist der jeweils zu verwendende Projektantrag. Projektbezogen erhalten die Nutzer der </w:t>
      </w:r>
      <w:proofErr w:type="spellStart"/>
      <w:r w:rsidR="00E46179" w:rsidRPr="00ED2A28">
        <w:rPr>
          <w:rFonts w:asciiTheme="minorHAnsi" w:hAnsiTheme="minorHAnsi" w:cs="Arial"/>
        </w:rPr>
        <w:t>Biobank</w:t>
      </w:r>
      <w:proofErr w:type="spellEnd"/>
      <w:r w:rsidR="00E46179" w:rsidRPr="00ED2A28">
        <w:rPr>
          <w:rFonts w:asciiTheme="minorHAnsi" w:hAnsiTheme="minorHAnsi" w:cs="Arial"/>
        </w:rPr>
        <w:t xml:space="preserve"> folgende Unterlagen:</w:t>
      </w:r>
    </w:p>
    <w:p w:rsidR="00E6053F" w:rsidRPr="00ED2A28" w:rsidRDefault="00E6053F" w:rsidP="00641317">
      <w:pPr>
        <w:ind w:left="709"/>
        <w:rPr>
          <w:rFonts w:asciiTheme="minorHAnsi" w:hAnsiTheme="minorHAnsi"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-</w:t>
      </w:r>
      <w:r w:rsidRPr="00ED2A28">
        <w:rPr>
          <w:rFonts w:asciiTheme="minorHAnsi" w:hAnsiTheme="minorHAnsi" w:cs="Arial"/>
        </w:rPr>
        <w:tab/>
        <w:t>Empfangsbestätigung/Versandbewertung</w:t>
      </w: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lastRenderedPageBreak/>
        <w:t>-</w:t>
      </w:r>
      <w:r w:rsidRPr="00ED2A28">
        <w:rPr>
          <w:rFonts w:asciiTheme="minorHAnsi" w:hAnsiTheme="minorHAnsi" w:cs="Arial"/>
        </w:rPr>
        <w:tab/>
        <w:t>Bestätigung über angenommenen Antrag</w:t>
      </w:r>
    </w:p>
    <w:p w:rsidR="00BC6DC5" w:rsidRPr="00ED2A28" w:rsidRDefault="00E46179" w:rsidP="00641317">
      <w:pPr>
        <w:pStyle w:val="Listenabsatz"/>
        <w:numPr>
          <w:ilvl w:val="0"/>
          <w:numId w:val="27"/>
        </w:num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Probenversandlisten/Übergabeprotokoll</w:t>
      </w:r>
    </w:p>
    <w:p w:rsidR="00BC6DC5" w:rsidRPr="00ED2A28" w:rsidRDefault="002855E9" w:rsidP="00641317">
      <w:pPr>
        <w:pStyle w:val="Listenabsatz"/>
        <w:numPr>
          <w:ilvl w:val="0"/>
          <w:numId w:val="16"/>
        </w:numPr>
        <w:ind w:left="709"/>
        <w:rPr>
          <w:rFonts w:asciiTheme="minorHAnsi" w:hAnsiTheme="minorHAnsi"/>
        </w:rPr>
      </w:pPr>
      <w:r>
        <w:rPr>
          <w:rFonts w:asciiTheme="minorHAnsi" w:hAnsiTheme="minorHAnsi" w:cs="Arial"/>
        </w:rPr>
        <w:t>QC-Kontrolle gemäß internem QC-</w:t>
      </w:r>
      <w:r w:rsidR="00E46179" w:rsidRPr="00ED2A28">
        <w:rPr>
          <w:rFonts w:asciiTheme="minorHAnsi" w:hAnsiTheme="minorHAnsi" w:cs="Arial"/>
        </w:rPr>
        <w:t>Konzept</w:t>
      </w:r>
    </w:p>
    <w:p w:rsidR="00BC6DC5" w:rsidRPr="00ED2A28" w:rsidRDefault="00BC6DC5" w:rsidP="00641317">
      <w:pPr>
        <w:pStyle w:val="Listenabsatz"/>
        <w:ind w:left="709"/>
        <w:rPr>
          <w:rFonts w:asciiTheme="minorHAnsi" w:hAnsiTheme="minorHAnsi"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proofErr w:type="gramStart"/>
      <w:r w:rsidRPr="00ED2A28">
        <w:rPr>
          <w:rFonts w:asciiTheme="minorHAnsi" w:hAnsiTheme="minorHAnsi" w:cs="Arial"/>
        </w:rPr>
        <w:t>Die  Probenauslagerung</w:t>
      </w:r>
      <w:proofErr w:type="gram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durch die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 xml:space="preserve">……………. </w:t>
      </w:r>
      <w:r w:rsidR="002855E9">
        <w:rPr>
          <w:rFonts w:asciiTheme="minorHAnsi" w:hAnsiTheme="minorHAnsi" w:cs="Arial"/>
        </w:rPr>
        <w:t xml:space="preserve">vorgenommen </w:t>
      </w:r>
      <w:r w:rsidR="00E6053F" w:rsidRPr="00ED2A28">
        <w:rPr>
          <w:rFonts w:asciiTheme="minorHAnsi" w:hAnsiTheme="minorHAnsi" w:cs="Arial"/>
        </w:rPr>
        <w:t>(Art</w:t>
      </w:r>
      <w:r w:rsidR="00E6053F" w:rsidRPr="00ED2A28">
        <w:rPr>
          <w:rFonts w:asciiTheme="minorHAnsi" w:hAnsiTheme="minorHAnsi" w:cs="Arial"/>
          <w:i/>
        </w:rPr>
        <w:t xml:space="preserve"> der Dokumentation eintragen)</w:t>
      </w:r>
      <w:r w:rsidRPr="00ED2A28">
        <w:rPr>
          <w:rFonts w:asciiTheme="minorHAnsi" w:hAnsiTheme="minorHAnsi" w:cs="Arial"/>
          <w:i/>
        </w:rPr>
        <w:t>.</w:t>
      </w:r>
    </w:p>
    <w:p w:rsidR="00BC6DC5" w:rsidRPr="00ED2A28" w:rsidRDefault="00E46179" w:rsidP="00641317">
      <w:p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 xml:space="preserve">Die </w:t>
      </w:r>
      <w:proofErr w:type="spellStart"/>
      <w:r w:rsidRPr="00ED2A28">
        <w:rPr>
          <w:rFonts w:asciiTheme="minorHAnsi" w:hAnsiTheme="minorHAnsi" w:cs="Arial"/>
          <w:i/>
        </w:rPr>
        <w:t>Biobank</w:t>
      </w:r>
      <w:proofErr w:type="spellEnd"/>
      <w:r w:rsidRPr="00ED2A28">
        <w:rPr>
          <w:rFonts w:asciiTheme="minorHAnsi" w:hAnsiTheme="minorHAnsi" w:cs="Arial"/>
          <w:i/>
        </w:rPr>
        <w:t xml:space="preserve"> sollte einen Gesamtüberblick über alle Projekte, assoziierte Dienstleistungen und deren Status vorhalten. Dies dient der Projekt- und Leistungsüberwachung.</w:t>
      </w:r>
    </w:p>
    <w:p w:rsidR="00BC6DC5" w:rsidRPr="00ED2A28" w:rsidRDefault="00E46179" w:rsidP="00641317">
      <w:p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Anhand der kontinuierlich geführten Projektdokumentation erfolgt regelhaft ein  SOLL- IST Abgleich.</w:t>
      </w:r>
    </w:p>
    <w:p w:rsidR="00BC6DC5" w:rsidRDefault="00E46179" w:rsidP="00641317">
      <w:pPr>
        <w:ind w:left="709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Die Kommunikation der Ergebnisse der Projektüberwachung ist projektspezifisch geregelt. Regelhaft werden die Ergebnisse intern au</w:t>
      </w:r>
      <w:r w:rsidR="002855E9">
        <w:rPr>
          <w:rFonts w:asciiTheme="minorHAnsi" w:hAnsiTheme="minorHAnsi" w:cs="Arial"/>
        </w:rPr>
        <w:t>sgewertet und fließen in die QM-</w:t>
      </w:r>
      <w:r w:rsidRPr="00ED2A28">
        <w:rPr>
          <w:rFonts w:asciiTheme="minorHAnsi" w:hAnsiTheme="minorHAnsi" w:cs="Arial"/>
        </w:rPr>
        <w:t xml:space="preserve">Bewertung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ein.</w:t>
      </w:r>
    </w:p>
    <w:p w:rsidR="00641317" w:rsidRPr="00ED2A28" w:rsidRDefault="00641317" w:rsidP="00641317">
      <w:pPr>
        <w:ind w:left="709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641317" w:rsidRPr="00641317" w:rsidRDefault="00641317" w:rsidP="002855E9">
      <w:pPr>
        <w:pStyle w:val="Listenabsatz"/>
        <w:jc w:val="both"/>
        <w:rPr>
          <w:rFonts w:asciiTheme="minorHAnsi" w:hAnsiTheme="minorHAnsi" w:cs="Arial"/>
          <w:b/>
          <w:bCs/>
          <w:vanish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Mitgeltende Unterlagen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DIN CEN/TS 16826-1, 16827-1, 16827-2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DIN EN ISO 17020, DIN EN ISO 17025, DIN EN ISO 15189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Gefahrstoffverordnung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Querverweise</w:t>
      </w:r>
    </w:p>
    <w:p w:rsidR="00281EFF" w:rsidRDefault="00281EFF" w:rsidP="00641317">
      <w:pPr>
        <w:pStyle w:val="Listenabsatz"/>
        <w:ind w:left="709"/>
        <w:jc w:val="both"/>
        <w:rPr>
          <w:rFonts w:asciiTheme="minorHAnsi" w:hAnsiTheme="minorHAnsi"/>
        </w:rPr>
      </w:pPr>
      <w:bookmarkStart w:id="0" w:name="_GoBack"/>
      <w:bookmarkEnd w:id="0"/>
      <w:r w:rsidRPr="00281EFF">
        <w:rPr>
          <w:rFonts w:asciiTheme="minorHAnsi" w:hAnsiTheme="minorHAnsi"/>
        </w:rPr>
        <w:t>06.2a_GBN_FB_Kompetenz-_und_Verantwortungsmatrix</w:t>
      </w:r>
    </w:p>
    <w:p w:rsidR="00281EFF" w:rsidRPr="00ED2A28" w:rsidRDefault="00281EFF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281EFF">
        <w:rPr>
          <w:rFonts w:asciiTheme="minorHAnsi" w:hAnsiTheme="minorHAnsi"/>
        </w:rPr>
        <w:t>08.2b_GBN_Begriffe_und_Abkürzungen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Anhänge</w:t>
      </w:r>
    </w:p>
    <w:p w:rsidR="00BC6DC5" w:rsidRDefault="00E46179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Antragsformular, Übergabeformulare, ggf. </w:t>
      </w:r>
      <w:proofErr w:type="spellStart"/>
      <w:r w:rsidRPr="00ED2A28">
        <w:rPr>
          <w:rFonts w:asciiTheme="minorHAnsi" w:hAnsiTheme="minorHAnsi" w:cs="Arial"/>
        </w:rPr>
        <w:t>eMails</w:t>
      </w:r>
      <w:proofErr w:type="spellEnd"/>
      <w:r w:rsidRPr="00ED2A28">
        <w:rPr>
          <w:rFonts w:asciiTheme="minorHAnsi" w:hAnsiTheme="minorHAnsi" w:cs="Arial"/>
        </w:rPr>
        <w:t>, Bestätigungsschreiben, Korrespondenz</w:t>
      </w:r>
    </w:p>
    <w:p w:rsidR="00641317" w:rsidRDefault="00641317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</w:p>
    <w:p w:rsidR="00641317" w:rsidRDefault="00641317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</w:p>
    <w:p w:rsidR="00641317" w:rsidRPr="00ED2A28" w:rsidRDefault="00641317" w:rsidP="00641317">
      <w:pPr>
        <w:pStyle w:val="Listenabsatz"/>
        <w:ind w:firstLine="709"/>
        <w:jc w:val="both"/>
        <w:rPr>
          <w:rFonts w:asciiTheme="minorHAnsi" w:hAnsiTheme="minorHAnsi"/>
        </w:rPr>
      </w:pPr>
    </w:p>
    <w:p w:rsidR="00BC6DC5" w:rsidRPr="00ED2A28" w:rsidRDefault="00BC6DC5">
      <w:pPr>
        <w:pStyle w:val="Listenabsatz"/>
        <w:jc w:val="both"/>
        <w:rPr>
          <w:rFonts w:asciiTheme="minorHAnsi" w:hAnsiTheme="minorHAnsi" w:cs="Arial"/>
        </w:rPr>
      </w:pPr>
    </w:p>
    <w:tbl>
      <w:tblPr>
        <w:tblW w:w="9638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4540"/>
      </w:tblGrid>
      <w:tr w:rsidR="00BC6DC5" w:rsidRPr="00ED2A28"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4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C6DC5" w:rsidRPr="00ED2A28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C6DC5" w:rsidRPr="00ED2A28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BC6DC5" w:rsidRPr="00ED2A28" w:rsidRDefault="00BC6DC5">
      <w:pPr>
        <w:tabs>
          <w:tab w:val="left" w:pos="2430"/>
        </w:tabs>
        <w:rPr>
          <w:rFonts w:asciiTheme="minorHAnsi" w:hAnsiTheme="minorHAnsi" w:cs="Arial"/>
        </w:rPr>
      </w:pPr>
    </w:p>
    <w:p w:rsidR="00BC6DC5" w:rsidRPr="00ED2A28" w:rsidRDefault="00BC6DC5">
      <w:pPr>
        <w:rPr>
          <w:rFonts w:asciiTheme="minorHAnsi" w:hAnsiTheme="minorHAnsi"/>
        </w:rPr>
      </w:pPr>
    </w:p>
    <w:sectPr w:rsidR="00BC6DC5" w:rsidRPr="00ED2A28" w:rsidSect="00BF0757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ED3" w:rsidRDefault="00865ED3">
      <w:r>
        <w:separator/>
      </w:r>
    </w:p>
  </w:endnote>
  <w:endnote w:type="continuationSeparator" w:id="0">
    <w:p w:rsidR="00865ED3" w:rsidRDefault="0086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5245"/>
      <w:gridCol w:w="2353"/>
    </w:tblGrid>
    <w:tr w:rsidR="00641317" w:rsidRPr="00124529" w:rsidTr="00281EFF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281EFF" w:rsidP="00F9595F">
          <w:pPr>
            <w:pStyle w:val="QEP-FuzeileUV"/>
            <w:snapToGrid w:val="0"/>
            <w:rPr>
              <w:rFonts w:asciiTheme="minorHAnsi" w:hAnsiTheme="minorHAnsi" w:cs="Arial"/>
              <w:color w:val="808080"/>
            </w:rPr>
          </w:pPr>
          <w:r>
            <w:rPr>
              <w:rFonts w:asciiTheme="minorHAnsi" w:hAnsiTheme="minorHAnsi" w:cs="Arial"/>
              <w:color w:val="808080"/>
            </w:rPr>
            <w:t>Revision: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641317" w:rsidP="00641317">
          <w:pPr>
            <w:pStyle w:val="QEP-FuzeileUV"/>
            <w:snapToGrid w:val="0"/>
            <w:rPr>
              <w:rFonts w:asciiTheme="minorHAnsi" w:hAnsiTheme="minorHAnsi" w:cs="Arial"/>
              <w:color w:val="808080"/>
            </w:rPr>
          </w:pPr>
          <w:r>
            <w:rPr>
              <w:rFonts w:asciiTheme="minorHAnsi" w:hAnsiTheme="minorHAnsi" w:cs="Arial"/>
              <w:color w:val="808080"/>
            </w:rPr>
            <w:fldChar w:fldCharType="begin"/>
          </w:r>
          <w:r>
            <w:rPr>
              <w:rFonts w:asciiTheme="minorHAnsi" w:hAnsiTheme="minorHAnsi" w:cs="Arial"/>
              <w:color w:val="808080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</w:rPr>
            <w:fldChar w:fldCharType="separate"/>
          </w:r>
          <w:r w:rsidR="00281EFF">
            <w:rPr>
              <w:rFonts w:asciiTheme="minorHAnsi" w:hAnsiTheme="minorHAnsi" w:cs="Arial"/>
              <w:noProof/>
              <w:color w:val="808080"/>
            </w:rPr>
            <w:t>07.4a_GBN_VA_Probenanfrage.docx</w:t>
          </w:r>
          <w:r>
            <w:rPr>
              <w:rFonts w:asciiTheme="minorHAnsi" w:hAnsiTheme="minorHAnsi" w:cs="Arial"/>
              <w:color w:val="808080"/>
            </w:rPr>
            <w:fldChar w:fldCharType="end"/>
          </w:r>
        </w:p>
      </w:tc>
      <w:tc>
        <w:tcPr>
          <w:tcW w:w="235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641317" w:rsidP="00F9595F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</w:rPr>
          </w:pPr>
          <w:r w:rsidRPr="00124529">
            <w:rPr>
              <w:rFonts w:asciiTheme="minorHAnsi" w:hAnsiTheme="minorHAnsi" w:cs="Arial"/>
              <w:color w:val="808080"/>
            </w:rPr>
            <w:t>Seite:</w:t>
          </w:r>
        </w:p>
      </w:tc>
    </w:tr>
  </w:tbl>
  <w:p w:rsidR="008411B1" w:rsidRPr="00117DC4" w:rsidRDefault="008411B1" w:rsidP="008411B1">
    <w:pPr>
      <w:rPr>
        <w:sz w:val="4"/>
        <w:szCs w:val="17"/>
      </w:rPr>
    </w:pPr>
  </w:p>
  <w:p w:rsidR="00E46179" w:rsidRPr="00C54CEA" w:rsidRDefault="00C54CEA" w:rsidP="00C54CEA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ED3" w:rsidRDefault="00865ED3">
      <w:r>
        <w:rPr>
          <w:color w:val="000000"/>
        </w:rPr>
        <w:separator/>
      </w:r>
    </w:p>
  </w:footnote>
  <w:footnote w:type="continuationSeparator" w:id="0">
    <w:p w:rsidR="00865ED3" w:rsidRDefault="0086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EF" w:rsidRDefault="005B5ADA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4257675</wp:posOffset>
          </wp:positionH>
          <wp:positionV relativeFrom="paragraph">
            <wp:posOffset>-297815</wp:posOffset>
          </wp:positionV>
          <wp:extent cx="2043430" cy="930275"/>
          <wp:effectExtent l="0" t="0" r="0" b="317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15EF" w:rsidRDefault="00B415EF">
    <w:pPr>
      <w:pStyle w:val="Kopfzeile"/>
    </w:pPr>
  </w:p>
  <w:p w:rsidR="00E46179" w:rsidRDefault="00E46179">
    <w:pPr>
      <w:pStyle w:val="Kopfzeile"/>
    </w:pPr>
  </w:p>
  <w:tbl>
    <w:tblPr>
      <w:tblW w:w="9649" w:type="dxa"/>
      <w:tblInd w:w="3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602"/>
      <w:gridCol w:w="2835"/>
    </w:tblGrid>
    <w:tr w:rsidR="00B415EF" w:rsidRPr="00B415EF" w:rsidTr="00BF61B3">
      <w:tc>
        <w:tcPr>
          <w:tcW w:w="3212" w:type="dxa"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pStyle w:val="TableContents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 xml:space="preserve">Name der </w:t>
          </w:r>
          <w:proofErr w:type="spellStart"/>
          <w:r w:rsidRPr="00B415EF">
            <w:rPr>
              <w:rFonts w:ascii="Calibri" w:hAnsi="Calibri"/>
              <w:sz w:val="28"/>
              <w:szCs w:val="28"/>
            </w:rPr>
            <w:t>Biobank</w:t>
          </w:r>
          <w:proofErr w:type="spellEnd"/>
        </w:p>
      </w:tc>
      <w:tc>
        <w:tcPr>
          <w:tcW w:w="3602" w:type="dxa"/>
          <w:vMerge w:val="restart"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shd w:val="clear" w:color="auto" w:fill="939FAD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KeinLeerraum"/>
            <w:jc w:val="center"/>
            <w:rPr>
              <w:rFonts w:ascii="Calibri" w:hAnsi="Calibri"/>
              <w:b/>
              <w:color w:val="FFFFFF"/>
              <w:sz w:val="28"/>
              <w:szCs w:val="28"/>
            </w:rPr>
          </w:pPr>
          <w:r w:rsidRPr="00B415EF">
            <w:rPr>
              <w:rFonts w:ascii="Calibri" w:hAnsi="Calibri"/>
              <w:b/>
              <w:color w:val="FFFFFF"/>
              <w:sz w:val="28"/>
              <w:szCs w:val="28"/>
            </w:rPr>
            <w:t>Anforderung und Abgabe von Proben</w:t>
          </w:r>
        </w:p>
      </w:tc>
      <w:tc>
        <w:tcPr>
          <w:tcW w:w="2835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pStyle w:val="TableContents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 xml:space="preserve">Leitung der </w:t>
          </w:r>
          <w:proofErr w:type="spellStart"/>
          <w:r w:rsidRPr="00B415EF">
            <w:rPr>
              <w:rFonts w:ascii="Calibri" w:hAnsi="Calibri"/>
              <w:sz w:val="28"/>
              <w:szCs w:val="28"/>
            </w:rPr>
            <w:t>Biobank</w:t>
          </w:r>
          <w:proofErr w:type="spellEnd"/>
          <w:r w:rsidRPr="00B415EF">
            <w:rPr>
              <w:rFonts w:ascii="Calibri" w:hAnsi="Calibri"/>
              <w:sz w:val="28"/>
              <w:szCs w:val="28"/>
            </w:rPr>
            <w:t xml:space="preserve"> XXX</w:t>
          </w:r>
        </w:p>
      </w:tc>
    </w:tr>
    <w:tr w:rsidR="00B415EF" w:rsidRPr="00B415EF" w:rsidTr="00BF61B3">
      <w:trPr>
        <w:trHeight w:val="937"/>
      </w:trPr>
      <w:tc>
        <w:tcPr>
          <w:tcW w:w="3212" w:type="dxa"/>
          <w:tcBorders>
            <w:left w:val="single" w:sz="2" w:space="0" w:color="000001"/>
            <w:bottom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TableContents"/>
            <w:jc w:val="center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Evtl. Logo</w:t>
          </w:r>
        </w:p>
      </w:tc>
      <w:tc>
        <w:tcPr>
          <w:tcW w:w="3602" w:type="dxa"/>
          <w:vMerge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shd w:val="clear" w:color="auto" w:fill="939FAD"/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rPr>
              <w:rFonts w:ascii="Calibri" w:hAnsi="Calibri"/>
              <w:sz w:val="28"/>
              <w:szCs w:val="28"/>
            </w:rPr>
          </w:pPr>
        </w:p>
      </w:tc>
      <w:tc>
        <w:tcPr>
          <w:tcW w:w="2835" w:type="dxa"/>
          <w:tcBorders>
            <w:left w:val="single" w:sz="2" w:space="0" w:color="000001"/>
            <w:bottom w:val="single" w:sz="2" w:space="0" w:color="000001"/>
            <w:right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TableContents"/>
            <w:jc w:val="center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Verfahrensanweisung</w:t>
          </w:r>
        </w:p>
      </w:tc>
    </w:tr>
  </w:tbl>
  <w:p w:rsidR="00B415EF" w:rsidRDefault="00B415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E53"/>
    <w:multiLevelType w:val="multilevel"/>
    <w:tmpl w:val="64EABE9A"/>
    <w:styleLink w:val="WWNum3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E22120"/>
    <w:multiLevelType w:val="hybridMultilevel"/>
    <w:tmpl w:val="E7809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A112D"/>
    <w:multiLevelType w:val="multilevel"/>
    <w:tmpl w:val="20BC1FC8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401133E"/>
    <w:multiLevelType w:val="multilevel"/>
    <w:tmpl w:val="C300734A"/>
    <w:styleLink w:val="WWNum7"/>
    <w:lvl w:ilvl="0">
      <w:start w:val="1"/>
      <w:numFmt w:val="decimal"/>
      <w:lvlText w:val="5.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F117B42"/>
    <w:multiLevelType w:val="hybridMultilevel"/>
    <w:tmpl w:val="E0468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82118"/>
    <w:multiLevelType w:val="multilevel"/>
    <w:tmpl w:val="AEEE512E"/>
    <w:styleLink w:val="WWNum1"/>
    <w:lvl w:ilvl="0">
      <w:numFmt w:val="bullet"/>
      <w:lvlText w:val="•"/>
      <w:lvlJc w:val="left"/>
      <w:rPr>
        <w:rFonts w:eastAsia="OpenSymbol" w:cs="OpenSymbol"/>
      </w:rPr>
    </w:lvl>
    <w:lvl w:ilvl="1">
      <w:numFmt w:val="bullet"/>
      <w:lvlText w:val="◦"/>
      <w:lvlJc w:val="left"/>
      <w:rPr>
        <w:rFonts w:eastAsia="OpenSymbol" w:cs="OpenSymbol"/>
      </w:rPr>
    </w:lvl>
    <w:lvl w:ilvl="2">
      <w:numFmt w:val="bullet"/>
      <w:lvlText w:val="▪"/>
      <w:lvlJc w:val="left"/>
      <w:rPr>
        <w:rFonts w:eastAsia="OpenSymbol" w:cs="OpenSymbol"/>
      </w:rPr>
    </w:lvl>
    <w:lvl w:ilvl="3">
      <w:numFmt w:val="bullet"/>
      <w:lvlText w:val="•"/>
      <w:lvlJc w:val="left"/>
      <w:rPr>
        <w:rFonts w:eastAsia="OpenSymbol" w:cs="OpenSymbol"/>
      </w:rPr>
    </w:lvl>
    <w:lvl w:ilvl="4">
      <w:numFmt w:val="bullet"/>
      <w:lvlText w:val="◦"/>
      <w:lvlJc w:val="left"/>
      <w:rPr>
        <w:rFonts w:eastAsia="OpenSymbol" w:cs="OpenSymbol"/>
      </w:rPr>
    </w:lvl>
    <w:lvl w:ilvl="5">
      <w:numFmt w:val="bullet"/>
      <w:lvlText w:val="▪"/>
      <w:lvlJc w:val="left"/>
      <w:rPr>
        <w:rFonts w:eastAsia="OpenSymbol" w:cs="OpenSymbol"/>
      </w:rPr>
    </w:lvl>
    <w:lvl w:ilvl="6">
      <w:numFmt w:val="bullet"/>
      <w:lvlText w:val="•"/>
      <w:lvlJc w:val="left"/>
      <w:rPr>
        <w:rFonts w:eastAsia="OpenSymbol" w:cs="OpenSymbol"/>
      </w:rPr>
    </w:lvl>
    <w:lvl w:ilvl="7">
      <w:numFmt w:val="bullet"/>
      <w:lvlText w:val="◦"/>
      <w:lvlJc w:val="left"/>
      <w:rPr>
        <w:rFonts w:eastAsia="OpenSymbol" w:cs="OpenSymbol"/>
      </w:rPr>
    </w:lvl>
    <w:lvl w:ilvl="8">
      <w:numFmt w:val="bullet"/>
      <w:lvlText w:val="▪"/>
      <w:lvlJc w:val="left"/>
      <w:rPr>
        <w:rFonts w:eastAsia="OpenSymbol" w:cs="OpenSymbol"/>
      </w:rPr>
    </w:lvl>
  </w:abstractNum>
  <w:abstractNum w:abstractNumId="6" w15:restartNumberingAfterBreak="0">
    <w:nsid w:val="22CF1BD4"/>
    <w:multiLevelType w:val="multilevel"/>
    <w:tmpl w:val="9C781B70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BA2316B"/>
    <w:multiLevelType w:val="multilevel"/>
    <w:tmpl w:val="2C7E52EA"/>
    <w:styleLink w:val="WWNum13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07C5136"/>
    <w:multiLevelType w:val="multilevel"/>
    <w:tmpl w:val="863C4524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67D1D6E"/>
    <w:multiLevelType w:val="multilevel"/>
    <w:tmpl w:val="87E26C7C"/>
    <w:styleLink w:val="WWNum12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37987F6E"/>
    <w:multiLevelType w:val="multilevel"/>
    <w:tmpl w:val="EC60B124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D13499E"/>
    <w:multiLevelType w:val="multilevel"/>
    <w:tmpl w:val="0CB036E6"/>
    <w:styleLink w:val="WWNum9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9F617DD"/>
    <w:multiLevelType w:val="multilevel"/>
    <w:tmpl w:val="5FA0EDC8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4A974CCD"/>
    <w:multiLevelType w:val="multilevel"/>
    <w:tmpl w:val="1F8204BE"/>
    <w:styleLink w:val="WWNum18"/>
    <w:lvl w:ilvl="0">
      <w:start w:val="1"/>
      <w:numFmt w:val="decimal"/>
      <w:lvlText w:val="5.%1"/>
      <w:lvlJc w:val="left"/>
      <w:rPr>
        <w:b/>
        <w:i/>
        <w:sz w:val="24"/>
        <w:szCs w:val="24"/>
      </w:rPr>
    </w:lvl>
    <w:lvl w:ilvl="1">
      <w:numFmt w:val="bullet"/>
      <w:lvlText w:val=""/>
      <w:lvlJc w:val="left"/>
      <w:rPr>
        <w:rFonts w:ascii="Symbol" w:hAnsi="Symbol"/>
        <w:b/>
        <w:i/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4FC7571C"/>
    <w:multiLevelType w:val="multilevel"/>
    <w:tmpl w:val="501494F2"/>
    <w:styleLink w:val="WWNum11"/>
    <w:lvl w:ilvl="0">
      <w:start w:val="1"/>
      <w:numFmt w:val="decimal"/>
      <w:lvlText w:val="4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0C02889"/>
    <w:multiLevelType w:val="hybridMultilevel"/>
    <w:tmpl w:val="877C2B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3613A"/>
    <w:multiLevelType w:val="multilevel"/>
    <w:tmpl w:val="92123FD6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7936E6C"/>
    <w:multiLevelType w:val="multilevel"/>
    <w:tmpl w:val="F326B1EE"/>
    <w:styleLink w:val="WWNum4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42F295F"/>
    <w:multiLevelType w:val="multilevel"/>
    <w:tmpl w:val="CD9C69D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6902338C"/>
    <w:multiLevelType w:val="hybridMultilevel"/>
    <w:tmpl w:val="8F10E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D3A77"/>
    <w:multiLevelType w:val="multilevel"/>
    <w:tmpl w:val="6EF6507C"/>
    <w:styleLink w:val="WWNum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74104C38"/>
    <w:multiLevelType w:val="multilevel"/>
    <w:tmpl w:val="67C4388E"/>
    <w:styleLink w:val="WWNum16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58E19CE"/>
    <w:multiLevelType w:val="multilevel"/>
    <w:tmpl w:val="75409C76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76BE3184"/>
    <w:multiLevelType w:val="hybridMultilevel"/>
    <w:tmpl w:val="D49E4AF0"/>
    <w:lvl w:ilvl="0" w:tplc="F71E04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17"/>
  </w:num>
  <w:num w:numId="5">
    <w:abstractNumId w:val="16"/>
  </w:num>
  <w:num w:numId="6">
    <w:abstractNumId w:val="10"/>
  </w:num>
  <w:num w:numId="7">
    <w:abstractNumId w:val="3"/>
  </w:num>
  <w:num w:numId="8">
    <w:abstractNumId w:val="18"/>
  </w:num>
  <w:num w:numId="9">
    <w:abstractNumId w:val="11"/>
  </w:num>
  <w:num w:numId="10">
    <w:abstractNumId w:val="1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22"/>
  </w:num>
  <w:num w:numId="16">
    <w:abstractNumId w:val="21"/>
  </w:num>
  <w:num w:numId="17">
    <w:abstractNumId w:val="2"/>
  </w:num>
  <w:num w:numId="18">
    <w:abstractNumId w:val="13"/>
  </w:num>
  <w:num w:numId="19">
    <w:abstractNumId w:val="8"/>
  </w:num>
  <w:num w:numId="20">
    <w:abstractNumId w:val="22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6"/>
  </w:num>
  <w:num w:numId="23">
    <w:abstractNumId w:val="3"/>
    <w:lvlOverride w:ilvl="0">
      <w:startOverride w:val="1"/>
    </w:lvlOverride>
  </w:num>
  <w:num w:numId="24">
    <w:abstractNumId w:val="6"/>
  </w:num>
  <w:num w:numId="25">
    <w:abstractNumId w:val="16"/>
  </w:num>
  <w:num w:numId="26">
    <w:abstractNumId w:val="3"/>
    <w:lvlOverride w:ilvl="0">
      <w:startOverride w:val="1"/>
      <w:lvl w:ilvl="0">
        <w:start w:val="1"/>
        <w:numFmt w:val="decimal"/>
        <w:lvlText w:val="5.%1."/>
        <w:lvlJc w:val="left"/>
        <w:rPr>
          <w:rFonts w:cs="Times New Roman"/>
          <w:b/>
        </w:rPr>
      </w:lvl>
    </w:lvlOverride>
  </w:num>
  <w:num w:numId="27">
    <w:abstractNumId w:val="21"/>
  </w:num>
  <w:num w:numId="28">
    <w:abstractNumId w:val="22"/>
  </w:num>
  <w:num w:numId="29">
    <w:abstractNumId w:val="17"/>
    <w:lvlOverride w:ilvl="0">
      <w:startOverride w:val="7"/>
    </w:lvlOverride>
  </w:num>
  <w:num w:numId="30">
    <w:abstractNumId w:val="1"/>
  </w:num>
  <w:num w:numId="31">
    <w:abstractNumId w:val="4"/>
  </w:num>
  <w:num w:numId="32">
    <w:abstractNumId w:val="19"/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C5"/>
    <w:rsid w:val="000B29E6"/>
    <w:rsid w:val="000B4BEB"/>
    <w:rsid w:val="001104B3"/>
    <w:rsid w:val="001632C4"/>
    <w:rsid w:val="00281EFF"/>
    <w:rsid w:val="002855E9"/>
    <w:rsid w:val="002C3FE5"/>
    <w:rsid w:val="00360103"/>
    <w:rsid w:val="003E231F"/>
    <w:rsid w:val="005A0B01"/>
    <w:rsid w:val="005B5ADA"/>
    <w:rsid w:val="00641317"/>
    <w:rsid w:val="007D47CC"/>
    <w:rsid w:val="008411B1"/>
    <w:rsid w:val="00865ED3"/>
    <w:rsid w:val="00964C0C"/>
    <w:rsid w:val="009726F0"/>
    <w:rsid w:val="00993C1B"/>
    <w:rsid w:val="00B415EF"/>
    <w:rsid w:val="00BC114B"/>
    <w:rsid w:val="00BC1447"/>
    <w:rsid w:val="00BC6DC5"/>
    <w:rsid w:val="00BF0757"/>
    <w:rsid w:val="00C05EDF"/>
    <w:rsid w:val="00C54CEA"/>
    <w:rsid w:val="00C77371"/>
    <w:rsid w:val="00E46179"/>
    <w:rsid w:val="00E6053F"/>
    <w:rsid w:val="00E6535A"/>
    <w:rsid w:val="00ED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F66EE"/>
  <w15:docId w15:val="{4494FD2F-5BBC-42C5-BD18-2CB0A63B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Textbody"/>
    <w:pPr>
      <w:keepNext/>
      <w:spacing w:before="480"/>
      <w:outlineLvl w:val="0"/>
    </w:pPr>
    <w:rPr>
      <w:rFonts w:ascii="Cambria" w:hAnsi="Cambria" w:cs="F"/>
      <w:b/>
      <w:bCs/>
      <w:color w:val="365F91"/>
      <w:sz w:val="28"/>
      <w:szCs w:val="25"/>
    </w:rPr>
  </w:style>
  <w:style w:type="paragraph" w:styleId="berschrift2">
    <w:name w:val="heading 2"/>
    <w:basedOn w:val="Standard"/>
    <w:next w:val="Textbody"/>
    <w:pPr>
      <w:keepNext/>
      <w:spacing w:before="200"/>
      <w:outlineLvl w:val="1"/>
    </w:pPr>
    <w:rPr>
      <w:rFonts w:ascii="Cambria" w:hAnsi="Cambria" w:cs="F"/>
      <w:b/>
      <w:bCs/>
      <w:color w:val="4F81BD"/>
      <w:sz w:val="26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EP-Fuzeile">
    <w:name w:val="QEP-Fußzeile"/>
    <w:basedOn w:val="Standard"/>
  </w:style>
  <w:style w:type="paragraph" w:customStyle="1" w:styleId="QEP-FuzeileUV">
    <w:name w:val="QEP-Fußzeile UV"/>
    <w:basedOn w:val="QEP-Fuzeile"/>
  </w:style>
  <w:style w:type="paragraph" w:styleId="Listenabsatz">
    <w:name w:val="List Paragraph"/>
    <w:basedOn w:val="Standard"/>
  </w:style>
  <w:style w:type="paragraph" w:customStyle="1" w:styleId="Textkrper21">
    <w:name w:val="Textkörper 21"/>
    <w:basedOn w:val="Standard"/>
  </w:style>
  <w:style w:type="paragraph" w:customStyle="1" w:styleId="Default">
    <w:name w:val="Default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Kommentartext">
    <w:name w:val="annotation text"/>
    <w:basedOn w:val="Standard"/>
  </w:style>
  <w:style w:type="paragraph" w:styleId="Kommentarthema">
    <w:name w:val="annotation subject"/>
    <w:basedOn w:val="Kommentartext"/>
  </w:style>
  <w:style w:type="paragraph" w:styleId="Sprechblasentext">
    <w:name w:val="Balloon Text"/>
    <w:basedOn w:val="Standard"/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SimSun" w:cs="Arial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b/>
      <w:i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FF"/>
      <w:u w:val="single"/>
    </w:rPr>
  </w:style>
  <w:style w:type="character" w:styleId="Kommentarzeichen">
    <w:name w:val="annotation reference"/>
    <w:basedOn w:val="Absatz-Standardschriftart"/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basedOn w:val="KommentartextZchn"/>
  </w:style>
  <w:style w:type="character" w:customStyle="1" w:styleId="SprechblasentextZchn">
    <w:name w:val="Sprechblasentext Zchn"/>
    <w:basedOn w:val="Absatz-Standardschriftart"/>
  </w:style>
  <w:style w:type="character" w:customStyle="1" w:styleId="berschrift2Zchn">
    <w:name w:val="Überschrift 2 Zchn"/>
    <w:basedOn w:val="Absatz-Standardschriftart"/>
  </w:style>
  <w:style w:type="character" w:customStyle="1" w:styleId="berschrift1Zchn">
    <w:name w:val="Überschrift 1 Zchn"/>
    <w:basedOn w:val="Absatz-Standardschriftart"/>
  </w:style>
  <w:style w:type="character" w:styleId="Zeilennummer">
    <w:name w:val="line number"/>
    <w:basedOn w:val="Absatz-Standardschriftart"/>
  </w:style>
  <w:style w:type="character" w:customStyle="1" w:styleId="Linenumbering">
    <w:name w:val="Line numbering"/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3">
    <w:name w:val="WWNum3"/>
    <w:basedOn w:val="KeineListe"/>
    <w:pPr>
      <w:numPr>
        <w:numId w:val="3"/>
      </w:numPr>
    </w:pPr>
  </w:style>
  <w:style w:type="numbering" w:customStyle="1" w:styleId="WWNum4">
    <w:name w:val="WWNum4"/>
    <w:basedOn w:val="KeineListe"/>
    <w:pPr>
      <w:numPr>
        <w:numId w:val="4"/>
      </w:numPr>
    </w:pPr>
  </w:style>
  <w:style w:type="numbering" w:customStyle="1" w:styleId="WWNum5">
    <w:name w:val="WWNum5"/>
    <w:basedOn w:val="KeineListe"/>
    <w:pPr>
      <w:numPr>
        <w:numId w:val="5"/>
      </w:numPr>
    </w:pPr>
  </w:style>
  <w:style w:type="numbering" w:customStyle="1" w:styleId="WWNum6">
    <w:name w:val="WWNum6"/>
    <w:basedOn w:val="KeineListe"/>
    <w:pPr>
      <w:numPr>
        <w:numId w:val="6"/>
      </w:numPr>
    </w:pPr>
  </w:style>
  <w:style w:type="numbering" w:customStyle="1" w:styleId="WWNum7">
    <w:name w:val="WWNum7"/>
    <w:basedOn w:val="KeineListe"/>
    <w:pPr>
      <w:numPr>
        <w:numId w:val="7"/>
      </w:numPr>
    </w:pPr>
  </w:style>
  <w:style w:type="numbering" w:customStyle="1" w:styleId="WWNum8">
    <w:name w:val="WWNum8"/>
    <w:basedOn w:val="KeineListe"/>
    <w:pPr>
      <w:numPr>
        <w:numId w:val="8"/>
      </w:numPr>
    </w:pPr>
  </w:style>
  <w:style w:type="numbering" w:customStyle="1" w:styleId="WWNum9">
    <w:name w:val="WWNum9"/>
    <w:basedOn w:val="KeineListe"/>
    <w:pPr>
      <w:numPr>
        <w:numId w:val="9"/>
      </w:numPr>
    </w:pPr>
  </w:style>
  <w:style w:type="numbering" w:customStyle="1" w:styleId="WWNum10">
    <w:name w:val="WWNum10"/>
    <w:basedOn w:val="KeineListe"/>
    <w:pPr>
      <w:numPr>
        <w:numId w:val="10"/>
      </w:numPr>
    </w:pPr>
  </w:style>
  <w:style w:type="numbering" w:customStyle="1" w:styleId="WWNum11">
    <w:name w:val="WWNum11"/>
    <w:basedOn w:val="KeineListe"/>
    <w:pPr>
      <w:numPr>
        <w:numId w:val="11"/>
      </w:numPr>
    </w:pPr>
  </w:style>
  <w:style w:type="numbering" w:customStyle="1" w:styleId="WWNum12">
    <w:name w:val="WWNum12"/>
    <w:basedOn w:val="KeineListe"/>
    <w:pPr>
      <w:numPr>
        <w:numId w:val="12"/>
      </w:numPr>
    </w:pPr>
  </w:style>
  <w:style w:type="numbering" w:customStyle="1" w:styleId="WWNum13">
    <w:name w:val="WWNum13"/>
    <w:basedOn w:val="KeineListe"/>
    <w:pPr>
      <w:numPr>
        <w:numId w:val="13"/>
      </w:numPr>
    </w:pPr>
  </w:style>
  <w:style w:type="numbering" w:customStyle="1" w:styleId="WWNum14">
    <w:name w:val="WWNum14"/>
    <w:basedOn w:val="KeineListe"/>
    <w:pPr>
      <w:numPr>
        <w:numId w:val="14"/>
      </w:numPr>
    </w:pPr>
  </w:style>
  <w:style w:type="numbering" w:customStyle="1" w:styleId="WWNum15">
    <w:name w:val="WWNum15"/>
    <w:basedOn w:val="KeineListe"/>
    <w:pPr>
      <w:numPr>
        <w:numId w:val="15"/>
      </w:numPr>
    </w:pPr>
  </w:style>
  <w:style w:type="numbering" w:customStyle="1" w:styleId="WWNum16">
    <w:name w:val="WWNum16"/>
    <w:basedOn w:val="KeineListe"/>
    <w:pPr>
      <w:numPr>
        <w:numId w:val="16"/>
      </w:numPr>
    </w:pPr>
  </w:style>
  <w:style w:type="numbering" w:customStyle="1" w:styleId="WWNum17">
    <w:name w:val="WWNum17"/>
    <w:basedOn w:val="KeineListe"/>
    <w:pPr>
      <w:numPr>
        <w:numId w:val="17"/>
      </w:numPr>
    </w:pPr>
  </w:style>
  <w:style w:type="numbering" w:customStyle="1" w:styleId="WWNum18">
    <w:name w:val="WWNum18"/>
    <w:basedOn w:val="KeineListe"/>
    <w:pPr>
      <w:numPr>
        <w:numId w:val="18"/>
      </w:numPr>
    </w:pPr>
  </w:style>
  <w:style w:type="numbering" w:customStyle="1" w:styleId="WWNum19">
    <w:name w:val="WWNum19"/>
    <w:basedOn w:val="KeineListe"/>
    <w:pPr>
      <w:numPr>
        <w:numId w:val="19"/>
      </w:numPr>
    </w:pPr>
  </w:style>
  <w:style w:type="paragraph" w:styleId="KeinLeerraum">
    <w:name w:val="No Spacing"/>
    <w:uiPriority w:val="1"/>
    <w:qFormat/>
    <w:rsid w:val="00B415EF"/>
    <w:pPr>
      <w:suppressAutoHyphens/>
      <w:autoSpaceDN w:val="0"/>
      <w:textAlignment w:val="baseline"/>
    </w:pPr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9</cp:revision>
  <dcterms:created xsi:type="dcterms:W3CDTF">2017-05-08T14:38:00Z</dcterms:created>
  <dcterms:modified xsi:type="dcterms:W3CDTF">2018-10-16T09:21:00Z</dcterms:modified>
</cp:coreProperties>
</file>