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7845E" w14:textId="77777777" w:rsidR="00357374" w:rsidRPr="00357374" w:rsidRDefault="00357374" w:rsidP="0035737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4B0092">
        <w:rPr>
          <w:noProof/>
          <w:sz w:val="36"/>
          <w:szCs w:val="36"/>
        </w:rPr>
        <w:drawing>
          <wp:inline distT="0" distB="0" distL="0" distR="0" wp14:anchorId="319E1BE1" wp14:editId="19A054AB">
            <wp:extent cx="3203575" cy="607060"/>
            <wp:effectExtent l="0" t="0" r="0" b="2540"/>
            <wp:docPr id="2" name="图片 2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57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DD934" w14:textId="77777777" w:rsidR="00357374" w:rsidRDefault="00357374" w:rsidP="00357374">
      <w:pPr>
        <w:spacing w:before="100" w:beforeAutospacing="1" w:after="100" w:afterAutospacing="1"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hint="eastAsia"/>
          <w:i/>
          <w:sz w:val="24"/>
          <w:szCs w:val="24"/>
        </w:rPr>
        <w:t xml:space="preserve">Journal of </w:t>
      </w:r>
      <w:r w:rsidRPr="00C46F70">
        <w:rPr>
          <w:rFonts w:ascii="Times New Roman" w:hAnsi="Times New Roman"/>
          <w:i/>
          <w:sz w:val="24"/>
          <w:szCs w:val="24"/>
        </w:rPr>
        <w:t>Geophysical Research</w:t>
      </w:r>
      <w:r>
        <w:rPr>
          <w:rFonts w:ascii="Times New Roman" w:hAnsi="Times New Roman" w:hint="eastAsia"/>
          <w:i/>
          <w:sz w:val="24"/>
          <w:szCs w:val="24"/>
        </w:rPr>
        <w:t>: Solid Earth</w:t>
      </w:r>
      <w:r w:rsidRPr="00C46F70">
        <w:rPr>
          <w:rFonts w:ascii="Times New Roman" w:hAnsi="Times New Roman"/>
          <w:i/>
          <w:sz w:val="24"/>
          <w:szCs w:val="24"/>
        </w:rPr>
        <w:t xml:space="preserve"> </w:t>
      </w:r>
    </w:p>
    <w:p w14:paraId="36E24535" w14:textId="77777777" w:rsidR="00357374" w:rsidRDefault="00357374" w:rsidP="00357374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4"/>
          <w:szCs w:val="24"/>
        </w:rPr>
      </w:pPr>
      <w:r w:rsidRPr="00C46F70">
        <w:rPr>
          <w:rFonts w:ascii="Times New Roman" w:hAnsi="Times New Roman"/>
          <w:sz w:val="24"/>
          <w:szCs w:val="24"/>
        </w:rPr>
        <w:t>Supporting Information for</w:t>
      </w:r>
    </w:p>
    <w:p w14:paraId="2698B911" w14:textId="77777777" w:rsidR="00054C5A" w:rsidRDefault="00054C5A" w:rsidP="00054C5A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R</w:t>
      </w:r>
      <w:r w:rsidRPr="00D85C18">
        <w:rPr>
          <w:rFonts w:ascii="Times New Roman" w:hAnsi="Times New Roman"/>
          <w:sz w:val="32"/>
          <w:szCs w:val="32"/>
        </w:rPr>
        <w:t xml:space="preserve">emagnetization </w:t>
      </w:r>
      <w:r>
        <w:rPr>
          <w:rFonts w:ascii="Times New Roman" w:hAnsi="Times New Roman"/>
          <w:sz w:val="32"/>
          <w:szCs w:val="32"/>
        </w:rPr>
        <w:t xml:space="preserve">of red </w:t>
      </w:r>
      <w:r w:rsidRPr="00D85C18">
        <w:rPr>
          <w:rFonts w:ascii="Times New Roman" w:hAnsi="Times New Roman"/>
          <w:sz w:val="32"/>
          <w:szCs w:val="32"/>
        </w:rPr>
        <w:t>bed</w:t>
      </w:r>
      <w:r>
        <w:rPr>
          <w:rFonts w:ascii="Times New Roman" w:hAnsi="Times New Roman"/>
          <w:sz w:val="32"/>
          <w:szCs w:val="32"/>
        </w:rPr>
        <w:t xml:space="preserve">s on the Tibetan Plateau: </w:t>
      </w:r>
    </w:p>
    <w:p w14:paraId="4C0096D2" w14:textId="77777777" w:rsidR="00054C5A" w:rsidRDefault="00054C5A" w:rsidP="00054C5A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mechanism and diagnosis</w:t>
      </w:r>
    </w:p>
    <w:p w14:paraId="55AD2E3D" w14:textId="77777777" w:rsidR="002A68C9" w:rsidRPr="00D83D4A" w:rsidRDefault="002A68C9" w:rsidP="002A68C9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D83D4A">
        <w:rPr>
          <w:rFonts w:ascii="Times New Roman" w:eastAsia="宋体" w:hAnsi="Times New Roman" w:cs="Times New Roman"/>
          <w:sz w:val="24"/>
          <w:szCs w:val="24"/>
        </w:rPr>
        <w:t>Wentao Huang</w:t>
      </w:r>
      <w:r w:rsidRPr="00D83D4A">
        <w:rPr>
          <w:rFonts w:ascii="Times New Roman" w:hAnsi="Times New Roman"/>
          <w:sz w:val="24"/>
          <w:szCs w:val="24"/>
          <w:vertAlign w:val="superscript"/>
        </w:rPr>
        <w:t>1,2</w:t>
      </w:r>
      <w:r w:rsidRPr="00D83D4A">
        <w:rPr>
          <w:rFonts w:ascii="Times New Roman" w:eastAsia="宋体" w:hAnsi="Times New Roman" w:cs="Times New Roman"/>
          <w:sz w:val="24"/>
          <w:szCs w:val="24"/>
        </w:rPr>
        <w:t>; Michael J. Jackson</w:t>
      </w:r>
      <w:r w:rsidRPr="00D83D4A">
        <w:rPr>
          <w:rFonts w:ascii="Times New Roman" w:eastAsia="宋体" w:hAnsi="Times New Roman" w:cs="Times New Roman"/>
          <w:sz w:val="24"/>
          <w:szCs w:val="24"/>
          <w:vertAlign w:val="superscript"/>
        </w:rPr>
        <w:t>3</w:t>
      </w:r>
      <w:r w:rsidRPr="00D83D4A">
        <w:rPr>
          <w:rFonts w:ascii="Times New Roman" w:eastAsia="宋体" w:hAnsi="Times New Roman" w:cs="Times New Roman"/>
          <w:sz w:val="24"/>
          <w:szCs w:val="24"/>
        </w:rPr>
        <w:t xml:space="preserve">; </w:t>
      </w:r>
      <w:r w:rsidRPr="00D83D4A">
        <w:rPr>
          <w:rFonts w:ascii="Times New Roman" w:hAnsi="Times New Roman"/>
          <w:sz w:val="24"/>
          <w:szCs w:val="24"/>
        </w:rPr>
        <w:t>Mark J. Dekkers</w:t>
      </w:r>
      <w:r w:rsidRPr="00D83D4A">
        <w:rPr>
          <w:rFonts w:ascii="Times New Roman" w:hAnsi="Times New Roman"/>
          <w:sz w:val="24"/>
          <w:szCs w:val="24"/>
          <w:vertAlign w:val="superscript"/>
        </w:rPr>
        <w:t>4</w:t>
      </w:r>
      <w:r w:rsidRPr="00D83D4A">
        <w:rPr>
          <w:rFonts w:ascii="Times New Roman" w:eastAsia="宋体" w:hAnsi="Times New Roman" w:cs="Times New Roman"/>
          <w:sz w:val="24"/>
          <w:szCs w:val="24"/>
        </w:rPr>
        <w:t>;</w:t>
      </w:r>
      <w:r w:rsidRPr="00D83D4A">
        <w:rPr>
          <w:rFonts w:ascii="Times New Roman" w:hAnsi="Times New Roman"/>
          <w:sz w:val="24"/>
          <w:szCs w:val="24"/>
        </w:rPr>
        <w:t xml:space="preserve"> Peat </w:t>
      </w:r>
      <w:hyperlink r:id="rId5" w:history="1">
        <w:r w:rsidRPr="00D83D4A">
          <w:rPr>
            <w:rFonts w:ascii="Times New Roman" w:hAnsi="Times New Roman"/>
            <w:sz w:val="24"/>
            <w:szCs w:val="24"/>
          </w:rPr>
          <w:t>Solheid</w:t>
        </w:r>
      </w:hyperlink>
      <w:r w:rsidRPr="00D83D4A">
        <w:rPr>
          <w:rFonts w:ascii="Times New Roman" w:eastAsia="宋体" w:hAnsi="Times New Roman" w:cs="Times New Roman"/>
          <w:sz w:val="24"/>
          <w:szCs w:val="24"/>
          <w:vertAlign w:val="superscript"/>
        </w:rPr>
        <w:t>3</w:t>
      </w:r>
      <w:r w:rsidRPr="00D83D4A">
        <w:rPr>
          <w:rFonts w:ascii="Times New Roman" w:eastAsia="宋体" w:hAnsi="Times New Roman" w:cs="Times New Roman"/>
          <w:sz w:val="24"/>
          <w:szCs w:val="24"/>
        </w:rPr>
        <w:t>; Yang Zhang</w:t>
      </w:r>
      <w:r w:rsidRPr="00D83D4A">
        <w:rPr>
          <w:rFonts w:ascii="Times New Roman" w:hAnsi="Times New Roman"/>
          <w:sz w:val="24"/>
          <w:szCs w:val="24"/>
          <w:vertAlign w:val="superscript"/>
        </w:rPr>
        <w:t>5</w:t>
      </w:r>
      <w:r w:rsidRPr="00D83D4A">
        <w:rPr>
          <w:rFonts w:ascii="Times New Roman" w:eastAsia="宋体" w:hAnsi="Times New Roman" w:cs="Times New Roman"/>
          <w:sz w:val="24"/>
          <w:szCs w:val="24"/>
        </w:rPr>
        <w:t xml:space="preserve">; </w:t>
      </w:r>
    </w:p>
    <w:p w14:paraId="6FD3B92B" w14:textId="77777777" w:rsidR="002A68C9" w:rsidRPr="00D83D4A" w:rsidRDefault="002A68C9" w:rsidP="002A68C9">
      <w:pPr>
        <w:spacing w:line="36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83D4A">
        <w:rPr>
          <w:rFonts w:ascii="Times New Roman" w:eastAsia="宋体" w:hAnsi="Times New Roman" w:cs="Times New Roman"/>
          <w:sz w:val="24"/>
          <w:szCs w:val="24"/>
        </w:rPr>
        <w:t>Shihu Li</w:t>
      </w:r>
      <w:r w:rsidRPr="00D83D4A">
        <w:rPr>
          <w:rFonts w:ascii="Times New Roman" w:hAnsi="Times New Roman"/>
          <w:sz w:val="24"/>
          <w:szCs w:val="24"/>
          <w:vertAlign w:val="superscript"/>
        </w:rPr>
        <w:t>6</w:t>
      </w:r>
      <w:r w:rsidRPr="00D83D4A">
        <w:rPr>
          <w:rFonts w:ascii="Times New Roman" w:eastAsia="宋体" w:hAnsi="Times New Roman" w:cs="Times New Roman"/>
          <w:sz w:val="24"/>
          <w:szCs w:val="24"/>
        </w:rPr>
        <w:t>; Zhaojie Guo</w:t>
      </w:r>
      <w:r w:rsidRPr="00D83D4A">
        <w:rPr>
          <w:rFonts w:ascii="Times New Roman" w:hAnsi="Times New Roman"/>
          <w:sz w:val="24"/>
          <w:szCs w:val="24"/>
          <w:vertAlign w:val="superscript"/>
        </w:rPr>
        <w:t>7</w:t>
      </w:r>
      <w:r w:rsidRPr="00D83D4A">
        <w:rPr>
          <w:rFonts w:ascii="Times New Roman" w:eastAsia="宋体" w:hAnsi="Times New Roman" w:cs="Times New Roman"/>
          <w:sz w:val="24"/>
          <w:szCs w:val="24"/>
        </w:rPr>
        <w:t>; Lin Ding</w:t>
      </w:r>
      <w:r w:rsidRPr="00D83D4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28738CC0" w14:textId="77777777" w:rsidR="002A68C9" w:rsidRPr="00D83D4A" w:rsidRDefault="002A68C9" w:rsidP="002A68C9">
      <w:pPr>
        <w:spacing w:line="360" w:lineRule="auto"/>
        <w:contextualSpacing/>
        <w:rPr>
          <w:rFonts w:ascii="Times New Roman" w:eastAsia="宋体" w:hAnsi="Times New Roman"/>
          <w:sz w:val="24"/>
          <w:szCs w:val="24"/>
          <w:vertAlign w:val="superscript"/>
        </w:rPr>
      </w:pPr>
      <w:r w:rsidRPr="00D83D4A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D83D4A">
        <w:rPr>
          <w:rFonts w:ascii="Times New Roman" w:eastAsia="宋体" w:hAnsi="Times New Roman"/>
          <w:sz w:val="24"/>
          <w:szCs w:val="24"/>
        </w:rPr>
        <w:t>Key Laboratory of Continental Collision and Plateau Uplift, Institute of Tibetan Plateau Research, and Center for Excellence in Tibetan Plateau Earth Sciences, Chinese Academy of Sciences, Beijing 100101, China</w:t>
      </w:r>
      <w:r w:rsidRPr="00D83D4A">
        <w:rPr>
          <w:rFonts w:ascii="Times New Roman" w:eastAsia="宋体" w:hAnsi="Times New Roman"/>
          <w:sz w:val="24"/>
          <w:szCs w:val="24"/>
          <w:vertAlign w:val="superscript"/>
        </w:rPr>
        <w:t xml:space="preserve"> </w:t>
      </w:r>
    </w:p>
    <w:p w14:paraId="73EB6B67" w14:textId="77777777" w:rsidR="002A68C9" w:rsidRPr="00D83D4A" w:rsidRDefault="002A68C9" w:rsidP="002A68C9">
      <w:pPr>
        <w:spacing w:line="360" w:lineRule="auto"/>
        <w:contextualSpacing/>
        <w:rPr>
          <w:rFonts w:ascii="Times New Roman" w:eastAsia="宋体" w:hAnsi="Times New Roman"/>
          <w:sz w:val="24"/>
          <w:szCs w:val="24"/>
        </w:rPr>
      </w:pPr>
      <w:r w:rsidRPr="00D83D4A">
        <w:rPr>
          <w:rFonts w:ascii="Times New Roman" w:hAnsi="Times New Roman"/>
          <w:sz w:val="24"/>
          <w:szCs w:val="24"/>
          <w:vertAlign w:val="superscript"/>
        </w:rPr>
        <w:t>2</w:t>
      </w:r>
      <w:r w:rsidRPr="00D83D4A">
        <w:rPr>
          <w:rFonts w:ascii="Times New Roman" w:eastAsia="宋体" w:hAnsi="Times New Roman"/>
          <w:sz w:val="24"/>
          <w:szCs w:val="24"/>
          <w:vertAlign w:val="superscript"/>
        </w:rPr>
        <w:t xml:space="preserve"> </w:t>
      </w:r>
      <w:r w:rsidRPr="00D83D4A">
        <w:rPr>
          <w:rFonts w:ascii="Times New Roman" w:eastAsia="宋体" w:hAnsi="Times New Roman"/>
          <w:sz w:val="24"/>
          <w:szCs w:val="24"/>
        </w:rPr>
        <w:t xml:space="preserve">Department of Earth and Environmental Sciences, University of Rochester, Rochester, New York 14627, USA </w:t>
      </w:r>
    </w:p>
    <w:p w14:paraId="29843D77" w14:textId="77777777" w:rsidR="002A68C9" w:rsidRPr="00D83D4A" w:rsidRDefault="002A68C9" w:rsidP="002A68C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D83D4A"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3 </w:t>
      </w:r>
      <w:r w:rsidRPr="00D83D4A">
        <w:rPr>
          <w:rFonts w:ascii="Times New Roman" w:eastAsia="宋体" w:hAnsi="Times New Roman" w:cs="Times New Roman"/>
          <w:sz w:val="24"/>
          <w:szCs w:val="24"/>
        </w:rPr>
        <w:t>Institute for Rock Magnetism, Department of Earth Sciences, University of Minnesota, Minnesota, USA</w:t>
      </w:r>
    </w:p>
    <w:p w14:paraId="5136B933" w14:textId="77777777" w:rsidR="002A68C9" w:rsidRPr="00D83D4A" w:rsidRDefault="002A68C9" w:rsidP="002A68C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D83D4A">
        <w:rPr>
          <w:rFonts w:ascii="Times New Roman" w:eastAsia="宋体" w:hAnsi="Times New Roman" w:cs="Times New Roman"/>
          <w:sz w:val="24"/>
          <w:szCs w:val="24"/>
          <w:vertAlign w:val="superscript"/>
        </w:rPr>
        <w:t>4</w:t>
      </w:r>
      <w:r w:rsidRPr="00D83D4A">
        <w:rPr>
          <w:rFonts w:ascii="Times New Roman" w:eastAsia="宋体" w:hAnsi="Times New Roman" w:cs="Times New Roman"/>
          <w:sz w:val="24"/>
          <w:szCs w:val="24"/>
        </w:rPr>
        <w:t xml:space="preserve"> Department of Earth Sciences, Utrecht University, Utrecht, The Netherlands</w:t>
      </w:r>
    </w:p>
    <w:p w14:paraId="3B6BB17E" w14:textId="77777777" w:rsidR="002A68C9" w:rsidRPr="00D83D4A" w:rsidRDefault="002A68C9" w:rsidP="002A68C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D83D4A"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5 </w:t>
      </w:r>
      <w:r w:rsidRPr="00D83D4A">
        <w:rPr>
          <w:rFonts w:ascii="Times New Roman" w:hAnsi="Times New Roman" w:cs="Times New Roman" w:hint="eastAsia"/>
          <w:sz w:val="24"/>
          <w:szCs w:val="24"/>
        </w:rPr>
        <w:t>The first Monitoring and Application Center, China Earthquake A</w:t>
      </w:r>
      <w:r w:rsidRPr="00D83D4A">
        <w:rPr>
          <w:rFonts w:ascii="Times New Roman" w:hAnsi="Times New Roman" w:cs="Times New Roman"/>
          <w:sz w:val="24"/>
          <w:szCs w:val="24"/>
        </w:rPr>
        <w:t>dministration, Tianjin, China</w:t>
      </w:r>
    </w:p>
    <w:p w14:paraId="2D85120E" w14:textId="77777777" w:rsidR="002A68C9" w:rsidRPr="00D83D4A" w:rsidRDefault="002A68C9" w:rsidP="002A68C9">
      <w:pPr>
        <w:spacing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D83D4A"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6 </w:t>
      </w:r>
      <w:r w:rsidRPr="00D83D4A">
        <w:rPr>
          <w:rFonts w:ascii="Times New Roman" w:hAnsi="Times New Roman" w:cs="Times New Roman"/>
          <w:sz w:val="24"/>
          <w:szCs w:val="24"/>
        </w:rPr>
        <w:t>Lancaster Environment Centre, Lancaster University, Lancaster LA1 4YQ, UK</w:t>
      </w:r>
    </w:p>
    <w:p w14:paraId="49495D43" w14:textId="2DB1825E" w:rsidR="00054C5A" w:rsidRPr="00E35E97" w:rsidRDefault="002A68C9" w:rsidP="00054C5A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D83D4A"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7 </w:t>
      </w:r>
      <w:r w:rsidRPr="00D83D4A">
        <w:rPr>
          <w:rFonts w:ascii="Times New Roman" w:eastAsia="宋体" w:hAnsi="Times New Roman" w:cs="Times New Roman"/>
          <w:sz w:val="24"/>
          <w:szCs w:val="24"/>
        </w:rPr>
        <w:t>Key Laboratory of Orogenic Belts and Crustal Evolution, Ministry of Education</w:t>
      </w:r>
      <w:r w:rsidRPr="00D83D4A">
        <w:rPr>
          <w:rFonts w:ascii="Times New Roman" w:eastAsia="宋体" w:hAnsi="Times New Roman" w:cs="Times New Roman" w:hint="eastAsia"/>
          <w:sz w:val="24"/>
          <w:szCs w:val="24"/>
        </w:rPr>
        <w:t>, School of Earth and Space Sciences,</w:t>
      </w:r>
      <w:r w:rsidRPr="00D83D4A">
        <w:rPr>
          <w:rFonts w:ascii="Times New Roman" w:eastAsia="宋体" w:hAnsi="Times New Roman" w:cs="Times New Roman"/>
          <w:sz w:val="24"/>
          <w:szCs w:val="24"/>
        </w:rPr>
        <w:t xml:space="preserve"> Peking University, Beijing, China</w:t>
      </w:r>
    </w:p>
    <w:p w14:paraId="243A5159" w14:textId="77777777" w:rsidR="00357374" w:rsidRDefault="00357374" w:rsidP="00D2076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6C4F8E68" w14:textId="77777777" w:rsidR="00357374" w:rsidRPr="001E6CA1" w:rsidRDefault="00357374" w:rsidP="0035737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E6CA1">
        <w:rPr>
          <w:rFonts w:ascii="Times New Roman" w:hAnsi="Times New Roman" w:hint="eastAsia"/>
          <w:b/>
          <w:sz w:val="24"/>
          <w:szCs w:val="24"/>
        </w:rPr>
        <w:t>Contents of this file</w:t>
      </w:r>
    </w:p>
    <w:p w14:paraId="43172C22" w14:textId="77777777" w:rsidR="00357374" w:rsidRDefault="00357374" w:rsidP="0035737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Text S1, </w:t>
      </w:r>
      <w:r>
        <w:rPr>
          <w:rFonts w:ascii="Times New Roman" w:hAnsi="Times New Roman" w:hint="eastAsia"/>
          <w:sz w:val="24"/>
          <w:szCs w:val="24"/>
        </w:rPr>
        <w:t>Figures S1, and Tables S1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 w:hint="eastAsia"/>
          <w:sz w:val="24"/>
          <w:szCs w:val="24"/>
        </w:rPr>
        <w:t>S4</w:t>
      </w:r>
    </w:p>
    <w:p w14:paraId="6B04F408" w14:textId="77777777" w:rsidR="00357374" w:rsidRDefault="00357374" w:rsidP="00D2076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E8BAB03" w14:textId="77777777" w:rsidR="00054C5A" w:rsidRDefault="00054C5A" w:rsidP="00D2076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812D563" w14:textId="77777777" w:rsidR="00D2076C" w:rsidRDefault="00357374" w:rsidP="0035737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hint="eastAsia"/>
          <w:b/>
          <w:sz w:val="24"/>
          <w:szCs w:val="24"/>
        </w:rPr>
        <w:lastRenderedPageBreak/>
        <w:t xml:space="preserve">Text S1. </w:t>
      </w:r>
      <w:r w:rsidR="00D2076C" w:rsidRPr="00C45602">
        <w:rPr>
          <w:rFonts w:ascii="Times New Roman" w:hAnsi="Times New Roman" w:hint="eastAsia"/>
          <w:b/>
          <w:sz w:val="24"/>
          <w:szCs w:val="24"/>
        </w:rPr>
        <w:t>Method</w:t>
      </w:r>
      <w:r w:rsidR="00D2076C">
        <w:rPr>
          <w:rFonts w:ascii="Times New Roman" w:hAnsi="Times New Roman"/>
          <w:b/>
          <w:sz w:val="24"/>
          <w:szCs w:val="24"/>
        </w:rPr>
        <w:t>s</w:t>
      </w:r>
    </w:p>
    <w:p w14:paraId="459101D1" w14:textId="77777777" w:rsidR="00D2076C" w:rsidRDefault="00D2076C" w:rsidP="00D2076C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Rock magnetic experiments were conducted </w:t>
      </w:r>
      <w:r w:rsidRPr="00CF738F">
        <w:rPr>
          <w:rFonts w:ascii="Times New Roman" w:hAnsi="Times New Roman"/>
          <w:sz w:val="24"/>
          <w:szCs w:val="24"/>
        </w:rPr>
        <w:t>at the Institute for Rock Magne</w:t>
      </w:r>
      <w:r>
        <w:rPr>
          <w:rFonts w:ascii="Times New Roman" w:hAnsi="Times New Roman"/>
          <w:sz w:val="24"/>
          <w:szCs w:val="24"/>
        </w:rPr>
        <w:t>tism at the University of Minne</w:t>
      </w:r>
      <w:r w:rsidRPr="00CF738F">
        <w:rPr>
          <w:rFonts w:ascii="Times New Roman" w:hAnsi="Times New Roman"/>
          <w:sz w:val="24"/>
          <w:szCs w:val="24"/>
        </w:rPr>
        <w:t>sota</w:t>
      </w:r>
      <w:r>
        <w:rPr>
          <w:rFonts w:ascii="Times New Roman" w:hAnsi="Times New Roman"/>
          <w:sz w:val="24"/>
          <w:szCs w:val="24"/>
        </w:rPr>
        <w:t xml:space="preserve"> (</w:t>
      </w:r>
      <w:r w:rsidR="00AB367E">
        <w:rPr>
          <w:rFonts w:ascii="Times New Roman" w:hAnsi="Times New Roman"/>
          <w:sz w:val="24"/>
          <w:szCs w:val="24"/>
        </w:rPr>
        <w:t xml:space="preserve">Minneapolis, </w:t>
      </w:r>
      <w:r>
        <w:rPr>
          <w:rFonts w:ascii="Times New Roman" w:hAnsi="Times New Roman"/>
          <w:sz w:val="24"/>
          <w:szCs w:val="24"/>
        </w:rPr>
        <w:t xml:space="preserve">USA). We use </w:t>
      </w:r>
      <w:r w:rsidRPr="00206CE3">
        <w:rPr>
          <w:rFonts w:ascii="Times New Roman" w:hAnsi="Times New Roman"/>
          <w:sz w:val="24"/>
          <w:szCs w:val="24"/>
        </w:rPr>
        <w:t xml:space="preserve">a KLY-2 KappaBridge AC susceptibility meter </w:t>
      </w:r>
      <w:r>
        <w:rPr>
          <w:rFonts w:ascii="Times New Roman" w:hAnsi="Times New Roman"/>
          <w:sz w:val="24"/>
          <w:szCs w:val="24"/>
        </w:rPr>
        <w:t>(</w:t>
      </w:r>
      <w:r w:rsidRPr="00206CE3">
        <w:rPr>
          <w:rFonts w:ascii="Times New Roman" w:hAnsi="Times New Roman"/>
          <w:sz w:val="24"/>
          <w:szCs w:val="24"/>
        </w:rPr>
        <w:t xml:space="preserve">AC </w:t>
      </w:r>
      <w:r>
        <w:rPr>
          <w:rFonts w:ascii="Times New Roman" w:hAnsi="Times New Roman"/>
          <w:sz w:val="24"/>
          <w:szCs w:val="24"/>
        </w:rPr>
        <w:t>fi</w:t>
      </w:r>
      <w:r w:rsidRPr="00206CE3">
        <w:rPr>
          <w:rFonts w:ascii="Times New Roman" w:hAnsi="Times New Roman"/>
          <w:sz w:val="24"/>
          <w:szCs w:val="24"/>
        </w:rPr>
        <w:t>eld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CE3">
        <w:rPr>
          <w:rFonts w:ascii="Times New Roman" w:hAnsi="Times New Roman"/>
          <w:sz w:val="24"/>
          <w:szCs w:val="24"/>
        </w:rPr>
        <w:t>of 300 A</w:t>
      </w:r>
      <w:r>
        <w:rPr>
          <w:rFonts w:ascii="Times New Roman" w:hAnsi="Times New Roman"/>
          <w:sz w:val="24"/>
          <w:szCs w:val="24"/>
        </w:rPr>
        <w:t>/</w:t>
      </w:r>
      <w:r w:rsidRPr="00206CE3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06CE3">
        <w:rPr>
          <w:rFonts w:ascii="Times New Roman" w:hAnsi="Times New Roman"/>
          <w:sz w:val="24"/>
          <w:szCs w:val="24"/>
        </w:rPr>
        <w:t>frequency of 920 Hz</w:t>
      </w:r>
      <w:r>
        <w:rPr>
          <w:rFonts w:ascii="Times New Roman" w:hAnsi="Times New Roman"/>
          <w:sz w:val="24"/>
          <w:szCs w:val="24"/>
        </w:rPr>
        <w:t xml:space="preserve">) for the high-temperature, low-field magnetic susceptibility </w:t>
      </w:r>
      <w:r w:rsidRPr="00206CE3">
        <w:rPr>
          <w:rFonts w:ascii="Times New Roman" w:hAnsi="Times New Roman"/>
          <w:sz w:val="24"/>
          <w:szCs w:val="24"/>
        </w:rPr>
        <w:t>measurements</w:t>
      </w:r>
      <w:r>
        <w:rPr>
          <w:rFonts w:ascii="Times New Roman" w:hAnsi="Times New Roman"/>
          <w:sz w:val="24"/>
          <w:szCs w:val="24"/>
        </w:rPr>
        <w:t>.</w:t>
      </w:r>
      <w:r w:rsidRPr="00383F1F">
        <w:rPr>
          <w:rFonts w:ascii="Times New Roman" w:hAnsi="Times New Roman"/>
          <w:sz w:val="24"/>
          <w:szCs w:val="24"/>
        </w:rPr>
        <w:t xml:space="preserve"> </w:t>
      </w:r>
      <w:r w:rsidR="00AB367E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use the following heating and cooling cycles</w:t>
      </w:r>
      <w:r w:rsidR="00AB367E">
        <w:rPr>
          <w:rFonts w:ascii="Times New Roman" w:hAnsi="Times New Roman"/>
          <w:sz w:val="24"/>
          <w:szCs w:val="24"/>
        </w:rPr>
        <w:t xml:space="preserve"> during the measurement</w:t>
      </w:r>
      <w:r>
        <w:rPr>
          <w:rFonts w:ascii="Times New Roman" w:hAnsi="Times New Roman"/>
          <w:sz w:val="24"/>
          <w:szCs w:val="24"/>
        </w:rPr>
        <w:t>: 300</w:t>
      </w:r>
      <w:r w:rsidRPr="00A87209">
        <w:rPr>
          <w:rFonts w:ascii="Times New Roman" w:hAnsi="Times New Roman"/>
          <w:sz w:val="24"/>
          <w:szCs w:val="24"/>
        </w:rPr>
        <w:t>°</w:t>
      </w:r>
      <w:r w:rsidRPr="00AE11D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- 20</w:t>
      </w:r>
      <w:r w:rsidRPr="00A87209">
        <w:rPr>
          <w:rFonts w:ascii="Times New Roman" w:hAnsi="Times New Roman"/>
          <w:sz w:val="24"/>
          <w:szCs w:val="24"/>
        </w:rPr>
        <w:t>°</w:t>
      </w:r>
      <w:r w:rsidRPr="00AE11D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- 500</w:t>
      </w:r>
      <w:r w:rsidRPr="00A87209">
        <w:rPr>
          <w:rFonts w:ascii="Times New Roman" w:hAnsi="Times New Roman"/>
          <w:sz w:val="24"/>
          <w:szCs w:val="24"/>
        </w:rPr>
        <w:t>°</w:t>
      </w:r>
      <w:r w:rsidRPr="00AE11D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- 20</w:t>
      </w:r>
      <w:r w:rsidRPr="00A87209">
        <w:rPr>
          <w:rFonts w:ascii="Times New Roman" w:hAnsi="Times New Roman"/>
          <w:sz w:val="24"/>
          <w:szCs w:val="24"/>
        </w:rPr>
        <w:t>°</w:t>
      </w:r>
      <w:r w:rsidRPr="00AE11D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- 600</w:t>
      </w:r>
      <w:r w:rsidRPr="00A87209">
        <w:rPr>
          <w:rFonts w:ascii="Times New Roman" w:hAnsi="Times New Roman"/>
          <w:sz w:val="24"/>
          <w:szCs w:val="24"/>
        </w:rPr>
        <w:t>°</w:t>
      </w:r>
      <w:r w:rsidRPr="00AE11D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- 20</w:t>
      </w:r>
      <w:r w:rsidRPr="00A87209">
        <w:rPr>
          <w:rFonts w:ascii="Times New Roman" w:hAnsi="Times New Roman"/>
          <w:sz w:val="24"/>
          <w:szCs w:val="24"/>
        </w:rPr>
        <w:t>°</w:t>
      </w:r>
      <w:r w:rsidRPr="00AE11D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- 700</w:t>
      </w:r>
      <w:r w:rsidRPr="00A87209">
        <w:rPr>
          <w:rFonts w:ascii="Times New Roman" w:hAnsi="Times New Roman"/>
          <w:sz w:val="24"/>
          <w:szCs w:val="24"/>
        </w:rPr>
        <w:t>°</w:t>
      </w:r>
      <w:r w:rsidRPr="00AE11D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6FF9A5F" w14:textId="77777777" w:rsidR="00D2076C" w:rsidRDefault="00D2076C" w:rsidP="00D2076C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6D21A7B" w14:textId="77777777" w:rsidR="00D2076C" w:rsidRDefault="00D2076C" w:rsidP="00D2076C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2C4321">
        <w:rPr>
          <w:rFonts w:ascii="Times New Roman" w:hAnsi="Times New Roman"/>
          <w:sz w:val="24"/>
          <w:szCs w:val="24"/>
        </w:rPr>
        <w:t>Princeton Measurements MicroMag vibrating</w:t>
      </w:r>
      <w:r>
        <w:rPr>
          <w:rFonts w:ascii="Times New Roman" w:hAnsi="Times New Roman"/>
          <w:sz w:val="24"/>
          <w:szCs w:val="24"/>
        </w:rPr>
        <w:t>-</w:t>
      </w:r>
      <w:r w:rsidRPr="002C4321">
        <w:rPr>
          <w:rFonts w:ascii="Times New Roman" w:hAnsi="Times New Roman"/>
          <w:sz w:val="24"/>
          <w:szCs w:val="24"/>
        </w:rPr>
        <w:t xml:space="preserve">sample magnetometer </w:t>
      </w:r>
      <w:r>
        <w:rPr>
          <w:rFonts w:ascii="Times New Roman" w:hAnsi="Times New Roman"/>
          <w:sz w:val="24"/>
          <w:szCs w:val="24"/>
        </w:rPr>
        <w:t xml:space="preserve">(VSM, </w:t>
      </w:r>
      <w:r w:rsidRPr="00D471F6">
        <w:rPr>
          <w:rFonts w:ascii="Times New Roman" w:hAnsi="Times New Roman"/>
          <w:sz w:val="24"/>
          <w:szCs w:val="24"/>
        </w:rPr>
        <w:t>nominal sensitivity of 5</w:t>
      </w:r>
      <w:r>
        <w:rPr>
          <w:rFonts w:ascii="Times New Roman" w:hAnsi="Times New Roman"/>
          <w:sz w:val="24"/>
          <w:szCs w:val="24"/>
        </w:rPr>
        <w:t xml:space="preserve"> x</w:t>
      </w:r>
      <w:r w:rsidRPr="00D471F6">
        <w:rPr>
          <w:rFonts w:ascii="Times New Roman" w:hAnsi="Times New Roman"/>
          <w:sz w:val="24"/>
          <w:szCs w:val="24"/>
        </w:rPr>
        <w:t xml:space="preserve"> 10</w:t>
      </w:r>
      <w:r w:rsidRPr="00D471F6">
        <w:rPr>
          <w:rFonts w:ascii="Times New Roman" w:hAnsi="Times New Roman"/>
          <w:sz w:val="24"/>
          <w:szCs w:val="24"/>
          <w:vertAlign w:val="superscript"/>
        </w:rPr>
        <w:t>-9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71F6">
        <w:rPr>
          <w:rFonts w:ascii="Times New Roman" w:hAnsi="Times New Roman"/>
          <w:sz w:val="24"/>
          <w:szCs w:val="24"/>
        </w:rPr>
        <w:t>Am</w:t>
      </w:r>
      <w:r w:rsidRPr="00365DC7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 maximum applied field of 1.4 T</w:t>
      </w:r>
      <w:r w:rsidR="00E309EC">
        <w:rPr>
          <w:rFonts w:ascii="Times New Roman" w:hAnsi="Times New Roman"/>
          <w:sz w:val="24"/>
          <w:szCs w:val="24"/>
        </w:rPr>
        <w:t>, averaging time of 300 ms, p</w:t>
      </w:r>
      <w:r w:rsidR="00E309EC" w:rsidRPr="00E309EC">
        <w:rPr>
          <w:rFonts w:ascii="Times New Roman" w:hAnsi="Times New Roman"/>
          <w:sz w:val="24"/>
          <w:szCs w:val="24"/>
        </w:rPr>
        <w:t>ause after sweep increment</w:t>
      </w:r>
      <w:r w:rsidR="00E309EC">
        <w:rPr>
          <w:rFonts w:ascii="Times New Roman" w:hAnsi="Times New Roman"/>
          <w:sz w:val="24"/>
          <w:szCs w:val="24"/>
        </w:rPr>
        <w:t xml:space="preserve"> of 300 ms</w:t>
      </w:r>
      <w:r w:rsidRPr="00E309E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was used for hysteresis measurements and isothermal remanent magnetization (IRM) acquisition. We use MAX UnMix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ADDIN EN.CITE &lt;EndNote&gt;&lt;Cite&gt;&lt;Author&gt;Maxbauer&lt;/Author&gt;&lt;Year&gt;2016&lt;/Year&gt;&lt;RecNum&gt;3196&lt;/RecNum&gt;&lt;DisplayText&gt;(Maxbauer et al., 2016)&lt;/DisplayText&gt;&lt;record&gt;&lt;rec-number&gt;3196&lt;/rec-number&gt;&lt;foreign-keys&gt;&lt;key app="EN" db-id="p9xaps2edwae52edrrn5fewwxdftp559rard" timestamp="1470158051"&gt;3196&lt;/key&gt;&lt;/foreign-keys&gt;&lt;ref-type name="Journal Article"&gt;17&lt;/ref-type&gt;&lt;contributors&gt;&lt;authors&gt;&lt;author&gt;Maxbauer, Daniel P&lt;/author&gt;&lt;author&gt;Feinberg, Joshua M&lt;/author&gt;&lt;author&gt;Fox, David L&lt;/author&gt;&lt;/authors&gt;&lt;/contributors&gt;&lt;titles&gt;&lt;title&gt;MAX UnMix: A web application for unmixing magnetic coercivity distributions&lt;/title&gt;&lt;secondary-title&gt;Computers &amp;amp; Geosciences&lt;/secondary-title&gt;&lt;/titles&gt;&lt;periodical&gt;&lt;full-title&gt;Computers &amp;amp; Geosciences&lt;/full-title&gt;&lt;/periodical&gt;&lt;pages&gt;140-145&lt;/pages&gt;&lt;dates&gt;&lt;year&gt;2016&lt;/year&gt;&lt;/dates&gt;&lt;isbn&gt;0098-3004&lt;/isbn&gt;&lt;urls&gt;&lt;/urls&gt;&lt;/record&gt;&lt;/Cite&gt;&lt;/EndNote&gt;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(Maxbauer et al., 2016)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for the IRM component analyses of 45 samples (</w:t>
      </w:r>
      <w:r w:rsidR="00AB367E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hirteen from the Gongjue basin, three from the Nangqian basin, 12 from the Shanglaxiu basin, and 17 from the Jinggu basin, </w:t>
      </w:r>
      <w:r w:rsidRPr="00D85877">
        <w:rPr>
          <w:rFonts w:ascii="Times New Roman" w:hAnsi="Times New Roman"/>
          <w:color w:val="00B0F0"/>
          <w:sz w:val="24"/>
          <w:szCs w:val="24"/>
        </w:rPr>
        <w:t>Table S</w:t>
      </w:r>
      <w:r>
        <w:rPr>
          <w:rFonts w:ascii="Times New Roman" w:hAnsi="Times New Roman"/>
          <w:color w:val="00B0F0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), to supplement our previous analysis </w:t>
      </w:r>
      <w:r w:rsidR="00AB367E"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31 samples from the Nangqian basin</w:t>
      </w:r>
      <w:r w:rsidR="00AB367E">
        <w:rPr>
          <w:rFonts w:ascii="Times New Roman" w:hAnsi="Times New Roman"/>
          <w:sz w:val="24"/>
          <w:szCs w:val="24"/>
        </w:rPr>
        <w:t xml:space="preserve"> </w:t>
      </w:r>
      <w:r w:rsidR="00AB367E">
        <w:rPr>
          <w:rFonts w:ascii="Times New Roman" w:hAnsi="Times New Roman"/>
          <w:sz w:val="24"/>
          <w:szCs w:val="24"/>
        </w:rPr>
        <w:fldChar w:fldCharType="begin"/>
      </w:r>
      <w:r w:rsidR="00AB367E">
        <w:rPr>
          <w:rFonts w:ascii="Times New Roman" w:hAnsi="Times New Roman"/>
          <w:sz w:val="24"/>
          <w:szCs w:val="24"/>
        </w:rPr>
        <w:instrText xml:space="preserve"> ADDIN EN.CITE &lt;EndNote&gt;&lt;Cite&gt;&lt;Author&gt;Huang&lt;/Author&gt;&lt;Year&gt;2019&lt;/Year&gt;&lt;RecNum&gt;3871&lt;/RecNum&gt;&lt;DisplayText&gt;(Huang et al., 2019)&lt;/DisplayText&gt;&lt;record&gt;&lt;rec-number&gt;3871&lt;/rec-number&gt;&lt;foreign-keys&gt;&lt;key app="EN" db-id="p9xaps2edwae52edrrn5fewwxdftp559rard" timestamp="1574291972"&gt;3871&lt;/key&gt;&lt;/foreign-keys&gt;&lt;ref-type name="Journal Article"&gt;17&lt;/ref-type&gt;&lt;contributors&gt;&lt;authors&gt;&lt;author&gt;Huang, Wentao&lt;/author&gt;&lt;author&gt;Jackson, Michael J&lt;/author&gt;&lt;author&gt;Dekkers, Mark J&lt;/author&gt;&lt;author&gt;Solheid, Peat&lt;/author&gt;&lt;author&gt;Zhang, Bo&lt;/author&gt;&lt;author&gt;Guo, Zhaojie&lt;/author&gt;&lt;author&gt;Ding, Lin&lt;/author&gt;&lt;/authors&gt;&lt;/contributors&gt;&lt;titles&gt;&lt;title&gt;Nanogoethite as a potential indicator of remagnetization in red beds&lt;/title&gt;&lt;secondary-title&gt;Geophysical Research Letters&lt;/secondary-title&gt;&lt;/titles&gt;&lt;periodical&gt;&lt;full-title&gt;Geophysical Research Letters&lt;/full-title&gt;&lt;/periodical&gt;&lt;pages&gt;https://doi.org/10.1029/2019GL084715&lt;/pages&gt;&lt;volume&gt;46&lt;/volume&gt;&lt;dates&gt;&lt;year&gt;2019&lt;/year&gt;&lt;/dates&gt;&lt;isbn&gt;1944-8007&lt;/isbn&gt;&lt;urls&gt;&lt;/urls&gt;&lt;/record&gt;&lt;/Cite&gt;&lt;/EndNote&gt;</w:instrText>
      </w:r>
      <w:r w:rsidR="00AB367E">
        <w:rPr>
          <w:rFonts w:ascii="Times New Roman" w:hAnsi="Times New Roman"/>
          <w:sz w:val="24"/>
          <w:szCs w:val="24"/>
        </w:rPr>
        <w:fldChar w:fldCharType="separate"/>
      </w:r>
      <w:r w:rsidR="00AB367E">
        <w:rPr>
          <w:rFonts w:ascii="Times New Roman" w:hAnsi="Times New Roman"/>
          <w:noProof/>
          <w:sz w:val="24"/>
          <w:szCs w:val="24"/>
        </w:rPr>
        <w:t>(Huang et al., 2019)</w:t>
      </w:r>
      <w:r w:rsidR="00AB367E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</w:t>
      </w:r>
      <w:r w:rsidR="00E309EC">
        <w:rPr>
          <w:rFonts w:ascii="Times New Roman" w:hAnsi="Times New Roman"/>
          <w:sz w:val="24"/>
          <w:szCs w:val="24"/>
        </w:rPr>
        <w:t>T</w:t>
      </w:r>
      <w:r w:rsidRPr="007B26BB"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</w:rPr>
        <w:t>coercivity spectra</w:t>
      </w:r>
      <w:r w:rsidR="00E309EC">
        <w:rPr>
          <w:rFonts w:ascii="Times New Roman" w:hAnsi="Times New Roman"/>
          <w:sz w:val="24"/>
          <w:szCs w:val="24"/>
        </w:rPr>
        <w:t>, the</w:t>
      </w:r>
      <w:r>
        <w:rPr>
          <w:rFonts w:ascii="Times New Roman" w:hAnsi="Times New Roman"/>
          <w:sz w:val="24"/>
          <w:szCs w:val="24"/>
        </w:rPr>
        <w:t xml:space="preserve"> derivatives of the isothermal remanent magnetization </w:t>
      </w:r>
      <w:r w:rsidR="00E309EC">
        <w:rPr>
          <w:rFonts w:ascii="Times New Roman" w:hAnsi="Times New Roman"/>
          <w:sz w:val="24"/>
          <w:szCs w:val="24"/>
        </w:rPr>
        <w:t xml:space="preserve">(IRM) </w:t>
      </w:r>
      <w:r>
        <w:rPr>
          <w:rFonts w:ascii="Times New Roman" w:hAnsi="Times New Roman"/>
          <w:sz w:val="24"/>
          <w:szCs w:val="24"/>
        </w:rPr>
        <w:t xml:space="preserve">curves with respect to </w:t>
      </w:r>
      <w:r w:rsidR="00E309EC">
        <w:rPr>
          <w:rFonts w:ascii="Times New Roman" w:hAnsi="Times New Roman"/>
          <w:sz w:val="24"/>
          <w:szCs w:val="24"/>
        </w:rPr>
        <w:t xml:space="preserve">field, are fitted with coercivity components.  </w:t>
      </w:r>
    </w:p>
    <w:p w14:paraId="754ED711" w14:textId="77777777" w:rsidR="00D2076C" w:rsidRDefault="00D2076C" w:rsidP="00D2076C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C9DA713" w14:textId="77777777" w:rsidR="00D2076C" w:rsidRDefault="00D2076C" w:rsidP="00D2076C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We use </w:t>
      </w:r>
      <w:r w:rsidRPr="00A30D1E">
        <w:rPr>
          <w:rFonts w:ascii="Times New Roman" w:hAnsi="Times New Roman"/>
          <w:sz w:val="24"/>
          <w:szCs w:val="24"/>
        </w:rPr>
        <w:t>a Quantum Design Magnetic Properties Measurement System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D1E">
        <w:rPr>
          <w:rFonts w:ascii="Times New Roman" w:hAnsi="Times New Roman"/>
          <w:sz w:val="24"/>
          <w:szCs w:val="24"/>
        </w:rPr>
        <w:t>(MPMS)</w:t>
      </w:r>
      <w:r>
        <w:rPr>
          <w:rFonts w:ascii="Times New Roman" w:hAnsi="Times New Roman"/>
          <w:sz w:val="24"/>
          <w:szCs w:val="24"/>
        </w:rPr>
        <w:t xml:space="preserve"> for the l</w:t>
      </w:r>
      <w:r w:rsidRPr="00A30D1E">
        <w:rPr>
          <w:rFonts w:ascii="Times New Roman" w:hAnsi="Times New Roman"/>
          <w:sz w:val="24"/>
          <w:szCs w:val="24"/>
        </w:rPr>
        <w:t>ow-temperature</w:t>
      </w:r>
      <w:r w:rsidRPr="006971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remanence </w:t>
      </w:r>
      <w:r w:rsidRPr="00A30D1E">
        <w:rPr>
          <w:rFonts w:ascii="Times New Roman" w:hAnsi="Times New Roman"/>
          <w:sz w:val="24"/>
          <w:szCs w:val="24"/>
        </w:rPr>
        <w:t>experiments</w:t>
      </w:r>
      <w:r>
        <w:rPr>
          <w:rFonts w:ascii="Times New Roman" w:hAnsi="Times New Roman"/>
          <w:sz w:val="24"/>
          <w:szCs w:val="24"/>
        </w:rPr>
        <w:t>.</w:t>
      </w:r>
      <w:r w:rsidRPr="006971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Samples for the </w:t>
      </w:r>
      <w:r w:rsidR="00816377">
        <w:rPr>
          <w:rFonts w:ascii="Times New Roman" w:hAnsi="Times New Roman"/>
          <w:sz w:val="24"/>
          <w:szCs w:val="24"/>
        </w:rPr>
        <w:t>room temperature saturation remanent magnetization (</w:t>
      </w:r>
      <w:r>
        <w:rPr>
          <w:rFonts w:ascii="Times New Roman" w:hAnsi="Times New Roman"/>
          <w:sz w:val="24"/>
          <w:szCs w:val="24"/>
        </w:rPr>
        <w:t>RTSIRM</w:t>
      </w:r>
      <w:r w:rsidR="0081637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cycling measurements were given a </w:t>
      </w:r>
      <w:r w:rsidRPr="00513D6D">
        <w:rPr>
          <w:rFonts w:ascii="Times New Roman" w:hAnsi="Times New Roman"/>
          <w:sz w:val="24"/>
          <w:szCs w:val="24"/>
        </w:rPr>
        <w:t>room-temperature IRM</w:t>
      </w:r>
      <w:r>
        <w:rPr>
          <w:rFonts w:ascii="Times New Roman" w:hAnsi="Times New Roman"/>
          <w:sz w:val="24"/>
          <w:szCs w:val="24"/>
        </w:rPr>
        <w:t xml:space="preserve"> in </w:t>
      </w:r>
      <w:r w:rsidR="0081637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2.5 T</w:t>
      </w:r>
      <w:r w:rsidR="00816377">
        <w:rPr>
          <w:rFonts w:ascii="Times New Roman" w:hAnsi="Times New Roman"/>
          <w:sz w:val="24"/>
          <w:szCs w:val="24"/>
        </w:rPr>
        <w:t xml:space="preserve"> field</w:t>
      </w:r>
      <w:r>
        <w:rPr>
          <w:rFonts w:ascii="Times New Roman" w:hAnsi="Times New Roman"/>
          <w:sz w:val="24"/>
          <w:szCs w:val="24"/>
        </w:rPr>
        <w:t xml:space="preserve"> first, and then measured in zero field when cooling to 20 K and on rewarming back to room temperature.</w:t>
      </w:r>
      <w:r w:rsidRPr="00296C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the measurement of the field cooled (FC) curves, samples were cooled to 20 K</w:t>
      </w:r>
      <w:r w:rsidRPr="00A02C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a 2.5 T field</w:t>
      </w:r>
      <w:r w:rsidR="00816377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the FC remanence was measured </w:t>
      </w:r>
      <w:r w:rsidR="00816377">
        <w:rPr>
          <w:rFonts w:ascii="Times New Roman" w:hAnsi="Times New Roman"/>
          <w:sz w:val="24"/>
          <w:szCs w:val="24"/>
        </w:rPr>
        <w:t xml:space="preserve">subsequently </w:t>
      </w:r>
      <w:r>
        <w:rPr>
          <w:rFonts w:ascii="Times New Roman" w:hAnsi="Times New Roman"/>
          <w:sz w:val="24"/>
          <w:szCs w:val="24"/>
        </w:rPr>
        <w:t xml:space="preserve">in zero field on rewarming to room temperature. For the measurement of the </w:t>
      </w:r>
      <w:r w:rsidRPr="00583DF3">
        <w:rPr>
          <w:rFonts w:ascii="Times New Roman" w:hAnsi="Times New Roman"/>
          <w:sz w:val="24"/>
          <w:szCs w:val="24"/>
        </w:rPr>
        <w:t>zero-</w:t>
      </w:r>
      <w:r>
        <w:rPr>
          <w:rFonts w:ascii="Times New Roman" w:hAnsi="Times New Roman"/>
          <w:sz w:val="24"/>
          <w:szCs w:val="24"/>
        </w:rPr>
        <w:t>fi</w:t>
      </w:r>
      <w:r w:rsidRPr="00583DF3">
        <w:rPr>
          <w:rFonts w:ascii="Times New Roman" w:hAnsi="Times New Roman"/>
          <w:sz w:val="24"/>
          <w:szCs w:val="24"/>
        </w:rPr>
        <w:t>eld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3DF3">
        <w:rPr>
          <w:rFonts w:ascii="Times New Roman" w:hAnsi="Times New Roman"/>
          <w:sz w:val="24"/>
          <w:szCs w:val="24"/>
        </w:rPr>
        <w:t>cooled (ZFC)</w:t>
      </w:r>
      <w:r>
        <w:rPr>
          <w:rFonts w:ascii="Times New Roman" w:hAnsi="Times New Roman"/>
          <w:sz w:val="24"/>
          <w:szCs w:val="24"/>
        </w:rPr>
        <w:t xml:space="preserve"> curves, samples were first cooled to 20 K, then given a low</w:t>
      </w:r>
      <w:r w:rsidRPr="00513D6D">
        <w:rPr>
          <w:rFonts w:ascii="Times New Roman" w:hAnsi="Times New Roman"/>
          <w:sz w:val="24"/>
          <w:szCs w:val="24"/>
        </w:rPr>
        <w:t xml:space="preserve">-temperature </w:t>
      </w:r>
      <w:r>
        <w:rPr>
          <w:rFonts w:ascii="Times New Roman" w:hAnsi="Times New Roman"/>
          <w:sz w:val="24"/>
          <w:szCs w:val="24"/>
        </w:rPr>
        <w:t>SIRM in 2.5 T at 20 K. ZFC remanence was measured in zero field during warming to room temperature. We also applied a series of low-temperature remanence measurements to detect goethite.</w:t>
      </w:r>
      <w:r w:rsidRPr="00AF6D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Following the room-temperature SIRM cooling-warming cycles, samples were </w:t>
      </w:r>
      <w:r w:rsidR="00816377">
        <w:rPr>
          <w:rFonts w:ascii="Times New Roman" w:hAnsi="Times New Roman"/>
          <w:sz w:val="24"/>
          <w:szCs w:val="24"/>
        </w:rPr>
        <w:t xml:space="preserve">taken out of the MOMS and </w:t>
      </w:r>
      <w:r>
        <w:rPr>
          <w:rFonts w:ascii="Times New Roman" w:hAnsi="Times New Roman"/>
          <w:sz w:val="24"/>
          <w:szCs w:val="24"/>
        </w:rPr>
        <w:t>demagne</w:t>
      </w:r>
      <w:r w:rsidRPr="00C11F44">
        <w:rPr>
          <w:rFonts w:ascii="Times New Roman" w:hAnsi="Times New Roman"/>
          <w:sz w:val="24"/>
          <w:szCs w:val="24"/>
        </w:rPr>
        <w:t>tized using an alternating field (AF) demagnetizer with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F44">
        <w:rPr>
          <w:rFonts w:ascii="Times New Roman" w:hAnsi="Times New Roman"/>
          <w:sz w:val="24"/>
          <w:szCs w:val="24"/>
        </w:rPr>
        <w:t xml:space="preserve">peak field of 200 </w:t>
      </w:r>
      <w:r>
        <w:rPr>
          <w:rFonts w:ascii="Times New Roman" w:hAnsi="Times New Roman"/>
          <w:sz w:val="24"/>
          <w:szCs w:val="24"/>
        </w:rPr>
        <w:t xml:space="preserve">mT. The purpose is to remove </w:t>
      </w:r>
      <w:r w:rsidRPr="00C11F44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signal carried by ferromagnetic minerals with coercivities &lt;200 mT </w:t>
      </w:r>
      <w:r>
        <w:rPr>
          <w:rFonts w:ascii="Times New Roman" w:hAnsi="Times New Roman"/>
          <w:sz w:val="24"/>
          <w:szCs w:val="24"/>
        </w:rPr>
        <w:lastRenderedPageBreak/>
        <w:t>(</w:t>
      </w:r>
      <w:r w:rsidR="00816377">
        <w:rPr>
          <w:rFonts w:ascii="Times New Roman" w:hAnsi="Times New Roman"/>
          <w:sz w:val="24"/>
          <w:szCs w:val="24"/>
        </w:rPr>
        <w:t>i.e.</w:t>
      </w:r>
      <w:r>
        <w:rPr>
          <w:rFonts w:ascii="Times New Roman" w:hAnsi="Times New Roman"/>
          <w:sz w:val="24"/>
          <w:szCs w:val="24"/>
        </w:rPr>
        <w:t xml:space="preserve"> magnetite, </w:t>
      </w:r>
      <w:r w:rsidR="00816377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z w:val="24"/>
          <w:szCs w:val="24"/>
        </w:rPr>
        <w:t xml:space="preserve">fine-grained hematite), and therefore to enhance the contribution of goethite. </w:t>
      </w:r>
      <w:r w:rsidRPr="00DC00A1">
        <w:rPr>
          <w:rFonts w:ascii="Times New Roman" w:hAnsi="Times New Roman"/>
          <w:sz w:val="24"/>
          <w:szCs w:val="24"/>
        </w:rPr>
        <w:t>The sample</w:t>
      </w:r>
      <w:r>
        <w:rPr>
          <w:rFonts w:ascii="Times New Roman" w:hAnsi="Times New Roman"/>
          <w:sz w:val="24"/>
          <w:szCs w:val="24"/>
        </w:rPr>
        <w:t>s</w:t>
      </w:r>
      <w:r w:rsidRPr="00DC00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were</w:t>
      </w:r>
      <w:r w:rsidRPr="00DC00A1">
        <w:rPr>
          <w:rFonts w:ascii="Times New Roman" w:hAnsi="Times New Roman"/>
          <w:sz w:val="24"/>
          <w:szCs w:val="24"/>
        </w:rPr>
        <w:t xml:space="preserve"> then </w:t>
      </w:r>
      <w:r>
        <w:rPr>
          <w:rFonts w:ascii="Times New Roman" w:hAnsi="Times New Roman"/>
          <w:sz w:val="24"/>
          <w:szCs w:val="24"/>
        </w:rPr>
        <w:t>put</w:t>
      </w:r>
      <w:r w:rsidRPr="00DC00A1">
        <w:rPr>
          <w:rFonts w:ascii="Times New Roman" w:hAnsi="Times New Roman"/>
          <w:sz w:val="24"/>
          <w:szCs w:val="24"/>
        </w:rPr>
        <w:t xml:space="preserve"> back in</w:t>
      </w:r>
      <w:r w:rsidRPr="00DC00A1">
        <w:t xml:space="preserve"> </w:t>
      </w:r>
      <w:r w:rsidRPr="00DC00A1">
        <w:rPr>
          <w:rFonts w:ascii="Times New Roman" w:hAnsi="Times New Roman"/>
          <w:sz w:val="24"/>
          <w:szCs w:val="24"/>
        </w:rPr>
        <w:t xml:space="preserve">the MPMS and the </w:t>
      </w:r>
      <w:r>
        <w:rPr>
          <w:rFonts w:ascii="Times New Roman" w:hAnsi="Times New Roman"/>
          <w:sz w:val="24"/>
          <w:szCs w:val="24"/>
        </w:rPr>
        <w:t>remanence</w:t>
      </w:r>
      <w:r w:rsidRPr="00DC00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was</w:t>
      </w:r>
      <w:r w:rsidRPr="00DC00A1">
        <w:rPr>
          <w:rFonts w:ascii="Times New Roman" w:hAnsi="Times New Roman"/>
          <w:sz w:val="24"/>
          <w:szCs w:val="24"/>
        </w:rPr>
        <w:t xml:space="preserve"> measured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0A1">
        <w:rPr>
          <w:rFonts w:ascii="Times New Roman" w:hAnsi="Times New Roman"/>
          <w:sz w:val="24"/>
          <w:szCs w:val="24"/>
        </w:rPr>
        <w:t xml:space="preserve">from 300 K to </w:t>
      </w:r>
      <w:r>
        <w:rPr>
          <w:rFonts w:ascii="Times New Roman" w:hAnsi="Times New Roman"/>
          <w:sz w:val="24"/>
          <w:szCs w:val="24"/>
        </w:rPr>
        <w:t>2</w:t>
      </w:r>
      <w:r w:rsidRPr="00DC00A1">
        <w:rPr>
          <w:rFonts w:ascii="Times New Roman" w:hAnsi="Times New Roman"/>
          <w:sz w:val="24"/>
          <w:szCs w:val="24"/>
        </w:rPr>
        <w:t>0 K</w:t>
      </w:r>
      <w:r>
        <w:rPr>
          <w:rFonts w:ascii="Times New Roman" w:hAnsi="Times New Roman"/>
          <w:sz w:val="24"/>
          <w:szCs w:val="24"/>
        </w:rPr>
        <w:t xml:space="preserve">. Finally, the remanence was measured when samples were warmed up </w:t>
      </w:r>
      <w:r w:rsidRPr="00DC00A1"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0A1">
        <w:rPr>
          <w:rFonts w:ascii="Times New Roman" w:hAnsi="Times New Roman"/>
          <w:sz w:val="24"/>
          <w:szCs w:val="24"/>
        </w:rPr>
        <w:t>400 K</w:t>
      </w:r>
      <w:r>
        <w:rPr>
          <w:rFonts w:ascii="Times New Roman" w:hAnsi="Times New Roman"/>
          <w:sz w:val="24"/>
          <w:szCs w:val="24"/>
        </w:rPr>
        <w:t xml:space="preserve">, the </w:t>
      </w:r>
      <w:r w:rsidRPr="00DC00A1">
        <w:rPr>
          <w:rFonts w:ascii="Times New Roman" w:hAnsi="Times New Roman"/>
          <w:sz w:val="24"/>
          <w:szCs w:val="24"/>
        </w:rPr>
        <w:t>Néel temperature of goethite</w:t>
      </w:r>
      <w:r>
        <w:rPr>
          <w:rFonts w:ascii="Times New Roman" w:hAnsi="Times New Roman"/>
          <w:sz w:val="24"/>
          <w:szCs w:val="24"/>
        </w:rPr>
        <w:t xml:space="preserve">, and then cooled again to 20 K. </w:t>
      </w:r>
    </w:p>
    <w:p w14:paraId="771F8680" w14:textId="77777777" w:rsidR="00D2076C" w:rsidRDefault="00D2076C" w:rsidP="00D2076C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F77CD6C" w14:textId="77777777" w:rsidR="00D2076C" w:rsidRDefault="00D2076C" w:rsidP="00D2076C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Mössbauer spectr</w:t>
      </w:r>
      <w:r w:rsidR="0037799F">
        <w:rPr>
          <w:rFonts w:ascii="Times New Roman" w:hAnsi="Times New Roman"/>
          <w:sz w:val="24"/>
          <w:szCs w:val="24"/>
        </w:rPr>
        <w:t>a</w:t>
      </w:r>
      <w:r w:rsidRPr="00F743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were </w:t>
      </w:r>
      <w:r w:rsidR="0037799F">
        <w:rPr>
          <w:rFonts w:ascii="Times New Roman" w:hAnsi="Times New Roman"/>
          <w:sz w:val="24"/>
          <w:szCs w:val="24"/>
        </w:rPr>
        <w:t>measured</w:t>
      </w:r>
      <w:r>
        <w:rPr>
          <w:rFonts w:ascii="Times New Roman" w:hAnsi="Times New Roman"/>
          <w:sz w:val="24"/>
          <w:szCs w:val="24"/>
        </w:rPr>
        <w:t xml:space="preserve"> with</w:t>
      </w:r>
      <w:r w:rsidRPr="00EC3FD3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3FD3">
        <w:rPr>
          <w:rFonts w:ascii="Times New Roman" w:hAnsi="Times New Roman"/>
          <w:sz w:val="24"/>
          <w:szCs w:val="24"/>
        </w:rPr>
        <w:t>conv</w:t>
      </w:r>
      <w:r>
        <w:rPr>
          <w:rFonts w:ascii="Times New Roman" w:hAnsi="Times New Roman"/>
          <w:sz w:val="24"/>
          <w:szCs w:val="24"/>
        </w:rPr>
        <w:t>entional constant-acceleration</w:t>
      </w:r>
      <w:r w:rsidRPr="00EC3FD3">
        <w:rPr>
          <w:rFonts w:ascii="Times New Roman" w:hAnsi="Times New Roman"/>
          <w:sz w:val="24"/>
          <w:szCs w:val="24"/>
        </w:rPr>
        <w:t xml:space="preserve"> spectrometer in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3F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ransmission geometry with a source of </w:t>
      </w:r>
      <w:r w:rsidRPr="000262F4">
        <w:rPr>
          <w:rFonts w:ascii="Times New Roman" w:hAnsi="Times New Roman"/>
          <w:sz w:val="24"/>
          <w:szCs w:val="24"/>
          <w:vertAlign w:val="superscript"/>
        </w:rPr>
        <w:t>57</w:t>
      </w:r>
      <w:r w:rsidRPr="00EC3FD3">
        <w:rPr>
          <w:rFonts w:ascii="Times New Roman" w:hAnsi="Times New Roman"/>
          <w:sz w:val="24"/>
          <w:szCs w:val="24"/>
        </w:rPr>
        <w:t xml:space="preserve">Co </w:t>
      </w:r>
      <w:r>
        <w:rPr>
          <w:rFonts w:ascii="Times New Roman" w:hAnsi="Times New Roman"/>
          <w:sz w:val="24"/>
          <w:szCs w:val="24"/>
        </w:rPr>
        <w:t xml:space="preserve">in </w:t>
      </w:r>
      <w:r w:rsidRPr="00EC3FD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Rh matrix, with an activity of about 50 mCi.</w:t>
      </w:r>
      <w:r w:rsidRPr="00EC3FD3">
        <w:rPr>
          <w:rFonts w:ascii="Times New Roman" w:hAnsi="Times New Roman"/>
          <w:sz w:val="24"/>
          <w:szCs w:val="24"/>
        </w:rPr>
        <w:t xml:space="preserve"> Hyper</w:t>
      </w:r>
      <w:r>
        <w:rPr>
          <w:rFonts w:ascii="Times New Roman" w:hAnsi="Times New Roman"/>
          <w:sz w:val="24"/>
          <w:szCs w:val="24"/>
        </w:rPr>
        <w:t>fi</w:t>
      </w:r>
      <w:r w:rsidRPr="00EC3FD3">
        <w:rPr>
          <w:rFonts w:ascii="Times New Roman" w:hAnsi="Times New Roman"/>
          <w:sz w:val="24"/>
          <w:szCs w:val="24"/>
        </w:rPr>
        <w:t xml:space="preserve">ne </w:t>
      </w:r>
      <w:r>
        <w:rPr>
          <w:rFonts w:ascii="Times New Roman" w:hAnsi="Times New Roman"/>
          <w:sz w:val="24"/>
          <w:szCs w:val="24"/>
        </w:rPr>
        <w:t xml:space="preserve">parameters such </w:t>
      </w:r>
      <w:r w:rsidRPr="00EC3FD3">
        <w:rPr>
          <w:rFonts w:ascii="Times New Roman" w:hAnsi="Times New Roman"/>
          <w:sz w:val="24"/>
          <w:szCs w:val="24"/>
        </w:rPr>
        <w:t>as</w:t>
      </w:r>
      <w:r w:rsidR="00816377">
        <w:rPr>
          <w:rFonts w:ascii="Times New Roman" w:hAnsi="Times New Roman"/>
          <w:sz w:val="24"/>
          <w:szCs w:val="24"/>
        </w:rPr>
        <w:t xml:space="preserve"> the</w:t>
      </w:r>
      <w:r>
        <w:rPr>
          <w:rFonts w:ascii="Times New Roman" w:hAnsi="Times New Roman"/>
          <w:sz w:val="24"/>
          <w:szCs w:val="24"/>
        </w:rPr>
        <w:t xml:space="preserve"> magnetic</w:t>
      </w:r>
      <w:r w:rsidRPr="00EC3FD3">
        <w:rPr>
          <w:rFonts w:ascii="Times New Roman" w:hAnsi="Times New Roman"/>
          <w:sz w:val="24"/>
          <w:szCs w:val="24"/>
        </w:rPr>
        <w:t xml:space="preserve"> hyper</w:t>
      </w:r>
      <w:r>
        <w:rPr>
          <w:rFonts w:ascii="Times New Roman" w:hAnsi="Times New Roman"/>
          <w:sz w:val="24"/>
          <w:szCs w:val="24"/>
        </w:rPr>
        <w:t>fi</w:t>
      </w:r>
      <w:r w:rsidRPr="00EC3FD3">
        <w:rPr>
          <w:rFonts w:ascii="Times New Roman" w:hAnsi="Times New Roman"/>
          <w:sz w:val="24"/>
          <w:szCs w:val="24"/>
        </w:rPr>
        <w:t xml:space="preserve">ne </w:t>
      </w:r>
      <w:r>
        <w:rPr>
          <w:rFonts w:ascii="Times New Roman" w:hAnsi="Times New Roman"/>
          <w:sz w:val="24"/>
          <w:szCs w:val="24"/>
        </w:rPr>
        <w:t>field</w:t>
      </w:r>
      <w:r w:rsidRPr="00EC3FD3">
        <w:rPr>
          <w:rFonts w:ascii="Times New Roman" w:hAnsi="Times New Roman"/>
          <w:sz w:val="24"/>
          <w:szCs w:val="24"/>
        </w:rPr>
        <w:t xml:space="preserve"> (B</w:t>
      </w:r>
      <w:r w:rsidRPr="00DA684B">
        <w:rPr>
          <w:rFonts w:ascii="Times New Roman" w:hAnsi="Times New Roman"/>
          <w:sz w:val="24"/>
          <w:szCs w:val="24"/>
          <w:vertAlign w:val="subscript"/>
        </w:rPr>
        <w:t>HF</w:t>
      </w:r>
      <w:r w:rsidRPr="00EC3FD3">
        <w:rPr>
          <w:rFonts w:ascii="Times New Roman" w:hAnsi="Times New Roman"/>
          <w:sz w:val="24"/>
          <w:szCs w:val="24"/>
        </w:rPr>
        <w:t>), isomer shift (IS) and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3FD3">
        <w:rPr>
          <w:rFonts w:ascii="Times New Roman" w:hAnsi="Times New Roman"/>
          <w:sz w:val="24"/>
          <w:szCs w:val="24"/>
        </w:rPr>
        <w:t xml:space="preserve">quadrupole splitting (QS) have been determined </w:t>
      </w:r>
      <w:r>
        <w:rPr>
          <w:rFonts w:ascii="Times New Roman" w:hAnsi="Times New Roman"/>
          <w:sz w:val="24"/>
          <w:szCs w:val="24"/>
        </w:rPr>
        <w:t xml:space="preserve">with </w:t>
      </w:r>
      <w:r w:rsidR="00816377">
        <w:rPr>
          <w:rFonts w:ascii="Times New Roman" w:hAnsi="Times New Roman"/>
          <w:sz w:val="24"/>
          <w:szCs w:val="24"/>
        </w:rPr>
        <w:t>in-house software of the Institute for Rock Magnetism.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Symbol" w:hAnsi="Symbol"/>
          <w:sz w:val="24"/>
          <w:szCs w:val="24"/>
        </w:rPr>
        <w:t></w:t>
      </w:r>
      <w:r w:rsidRPr="00EC3FD3">
        <w:rPr>
          <w:rFonts w:ascii="Times New Roman" w:hAnsi="Times New Roman"/>
          <w:sz w:val="24"/>
          <w:szCs w:val="24"/>
        </w:rPr>
        <w:t>-Fe was used to calibrate isomer shifts and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3FD3">
        <w:rPr>
          <w:rFonts w:ascii="Times New Roman" w:hAnsi="Times New Roman"/>
          <w:sz w:val="24"/>
          <w:szCs w:val="24"/>
        </w:rPr>
        <w:t>velocity scale</w:t>
      </w:r>
      <w:r w:rsidR="00816377" w:rsidRPr="00816377">
        <w:rPr>
          <w:rFonts w:ascii="Times New Roman" w:hAnsi="Times New Roman"/>
          <w:sz w:val="24"/>
          <w:szCs w:val="24"/>
        </w:rPr>
        <w:t xml:space="preserve"> </w:t>
      </w:r>
      <w:r w:rsidR="00816377" w:rsidRPr="00EC3FD3">
        <w:rPr>
          <w:rFonts w:ascii="Times New Roman" w:hAnsi="Times New Roman"/>
          <w:sz w:val="24"/>
          <w:szCs w:val="24"/>
        </w:rPr>
        <w:t>at room</w:t>
      </w:r>
      <w:r w:rsidR="00816377">
        <w:rPr>
          <w:rFonts w:ascii="Times New Roman" w:hAnsi="Times New Roman"/>
          <w:sz w:val="24"/>
          <w:szCs w:val="24"/>
        </w:rPr>
        <w:t xml:space="preserve"> </w:t>
      </w:r>
      <w:r w:rsidR="00816377" w:rsidRPr="00EC3FD3">
        <w:rPr>
          <w:rFonts w:ascii="Times New Roman" w:hAnsi="Times New Roman"/>
          <w:sz w:val="24"/>
          <w:szCs w:val="24"/>
        </w:rPr>
        <w:t>temperature</w:t>
      </w:r>
      <w:r w:rsidRPr="00EC3F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2105186" w14:textId="77777777" w:rsidR="00D2076C" w:rsidRDefault="00D2076C" w:rsidP="00D2076C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7143861" w14:textId="77777777" w:rsidR="00D2076C" w:rsidRDefault="00D2076C" w:rsidP="00D2076C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A4423">
        <w:rPr>
          <w:rFonts w:ascii="Times New Roman" w:hAnsi="Times New Roman"/>
          <w:color w:val="000000" w:themeColor="text1"/>
          <w:sz w:val="24"/>
          <w:szCs w:val="24"/>
        </w:rPr>
        <w:t xml:space="preserve">SEM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observation </w:t>
      </w:r>
      <w:r w:rsidRPr="005A4423">
        <w:rPr>
          <w:rFonts w:ascii="Times New Roman" w:hAnsi="Times New Roman"/>
          <w:color w:val="000000" w:themeColor="text1"/>
          <w:sz w:val="24"/>
          <w:szCs w:val="24"/>
        </w:rPr>
        <w:t>and EDS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analysis were acquired on a</w:t>
      </w:r>
      <w:r w:rsidRPr="005A4423">
        <w:rPr>
          <w:rFonts w:ascii="Times New Roman" w:hAnsi="Times New Roman"/>
          <w:color w:val="000000" w:themeColor="text1"/>
          <w:sz w:val="24"/>
          <w:szCs w:val="24"/>
        </w:rPr>
        <w:t xml:space="preserve"> Field Electron and Ion GEG650 SEM, </w:t>
      </w:r>
      <w:r>
        <w:rPr>
          <w:rFonts w:ascii="Times New Roman" w:hAnsi="Times New Roman"/>
          <w:color w:val="000000" w:themeColor="text1"/>
          <w:sz w:val="24"/>
          <w:szCs w:val="24"/>
        </w:rPr>
        <w:t>operating</w:t>
      </w:r>
      <w:r w:rsidRPr="005A4423">
        <w:rPr>
          <w:rFonts w:ascii="Times New Roman" w:hAnsi="Times New Roman"/>
          <w:color w:val="000000" w:themeColor="text1"/>
          <w:sz w:val="24"/>
          <w:szCs w:val="24"/>
        </w:rPr>
        <w:t xml:space="preserve"> at 15 kV and 40–60 nA at the SEM lab</w:t>
      </w:r>
      <w:r w:rsidR="00816377">
        <w:rPr>
          <w:rFonts w:ascii="Times New Roman" w:hAnsi="Times New Roman"/>
          <w:color w:val="000000" w:themeColor="text1"/>
          <w:sz w:val="24"/>
          <w:szCs w:val="24"/>
        </w:rPr>
        <w:t>oratory</w:t>
      </w:r>
      <w:r w:rsidRPr="005A4423">
        <w:rPr>
          <w:rFonts w:ascii="Times New Roman" w:hAnsi="Times New Roman"/>
          <w:color w:val="000000" w:themeColor="text1"/>
          <w:sz w:val="24"/>
          <w:szCs w:val="24"/>
        </w:rPr>
        <w:t xml:space="preserve"> at the Key Laboratory of Orogenic Belts and Crustal Evolution, School of Earth and Space Sciences, Peking University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816377">
        <w:rPr>
          <w:rFonts w:ascii="Times New Roman" w:hAnsi="Times New Roman"/>
          <w:color w:val="000000" w:themeColor="text1"/>
          <w:sz w:val="24"/>
          <w:szCs w:val="24"/>
        </w:rPr>
        <w:t xml:space="preserve">Beijing, </w:t>
      </w:r>
      <w:r>
        <w:rPr>
          <w:rFonts w:ascii="Times New Roman" w:hAnsi="Times New Roman"/>
          <w:color w:val="000000" w:themeColor="text1"/>
          <w:sz w:val="24"/>
          <w:szCs w:val="24"/>
        </w:rPr>
        <w:t>China)</w:t>
      </w:r>
      <w:r w:rsidRPr="005A442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DC3ABA4" w14:textId="77777777" w:rsidR="00D2076C" w:rsidRPr="00D2076C" w:rsidRDefault="00D2076C" w:rsidP="00091D36">
      <w:pPr>
        <w:rPr>
          <w:rFonts w:ascii="Times New Roman" w:hAnsi="Times New Roman" w:cs="Times New Roman"/>
        </w:rPr>
      </w:pPr>
    </w:p>
    <w:p w14:paraId="069CB196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44557679" w14:textId="77777777" w:rsidR="00357374" w:rsidRDefault="00357374" w:rsidP="00357374">
      <w:r>
        <w:rPr>
          <w:noProof/>
        </w:rPr>
        <w:lastRenderedPageBreak/>
        <w:drawing>
          <wp:inline distT="0" distB="0" distL="0" distR="0" wp14:anchorId="36DCD400" wp14:editId="50BDE076">
            <wp:extent cx="5731510" cy="5317490"/>
            <wp:effectExtent l="0" t="0" r="254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1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ED587" w14:textId="77777777" w:rsidR="00357374" w:rsidRDefault="00357374" w:rsidP="00357374">
      <w:pPr>
        <w:spacing w:line="48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F</w:t>
      </w:r>
      <w:r>
        <w:rPr>
          <w:rFonts w:ascii="Times New Roman" w:eastAsia="宋体" w:hAnsi="Times New Roman"/>
          <w:sz w:val="24"/>
          <w:szCs w:val="24"/>
        </w:rPr>
        <w:t xml:space="preserve">igure S1. EDS analysis results of dots presented in Figure 10. </w:t>
      </w:r>
    </w:p>
    <w:p w14:paraId="57426027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286F9648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5BE50107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7B653E35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76108132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72394470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1A035E79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0E4BFD16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1438E027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64FC039E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3323C13B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7DB8BF6F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3394FEB6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75FC497B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6A9BEAD1" w14:textId="77777777" w:rsidR="00D2076C" w:rsidRDefault="00D2076C" w:rsidP="00091D36">
      <w:pPr>
        <w:rPr>
          <w:rFonts w:ascii="Times New Roman" w:hAnsi="Times New Roman" w:cs="Times New Roman"/>
        </w:rPr>
      </w:pPr>
    </w:p>
    <w:p w14:paraId="033F5499" w14:textId="77777777" w:rsidR="00C562D4" w:rsidRPr="004C2C65" w:rsidRDefault="00425D05" w:rsidP="00091D36">
      <w:pPr>
        <w:rPr>
          <w:rFonts w:ascii="Times New Roman" w:hAnsi="Times New Roman" w:cs="Times New Roman"/>
          <w:sz w:val="24"/>
          <w:szCs w:val="24"/>
        </w:rPr>
      </w:pPr>
      <w:r w:rsidRPr="004C2C65">
        <w:rPr>
          <w:rFonts w:ascii="Times New Roman" w:hAnsi="Times New Roman" w:cs="Times New Roman"/>
          <w:sz w:val="24"/>
          <w:szCs w:val="24"/>
        </w:rPr>
        <w:lastRenderedPageBreak/>
        <w:t>Table S</w:t>
      </w:r>
      <w:r w:rsidR="0075717B" w:rsidRPr="004C2C65">
        <w:rPr>
          <w:rFonts w:ascii="Times New Roman" w:hAnsi="Times New Roman" w:cs="Times New Roman"/>
          <w:sz w:val="24"/>
          <w:szCs w:val="24"/>
        </w:rPr>
        <w:t>1</w:t>
      </w:r>
      <w:r w:rsidR="00F20ADB" w:rsidRPr="004C2C65">
        <w:rPr>
          <w:rFonts w:ascii="Times New Roman" w:hAnsi="Times New Roman" w:cs="Times New Roman"/>
          <w:sz w:val="24"/>
          <w:szCs w:val="24"/>
        </w:rPr>
        <w:t>. Hysteresis parameter for individual specimens at room temperature</w:t>
      </w:r>
    </w:p>
    <w:tbl>
      <w:tblPr>
        <w:tblW w:w="8222" w:type="dxa"/>
        <w:jc w:val="center"/>
        <w:tblLook w:val="04A0" w:firstRow="1" w:lastRow="0" w:firstColumn="1" w:lastColumn="0" w:noHBand="0" w:noVBand="1"/>
      </w:tblPr>
      <w:tblGrid>
        <w:gridCol w:w="1700"/>
        <w:gridCol w:w="990"/>
        <w:gridCol w:w="880"/>
        <w:gridCol w:w="880"/>
        <w:gridCol w:w="720"/>
        <w:gridCol w:w="720"/>
        <w:gridCol w:w="700"/>
        <w:gridCol w:w="1632"/>
      </w:tblGrid>
      <w:tr w:rsidR="0075717B" w:rsidRPr="0075717B" w14:paraId="58D1717D" w14:textId="77777777" w:rsidTr="002E1ABE">
        <w:trPr>
          <w:trHeight w:val="300"/>
          <w:jc w:val="center"/>
        </w:trPr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D34D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NRM origin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06D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Sample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D169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83FF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rs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183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B</w:t>
            </w: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c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D9B6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B</w:t>
            </w: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cr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F7D9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rs</w:t>
            </w: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/M</w:t>
            </w: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19BC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Source</w:t>
            </w:r>
          </w:p>
        </w:tc>
      </w:tr>
      <w:tr w:rsidR="0075717B" w:rsidRPr="0075717B" w14:paraId="1F7DDEF3" w14:textId="77777777" w:rsidTr="002E1ABE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A69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2FB6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2EC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Am</w:t>
            </w:r>
            <w:r w:rsidRPr="0075717B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vertAlign w:val="superscript"/>
              </w:rPr>
              <w:t>2</w:t>
            </w:r>
            <w:r w:rsidRPr="0075717B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/kg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3929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Am</w:t>
            </w:r>
            <w:r w:rsidRPr="0075717B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vertAlign w:val="superscript"/>
              </w:rPr>
              <w:t>2</w:t>
            </w:r>
            <w:r w:rsidRPr="0075717B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/kg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C505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mT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352D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mT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D697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36A3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5717B" w:rsidRPr="0075717B" w14:paraId="1E78168B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E18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Gongjue basin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C17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F30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36DF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C3C2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AC89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F36A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F5B6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717B" w:rsidRPr="0075717B" w14:paraId="6B32F7A7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9AA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CF6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GJ1.1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BC3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2.04E-03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E74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9.00E-04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D7E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91.25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807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200.87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8DB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140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3A0C8F7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BAD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25E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GJ3.2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661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3.55E-03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33C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1.59E-03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8A4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110.94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7A9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212.23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DB7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06F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7E4EF7AF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87E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719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GJ7.8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B5A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3.40E-03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53D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1.96E-03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161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238.15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C9B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268.06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95B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0.58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BA0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006D052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DD8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302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GJ11.6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4DE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7.69E-03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C68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2.04E-03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B9F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38.29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879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152.43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32B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04B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069AD3B4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4C6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C59C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GJ13.5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C91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3.09E-03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27C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1.47E-03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248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143.87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395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221.76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756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0.48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DB9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4D12E273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66A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BCD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GJ16.8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1EC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5.81E-03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D1B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2.85E-03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AC7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147.35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8B4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242.52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D71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0.49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5F3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03412EC0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405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953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GJ18.2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D38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4.11E-03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76E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1.87E-03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677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125.39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968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241.88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7F6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5B6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3FFD8CF2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354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6B4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GJ20.9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0B9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3.97E-03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507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1.64E-03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546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83.04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9F6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188.39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D7B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0.41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E63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1D876251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E5E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750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GJ23.8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857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1.73E-03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BE8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8.16E-04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555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108.88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F6A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165.94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2AA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3B4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09DB7FF9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835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3FC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GJ27.1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7E5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2.73E-03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F9F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1.28E-03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610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131.20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69D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243.59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64C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E47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164826B7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1A6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661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GJ29.3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7DC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2.21E-03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648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1.04E-03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81F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143.06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B2D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234.06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0BF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D45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29726980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0B0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EF8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JD1.7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C0D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3.15E-03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D81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1.48E-03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91E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140.58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948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218.98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A81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DBF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3A5298A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140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9FF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JD3.10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922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3.13E-03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31C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1.40E-03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F90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99.49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7C3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191.26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516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D86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0A4A084F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FEF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F71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JD5.6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1CA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3.56E-03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F5D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1.89E-03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69D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179.19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099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249.50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E80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0.53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158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311FD4C7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629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14E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JD9.5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61F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1.87E-03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744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8.56E-04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A3B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53.66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582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75.25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9E8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EE1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5760F74A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A9C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850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JD11.6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C8D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1.31E-02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9B0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2.68E-03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461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26.84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C59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97.55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CE4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0.20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676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39665854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AB4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7DA8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JD13.4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3FC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5.39E-03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303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1.86E-03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06F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52.11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597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157.58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2B3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9AC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7E6FF470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6EA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C8E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JD17.1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E26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3.27E-03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AAD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1.69E-03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0E3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132.28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180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212.50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4EC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0.52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76D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05C77437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60D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6D7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JD19.8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873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2.32E-03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DF3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1.02E-03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1ED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86.69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CEE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160.42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977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37C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6E482158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130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FF5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JD23.8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8A3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2.05E-03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086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1.08E-03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FA6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180.17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615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252.20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2BB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0.53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6D8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5DFE5B72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217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56E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JD27.6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D95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2.98E-03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07B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1.61E-03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F64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190.72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28B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230.11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5C6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B60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2453D92A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1F0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FCC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JD31.3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ED2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3.48E-03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FA7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1.57E-03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254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95.87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45B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212.91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DE7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4D2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7494A9E8" w14:textId="77777777" w:rsidTr="002E1ABE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EEDB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3181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JD34.9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01F8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2.08E-03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6F4A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1.10E-03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3BC3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169.57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8BAB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222.40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0AAF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0.53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AC7E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Zhang et al., 2018</w:t>
            </w:r>
          </w:p>
        </w:tc>
      </w:tr>
      <w:tr w:rsidR="0075717B" w:rsidRPr="0075717B" w14:paraId="79F746EC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2F2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Nangqian basin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C1F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FACB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2478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10EB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F4FD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8425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718F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717B" w:rsidRPr="0075717B" w14:paraId="2DA1945B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D2F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BBC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9DE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6.70E-03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943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4.10E-03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C28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291.09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6AC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483.93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C41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0.61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370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26A9193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433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A53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15NQ5404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221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7.34E-03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E66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4.61E-03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E8E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347.30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0C3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522.80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433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0.63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3EA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5E0BA86C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067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882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FFB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6.27E-03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C3E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3.90E-03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A73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306.77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DB6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512.04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998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0.62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455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06E311A2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147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31C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98D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9.70E-03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907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7.00E-03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EF0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399.12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02F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462.60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774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0.72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A57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0C20954F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3A3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F29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AE4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6.69E-03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935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4.31E-03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374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331.06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EA3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517.46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466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8BE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45226922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B07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C5D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8A7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7.83E-03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F9E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5.09E-03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E4A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343.61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080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520.18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9AA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F09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724A5979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117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0E4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15NQ5505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7FA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5.12E-03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282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3.44E-03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04A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260.89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8C7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487.71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104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DD5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213285F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755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34B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538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6.00E-03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7C6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4.46E-03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358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369.45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F39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442.08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3A7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24C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40AC845C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0E6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866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6EE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8.15E-03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021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5.04E-03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FD1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318.01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F3B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518.48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41D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0.62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B6B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580C97B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920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801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15NQ5609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D32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1.00E-02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99B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7.34E-03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DD9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383.40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E69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522.89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B2F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0.73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FA4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6DEA884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0F1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97E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15NQ5723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BCE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1.00E-02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B0C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7.48E-03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7BD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407.14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D3D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465.55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5B1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55B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11D5C6E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DF1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34C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14NQ0703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769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2.93E-03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061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1.58E-03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C4D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344.90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C72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562.41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C7A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3D6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07F66F6C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276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00C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14NQ0712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872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3.07E-03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1FB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2.19E-03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7D1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321.30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2F7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464.38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17D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0.71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240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46BD24DC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494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970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14NQ0719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0C3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3.46E-03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3D1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2.60E-03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F59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317.16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8D1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471.74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0F5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0C6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02DD7388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EA6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737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14NQ0910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8F3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3.25E-03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7CF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1.82E-03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80C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240.34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12B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399.73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71D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14A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54B63B8B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D25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2F3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14NQ1504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9A3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9.59E-03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698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4.53E-03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039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216.04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88A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368.43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5AF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4ED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1B0F046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135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lastRenderedPageBreak/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EF1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100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7.66E-03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333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5.16E-03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61B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267.30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D34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381.57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C87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8BA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67AF2987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934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ED4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376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6.21E-03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40F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3.33E-03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156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240.96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0FE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386.18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DCD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3E3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2FF1380C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1BC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6A5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8FE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6.28E-03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48A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4.26E-03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80F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266.69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64F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390.42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552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BC4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64B4A318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F8C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C58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01C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8.84E-03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7BF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5.70E-03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C8C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358.50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ED0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479.07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200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6BF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21B3C5EB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AAB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C2A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758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1.27E-03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01F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8.31E-04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900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342.09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912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487.55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48C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E7C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1E92FD6A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9A6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D0B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14NQ0409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C2A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4.07E-03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019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2.44E-03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F86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271.90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9AB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473.70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AF7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0.60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E5D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06E67BB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879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EC5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14NQ0411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DE2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2.90E-03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9DD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1.73E-03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1DD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278.41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A28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490.57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809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0.60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0A3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7E724877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B04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F9C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14NQ0602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B97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6.19E-03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C01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4.35E-03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964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259.84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5D7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374.40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5EB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0.70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CE2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2618D8A7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F42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ED1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14NQ0611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117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4.19E-03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82F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2.86E-03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AA2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278.73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90C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408.90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EAA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8E1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45CBE9CF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342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239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14NQ0915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67F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4.15E-03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93C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2.36E-03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D8F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243.19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7BA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401.54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8BC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AC7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01602E2B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73D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613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14NQ1308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425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2.69E-03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F3F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1.95E-03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692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306.65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167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472.92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EC0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0.73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F09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73C2E55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D74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865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14NQ1309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FB8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4.03E-03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DCF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2.65E-03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9E9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250.97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D8F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419.68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A59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638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0E7A82D2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0B2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BB3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15NQ5307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59D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7.96E-03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42B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5.47E-03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9BF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367.68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E8C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520.88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43C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0.69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FE8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74F5EE9F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7CD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3A0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8E1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5.49E-03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D6E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3.85E-03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5D5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322.48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9AB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459.83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47D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0.70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78B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1F1F1AC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3F2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6D1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4A6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6.23E-03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F21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4.01E-03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3D6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318.73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078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474.75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1E0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F2E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16892A65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FBA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D1B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045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7.73E-03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79A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5.85E-03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6D3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378.14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61F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487.94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420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46C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46DA9A71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1FF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EDD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4A4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5.93E-03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E18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3.31E-03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D52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262.52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171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410.43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648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ADF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6266FF9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BB1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2E1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15NQ5610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DB8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9.21E-03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F2A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5.31E-03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24F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311.24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32F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520.62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88B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0.58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B8A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2F1CDE4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0A2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EF2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15NQ5611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B69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8.24E-03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A01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5.41E-03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237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347.50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696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519.62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C64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33B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45771940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F10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CD0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E76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6.45E-03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451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4.06E-03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367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315.61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FBB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497.09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D80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0.63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53F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2A59E92E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831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F73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15NQ5716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444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9.05E-03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49F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5.40E-03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61B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313.63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881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508.48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AA2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0.60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AB4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75717B" w:rsidRPr="0075717B" w14:paraId="7683E909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5A4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79E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14NQ0315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852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5.52E-03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7C3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3.15E-03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FE0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212.99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422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372.50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3DD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189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79FC4B2E" w14:textId="77777777" w:rsidTr="002E1ABE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0077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B2A2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E31A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5.16E-03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2BE2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2.99E-03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702F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240.33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99B2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416.08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2878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0.58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5334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433401F3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2C9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Shanglaxiu basin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0AC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5CC9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8094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ADBE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3527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FEFF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50B5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717B" w:rsidRPr="0075717B" w14:paraId="0E2DCB68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AB1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1C5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14XL1109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36E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2.82E-03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7C2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1.10E-03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CE4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74.90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E85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444.59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F8B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0.39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7DA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70FEF8D1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0B8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17F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14XL1505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F5E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3.06E-03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BDC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1.18E-03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9ED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112.61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91F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365.21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7DA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0.39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B12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7DA347E8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523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4EE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14XL1506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4AA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1.84E-03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311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1.01E-03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181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183.13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90A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385.34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4B4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EEB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781C6F7B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968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8DA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14XL1601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82E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3.16E-03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A5D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1.33E-03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25B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103.99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939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457.36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742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0.42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B86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6681BC3B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ABA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39B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14XL1605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456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4.54E-03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047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1.20E-03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1BB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63.71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87E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340.42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D6B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6471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620218D5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07D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85D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14XL1612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696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6.42E-03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0A8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2.24E-03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DDD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111.96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B09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362.70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79F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AC2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266FF568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7F1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7BC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14XL1803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8D1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5.37E-03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42C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1.64E-03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19A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87.91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8A8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374.52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869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0.31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9E3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6BC0C630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648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8A4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14XL1805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C45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2.65E-03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361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9.44E-04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C71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69.45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E84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464.03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75E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D72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5A2073AE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032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597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14XL1807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2A0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2.99E-03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56A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1.37E-03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BFA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99.40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16A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377.50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D15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C37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7ED75DE1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CBC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5F6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14XL1808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A36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3.01E-03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382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1.42E-03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385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104.38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EA4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371.31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885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664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44B85AD2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6CA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724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15Xl2814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9EB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2.23E-03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215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9.33E-04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8D7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109.82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7C7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465.31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05F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0.42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F1E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7B9F6603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FD8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430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15XL2815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C18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3.09E-03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462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1.43E-03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C01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121.15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63F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467.21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B46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681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6BB614D9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86B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E2A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15XL2904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17C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2.15E-03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528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8.90E-04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ECB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91.64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641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412.42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E6A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0.41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300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53321305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B68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2FE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15XL2906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DEF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1.87E-03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CEB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5.89E-04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41E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51.39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207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346.94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93F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0.32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9A2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1CD750A4" w14:textId="77777777" w:rsidTr="002E1ABE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08CA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06A0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15XL2911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FC74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1.52E-03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D1F6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7.46E-04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A6AC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135.87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EAB7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435.91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4819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0.49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B7E4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1DEE410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72E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Jinggu basin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D5A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1C31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6A4E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F865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0E29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2212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EAF4" w14:textId="77777777" w:rsidR="0075717B" w:rsidRPr="0075717B" w:rsidRDefault="0075717B" w:rsidP="0075717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717B" w:rsidRPr="0075717B" w14:paraId="06801100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475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9FD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BC6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8.28E-03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6A1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6.42E-03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212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388.81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36A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462.98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411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0.78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30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6063CF1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E2B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B61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476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6.58E-03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541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4.21E-03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E55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288.92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352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434.82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98C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811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7A28750D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568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991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BA9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8.61E-03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895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4.75E-03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DD0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317.97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EB4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492.26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FE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809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0E1CDDC1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5D2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442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AC2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6.56E-03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B35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4.37E-03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484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316.23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C72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466.99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A97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1DB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5C4CC365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EF6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lastRenderedPageBreak/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4EC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4A7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8.44E-03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410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5.92E-03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818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371.22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F56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533.19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7CC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0.70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269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40FB698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EC6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462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D6A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6.10E-03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9D0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4.14E-03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357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392.66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B52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469.97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A01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487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34CD496A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1C4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F7D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768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6.92E-03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2CE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4.58E-03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2F7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328.30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473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452.78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D24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DA5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4BF08ACC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483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391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9EB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7.57E-03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DCF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5.66E-03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DD4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388.38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DBC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519.63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C82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25A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2D14EBBC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90D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8FE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B107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896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7.10E-03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114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3.85E-03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C68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275.46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E43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427.68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04E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778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4857424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55C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92E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791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6.10E-03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502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4.05E-03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ACE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352.39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FCD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491.95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B54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3C7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4CA51625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553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EEE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B173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394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6.40E-03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54B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4.72E-03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019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353.62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B7E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494.59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D03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CFD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416C7E57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608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379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5A8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6.91E-03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B46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4.78E-03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9DB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376.60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635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534.87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4BE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0.69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CF0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0609787E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AE3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43C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B261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3A8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6.22E-03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678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3.35E-03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2E2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120.54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E5F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407.23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ED0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0.54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02A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33D55651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0399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0C9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B281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941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6.29E-03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CF4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4.27E-03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CFD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367.78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F8D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466.53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4CF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17F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04F7EB08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375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F81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B442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C6F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4.66E-03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396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2.55E-03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4E0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186.13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42D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452.31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822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0.55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E26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3B932C36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425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B79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B456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6B4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4.20E-03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4E3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2.38E-03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E3A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204.18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517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437.72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126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BAC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690B764B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F72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427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B458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BAA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7.88E-03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B10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5.28E-03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C4E6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413.18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4D1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599.22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867D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364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04623A55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0B09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58C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B506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6B3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7.13E-03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E050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4.81E-03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28A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365.10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E62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466.36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9C0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3F9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0AACC433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846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4B3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B552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405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6.40E-03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54D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4.39E-03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0EF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354.91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85BA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531.56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F74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0.69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30C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27EF1FD4" w14:textId="77777777" w:rsidTr="002E1ABE">
        <w:trPr>
          <w:trHeight w:val="285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93F3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865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B534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0F1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7.16E-03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F51C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4.92E-03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2FA1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378.75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021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517.33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F49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0.69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FC3B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5A65E905" w14:textId="77777777" w:rsidTr="002E1ABE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4CAEE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9C7C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2FE48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4.01E-03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1DED5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2.62E-03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E6094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258.44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BE762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404.62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8575F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96E7" w14:textId="77777777" w:rsidR="0075717B" w:rsidRPr="0075717B" w:rsidRDefault="0075717B" w:rsidP="0075717B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75717B" w:rsidRPr="0075717B" w14:paraId="014E6AC9" w14:textId="77777777" w:rsidTr="002E1ABE">
        <w:trPr>
          <w:trHeight w:val="285"/>
          <w:jc w:val="center"/>
        </w:trPr>
        <w:tc>
          <w:tcPr>
            <w:tcW w:w="8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3B23" w14:textId="77777777" w:rsidR="0075717B" w:rsidRPr="0075717B" w:rsidRDefault="0075717B" w:rsidP="0075717B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Note. B</w:t>
            </w: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  <w:vertAlign w:val="subscript"/>
              </w:rPr>
              <w:t>c</w:t>
            </w: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 coercive force; B</w:t>
            </w: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  <w:vertAlign w:val="subscript"/>
              </w:rPr>
              <w:t>cr</w:t>
            </w: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 remanent coercivity; M</w:t>
            </w: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  <w:vertAlign w:val="subscript"/>
              </w:rPr>
              <w:t>rs</w:t>
            </w: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 remanent saturation; M</w:t>
            </w: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  <w:vertAlign w:val="subscript"/>
              </w:rPr>
              <w:t>s</w:t>
            </w:r>
            <w:r w:rsidRPr="0075717B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 saturation magnetization.</w:t>
            </w:r>
          </w:p>
        </w:tc>
      </w:tr>
    </w:tbl>
    <w:p w14:paraId="386355EB" w14:textId="77777777" w:rsidR="0075717B" w:rsidRDefault="0075717B" w:rsidP="00091D36"/>
    <w:p w14:paraId="55E3FB5A" w14:textId="77777777" w:rsidR="0075717B" w:rsidRDefault="0075717B" w:rsidP="00091D36"/>
    <w:p w14:paraId="262E8EFA" w14:textId="77777777" w:rsidR="0075717B" w:rsidRDefault="0075717B" w:rsidP="00091D36"/>
    <w:p w14:paraId="632FDA25" w14:textId="77777777" w:rsidR="0075717B" w:rsidRDefault="0075717B" w:rsidP="00091D36"/>
    <w:p w14:paraId="3DD0A8AA" w14:textId="77777777" w:rsidR="0075717B" w:rsidRDefault="0075717B" w:rsidP="00091D36"/>
    <w:p w14:paraId="08E358D4" w14:textId="77777777" w:rsidR="0075717B" w:rsidRDefault="0075717B" w:rsidP="00091D36"/>
    <w:p w14:paraId="14D3730B" w14:textId="77777777" w:rsidR="0075717B" w:rsidRDefault="0075717B" w:rsidP="00091D36"/>
    <w:p w14:paraId="0EF11F0D" w14:textId="77777777" w:rsidR="0075717B" w:rsidRDefault="0075717B" w:rsidP="00091D36"/>
    <w:p w14:paraId="5340F616" w14:textId="77777777" w:rsidR="0075717B" w:rsidRDefault="0075717B" w:rsidP="00091D36"/>
    <w:p w14:paraId="7E2D84F4" w14:textId="77777777" w:rsidR="0075717B" w:rsidRDefault="0075717B" w:rsidP="00091D36"/>
    <w:p w14:paraId="3352721D" w14:textId="77777777" w:rsidR="0075717B" w:rsidRDefault="0075717B" w:rsidP="00091D36"/>
    <w:p w14:paraId="7CF0848B" w14:textId="77777777" w:rsidR="0075717B" w:rsidRDefault="0075717B" w:rsidP="00091D36"/>
    <w:p w14:paraId="3219C9AC" w14:textId="77777777" w:rsidR="0075717B" w:rsidRDefault="0075717B" w:rsidP="00091D36"/>
    <w:p w14:paraId="225AAB05" w14:textId="77777777" w:rsidR="0075717B" w:rsidRDefault="0075717B" w:rsidP="00091D36"/>
    <w:p w14:paraId="0B5FA900" w14:textId="77777777" w:rsidR="0075717B" w:rsidRDefault="0075717B" w:rsidP="00091D36"/>
    <w:p w14:paraId="6FE311BB" w14:textId="77777777" w:rsidR="0075717B" w:rsidRDefault="0075717B" w:rsidP="00091D36"/>
    <w:p w14:paraId="752C1DA1" w14:textId="77777777" w:rsidR="0075717B" w:rsidRDefault="0075717B" w:rsidP="00091D36"/>
    <w:p w14:paraId="38799C81" w14:textId="77777777" w:rsidR="002E1ABE" w:rsidRDefault="002E1ABE" w:rsidP="00091D36"/>
    <w:p w14:paraId="2C75D3CF" w14:textId="77777777" w:rsidR="002E1ABE" w:rsidRDefault="002E1ABE" w:rsidP="00091D36"/>
    <w:p w14:paraId="3F4B88F6" w14:textId="77777777" w:rsidR="002E1ABE" w:rsidRDefault="002E1ABE" w:rsidP="00091D36"/>
    <w:p w14:paraId="4FD21A43" w14:textId="77777777" w:rsidR="002E1ABE" w:rsidRDefault="002E1ABE" w:rsidP="00091D36"/>
    <w:p w14:paraId="4A464E76" w14:textId="77777777" w:rsidR="002E1ABE" w:rsidRDefault="002E1ABE" w:rsidP="00091D36"/>
    <w:p w14:paraId="063CE1B5" w14:textId="77777777" w:rsidR="00D07E0F" w:rsidRDefault="00D07E0F" w:rsidP="00091D36"/>
    <w:p w14:paraId="68AB9240" w14:textId="77777777" w:rsidR="00D07E0F" w:rsidRDefault="00D07E0F" w:rsidP="00091D36"/>
    <w:p w14:paraId="1916959E" w14:textId="77777777" w:rsidR="00D07E0F" w:rsidRDefault="00D07E0F" w:rsidP="00091D36"/>
    <w:p w14:paraId="12768540" w14:textId="77777777" w:rsidR="003F14E8" w:rsidRDefault="003F14E8" w:rsidP="00091D36">
      <w:pPr>
        <w:sectPr w:rsidR="003F14E8" w:rsidSect="00147601">
          <w:pgSz w:w="11906" w:h="16838"/>
          <w:pgMar w:top="1440" w:right="1440" w:bottom="1440" w:left="1440" w:header="720" w:footer="720" w:gutter="0"/>
          <w:cols w:space="720"/>
          <w:docGrid w:type="lines" w:linePitch="312"/>
        </w:sectPr>
      </w:pPr>
    </w:p>
    <w:p w14:paraId="67E29A3A" w14:textId="77777777" w:rsidR="002E1ABE" w:rsidRDefault="00D07E0F" w:rsidP="00091D36">
      <w:r w:rsidRPr="00425D05">
        <w:rPr>
          <w:rFonts w:ascii="Times New Roman" w:hAnsi="Times New Roman" w:cs="Times New Roman"/>
        </w:rPr>
        <w:lastRenderedPageBreak/>
        <w:t>Table S</w:t>
      </w:r>
      <w:r>
        <w:rPr>
          <w:rFonts w:ascii="Times New Roman" w:hAnsi="Times New Roman" w:cs="Times New Roman"/>
        </w:rPr>
        <w:t xml:space="preserve">2. </w:t>
      </w:r>
      <w:r w:rsidRPr="002E1ABE">
        <w:rPr>
          <w:rFonts w:ascii="Times New Roman" w:hAnsi="Times New Roman"/>
          <w:szCs w:val="21"/>
        </w:rPr>
        <w:t>Results of IRM component analysis.</w:t>
      </w:r>
    </w:p>
    <w:tbl>
      <w:tblPr>
        <w:tblW w:w="11641" w:type="dxa"/>
        <w:jc w:val="center"/>
        <w:tblLook w:val="04A0" w:firstRow="1" w:lastRow="0" w:firstColumn="1" w:lastColumn="0" w:noHBand="0" w:noVBand="1"/>
      </w:tblPr>
      <w:tblGrid>
        <w:gridCol w:w="1360"/>
        <w:gridCol w:w="1000"/>
        <w:gridCol w:w="737"/>
        <w:gridCol w:w="528"/>
        <w:gridCol w:w="528"/>
        <w:gridCol w:w="1039"/>
        <w:gridCol w:w="1014"/>
        <w:gridCol w:w="858"/>
        <w:gridCol w:w="528"/>
        <w:gridCol w:w="528"/>
        <w:gridCol w:w="1032"/>
        <w:gridCol w:w="1007"/>
        <w:gridCol w:w="1660"/>
      </w:tblGrid>
      <w:tr w:rsidR="003F14E8" w:rsidRPr="003F14E8" w14:paraId="74CAAA85" w14:textId="77777777" w:rsidTr="003F14E8">
        <w:trPr>
          <w:trHeight w:val="300"/>
          <w:jc w:val="center"/>
        </w:trPr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382D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NRM origin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EDE1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Sample</w:t>
            </w:r>
          </w:p>
        </w:tc>
        <w:tc>
          <w:tcPr>
            <w:tcW w:w="376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B524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Component 1</w:t>
            </w:r>
          </w:p>
        </w:tc>
        <w:tc>
          <w:tcPr>
            <w:tcW w:w="386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F540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Component 2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7E7F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Source</w:t>
            </w:r>
          </w:p>
        </w:tc>
      </w:tr>
      <w:tr w:rsidR="003F14E8" w:rsidRPr="003F14E8" w14:paraId="56BFA816" w14:textId="77777777" w:rsidTr="003F14E8">
        <w:trPr>
          <w:trHeight w:val="300"/>
          <w:jc w:val="center"/>
        </w:trPr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CAE9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1F36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4750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B</w:t>
            </w: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9DAD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DP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C75E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3344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OC.mean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9F5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EC.mean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5C4D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B</w:t>
            </w: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E409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DP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055F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FBE2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OC.mean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E9F9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EC.mean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E08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F14E8" w:rsidRPr="003F14E8" w14:paraId="7D84162F" w14:textId="77777777" w:rsidTr="003F14E8">
        <w:trPr>
          <w:trHeight w:val="285"/>
          <w:jc w:val="center"/>
        </w:trPr>
        <w:tc>
          <w:tcPr>
            <w:tcW w:w="2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418A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Gongjue Basin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140A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935C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EE16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AEA3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8BBD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BA6A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2596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C45B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C13B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DD1B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4B8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F14E8" w:rsidRPr="003F14E8" w14:paraId="525F2359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FB1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730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GJ1.1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D30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111.71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7F7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3.44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125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F92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48C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AF3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408.13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F3E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1.54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ADD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012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E176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82E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538EB219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ED1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6A7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GJ9.2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37C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64.83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DF7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2.67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33C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EE5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0.16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BE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8D5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674.38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0D6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2.11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06D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0.95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EDD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3AC6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781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1FE6ECF7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407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4DA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GJ13.5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ADC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69.13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938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2.90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223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999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0.35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8C3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344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421.50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5B8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1.54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C63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486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487F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E18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41E87758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742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E83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GJ23.8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083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63.44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D63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2.49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E98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A8F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0.35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420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DE0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410.24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AD0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1.68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A4E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1.02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784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E1A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F95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134E85CA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4FE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F7B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GJ27.1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9E3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93.33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A9B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3.61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274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A48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0.42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C16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0.43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1D39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410.38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A6F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1.54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0F2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1.01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AE2B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0.58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C7F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68C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376A03B7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496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0F5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GJ29.3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7B4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70.73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ABA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3.02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131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543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0.34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7DC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12E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416.70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74F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1.55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3A3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1.08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0540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AC3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B19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2BB8B267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41B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140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JD1.7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24A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69.08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0936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2.76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988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6EA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8B5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0.29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9EC9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486.78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129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1.64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1C0C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1.24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EDC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C01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29E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3493DDB2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DC5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643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JD18.1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EB32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77.06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ADD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3.11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06D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677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8E3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6DC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702.51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C718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683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D35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68A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A36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418E96CC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B46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0C85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JD19.8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F9B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47.65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A7B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3.03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129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EF0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0.36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37D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0.35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DC0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402.00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8C2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1.70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AAA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7CC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8E2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0A7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29E661CD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F2B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31D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JD23.8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308E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93.18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4D1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3.21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1814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930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0.41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230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635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451.45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F4A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1.55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2BD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001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36C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F6E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04140831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B37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B1D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JD27.6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5835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66.10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3CB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3.03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C9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68F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0.33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ED7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017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427.64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092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1.54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0C54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1.11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2F4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500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981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3FE77208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F9E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B11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JD31.3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60F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69.29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05D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3.65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852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518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87C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C7C7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785.17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AA4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4902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0.95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10A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854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A78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2C9EC8F7" w14:textId="77777777" w:rsidTr="003F14E8">
        <w:trPr>
          <w:trHeight w:val="300"/>
          <w:jc w:val="center"/>
        </w:trPr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E792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A4AE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JD34.9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9085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63.77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1CBD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2.86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5057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0.38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E933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0.32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BD0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0.31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9E4B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429.82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75AE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1.60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637E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1.11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AEA9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7592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34DD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4D9D1F1F" w14:textId="77777777" w:rsidTr="003F14E8">
        <w:trPr>
          <w:trHeight w:val="285"/>
          <w:jc w:val="center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6F9D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Nangqian Basin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C99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048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1C0A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99C7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419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C64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45EA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F27C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35AC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ECAEB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857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F14E8" w:rsidRPr="003F14E8" w14:paraId="6A5DD4BD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B4C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88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84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920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47C6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F97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551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83A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659.93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AD7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E48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0.84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32D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3E3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E6F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3355841E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360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269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15NQ5417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2BD4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114.73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5D1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4A88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329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0.11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502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0.11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A43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506.72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B1F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1.74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1E6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49A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8C13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5F9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584FA6E5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3F5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377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15NQ5505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4BE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100.95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2EF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2.72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B2B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BDF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0.14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A25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0.11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D0B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759.88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74F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27A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07C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B87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544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4679E605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72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857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15NQ5709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6E3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100.49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1D1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2.19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689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D27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7A1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0.05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B46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635.10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496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012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0.85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53D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5148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6C7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02BD15DE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25C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4CE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15NQ5721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608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86.16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6CD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3EB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62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0.17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0DA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6B35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368.36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DB8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1.62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BCB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15B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6110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64A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39A492A4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85C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93A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C63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102.91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DD3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210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F80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9AC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932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520.73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CE92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1.77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660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0.71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F594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0.88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171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F28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020238B5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76B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36B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15NQ5609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95F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98.38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236B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2.67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B19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0D1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B7D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0.11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EC8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761.37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A67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490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2A1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F72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EA8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283720C1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398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4F6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15NQ5723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255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7AC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02C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680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D4C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2ED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684.29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9F5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66A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0.84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032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C656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EF4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215DFF16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5B2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25E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14NQ0703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2D3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105.80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BC2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3.34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91C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E55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0.15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26F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513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688.58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53C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1.76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98C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0.73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55C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0.85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33B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DD4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6E85D6B8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AB5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D80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14NQ0712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843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76.63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1FE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3.99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805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14C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D76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AAC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613.93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161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B7E1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7E7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0.88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58D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0F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333576BC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43D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lastRenderedPageBreak/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21D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14NQ0719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1E6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85.63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A770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3.63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8CC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A4F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DA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E651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640.25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8D7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59A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0.97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883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FF2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316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7228CB59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E6F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1F7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14NQ0910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E3B3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72.40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EFF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9C4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CBD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458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5C5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478.00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E2C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DBD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0.98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4C6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C77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005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5C6C1501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04D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F74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A5CD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90.99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D20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674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38B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10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0.05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596C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476.32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BAA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4128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1.13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8A2A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4F56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394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0C595B00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AF8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20D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14NQ1509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983D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126.04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D85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2.44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85A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4D4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63D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476F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505.59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798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379D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1.06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2D5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277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D74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2695C6D1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C10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F67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14NQ1510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74B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66.72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8642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62E4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A0B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E33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F1D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460.28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F4F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8D3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41C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93F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E7C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43450A0A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18D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C76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14NQ1513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851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66.20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19F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7.72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1B4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9CA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AA6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154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460.64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E35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8B0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FF0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2C92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9E6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29EE3B5C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05D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D0C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C68C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E8F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646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B11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7C6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5CB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570.17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E3A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E305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0.82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455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EC9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727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2E36BF8A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F7E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938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1C0F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118.60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A78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2.27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0A8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11F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0A6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E94F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475.42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5CFB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1.81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E00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FF2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705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303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0F7C1F93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CEC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54C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14NQ0409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587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97.31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8E3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2.73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003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614B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107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4F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621.82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1F0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958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4BC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04C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82E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3AE55A7D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0D7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578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14NQ0602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B08C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52.63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232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5.56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172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96D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0.11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C35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0.11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8EFF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513.87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9DCC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7BD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4CA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CC46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22F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5B1E2FB5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317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B98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14NQ0611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5FF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64.12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74D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4.69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699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BDD7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908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35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540.91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1C3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845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1.01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B7B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5F0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E2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4CC7B10F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082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5C8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14NQ0915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40A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53.07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BE9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2.51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1C0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AD23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79F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436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582.11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F9F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9AD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1.06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39E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CF7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214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2972386A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72E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E0D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14NQ1308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FC9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69.35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AD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5.07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CCF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51B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0.11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8FB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699C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578.15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03C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9770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6A8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B000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D21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7CDD06B6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15D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E96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14NQ1309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819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79.77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6D6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1.82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8DB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618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0.05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580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D22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635.38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9C5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15A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1.13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127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0.95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298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33F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6F2F1EE5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6ED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690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15NQ5307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F8F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81.44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286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7A1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777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0.05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BEC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3373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638.08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AE5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2.14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218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0.96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6E3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0.95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3D7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0A9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57743215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2CC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C1C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BFA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81.93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059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4EB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1.35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DE4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0.05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55A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D30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669.40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0BA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405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1.02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E29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0.95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742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BA7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450608FE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3B2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13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524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93.70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FBAC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2.42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DFC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271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995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4FF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478.14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8B2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E5E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0.74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CC3F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275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60A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2D846317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D5F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0D9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E071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F88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76B3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1A1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650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AFB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588.15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923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314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0.82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926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BEA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035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3FEAE6FB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3E5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CF3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15NQ5321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C563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66.59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3E6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998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E55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6E1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368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439.48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DE0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E93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B6F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239F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2FF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3343E5DF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F34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478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15NQ5610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E48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102.47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C4A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70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12B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814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39F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518.94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A90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1.74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5C3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0.68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05D1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FC3D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3D4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74205C3A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795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17C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15NQ5611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77E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97.78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926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C61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504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5BB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2DE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490.46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DA6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1.76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1D5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0.60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9A6B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C4B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A5D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67A0F504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0F5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303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3270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88.33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A22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2.68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346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BFF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997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D32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463.51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813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1.82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0542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033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FA2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60F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2A32EE0B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7C0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459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15NQ5716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D58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133.02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5DF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2.59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13F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9DC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A37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6FA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492.25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B04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1.78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266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0.63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0C8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DD0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FEE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2019a</w:t>
            </w:r>
          </w:p>
        </w:tc>
      </w:tr>
      <w:tr w:rsidR="003F14E8" w:rsidRPr="003F14E8" w14:paraId="6340962F" w14:textId="77777777" w:rsidTr="003F14E8">
        <w:trPr>
          <w:trHeight w:val="300"/>
          <w:jc w:val="center"/>
        </w:trPr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2DFF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68A2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14NQ0315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FC7F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90.56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77D5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2.43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F487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B03D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6BC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6AA3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502.51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D535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2.12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38D4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1.02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F674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A1F7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81D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14A268E9" w14:textId="77777777" w:rsidTr="003F14E8">
        <w:trPr>
          <w:trHeight w:val="285"/>
          <w:jc w:val="center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6B01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Shanglaxiu Basin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EEB6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A4CB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D025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F175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036D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31FB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4BAA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9EA8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9470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3479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F11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F14E8" w:rsidRPr="003F14E8" w14:paraId="4B6F3CAC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6CD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394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14XL1505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D86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61.46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A47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8DE3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C94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BF2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0.15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EA0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572.07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EFD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63C5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1.11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B90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699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494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6A110054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683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64F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14XL1506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210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53.04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F61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DE2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D1F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C3D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867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569.02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8D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2.47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930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1.05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628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E3C0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722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4997CBBF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740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FE6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14XL1601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537F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83.23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DF5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2.89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DF2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7B8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229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E34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963.76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0091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2.52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9F5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1.10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8A9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89EF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8C8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79FBFAF5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460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lastRenderedPageBreak/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C2F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14XL1612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5A04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99.49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4A1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3.00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37E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FB4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0.24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7C6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219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1673.51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555F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3.50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4A8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1.41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472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0.76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A36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FEF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2105C38A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6FC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13C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14XL1803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2F8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69.95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1CE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2.50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73E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4DC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0.16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0A2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ACB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1077.55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BE3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2.73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569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1.13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1DAD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1B5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98C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36F74365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564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D72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14XL1805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F83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83.90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06A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2.71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43F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0CD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0.22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1B4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637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1134.53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46F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2.60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165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1.20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53C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0.78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4F8A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8A2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04879F01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5BF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2B7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14XL1808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484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86.61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D842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2.73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498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4924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0.19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CBB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0DF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982.68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A3A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2.53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3A1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1.13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DF27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EFC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9D5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0D97E9B5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8F0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CD9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15Xl2814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50C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109.33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A9E7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3.79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0F5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F54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0.27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ECD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0.25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1A3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647.17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A4D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1.88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9A4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0.96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9AC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FAF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A9B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2694FB0B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88A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C4C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15XL2815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184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96.13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492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4.21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71A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D4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0.26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2ED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0.23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49B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656.53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EE7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FDC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0.97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B8F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334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DAB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3F0B2BA2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8BB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F61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15XL2904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D22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86.55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E6A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2.64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955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660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F2B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C20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673.66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49D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2.15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285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1.00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AD27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344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D30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23A2CADA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A9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81E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15XL2906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3AC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69.56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4F50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2.91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CB2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1.22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BD0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0.33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A20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341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761.97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79A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2.60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7AF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1.06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5906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586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20B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5341D4E7" w14:textId="77777777" w:rsidTr="003F14E8">
        <w:trPr>
          <w:trHeight w:val="300"/>
          <w:jc w:val="center"/>
        </w:trPr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CDF0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483C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15XL2911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055A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92.92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2411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4.41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787A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1.08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B5D4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0.25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E15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0.21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05B7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706.37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1C44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2.38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41F7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867E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0.75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802C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F8D0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4D283D71" w14:textId="77777777" w:rsidTr="003F14E8">
        <w:trPr>
          <w:trHeight w:val="285"/>
          <w:jc w:val="center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84E7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Jinggu Basin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435F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68DB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6F20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091A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E231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510A" w14:textId="77777777" w:rsidR="003F14E8" w:rsidRPr="003F14E8" w:rsidRDefault="003F14E8" w:rsidP="003F14E8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9AF1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CCC5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6FE7" w14:textId="77777777" w:rsidR="003F14E8" w:rsidRPr="003F14E8" w:rsidRDefault="003F14E8" w:rsidP="003F14E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DA4E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BB5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F14E8" w:rsidRPr="003F14E8" w14:paraId="5BF80499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F87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7E1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334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103.12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A6E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8E4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54D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F51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9D25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734.25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430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1AD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1.02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85E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693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910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58232C23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44D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9F9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0EE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102.38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3E4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2.51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465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4363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294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7DA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801.46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3DB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863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4D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EB4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D4A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3179BEFE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254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606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2C3F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109.17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6F9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2.61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D3E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8C9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CC8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50E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874.02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AEA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CC2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CB4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DBF4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DCE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76DD554A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D78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84A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B70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D08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84.13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D1A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2.62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105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D28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D86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440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716.41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D0F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1.87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CEE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0.88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43B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AE7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66D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59326E43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FC8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CE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B106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BB7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107.96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93C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2.46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F5D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E39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F15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AABF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749.36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AA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731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80A2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204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81E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276BB1C6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E24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5A6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B115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7D5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88.12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04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3.12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A00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253A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49F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45F2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709.50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CC7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BA0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1.03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B9A7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FE6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A01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6EA2978B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CDA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2A0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B173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59F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74.12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F3A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2.75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6F7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FBB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A2F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53C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705.06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801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E68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1.03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183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FF4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0B1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58F261BE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AB0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FFC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3E22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92.63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5F4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2.52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F560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051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316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F5E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752.15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119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4745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0.97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682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450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2BD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51211D70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AE6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AE3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B261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6DC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80.18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85A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4.84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EEBA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1.24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126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0.24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E3D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0.21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C62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780.11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F3E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2.20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ADA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1.15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CDD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0.76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38A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4BC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42852BB3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385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359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B281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203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97.58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FFFC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2.42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6EE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663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2A5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ECF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774.02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1FB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1.96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A03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52C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166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536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0F274273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3BF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F0B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B442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535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90.10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BC0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3.32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3169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63B4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0.19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006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8C4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929.91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DC0C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2.37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9B7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1.26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1A8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F2F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341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45A25359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FA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D71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B456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293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82.82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5FB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3.51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052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0B30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0.21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428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12D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787.28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68B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7632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1.22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31F1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0.79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917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38B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485A0434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490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BD1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B458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4D2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79.76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CF90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3.16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96C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0.35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E39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45B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5808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855.82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AF5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1.85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262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0.97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4FB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4B9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C27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79A59376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28D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93C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B506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1F53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102.44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2AD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2.52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9CB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0.43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5F0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C3B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E243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775.39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189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2A3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0.99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EB0D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A29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5D5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5E4C83A3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080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FA6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B552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ED17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99.54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242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3.28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FF2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0.65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8FF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138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F476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822.61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4B9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2.04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383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1.05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92E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E08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D775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5EFDD1C8" w14:textId="77777777" w:rsidTr="003F14E8">
        <w:trPr>
          <w:trHeight w:val="28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DFC7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ADC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B534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BF59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106.04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B68A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2.88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93B1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0.55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CB2B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C50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8FFE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838.28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B7F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1.99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B35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1.05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7EF4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28C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9DAC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0053D480" w14:textId="77777777" w:rsidTr="003F14E8">
        <w:trPr>
          <w:trHeight w:val="300"/>
          <w:jc w:val="center"/>
        </w:trPr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5E11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802D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B609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2F99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105.40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E8BE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3.22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AA3B0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0.98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697A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30FF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0.11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5711D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810.98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1548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2.28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3B313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1.17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9D46B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0.87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6D1A8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5EA22" w14:textId="77777777" w:rsidR="003F14E8" w:rsidRPr="003F14E8" w:rsidRDefault="003F14E8" w:rsidP="003F14E8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this study </w:t>
            </w:r>
          </w:p>
        </w:tc>
      </w:tr>
      <w:tr w:rsidR="003F14E8" w:rsidRPr="003F14E8" w14:paraId="023D7C9A" w14:textId="77777777" w:rsidTr="003F14E8">
        <w:trPr>
          <w:trHeight w:val="300"/>
          <w:jc w:val="center"/>
        </w:trPr>
        <w:tc>
          <w:tcPr>
            <w:tcW w:w="116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E42E" w14:textId="77777777" w:rsidR="003F14E8" w:rsidRPr="003F14E8" w:rsidRDefault="003F14E8" w:rsidP="003F14E8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F14E8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Note. B</w:t>
            </w:r>
            <w:r w:rsidRPr="003F14E8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h</w:t>
            </w:r>
            <w:r w:rsidRPr="003F14E8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 mean coercivity of an individual grain populati</w:t>
            </w:r>
            <w:r w:rsidR="00DD6C5F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on; DP- dispersion parameter; S</w:t>
            </w:r>
            <w:r w:rsidRPr="003F14E8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 skewness parameter; OC.- observed contribution; EC.- extrapolated contribution.</w:t>
            </w:r>
          </w:p>
        </w:tc>
      </w:tr>
    </w:tbl>
    <w:p w14:paraId="0BE1D12D" w14:textId="77777777" w:rsidR="003F14E8" w:rsidRDefault="003F14E8" w:rsidP="00B96940">
      <w:pPr>
        <w:widowControl/>
        <w:rPr>
          <w:rFonts w:ascii="Times New Roman" w:eastAsia="DengXian" w:hAnsi="Times New Roman" w:cs="Times New Roman"/>
          <w:color w:val="000000"/>
          <w:kern w:val="0"/>
          <w:sz w:val="16"/>
          <w:szCs w:val="16"/>
        </w:rPr>
        <w:sectPr w:rsidR="003F14E8" w:rsidSect="003F14E8">
          <w:pgSz w:w="16838" w:h="11906" w:orient="landscape"/>
          <w:pgMar w:top="1440" w:right="1440" w:bottom="1440" w:left="1440" w:header="720" w:footer="720" w:gutter="0"/>
          <w:cols w:space="720"/>
          <w:docGrid w:type="lines" w:linePitch="312"/>
        </w:sectPr>
      </w:pPr>
    </w:p>
    <w:p w14:paraId="71226BC9" w14:textId="77777777" w:rsidR="00A73527" w:rsidRDefault="00A73527" w:rsidP="00A735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lastRenderedPageBreak/>
        <w:t>Table S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 xml:space="preserve">. Remanent magnetization </w:t>
      </w:r>
      <w:r>
        <w:rPr>
          <w:rFonts w:ascii="Times New Roman" w:hAnsi="Times New Roman"/>
          <w:sz w:val="24"/>
          <w:szCs w:val="24"/>
        </w:rPr>
        <w:t xml:space="preserve">at 20 K </w:t>
      </w:r>
      <w:r>
        <w:rPr>
          <w:rFonts w:ascii="Times New Roman" w:hAnsi="Times New Roman" w:hint="eastAsia"/>
          <w:sz w:val="24"/>
          <w:szCs w:val="24"/>
        </w:rPr>
        <w:t>after ZFC and FC treatment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 xml:space="preserve"> </w:t>
      </w:r>
    </w:p>
    <w:tbl>
      <w:tblPr>
        <w:tblW w:w="6946" w:type="dxa"/>
        <w:tblLook w:val="04A0" w:firstRow="1" w:lastRow="0" w:firstColumn="1" w:lastColumn="0" w:noHBand="0" w:noVBand="1"/>
      </w:tblPr>
      <w:tblGrid>
        <w:gridCol w:w="1600"/>
        <w:gridCol w:w="1000"/>
        <w:gridCol w:w="880"/>
        <w:gridCol w:w="880"/>
        <w:gridCol w:w="860"/>
        <w:gridCol w:w="1726"/>
      </w:tblGrid>
      <w:tr w:rsidR="00A73527" w:rsidRPr="00A73527" w14:paraId="11DB9204" w14:textId="77777777" w:rsidTr="00394D96">
        <w:trPr>
          <w:trHeight w:val="300"/>
        </w:trPr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DF6F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NRM origin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7730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Sample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5FBC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ZFC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9393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FC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5D69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FC</w:t>
            </w: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/M</w:t>
            </w: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ZFC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63B3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Source</w:t>
            </w:r>
          </w:p>
        </w:tc>
      </w:tr>
      <w:tr w:rsidR="00A73527" w:rsidRPr="00A73527" w14:paraId="666B6ED3" w14:textId="77777777" w:rsidTr="00394D96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D6AC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677D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120C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Am</w:t>
            </w:r>
            <w:r w:rsidRPr="00A73527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vertAlign w:val="superscript"/>
              </w:rPr>
              <w:t>2</w:t>
            </w:r>
            <w:r w:rsidRPr="00A73527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/kg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2E42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Am</w:t>
            </w:r>
            <w:r w:rsidRPr="00A73527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vertAlign w:val="superscript"/>
              </w:rPr>
              <w:t>2</w:t>
            </w:r>
            <w:r w:rsidRPr="00A73527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/kg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6B98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84D54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73527" w:rsidRPr="00A73527" w14:paraId="0E3B3669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704A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Gongjue basin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A657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412E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58EE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666B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0D68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73527" w:rsidRPr="00A73527" w14:paraId="0017DD4E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15A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1F09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GJ1.1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E40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1.68E-03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3D6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1.93E-03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6AF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1.15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4C3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57E5C993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AEB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560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GJ11.6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311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2.44E-03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193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2.62E-03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64D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1.08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3F2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7B971657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FE8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004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GJ25.2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1E2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2.96E-03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AC8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3.39E-03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CCE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1.14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521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317E5260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0D9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B7E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GJ27.1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5B0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2.27E-03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1A2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2.71E-03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292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1.19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637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662DD7C6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02A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332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GJ29.3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977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1.86E-03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6A3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2.23E-03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FD2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1.20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737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0107FEEB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B9A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CC4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JD23.8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8C4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2.06E-03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4AC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2.41E-03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210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1.17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3C5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02B35C54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2AD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D0D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JD27.6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108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2.94E-03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E3C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3.61E-03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1F7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1.23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ED7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494213BE" w14:textId="77777777" w:rsidTr="00394D96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A62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1E3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JD31.1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C76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2.13E-03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971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2.30E-03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8EA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1.08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022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62785F92" w14:textId="77777777" w:rsidTr="00394D96">
        <w:trPr>
          <w:trHeight w:val="285"/>
        </w:trPr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49C0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Nangqian basin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098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D53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6FE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D15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3AC4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73527" w:rsidRPr="00A73527" w14:paraId="27556F44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534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CD6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8C4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4.93E-03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D2F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5.15E-03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F5E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399F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71B7F20A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49C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915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15NQ5412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6AD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4.98E-03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F1C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5.22E-03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80C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1.05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A364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4E6F00C5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6B1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E63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15NQ5505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AC0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3.77E-03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D03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4.13E-03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1DA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1.10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8988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4E0C5E09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61A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269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A64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4.62E-03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BEB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4.84E-03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47A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1.05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7F7B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0823830F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5CA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72C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A0B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6.07E-03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92A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6.36E-03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DCE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1.05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4CAD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05E96E0E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93D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89B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15NQ5609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6A8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5.96E-03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6FF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6.21E-03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5C5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FD4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26D17616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B9B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AF3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15NQ5723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D0D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5.01E-03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907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5.23E-03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D0B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FD5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45C96AAA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DE4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B4D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14NQ0703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94E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3.87E-03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C12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9.70E-03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A6B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2.51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FD12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0A6E255D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CE6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2CA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14NQ0712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818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2.19E-03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DC1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2.70E-03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7C2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1.23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F8A2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442D2CD7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115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050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14NQ1504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CAB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2.79E-03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C10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9.48E-03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FF0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3.40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B9AF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21BDAA4B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0BC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725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2B0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6.10E-03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7B7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1.86E-02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A9A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3.05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E1A1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46E0F2D8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B9B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88D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14NQ1513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ECF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3.74E-03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641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7.63E-03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E40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2.04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ABA7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25A38598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25C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3C6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D6E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4.83E-03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088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9.29E-03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AD0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1.92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42B8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2BD41D9F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D3F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6F1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14NQ0409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659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1.90E-03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BC6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4.58E-03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C39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2.42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0080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2F14D577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1E8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CD2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14NQ0411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56E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1.76E-03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0B8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4.95E-03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CB0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2.81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948D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57124209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13F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CD7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14NQ0602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F75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2.83E-03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E68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5.05E-03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6A9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1.79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A4CD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07FCAFAD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2CF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9D1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14NQ0611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D01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2.44E-03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5CB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4.26E-03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B7D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1.75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C21D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718DA9E5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2AD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F77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626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3.64E-03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AD4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6.74E-03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89C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1.85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E46A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0BE01565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ABE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A48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15NQ5314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4A5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5.17E-03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411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9.30E-03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62B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1.80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3CFA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4D46FC82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7D9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B32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14NQ1309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6F3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2.79E-03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18E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6.16E-03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3FA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2.21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1582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112D7F67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F0B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DFD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14NQ1308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436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2.02E-03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634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3.01E-03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B8B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1.49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78A8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Huang et al., 2019</w:t>
            </w:r>
            <w:r w:rsidR="00394D96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A73527" w:rsidRPr="00A73527" w14:paraId="577D52FF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590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32E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14NQ0315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F8C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3.05E-03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64C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5.87E-03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08C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1.93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7B2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47492EA2" w14:textId="77777777" w:rsidTr="00394D96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D39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D7E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14NQ0905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1AE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2.18E-03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BD2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2.90E-03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100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1.33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CF0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5502385C" w14:textId="77777777" w:rsidTr="00394D96">
        <w:trPr>
          <w:trHeight w:val="285"/>
        </w:trPr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CB73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Shanglaxiu basin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E95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BF3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B6A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9AD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7EE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73527" w:rsidRPr="00A73527" w14:paraId="5AC579DB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167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7C1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14XL1109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71C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2.33E-03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358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3.43E-03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C85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1.47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A51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2F7685ED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A9F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2A2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14XL1601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BCF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4.82E-03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278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7.85E-03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FB3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1.63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CF8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2F26F4A5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8FB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54C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14XL1605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9AF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1.65E-03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619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4.40E-03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49A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2.67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7D6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29EFFCC8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38A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43C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14XL1805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F79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1.66E-03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54F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2.30E-03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696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1.39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9C0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00A3C3D4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53A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328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15XL2815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878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3.10E-03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BEA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4.80E-03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DAA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1.55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893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689C3614" w14:textId="77777777" w:rsidTr="00394D96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C474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634A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15XL2904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F885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3.33E-03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DFF0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4.78E-03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D29F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1.43 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10AE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62D67D40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8843" w14:textId="77777777" w:rsidR="00A73527" w:rsidRPr="00A73527" w:rsidRDefault="00A73527" w:rsidP="00A73527">
            <w:pPr>
              <w:widowControl/>
              <w:jc w:val="left"/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b/>
                <w:bCs/>
                <w:color w:val="000000"/>
                <w:kern w:val="0"/>
                <w:sz w:val="16"/>
                <w:szCs w:val="16"/>
              </w:rPr>
              <w:t>Jinggu basin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5AD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B90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658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103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E69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73527" w:rsidRPr="00A73527" w14:paraId="37E93CDB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F72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lastRenderedPageBreak/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C3D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418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4.29E-03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04B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5.02E-03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1EA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1.17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A04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0CC87F4B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6EB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E4B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9EA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5.22E-03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E91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6.05E-03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3C2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1.16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154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1C503BE6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17B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CB0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8A5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3.98E-03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D7F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6.00E-03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E69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1.51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E9B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67771C11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B59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C6F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B107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9CE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4.42E-03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C87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6.38E-03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BEE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1.44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05E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43884EE8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B32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FBF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B173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F9B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3.87E-03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AF4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5.81E-03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F90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1.50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975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63888AC7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F3B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D29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B261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830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1.93E-03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A3A0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2.63E-03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0E6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1.37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B17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4EA77F0A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D3C1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565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B281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855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3.59E-03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517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3.83E-03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5F3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1.07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3C5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20020F85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8DA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420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B442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55D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2.37E-03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F06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2.76E-03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43F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1.16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F22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40CD2EED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1CE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FEF4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B458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A79B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8.22E-03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8FA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1.20E-02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9E86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1.47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5F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1A3AD892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2267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76E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B506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3936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4.40E-03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966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6.43E-03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83D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1.46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1B2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0EFAE570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1E1F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73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B534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08D2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4.74E-03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39D5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6.79E-03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562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1.43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E638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  <w:tr w:rsidR="00A73527" w:rsidRPr="00A73527" w14:paraId="67A8286C" w14:textId="77777777" w:rsidTr="00394D96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AD2A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F5EE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B609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84D9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6.94E-03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6D6D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9.86E-03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93FC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 xml:space="preserve">1.42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1CE3" w14:textId="77777777" w:rsidR="00A73527" w:rsidRPr="00A73527" w:rsidRDefault="00A73527" w:rsidP="00A73527">
            <w:pPr>
              <w:widowControl/>
              <w:jc w:val="center"/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</w:pPr>
            <w:r w:rsidRPr="00A73527">
              <w:rPr>
                <w:rFonts w:ascii="Arial" w:eastAsia="DengXian" w:hAnsi="Arial" w:cs="Arial"/>
                <w:color w:val="000000"/>
                <w:kern w:val="0"/>
                <w:sz w:val="16"/>
                <w:szCs w:val="16"/>
              </w:rPr>
              <w:t>this study</w:t>
            </w:r>
          </w:p>
        </w:tc>
      </w:tr>
    </w:tbl>
    <w:p w14:paraId="3923B018" w14:textId="77777777" w:rsidR="00A73527" w:rsidRDefault="00A73527" w:rsidP="00091D36"/>
    <w:p w14:paraId="29276209" w14:textId="77777777" w:rsidR="00D07E0F" w:rsidRDefault="00D07E0F" w:rsidP="00091D36"/>
    <w:p w14:paraId="66E8BA86" w14:textId="77777777" w:rsidR="00D07E0F" w:rsidRDefault="00D07E0F" w:rsidP="00091D36"/>
    <w:p w14:paraId="09489CEC" w14:textId="77777777" w:rsidR="00D07E0F" w:rsidRDefault="00D07E0F" w:rsidP="00091D36"/>
    <w:p w14:paraId="41B8AEF9" w14:textId="77777777" w:rsidR="00D07E0F" w:rsidRDefault="00D07E0F" w:rsidP="00091D36"/>
    <w:p w14:paraId="651D6ADC" w14:textId="77777777" w:rsidR="00D07E0F" w:rsidRDefault="00D07E0F" w:rsidP="00091D36"/>
    <w:p w14:paraId="3499630C" w14:textId="77777777" w:rsidR="00D07E0F" w:rsidRDefault="00D07E0F" w:rsidP="00091D36"/>
    <w:p w14:paraId="7B799720" w14:textId="77777777" w:rsidR="00DD1653" w:rsidRDefault="00DD1653" w:rsidP="00091D36"/>
    <w:p w14:paraId="02A7A9AE" w14:textId="77777777" w:rsidR="00DD1653" w:rsidRDefault="00DD1653" w:rsidP="00091D36"/>
    <w:p w14:paraId="75251FD8" w14:textId="77777777" w:rsidR="00DD1653" w:rsidRDefault="00DD1653" w:rsidP="00091D36"/>
    <w:p w14:paraId="2C43A50C" w14:textId="77777777" w:rsidR="00DD1653" w:rsidRDefault="00DD1653" w:rsidP="00091D36"/>
    <w:p w14:paraId="3A1F866A" w14:textId="77777777" w:rsidR="00DD1653" w:rsidRDefault="00DD1653" w:rsidP="00091D36"/>
    <w:p w14:paraId="66746E2B" w14:textId="77777777" w:rsidR="00DD1653" w:rsidRDefault="00DD1653" w:rsidP="00091D36"/>
    <w:p w14:paraId="1BB34369" w14:textId="77777777" w:rsidR="00DD1653" w:rsidRDefault="00DD1653" w:rsidP="00091D36"/>
    <w:p w14:paraId="472DDA2D" w14:textId="77777777" w:rsidR="00DD1653" w:rsidRDefault="00DD1653" w:rsidP="00091D36"/>
    <w:p w14:paraId="4517D1AE" w14:textId="77777777" w:rsidR="00DD1653" w:rsidRDefault="00DD1653" w:rsidP="00091D36"/>
    <w:p w14:paraId="3DD3D82D" w14:textId="77777777" w:rsidR="00DD1653" w:rsidRDefault="00DD1653" w:rsidP="00091D36"/>
    <w:p w14:paraId="031919A2" w14:textId="77777777" w:rsidR="00DD1653" w:rsidRDefault="00DD1653" w:rsidP="00091D36"/>
    <w:p w14:paraId="74F902D0" w14:textId="77777777" w:rsidR="00DD1653" w:rsidRDefault="00DD1653" w:rsidP="00091D36"/>
    <w:p w14:paraId="0FEDD0CA" w14:textId="77777777" w:rsidR="00DD1653" w:rsidRDefault="00DD1653" w:rsidP="00091D36"/>
    <w:p w14:paraId="316F9D17" w14:textId="77777777" w:rsidR="00DD1653" w:rsidRDefault="00DD1653" w:rsidP="00091D36"/>
    <w:p w14:paraId="21EA4EAE" w14:textId="77777777" w:rsidR="00DD1653" w:rsidRDefault="00DD1653" w:rsidP="00091D36"/>
    <w:p w14:paraId="34D91C17" w14:textId="77777777" w:rsidR="00DD1653" w:rsidRDefault="00DD1653" w:rsidP="00091D36"/>
    <w:p w14:paraId="08175EA6" w14:textId="77777777" w:rsidR="00DD1653" w:rsidRDefault="00DD1653" w:rsidP="00091D36"/>
    <w:p w14:paraId="0396B3F1" w14:textId="77777777" w:rsidR="00DD1653" w:rsidRDefault="00DD1653" w:rsidP="00091D36"/>
    <w:p w14:paraId="4781C96A" w14:textId="77777777" w:rsidR="00DD1653" w:rsidRDefault="00DD1653" w:rsidP="00091D36"/>
    <w:p w14:paraId="5918CF6F" w14:textId="77777777" w:rsidR="00DD1653" w:rsidRDefault="00DD1653" w:rsidP="00091D36"/>
    <w:p w14:paraId="27DAACB1" w14:textId="77777777" w:rsidR="00DD1653" w:rsidRDefault="00DD1653" w:rsidP="00091D36"/>
    <w:p w14:paraId="0B1FD433" w14:textId="77777777" w:rsidR="00DD1653" w:rsidRDefault="00DD1653" w:rsidP="00091D36"/>
    <w:p w14:paraId="5F1C7075" w14:textId="77777777" w:rsidR="00DD1653" w:rsidRDefault="00DD1653" w:rsidP="00091D36"/>
    <w:p w14:paraId="611320BA" w14:textId="77777777" w:rsidR="00DD1653" w:rsidRDefault="00DD1653" w:rsidP="00091D36"/>
    <w:p w14:paraId="35DB72D0" w14:textId="77777777" w:rsidR="00DD1653" w:rsidRDefault="00DD1653" w:rsidP="00091D36">
      <w:pPr>
        <w:sectPr w:rsidR="00DD1653" w:rsidSect="003F14E8">
          <w:pgSz w:w="11906" w:h="16838"/>
          <w:pgMar w:top="1440" w:right="1440" w:bottom="1440" w:left="1440" w:header="720" w:footer="720" w:gutter="0"/>
          <w:cols w:space="720"/>
          <w:docGrid w:type="lines" w:linePitch="312"/>
        </w:sectPr>
      </w:pPr>
    </w:p>
    <w:p w14:paraId="3ED056FA" w14:textId="77777777" w:rsidR="00361C01" w:rsidRDefault="00361C01" w:rsidP="00361C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lastRenderedPageBreak/>
        <w:t>Table S</w:t>
      </w:r>
      <w:r>
        <w:rPr>
          <w:rFonts w:ascii="Times New Roman" w:hAnsi="Times New Roman"/>
          <w:sz w:val="24"/>
          <w:szCs w:val="24"/>
        </w:rPr>
        <w:t>4. Fitt</w:t>
      </w:r>
      <w:r w:rsidR="0018587B"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 xml:space="preserve"> Mössbauer </w:t>
      </w:r>
      <w:r w:rsidR="0018587B">
        <w:rPr>
          <w:rFonts w:ascii="Times New Roman" w:hAnsi="Times New Roman"/>
          <w:sz w:val="24"/>
          <w:szCs w:val="24"/>
        </w:rPr>
        <w:t>parameters f</w:t>
      </w:r>
      <w:r>
        <w:rPr>
          <w:rFonts w:ascii="Times New Roman" w:hAnsi="Times New Roman"/>
          <w:sz w:val="24"/>
          <w:szCs w:val="24"/>
        </w:rPr>
        <w:t xml:space="preserve">rom </w:t>
      </w:r>
      <w:r w:rsidR="0018587B">
        <w:rPr>
          <w:rFonts w:ascii="Times New Roman" w:hAnsi="Times New Roman"/>
          <w:sz w:val="24"/>
          <w:szCs w:val="24"/>
        </w:rPr>
        <w:t>three</w:t>
      </w:r>
      <w:r>
        <w:rPr>
          <w:rFonts w:ascii="Times New Roman" w:hAnsi="Times New Roman"/>
          <w:sz w:val="24"/>
          <w:szCs w:val="24"/>
        </w:rPr>
        <w:t xml:space="preserve"> red bed samples.</w:t>
      </w:r>
    </w:p>
    <w:tbl>
      <w:tblPr>
        <w:tblW w:w="14451" w:type="dxa"/>
        <w:jc w:val="center"/>
        <w:tblLook w:val="04A0" w:firstRow="1" w:lastRow="0" w:firstColumn="1" w:lastColumn="0" w:noHBand="0" w:noVBand="1"/>
      </w:tblPr>
      <w:tblGrid>
        <w:gridCol w:w="1200"/>
        <w:gridCol w:w="928"/>
        <w:gridCol w:w="1123"/>
        <w:gridCol w:w="780"/>
        <w:gridCol w:w="780"/>
        <w:gridCol w:w="640"/>
        <w:gridCol w:w="800"/>
        <w:gridCol w:w="1180"/>
        <w:gridCol w:w="1420"/>
        <w:gridCol w:w="780"/>
        <w:gridCol w:w="780"/>
        <w:gridCol w:w="640"/>
        <w:gridCol w:w="800"/>
        <w:gridCol w:w="1180"/>
        <w:gridCol w:w="1420"/>
      </w:tblGrid>
      <w:tr w:rsidR="00361C01" w:rsidRPr="00361C01" w14:paraId="33ED5962" w14:textId="77777777" w:rsidTr="00B25F6E">
        <w:trPr>
          <w:trHeight w:val="300"/>
          <w:jc w:val="center"/>
        </w:trPr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57E40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NRM origin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93764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Sample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EBE82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Temperature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F707F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IS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(1)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B87DC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QS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(1)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7E6F3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B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HF(1)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3E4EC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Width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(1)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21A1B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Percentage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(1)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07F10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B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 xml:space="preserve">HF(1)  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variation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74906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IS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(2)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95E92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QS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(2)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DD663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B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HF(2)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67B83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Width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(2)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D51FF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Percentage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>(2)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F4B6C" w14:textId="77777777" w:rsidR="00361C01" w:rsidRPr="00361C01" w:rsidRDefault="00361C01" w:rsidP="00B25F6E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B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</w:rPr>
              <w:t xml:space="preserve">HF(2)  </w:t>
            </w: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variation</w:t>
            </w:r>
          </w:p>
        </w:tc>
      </w:tr>
      <w:tr w:rsidR="00361C01" w:rsidRPr="00361C01" w14:paraId="19EBB3AB" w14:textId="77777777" w:rsidTr="00B25F6E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AD4B3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EB788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3DACF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[K]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E218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 [mm/s]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8E1ED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 [mm/s]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02F8B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 [T]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CB74C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 [mm/s]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0A33F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[%]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36A0C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8371B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 [mm/s]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7049E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 [mm/s]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8D3E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 [T]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608BB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 [mm/s]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9B040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[%]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B3135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361C01" w:rsidRPr="00361C01" w14:paraId="5C6A1F93" w14:textId="77777777" w:rsidTr="00B25F6E">
        <w:trPr>
          <w:trHeight w:val="285"/>
          <w:jc w:val="center"/>
        </w:trPr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72E1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Secondary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BC75B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14NQ0719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A895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295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2149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E075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-0.17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BDAEC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49.81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514B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A7F9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8.26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F3B8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A1DA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F107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-0.21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624C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51.12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E5C3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0.35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2FC0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44.26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9E48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361C01" w:rsidRPr="00361C01" w14:paraId="111544B2" w14:textId="77777777" w:rsidTr="00B25F6E">
        <w:trPr>
          <w:trHeight w:val="285"/>
          <w:jc w:val="center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A280F" w14:textId="77777777" w:rsidR="00361C01" w:rsidRPr="00361C01" w:rsidRDefault="00361C01" w:rsidP="00361C01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FC99A" w14:textId="77777777" w:rsidR="00361C01" w:rsidRPr="00361C01" w:rsidRDefault="00361C01" w:rsidP="00361C01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5E00D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3B0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0.45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290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-0.25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CAED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50.35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118B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FE7B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22.00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6743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3.71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A401F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0.46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A361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-0.20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89F7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53.15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BEBE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0.32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5C1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52.36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826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361C01" w:rsidRPr="00361C01" w14:paraId="3EFFAA60" w14:textId="77777777" w:rsidTr="00B25F6E">
        <w:trPr>
          <w:trHeight w:val="285"/>
          <w:jc w:val="center"/>
        </w:trPr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918A2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2F2FE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15NQ5721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C2BA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295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B4C3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0.36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78A29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-0.21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18DE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50.38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2CB8D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9DF7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11.57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D9FC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4.55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5670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6E1E1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-0.22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2A63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51.21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F3E7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0.30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B9E2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45.7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128E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361C01" w:rsidRPr="00361C01" w14:paraId="7F2DAC5F" w14:textId="77777777" w:rsidTr="00B25F6E">
        <w:trPr>
          <w:trHeight w:val="285"/>
          <w:jc w:val="center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80814" w14:textId="77777777" w:rsidR="00361C01" w:rsidRPr="00361C01" w:rsidRDefault="00361C01" w:rsidP="00361C01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AD3FD" w14:textId="77777777" w:rsidR="00361C01" w:rsidRPr="00361C01" w:rsidRDefault="00361C01" w:rsidP="00361C01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59F8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3663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6761E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-0.22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2401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53.90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22AB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A79A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8A299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1.80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CED4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0.47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56F9D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-0.20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9049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53.14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077B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0.30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6ADAE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59.7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EEA9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361C01" w:rsidRPr="00361C01" w14:paraId="65A4FE43" w14:textId="77777777" w:rsidTr="00B25F6E">
        <w:trPr>
          <w:trHeight w:val="285"/>
          <w:jc w:val="center"/>
        </w:trPr>
        <w:tc>
          <w:tcPr>
            <w:tcW w:w="12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3AB6B2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Primary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7F79A4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JD27.6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8482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295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59B4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0.48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0623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-0.37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4BF2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46.10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7DF2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A90A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DAB7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11.00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70FA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0023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-0.20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05FA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51.03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F15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0.42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157C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47.7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FF95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361C01" w:rsidRPr="00361C01" w14:paraId="3356351B" w14:textId="77777777" w:rsidTr="00B25F6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BB2DA1" w14:textId="77777777" w:rsidR="00361C01" w:rsidRPr="00361C01" w:rsidRDefault="00361C01" w:rsidP="00361C01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8D2326E" w14:textId="77777777" w:rsidR="00361C01" w:rsidRPr="00361C01" w:rsidRDefault="00361C01" w:rsidP="00361C01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5A7F6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967E7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0.46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3D318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-0.19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6392D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53.13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C5E20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0.33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39EE3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50.20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312DA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719BE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34F70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B451E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76A0A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BC8D1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3C2D5" w14:textId="77777777" w:rsidR="00361C01" w:rsidRPr="00361C01" w:rsidRDefault="00361C01" w:rsidP="00361C01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B25F6E" w:rsidRPr="00361C01" w14:paraId="6CDEB09A" w14:textId="77777777" w:rsidTr="00D820B8">
        <w:trPr>
          <w:trHeight w:val="285"/>
          <w:jc w:val="center"/>
        </w:trPr>
        <w:tc>
          <w:tcPr>
            <w:tcW w:w="14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0A7A" w14:textId="77777777" w:rsidR="00B25F6E" w:rsidRPr="00361C01" w:rsidRDefault="00B25F6E" w:rsidP="00B25F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Note. IS- isomer shift; QS-quadrupole splitting; B</w:t>
            </w: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HF</w:t>
            </w:r>
            <w:r w:rsidRPr="00361C01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- magnetic hyperfine field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; Numbers 1 and 2 represent </w:t>
            </w:r>
            <w:r w:rsidRPr="00B25F6E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sextet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 1 and </w:t>
            </w:r>
            <w:r w:rsidRPr="00B25F6E"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>sextet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16"/>
                <w:szCs w:val="16"/>
              </w:rPr>
              <w:t xml:space="preserve"> 1, respectively. </w:t>
            </w:r>
          </w:p>
        </w:tc>
      </w:tr>
    </w:tbl>
    <w:p w14:paraId="3629EC52" w14:textId="77777777" w:rsidR="00D07E0F" w:rsidRPr="00B25F6E" w:rsidRDefault="00D07E0F" w:rsidP="00091D36"/>
    <w:p w14:paraId="015BE0AE" w14:textId="77777777" w:rsidR="00D07E0F" w:rsidRDefault="00D07E0F" w:rsidP="00091D36"/>
    <w:p w14:paraId="3CC7335A" w14:textId="77777777" w:rsidR="00D07E0F" w:rsidRDefault="00D07E0F" w:rsidP="00091D36"/>
    <w:p w14:paraId="4109C9C1" w14:textId="77777777" w:rsidR="00D07E0F" w:rsidRDefault="00D07E0F" w:rsidP="00091D36"/>
    <w:p w14:paraId="2F8DD00C" w14:textId="77777777" w:rsidR="00D07E0F" w:rsidRDefault="00D07E0F" w:rsidP="00091D36"/>
    <w:p w14:paraId="6E733B84" w14:textId="77777777" w:rsidR="00D07E0F" w:rsidRDefault="00D07E0F" w:rsidP="00091D36"/>
    <w:p w14:paraId="55BF2B04" w14:textId="77777777" w:rsidR="00D07E0F" w:rsidRDefault="00D07E0F" w:rsidP="00091D36"/>
    <w:p w14:paraId="21E2203B" w14:textId="77777777" w:rsidR="00D07E0F" w:rsidRDefault="00D07E0F" w:rsidP="00091D36"/>
    <w:p w14:paraId="7AFB40DC" w14:textId="77777777" w:rsidR="00D07E0F" w:rsidRDefault="00D07E0F" w:rsidP="00091D36"/>
    <w:p w14:paraId="13F4386D" w14:textId="77777777" w:rsidR="00D07E0F" w:rsidRDefault="00D07E0F" w:rsidP="00091D36"/>
    <w:p w14:paraId="1B2574DB" w14:textId="77777777" w:rsidR="00D07E0F" w:rsidRDefault="00D07E0F" w:rsidP="00091D36"/>
    <w:p w14:paraId="0700C570" w14:textId="77777777" w:rsidR="00D07E0F" w:rsidRDefault="00D07E0F" w:rsidP="00091D36"/>
    <w:p w14:paraId="43A2FEED" w14:textId="77777777" w:rsidR="00D07E0F" w:rsidRDefault="00D07E0F" w:rsidP="00091D36"/>
    <w:p w14:paraId="1DA54DA0" w14:textId="77777777" w:rsidR="00DD1653" w:rsidRDefault="00DD1653" w:rsidP="00091D36">
      <w:pPr>
        <w:sectPr w:rsidR="00DD1653" w:rsidSect="00DD1653">
          <w:pgSz w:w="16838" w:h="11906" w:orient="landscape"/>
          <w:pgMar w:top="1440" w:right="1440" w:bottom="1440" w:left="1440" w:header="720" w:footer="720" w:gutter="0"/>
          <w:cols w:space="720"/>
          <w:docGrid w:type="lines" w:linePitch="312"/>
        </w:sectPr>
      </w:pPr>
    </w:p>
    <w:p w14:paraId="699FC6E5" w14:textId="77777777" w:rsidR="002A082A" w:rsidRPr="00DD1653" w:rsidRDefault="002A082A" w:rsidP="00091D36"/>
    <w:sectPr w:rsidR="002A082A" w:rsidRPr="00DD1653" w:rsidSect="00147601">
      <w:pgSz w:w="11906" w:h="16838"/>
      <w:pgMar w:top="1440" w:right="1440" w:bottom="144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arth Planet Sci Letters Copy&lt;/Style&gt;&lt;LeftDelim&gt;{&lt;/LeftDelim&gt;&lt;RightDelim&gt;}&lt;/RightDelim&gt;&lt;FontName&gt;DengXi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9xaps2edwae52edrrn5fewwxdftp559rard&quot;&gt;Wentao Research&lt;record-ids&gt;&lt;item&gt;3196&lt;/item&gt;&lt;item&gt;3871&lt;/item&gt;&lt;/record-ids&gt;&lt;/item&gt;&lt;/Libraries&gt;"/>
  </w:docVars>
  <w:rsids>
    <w:rsidRoot w:val="00637BB9"/>
    <w:rsid w:val="00054C5A"/>
    <w:rsid w:val="00091D36"/>
    <w:rsid w:val="00147601"/>
    <w:rsid w:val="0018587B"/>
    <w:rsid w:val="001B7148"/>
    <w:rsid w:val="001C3D53"/>
    <w:rsid w:val="002A082A"/>
    <w:rsid w:val="002A68C9"/>
    <w:rsid w:val="002E1ABE"/>
    <w:rsid w:val="00342844"/>
    <w:rsid w:val="00357374"/>
    <w:rsid w:val="00361C01"/>
    <w:rsid w:val="0037799F"/>
    <w:rsid w:val="00394D96"/>
    <w:rsid w:val="003F14E8"/>
    <w:rsid w:val="00425D05"/>
    <w:rsid w:val="0046272A"/>
    <w:rsid w:val="0049020C"/>
    <w:rsid w:val="004C2C65"/>
    <w:rsid w:val="005A477D"/>
    <w:rsid w:val="005B6649"/>
    <w:rsid w:val="00637BB9"/>
    <w:rsid w:val="006B6499"/>
    <w:rsid w:val="00714748"/>
    <w:rsid w:val="0075717B"/>
    <w:rsid w:val="007D4D0B"/>
    <w:rsid w:val="00816377"/>
    <w:rsid w:val="008F6E64"/>
    <w:rsid w:val="00980AE8"/>
    <w:rsid w:val="00A41E28"/>
    <w:rsid w:val="00A73527"/>
    <w:rsid w:val="00AB367E"/>
    <w:rsid w:val="00B228E2"/>
    <w:rsid w:val="00B25F6E"/>
    <w:rsid w:val="00B96940"/>
    <w:rsid w:val="00C069EB"/>
    <w:rsid w:val="00C562D4"/>
    <w:rsid w:val="00D07E0F"/>
    <w:rsid w:val="00D2076C"/>
    <w:rsid w:val="00D35DB9"/>
    <w:rsid w:val="00D820B8"/>
    <w:rsid w:val="00D82ED0"/>
    <w:rsid w:val="00DD1653"/>
    <w:rsid w:val="00DD6C5F"/>
    <w:rsid w:val="00E309EC"/>
    <w:rsid w:val="00E35E97"/>
    <w:rsid w:val="00F2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8FE14"/>
  <w15:chartTrackingRefBased/>
  <w15:docId w15:val="{6F463372-F7BD-4D2C-8FFF-24F94947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Char"/>
    <w:rsid w:val="00AB367E"/>
    <w:pPr>
      <w:jc w:val="center"/>
    </w:pPr>
    <w:rPr>
      <w:rFonts w:ascii="DengXian" w:eastAsia="DengXian" w:hAnsi="DengXian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AB367E"/>
    <w:rPr>
      <w:rFonts w:ascii="DengXian" w:eastAsia="DengXian" w:hAnsi="DengXian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AB367E"/>
    <w:rPr>
      <w:rFonts w:ascii="DengXian" w:eastAsia="DengXian" w:hAnsi="DengXian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AB367E"/>
    <w:rPr>
      <w:rFonts w:ascii="DengXian" w:eastAsia="DengXian" w:hAnsi="DengXian"/>
      <w:noProof/>
      <w:sz w:val="20"/>
    </w:rPr>
  </w:style>
  <w:style w:type="character" w:styleId="a3">
    <w:name w:val="Hyperlink"/>
    <w:basedOn w:val="a0"/>
    <w:uiPriority w:val="99"/>
    <w:unhideWhenUsed/>
    <w:rsid w:val="00AB367E"/>
    <w:rPr>
      <w:color w:val="0563C1" w:themeColor="hyperlink"/>
      <w:u w:val="single"/>
    </w:rPr>
  </w:style>
  <w:style w:type="character" w:styleId="a4">
    <w:name w:val="line number"/>
    <w:basedOn w:val="a0"/>
    <w:uiPriority w:val="99"/>
    <w:semiHidden/>
    <w:unhideWhenUsed/>
    <w:rsid w:val="00462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irm.umn.edu/people/psolheid/index.ht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14</Pages>
  <Words>3866</Words>
  <Characters>22041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Wentao</dc:creator>
  <cp:keywords/>
  <dc:description/>
  <cp:lastModifiedBy>Shanshan Niu</cp:lastModifiedBy>
  <cp:revision>45</cp:revision>
  <dcterms:created xsi:type="dcterms:W3CDTF">2019-03-09T04:51:00Z</dcterms:created>
  <dcterms:modified xsi:type="dcterms:W3CDTF">2020-06-17T15:49:00Z</dcterms:modified>
</cp:coreProperties>
</file>