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36743A" w14:textId="7E2A6349" w:rsidR="003A485A" w:rsidRPr="00C756A9" w:rsidRDefault="007851E1" w:rsidP="001C0DEB">
      <w:pPr>
        <w:spacing w:after="0"/>
        <w:rPr>
          <w:rFonts w:cstheme="minorHAnsi"/>
          <w:sz w:val="24"/>
          <w:szCs w:val="24"/>
        </w:rPr>
      </w:pPr>
      <w:r w:rsidRPr="00C756A9">
        <w:rPr>
          <w:rFonts w:cstheme="minorHAnsi"/>
          <w:sz w:val="24"/>
          <w:szCs w:val="24"/>
        </w:rPr>
        <w:t>Text to post on Zenodo</w:t>
      </w:r>
    </w:p>
    <w:p w14:paraId="3B2FE088" w14:textId="77777777" w:rsidR="002974CC" w:rsidRPr="00C756A9" w:rsidRDefault="002974CC" w:rsidP="001C0DEB">
      <w:pPr>
        <w:spacing w:after="0"/>
        <w:rPr>
          <w:rFonts w:cstheme="minorHAnsi"/>
          <w:sz w:val="24"/>
          <w:szCs w:val="24"/>
        </w:rPr>
      </w:pPr>
    </w:p>
    <w:p w14:paraId="6809FF7D" w14:textId="5F08E628" w:rsidR="004B2736" w:rsidRPr="00C756A9" w:rsidRDefault="004B2736" w:rsidP="001C0DEB">
      <w:pPr>
        <w:spacing w:after="0" w:line="240" w:lineRule="auto"/>
        <w:outlineLvl w:val="0"/>
        <w:rPr>
          <w:rFonts w:eastAsia="Times New Roman" w:cstheme="minorHAnsi"/>
          <w:b/>
          <w:bCs/>
          <w:kern w:val="36"/>
          <w:sz w:val="24"/>
          <w:szCs w:val="24"/>
        </w:rPr>
      </w:pPr>
      <w:r w:rsidRPr="00C756A9">
        <w:rPr>
          <w:rFonts w:eastAsia="Times New Roman" w:cstheme="minorHAnsi"/>
          <w:b/>
          <w:bCs/>
          <w:kern w:val="36"/>
          <w:sz w:val="24"/>
          <w:szCs w:val="24"/>
        </w:rPr>
        <w:t xml:space="preserve">New Zealand Wide model 2.2 seismic velocity and </w:t>
      </w:r>
      <w:r w:rsidR="00B375F6" w:rsidRPr="00C756A9">
        <w:rPr>
          <w:rFonts w:eastAsia="Times New Roman" w:cstheme="minorHAnsi"/>
          <w:b/>
          <w:bCs/>
          <w:kern w:val="36"/>
          <w:sz w:val="24"/>
          <w:szCs w:val="24"/>
        </w:rPr>
        <w:t>Qs and Qp</w:t>
      </w:r>
      <w:r w:rsidRPr="00C756A9">
        <w:rPr>
          <w:rFonts w:eastAsia="Times New Roman" w:cstheme="minorHAnsi"/>
          <w:b/>
          <w:bCs/>
          <w:kern w:val="36"/>
          <w:sz w:val="24"/>
          <w:szCs w:val="24"/>
        </w:rPr>
        <w:t xml:space="preserve"> models for New Zealand</w:t>
      </w:r>
    </w:p>
    <w:p w14:paraId="737279A0" w14:textId="77777777" w:rsidR="001C0DEB" w:rsidRPr="00C756A9" w:rsidRDefault="001C0DEB" w:rsidP="001C0DEB">
      <w:pPr>
        <w:spacing w:after="0" w:line="240" w:lineRule="auto"/>
        <w:outlineLvl w:val="0"/>
        <w:rPr>
          <w:rFonts w:eastAsia="Times New Roman" w:cstheme="minorHAnsi"/>
          <w:b/>
          <w:bCs/>
          <w:kern w:val="36"/>
          <w:sz w:val="24"/>
          <w:szCs w:val="24"/>
        </w:rPr>
      </w:pPr>
    </w:p>
    <w:p w14:paraId="629B41B0" w14:textId="6AFA0A08" w:rsidR="004B2736" w:rsidRPr="00C756A9" w:rsidRDefault="00206CB4" w:rsidP="001C0DE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756A9">
        <w:rPr>
          <w:rFonts w:eastAsia="Times New Roman" w:cstheme="minorHAnsi"/>
          <w:sz w:val="24"/>
          <w:szCs w:val="24"/>
        </w:rPr>
        <w:t xml:space="preserve">Donna </w:t>
      </w:r>
      <w:r w:rsidR="004B2736" w:rsidRPr="00C756A9">
        <w:rPr>
          <w:rFonts w:eastAsia="Times New Roman" w:cstheme="minorHAnsi"/>
          <w:sz w:val="24"/>
          <w:szCs w:val="24"/>
        </w:rPr>
        <w:t xml:space="preserve">Eberhart-Phillips,  </w:t>
      </w:r>
      <w:r w:rsidRPr="00C756A9">
        <w:rPr>
          <w:rFonts w:eastAsia="Times New Roman" w:cstheme="minorHAnsi"/>
          <w:sz w:val="24"/>
          <w:szCs w:val="24"/>
        </w:rPr>
        <w:t xml:space="preserve">Stephen </w:t>
      </w:r>
      <w:r w:rsidR="004B2736" w:rsidRPr="00C756A9">
        <w:rPr>
          <w:rFonts w:eastAsia="Times New Roman" w:cstheme="minorHAnsi"/>
          <w:sz w:val="24"/>
          <w:szCs w:val="24"/>
        </w:rPr>
        <w:t>Bannister</w:t>
      </w:r>
      <w:r w:rsidRPr="00C756A9">
        <w:rPr>
          <w:rFonts w:eastAsia="Times New Roman" w:cstheme="minorHAnsi"/>
          <w:sz w:val="24"/>
          <w:szCs w:val="24"/>
        </w:rPr>
        <w:t xml:space="preserve">, </w:t>
      </w:r>
      <w:r w:rsidR="004B2736" w:rsidRPr="00C756A9">
        <w:rPr>
          <w:rFonts w:eastAsia="Times New Roman" w:cstheme="minorHAnsi"/>
          <w:sz w:val="24"/>
          <w:szCs w:val="24"/>
        </w:rPr>
        <w:t xml:space="preserve"> </w:t>
      </w:r>
      <w:r w:rsidRPr="00C756A9">
        <w:rPr>
          <w:rFonts w:eastAsia="Times New Roman" w:cstheme="minorHAnsi"/>
          <w:sz w:val="24"/>
          <w:szCs w:val="24"/>
        </w:rPr>
        <w:t xml:space="preserve">Martin </w:t>
      </w:r>
      <w:r w:rsidR="004B2736" w:rsidRPr="00C756A9">
        <w:rPr>
          <w:rFonts w:eastAsia="Times New Roman" w:cstheme="minorHAnsi"/>
          <w:sz w:val="24"/>
          <w:szCs w:val="24"/>
        </w:rPr>
        <w:t xml:space="preserve">Reyners,  </w:t>
      </w:r>
      <w:r w:rsidRPr="00C756A9">
        <w:rPr>
          <w:rFonts w:eastAsia="Times New Roman" w:cstheme="minorHAnsi"/>
          <w:sz w:val="24"/>
          <w:szCs w:val="24"/>
        </w:rPr>
        <w:t xml:space="preserve">Stuart </w:t>
      </w:r>
      <w:r w:rsidR="004B2736" w:rsidRPr="00C756A9">
        <w:rPr>
          <w:rFonts w:eastAsia="Times New Roman" w:cstheme="minorHAnsi"/>
          <w:sz w:val="24"/>
          <w:szCs w:val="24"/>
        </w:rPr>
        <w:t>Henrys</w:t>
      </w:r>
    </w:p>
    <w:p w14:paraId="643ED6CF" w14:textId="77777777" w:rsidR="001C0DEB" w:rsidRPr="00C756A9" w:rsidRDefault="001C0DEB" w:rsidP="001C0DEB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7933F0A0" w14:textId="59C3B3BE" w:rsidR="004B2736" w:rsidRPr="00C756A9" w:rsidRDefault="004B2736" w:rsidP="001C0DE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756A9">
        <w:rPr>
          <w:rFonts w:eastAsia="Times New Roman" w:cstheme="minorHAnsi"/>
          <w:sz w:val="24"/>
          <w:szCs w:val="24"/>
        </w:rPr>
        <w:t>New Zealand Wide model 2.2 has a seismic velocity model for New Zealand developed from local-earthquake tomography studies. </w:t>
      </w:r>
      <w:r w:rsidR="00AB34FB" w:rsidRPr="00C756A9">
        <w:rPr>
          <w:rFonts w:eastAsia="Times New Roman" w:cstheme="minorHAnsi"/>
          <w:sz w:val="24"/>
          <w:szCs w:val="24"/>
        </w:rPr>
        <w:t>It</w:t>
      </w:r>
      <w:r w:rsidRPr="00C756A9">
        <w:rPr>
          <w:rFonts w:eastAsia="Times New Roman" w:cstheme="minorHAnsi"/>
          <w:sz w:val="24"/>
          <w:szCs w:val="24"/>
        </w:rPr>
        <w:t xml:space="preserve"> is updated</w:t>
      </w:r>
      <w:r w:rsidR="00B375F6" w:rsidRPr="00C756A9">
        <w:rPr>
          <w:rFonts w:eastAsia="Times New Roman" w:cstheme="minorHAnsi"/>
          <w:sz w:val="24"/>
          <w:szCs w:val="24"/>
        </w:rPr>
        <w:t>, from nzwide2.1</w:t>
      </w:r>
      <w:r w:rsidR="00AB39FE" w:rsidRPr="00C756A9">
        <w:rPr>
          <w:rFonts w:eastAsia="Times New Roman" w:cstheme="minorHAnsi"/>
          <w:sz w:val="24"/>
          <w:szCs w:val="24"/>
        </w:rPr>
        <w:t xml:space="preserve"> (zenodo.org/record/1043558)</w:t>
      </w:r>
      <w:r w:rsidR="00B375F6" w:rsidRPr="00C756A9">
        <w:rPr>
          <w:rFonts w:eastAsia="Times New Roman" w:cstheme="minorHAnsi"/>
          <w:sz w:val="24"/>
          <w:szCs w:val="24"/>
        </w:rPr>
        <w:t>,</w:t>
      </w:r>
      <w:r w:rsidRPr="00C756A9">
        <w:rPr>
          <w:rFonts w:eastAsia="Times New Roman" w:cstheme="minorHAnsi"/>
          <w:sz w:val="24"/>
          <w:szCs w:val="24"/>
        </w:rPr>
        <w:t xml:space="preserve"> to inc</w:t>
      </w:r>
      <w:r w:rsidR="00AB34FB" w:rsidRPr="00C756A9">
        <w:rPr>
          <w:rFonts w:eastAsia="Times New Roman" w:cstheme="minorHAnsi"/>
          <w:sz w:val="24"/>
          <w:szCs w:val="24"/>
        </w:rPr>
        <w:t>orporate</w:t>
      </w:r>
      <w:r w:rsidRPr="00C756A9">
        <w:rPr>
          <w:rFonts w:eastAsia="Times New Roman" w:cstheme="minorHAnsi"/>
          <w:sz w:val="24"/>
          <w:szCs w:val="24"/>
        </w:rPr>
        <w:t xml:space="preserve"> results from </w:t>
      </w:r>
      <w:r w:rsidR="00AB39FE" w:rsidRPr="00C756A9">
        <w:rPr>
          <w:rFonts w:eastAsia="Times New Roman" w:cstheme="minorHAnsi"/>
          <w:sz w:val="24"/>
          <w:szCs w:val="24"/>
        </w:rPr>
        <w:t xml:space="preserve">the western North Island (Eberhart-Phillips and Fry, 2017) and </w:t>
      </w:r>
      <w:r w:rsidRPr="00C756A9">
        <w:rPr>
          <w:rFonts w:eastAsia="Times New Roman" w:cstheme="minorHAnsi"/>
          <w:sz w:val="24"/>
          <w:szCs w:val="24"/>
        </w:rPr>
        <w:t xml:space="preserve">the </w:t>
      </w:r>
      <w:r w:rsidR="00B375F6" w:rsidRPr="00C756A9">
        <w:rPr>
          <w:rFonts w:eastAsia="Times New Roman" w:cstheme="minorHAnsi"/>
          <w:sz w:val="24"/>
          <w:szCs w:val="24"/>
        </w:rPr>
        <w:t xml:space="preserve">southern Hikurangi </w:t>
      </w:r>
      <w:r w:rsidRPr="00C756A9">
        <w:rPr>
          <w:rFonts w:eastAsia="Times New Roman" w:cstheme="minorHAnsi"/>
          <w:sz w:val="24"/>
          <w:szCs w:val="24"/>
        </w:rPr>
        <w:t xml:space="preserve">Cook Strait region (Henrys, et al., 2020). </w:t>
      </w:r>
      <w:r w:rsidR="00AB39FE" w:rsidRPr="00C756A9">
        <w:rPr>
          <w:rFonts w:eastAsia="Times New Roman" w:cstheme="minorHAnsi"/>
          <w:sz w:val="24"/>
          <w:szCs w:val="24"/>
        </w:rPr>
        <w:t>The Cook S</w:t>
      </w:r>
      <w:r w:rsidR="009A4317" w:rsidRPr="00C756A9">
        <w:rPr>
          <w:rFonts w:eastAsia="Times New Roman" w:cstheme="minorHAnsi"/>
          <w:sz w:val="24"/>
          <w:szCs w:val="24"/>
        </w:rPr>
        <w:t>t</w:t>
      </w:r>
      <w:r w:rsidR="00AB39FE" w:rsidRPr="00C756A9">
        <w:rPr>
          <w:rFonts w:eastAsia="Times New Roman" w:cstheme="minorHAnsi"/>
          <w:sz w:val="24"/>
          <w:szCs w:val="24"/>
        </w:rPr>
        <w:t xml:space="preserve">rait results were interpolated and merged into the </w:t>
      </w:r>
      <w:r w:rsidR="007016F6" w:rsidRPr="00C756A9">
        <w:rPr>
          <w:rFonts w:eastAsia="Times New Roman" w:cstheme="minorHAnsi"/>
          <w:sz w:val="24"/>
          <w:szCs w:val="24"/>
        </w:rPr>
        <w:t>NZ</w:t>
      </w:r>
      <w:r w:rsidR="00AB39FE" w:rsidRPr="00C756A9">
        <w:rPr>
          <w:rFonts w:eastAsia="Times New Roman" w:cstheme="minorHAnsi"/>
          <w:sz w:val="24"/>
          <w:szCs w:val="24"/>
        </w:rPr>
        <w:t xml:space="preserve">wide model and then additional inversion including some Kaikoura aftershocks was carried out to assure the model is appropriate for regional use. </w:t>
      </w:r>
    </w:p>
    <w:p w14:paraId="43D3531E" w14:textId="77777777" w:rsidR="001C0DEB" w:rsidRPr="00C756A9" w:rsidRDefault="001C0DEB" w:rsidP="001C0DEB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0AA999D3" w14:textId="1D289099" w:rsidR="00B375F6" w:rsidRPr="00C756A9" w:rsidRDefault="00B375F6" w:rsidP="001C0DE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756A9">
        <w:rPr>
          <w:rFonts w:eastAsia="Times New Roman" w:cstheme="minorHAnsi"/>
          <w:sz w:val="24"/>
          <w:szCs w:val="24"/>
        </w:rPr>
        <w:t xml:space="preserve">The Qp model 2.2 is updated from </w:t>
      </w:r>
      <w:r w:rsidR="00AB39FE" w:rsidRPr="00C756A9">
        <w:rPr>
          <w:rFonts w:eastAsia="Times New Roman" w:cstheme="minorHAnsi"/>
          <w:sz w:val="24"/>
          <w:szCs w:val="24"/>
        </w:rPr>
        <w:t>Qpnzw1 (Eberhart-Phillips et al., 2015)</w:t>
      </w:r>
      <w:r w:rsidR="00473134" w:rsidRPr="00C756A9">
        <w:rPr>
          <w:rFonts w:eastAsia="Times New Roman" w:cstheme="minorHAnsi"/>
          <w:sz w:val="24"/>
          <w:szCs w:val="24"/>
        </w:rPr>
        <w:t>, to incorporate results from the eastern North Island (Eberhart-Phillips et al., 2017) and southern South Island (Eberhart-Phillips et al., 2018).</w:t>
      </w:r>
    </w:p>
    <w:p w14:paraId="38400A3C" w14:textId="77777777" w:rsidR="001C0DEB" w:rsidRPr="00C756A9" w:rsidRDefault="001C0DEB" w:rsidP="001C0DEB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3FADA15B" w14:textId="0E33654D" w:rsidR="00473134" w:rsidRPr="00C756A9" w:rsidRDefault="00473134" w:rsidP="001C0DE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756A9">
        <w:rPr>
          <w:rFonts w:eastAsia="Times New Roman" w:cstheme="minorHAnsi"/>
          <w:sz w:val="24"/>
          <w:szCs w:val="24"/>
        </w:rPr>
        <w:t xml:space="preserve">There has not been New Zealand wide Qs coverage until this year, and the NZwide 2.2 Qs model is the first complete Qs model. We are using the version name </w:t>
      </w:r>
      <w:r w:rsidRPr="00C756A9">
        <w:rPr>
          <w:rFonts w:eastAsia="Times New Roman" w:cstheme="minorHAnsi"/>
          <w:b/>
          <w:sz w:val="24"/>
          <w:szCs w:val="24"/>
        </w:rPr>
        <w:t>nzw2.2</w:t>
      </w:r>
      <w:r w:rsidRPr="00C756A9">
        <w:rPr>
          <w:rFonts w:eastAsia="Times New Roman" w:cstheme="minorHAnsi"/>
          <w:sz w:val="24"/>
          <w:szCs w:val="24"/>
        </w:rPr>
        <w:t xml:space="preserve"> to denote all the seismic property models</w:t>
      </w:r>
      <w:r w:rsidR="00C803EB" w:rsidRPr="00C756A9">
        <w:rPr>
          <w:rFonts w:eastAsia="Times New Roman" w:cstheme="minorHAnsi"/>
          <w:sz w:val="24"/>
          <w:szCs w:val="24"/>
        </w:rPr>
        <w:t xml:space="preserve"> since many applications require all the parameters</w:t>
      </w:r>
      <w:r w:rsidRPr="00C756A9">
        <w:rPr>
          <w:rFonts w:eastAsia="Times New Roman" w:cstheme="minorHAnsi"/>
          <w:sz w:val="24"/>
          <w:szCs w:val="24"/>
        </w:rPr>
        <w:t xml:space="preserve">. The Qs model 2.2 incorporates results from </w:t>
      </w:r>
      <w:r w:rsidR="00C803EB" w:rsidRPr="00C756A9">
        <w:rPr>
          <w:rFonts w:eastAsia="Times New Roman" w:cstheme="minorHAnsi"/>
          <w:sz w:val="24"/>
          <w:szCs w:val="24"/>
        </w:rPr>
        <w:t xml:space="preserve">the </w:t>
      </w:r>
      <w:r w:rsidRPr="00C756A9">
        <w:rPr>
          <w:rFonts w:eastAsia="Times New Roman" w:cstheme="minorHAnsi"/>
          <w:sz w:val="24"/>
          <w:szCs w:val="24"/>
        </w:rPr>
        <w:t>eastern North Island (Eberhart-Phillips et al., 2017), western North Island and mantle wedge (Eberhart-Phillips et al., 2020), northern South Island (Eberhart-Phillips et al., 2014), and southern South Island (Eberhart-Phillips et al., 2018).</w:t>
      </w:r>
    </w:p>
    <w:p w14:paraId="12FEF475" w14:textId="77777777" w:rsidR="001C0DEB" w:rsidRPr="00C756A9" w:rsidRDefault="001C0DEB" w:rsidP="001C0DEB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166A4BAD" w14:textId="0AFFD0EE" w:rsidR="001C0DEB" w:rsidRPr="00C756A9" w:rsidRDefault="009A4317" w:rsidP="001C0DE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756A9">
        <w:rPr>
          <w:rFonts w:eastAsia="Times New Roman" w:cstheme="minorHAnsi"/>
          <w:sz w:val="24"/>
          <w:szCs w:val="24"/>
        </w:rPr>
        <w:t>The models are provided in tables, where the Spread Function</w:t>
      </w:r>
      <w:r w:rsidR="0018196C" w:rsidRPr="00C756A9">
        <w:rPr>
          <w:rFonts w:eastAsia="Times New Roman" w:cstheme="minorHAnsi"/>
          <w:sz w:val="24"/>
          <w:szCs w:val="24"/>
        </w:rPr>
        <w:t xml:space="preserve"> (SF)</w:t>
      </w:r>
      <w:r w:rsidRPr="00C756A9">
        <w:rPr>
          <w:rFonts w:eastAsia="Times New Roman" w:cstheme="minorHAnsi"/>
          <w:sz w:val="24"/>
          <w:szCs w:val="24"/>
        </w:rPr>
        <w:t xml:space="preserve"> shows the resolution, such that where SF&lt;4, there is little information.</w:t>
      </w:r>
      <w:r w:rsidR="00D74206" w:rsidRPr="00C756A9">
        <w:rPr>
          <w:rFonts w:eastAsia="Times New Roman" w:cstheme="minorHAnsi"/>
          <w:sz w:val="24"/>
          <w:szCs w:val="24"/>
        </w:rPr>
        <w:t xml:space="preserve"> </w:t>
      </w:r>
    </w:p>
    <w:p w14:paraId="07AD87C4" w14:textId="6B33690E" w:rsidR="001C0DEB" w:rsidRPr="00C756A9" w:rsidRDefault="001C0DEB" w:rsidP="001C0DE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756A9">
        <w:rPr>
          <w:rFonts w:eastAsia="Times New Roman" w:cstheme="minorHAnsi"/>
          <w:sz w:val="24"/>
          <w:szCs w:val="24"/>
        </w:rPr>
        <w:t>vlnzw2p2dnxyzltln.tbl.txt</w:t>
      </w:r>
    </w:p>
    <w:p w14:paraId="2E5238E5" w14:textId="0CD8ACC0" w:rsidR="001C0DEB" w:rsidRPr="00C756A9" w:rsidRDefault="001C0DEB" w:rsidP="001C0DE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756A9">
        <w:rPr>
          <w:rFonts w:eastAsia="Times New Roman" w:cstheme="minorHAnsi"/>
          <w:sz w:val="24"/>
          <w:szCs w:val="24"/>
        </w:rPr>
        <w:t>Qpnzw2p2xyzltln.tbl.txt</w:t>
      </w:r>
    </w:p>
    <w:p w14:paraId="6F67FD9D" w14:textId="03012C30" w:rsidR="001C0DEB" w:rsidRPr="00C756A9" w:rsidRDefault="001C0DEB" w:rsidP="001C0DE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756A9">
        <w:rPr>
          <w:rFonts w:eastAsia="Times New Roman" w:cstheme="minorHAnsi"/>
          <w:sz w:val="24"/>
          <w:szCs w:val="24"/>
        </w:rPr>
        <w:t>Qsnzw2p2xyzltln.tbl.txt</w:t>
      </w:r>
    </w:p>
    <w:p w14:paraId="3DE5CB9B" w14:textId="77777777" w:rsidR="001C0DEB" w:rsidRPr="00C756A9" w:rsidRDefault="001C0DEB" w:rsidP="001C0DEB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2AD950BD" w14:textId="77777777" w:rsidR="001C0DEB" w:rsidRPr="00C756A9" w:rsidRDefault="00D74206" w:rsidP="001C0DE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756A9">
        <w:rPr>
          <w:rFonts w:eastAsia="Times New Roman" w:cstheme="minorHAnsi"/>
          <w:sz w:val="24"/>
          <w:szCs w:val="24"/>
        </w:rPr>
        <w:t>There are also simul</w:t>
      </w:r>
      <w:r w:rsidR="007016F6" w:rsidRPr="00C756A9">
        <w:rPr>
          <w:rFonts w:eastAsia="Times New Roman" w:cstheme="minorHAnsi"/>
          <w:sz w:val="24"/>
          <w:szCs w:val="24"/>
        </w:rPr>
        <w:t xml:space="preserve"> </w:t>
      </w:r>
      <w:r w:rsidRPr="00C756A9">
        <w:rPr>
          <w:rFonts w:eastAsia="Times New Roman" w:cstheme="minorHAnsi"/>
          <w:sz w:val="24"/>
          <w:szCs w:val="24"/>
        </w:rPr>
        <w:t>format</w:t>
      </w:r>
      <w:r w:rsidR="007016F6" w:rsidRPr="00C756A9">
        <w:rPr>
          <w:rFonts w:eastAsia="Times New Roman" w:cstheme="minorHAnsi"/>
          <w:sz w:val="24"/>
          <w:szCs w:val="24"/>
        </w:rPr>
        <w:t xml:space="preserve"> velocity and Q</w:t>
      </w:r>
      <w:r w:rsidRPr="00C756A9">
        <w:rPr>
          <w:rFonts w:eastAsia="Times New Roman" w:cstheme="minorHAnsi"/>
          <w:sz w:val="24"/>
          <w:szCs w:val="24"/>
        </w:rPr>
        <w:t xml:space="preserve"> files</w:t>
      </w:r>
      <w:r w:rsidR="001C0DEB" w:rsidRPr="00C756A9">
        <w:rPr>
          <w:rFonts w:eastAsia="Times New Roman" w:cstheme="minorHAnsi"/>
          <w:sz w:val="24"/>
          <w:szCs w:val="24"/>
        </w:rPr>
        <w:t>.</w:t>
      </w:r>
    </w:p>
    <w:p w14:paraId="59C8921F" w14:textId="4DCF4F1A" w:rsidR="001C0DEB" w:rsidRPr="00C756A9" w:rsidRDefault="001C0DEB" w:rsidP="001C0DE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756A9">
        <w:rPr>
          <w:rFonts w:eastAsia="Times New Roman" w:cstheme="minorHAnsi"/>
          <w:sz w:val="24"/>
          <w:szCs w:val="24"/>
        </w:rPr>
        <w:t>vlnzw2p2.mod.txt</w:t>
      </w:r>
    </w:p>
    <w:p w14:paraId="251A7BE1" w14:textId="24F2AA87" w:rsidR="001C0DEB" w:rsidRPr="00C756A9" w:rsidRDefault="001C0DEB" w:rsidP="001C0DE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756A9">
        <w:rPr>
          <w:rFonts w:eastAsia="Times New Roman" w:cstheme="minorHAnsi"/>
          <w:sz w:val="24"/>
          <w:szCs w:val="24"/>
        </w:rPr>
        <w:t>Qpnzw2p2.mod.txt</w:t>
      </w:r>
    </w:p>
    <w:p w14:paraId="0C84D2B1" w14:textId="583A72A8" w:rsidR="001C0DEB" w:rsidRPr="00C756A9" w:rsidRDefault="001C0DEB" w:rsidP="001C0DE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756A9">
        <w:rPr>
          <w:rFonts w:eastAsia="Times New Roman" w:cstheme="minorHAnsi"/>
          <w:sz w:val="24"/>
          <w:szCs w:val="24"/>
        </w:rPr>
        <w:t>Qsnzw2p2.mod.txt</w:t>
      </w:r>
    </w:p>
    <w:p w14:paraId="30FF31DA" w14:textId="554D8E8A" w:rsidR="001C0DEB" w:rsidRPr="00C756A9" w:rsidRDefault="001C0DEB" w:rsidP="001C0DEB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64C1F843" w14:textId="1B623979" w:rsidR="009A4317" w:rsidRPr="00C756A9" w:rsidRDefault="001C0DEB" w:rsidP="001C0DE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756A9">
        <w:rPr>
          <w:rFonts w:eastAsia="Times New Roman" w:cstheme="minorHAnsi"/>
          <w:sz w:val="24"/>
          <w:szCs w:val="24"/>
        </w:rPr>
        <w:t>A</w:t>
      </w:r>
      <w:r w:rsidR="00D74206" w:rsidRPr="00C756A9">
        <w:rPr>
          <w:rFonts w:eastAsia="Times New Roman" w:cstheme="minorHAnsi"/>
          <w:sz w:val="24"/>
          <w:szCs w:val="24"/>
        </w:rPr>
        <w:t>nd map plots with white lines denoting limits of adequate data.</w:t>
      </w:r>
    </w:p>
    <w:p w14:paraId="22439BAB" w14:textId="5935609C" w:rsidR="001C0DEB" w:rsidRPr="00C756A9" w:rsidRDefault="001C0DEB" w:rsidP="001C0DE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756A9">
        <w:rPr>
          <w:rFonts w:eastAsia="Times New Roman" w:cstheme="minorHAnsi"/>
          <w:sz w:val="24"/>
          <w:szCs w:val="24"/>
        </w:rPr>
        <w:t>mapvpvpvsnzw2p2.pdf</w:t>
      </w:r>
    </w:p>
    <w:p w14:paraId="6FC825D3" w14:textId="1CA2BF7D" w:rsidR="001C0DEB" w:rsidRPr="00C756A9" w:rsidRDefault="001C0DEB" w:rsidP="001C0DE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756A9">
        <w:rPr>
          <w:rFonts w:eastAsia="Times New Roman" w:cstheme="minorHAnsi"/>
          <w:sz w:val="24"/>
          <w:szCs w:val="24"/>
        </w:rPr>
        <w:t>mapQpnzw2p2.pdf</w:t>
      </w:r>
    </w:p>
    <w:p w14:paraId="2A98DB54" w14:textId="50CB2695" w:rsidR="001C0DEB" w:rsidRPr="00C756A9" w:rsidRDefault="001C0DEB" w:rsidP="001C0DE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756A9">
        <w:rPr>
          <w:rFonts w:eastAsia="Times New Roman" w:cstheme="minorHAnsi"/>
          <w:sz w:val="24"/>
          <w:szCs w:val="24"/>
        </w:rPr>
        <w:t>mapQsnzw2p2.pdf</w:t>
      </w:r>
    </w:p>
    <w:p w14:paraId="212453E2" w14:textId="77777777" w:rsidR="001C0DEB" w:rsidRPr="00C756A9" w:rsidRDefault="001C0DEB" w:rsidP="001C0DEB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7FBD5738" w14:textId="10E635EF" w:rsidR="00205AC3" w:rsidRPr="00C756A9" w:rsidRDefault="00D74206" w:rsidP="001C0DE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756A9">
        <w:rPr>
          <w:rFonts w:eastAsia="Times New Roman" w:cstheme="minorHAnsi"/>
          <w:sz w:val="24"/>
          <w:szCs w:val="24"/>
        </w:rPr>
        <w:t>Velocity and Q at any point within the 3D gridded models are defined by linearly interpolating between nodes.</w:t>
      </w:r>
    </w:p>
    <w:p w14:paraId="2B92D4B3" w14:textId="1BFCB71C" w:rsidR="006D3D8A" w:rsidRPr="00C756A9" w:rsidRDefault="00D74206" w:rsidP="001C0DE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756A9">
        <w:rPr>
          <w:rFonts w:eastAsia="Times New Roman" w:cstheme="minorHAnsi"/>
          <w:sz w:val="24"/>
          <w:szCs w:val="24"/>
        </w:rPr>
        <w:lastRenderedPageBreak/>
        <w:t xml:space="preserve">The </w:t>
      </w:r>
      <w:r w:rsidR="009A4317" w:rsidRPr="00C756A9">
        <w:rPr>
          <w:rFonts w:eastAsia="Times New Roman" w:cstheme="minorHAnsi"/>
          <w:sz w:val="24"/>
          <w:szCs w:val="24"/>
        </w:rPr>
        <w:t>model</w:t>
      </w:r>
      <w:r w:rsidRPr="00C756A9">
        <w:rPr>
          <w:rFonts w:eastAsia="Times New Roman" w:cstheme="minorHAnsi"/>
          <w:sz w:val="24"/>
          <w:szCs w:val="24"/>
        </w:rPr>
        <w:t>s</w:t>
      </w:r>
      <w:r w:rsidR="009A4317" w:rsidRPr="00C756A9">
        <w:rPr>
          <w:rFonts w:eastAsia="Times New Roman" w:cstheme="minorHAnsi"/>
          <w:sz w:val="24"/>
          <w:szCs w:val="24"/>
        </w:rPr>
        <w:t xml:space="preserve"> use Transverse Mercator coordinate transformation with </w:t>
      </w:r>
      <w:r w:rsidR="00205AC3" w:rsidRPr="00C756A9">
        <w:rPr>
          <w:rFonts w:eastAsia="Times New Roman" w:cstheme="minorHAnsi"/>
          <w:sz w:val="24"/>
          <w:szCs w:val="24"/>
        </w:rPr>
        <w:t xml:space="preserve">a </w:t>
      </w:r>
      <w:r w:rsidR="009A4317" w:rsidRPr="00C756A9">
        <w:rPr>
          <w:rFonts w:eastAsia="Times New Roman" w:cstheme="minorHAnsi"/>
          <w:sz w:val="24"/>
          <w:szCs w:val="24"/>
        </w:rPr>
        <w:t xml:space="preserve">central meridian= </w:t>
      </w:r>
      <w:r w:rsidRPr="00C756A9">
        <w:rPr>
          <w:rFonts w:eastAsia="Times New Roman" w:cstheme="minorHAnsi"/>
          <w:sz w:val="24"/>
          <w:szCs w:val="24"/>
        </w:rPr>
        <w:t xml:space="preserve">173, </w:t>
      </w:r>
      <w:r w:rsidR="009A4317" w:rsidRPr="00C756A9">
        <w:rPr>
          <w:rFonts w:eastAsia="Times New Roman" w:cstheme="minorHAnsi"/>
          <w:sz w:val="24"/>
          <w:szCs w:val="24"/>
        </w:rPr>
        <w:t xml:space="preserve">and counterclockwise rotation of </w:t>
      </w:r>
      <w:r w:rsidRPr="00C756A9">
        <w:rPr>
          <w:rFonts w:eastAsia="Times New Roman" w:cstheme="minorHAnsi"/>
          <w:sz w:val="24"/>
          <w:szCs w:val="24"/>
        </w:rPr>
        <w:t>140</w:t>
      </w:r>
      <w:r w:rsidR="009A4317" w:rsidRPr="00C756A9">
        <w:rPr>
          <w:rFonts w:eastAsia="Times New Roman" w:cstheme="minorHAnsi"/>
          <w:sz w:val="24"/>
          <w:szCs w:val="24"/>
        </w:rPr>
        <w:t xml:space="preserve">.  Earth-flattening transformation is used for velocity during ray-tracing. The depths are relative to sea-level. </w:t>
      </w:r>
      <w:r w:rsidR="0018196C" w:rsidRPr="00C756A9">
        <w:rPr>
          <w:rFonts w:eastAsia="Times New Roman" w:cstheme="minorHAnsi"/>
          <w:sz w:val="24"/>
          <w:szCs w:val="24"/>
        </w:rPr>
        <w:t>Density has been included in the velocity table, by using an empirical relationship (Gardner et al., 1974; Hill, 1978).</w:t>
      </w:r>
    </w:p>
    <w:p w14:paraId="4345C6F7" w14:textId="77777777" w:rsidR="006D3F75" w:rsidRPr="00C756A9" w:rsidRDefault="006D3F75" w:rsidP="001C0DEB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2237457D" w14:textId="5C76D7E1" w:rsidR="006D3D8A" w:rsidRPr="00C756A9" w:rsidRDefault="006D3D8A" w:rsidP="001C0DE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756A9">
        <w:rPr>
          <w:rFonts w:eastAsia="Times New Roman" w:cstheme="minorHAnsi"/>
          <w:sz w:val="24"/>
          <w:szCs w:val="24"/>
        </w:rPr>
        <w:t>References:</w:t>
      </w:r>
    </w:p>
    <w:p w14:paraId="5644B3B2" w14:textId="77777777" w:rsidR="002B24F4" w:rsidRPr="00C756A9" w:rsidRDefault="002B24F4" w:rsidP="001C0DEB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7B892BAE" w14:textId="438A6848" w:rsidR="007016F6" w:rsidRPr="00C756A9" w:rsidRDefault="007016F6" w:rsidP="001C0DE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756A9">
        <w:rPr>
          <w:rFonts w:cstheme="minorHAnsi"/>
          <w:sz w:val="24"/>
          <w:szCs w:val="24"/>
        </w:rPr>
        <w:t>Eberhart-Phi</w:t>
      </w:r>
      <w:r w:rsidR="00205AC3" w:rsidRPr="00C756A9">
        <w:rPr>
          <w:rFonts w:cstheme="minorHAnsi"/>
          <w:sz w:val="24"/>
          <w:szCs w:val="24"/>
        </w:rPr>
        <w:t>l</w:t>
      </w:r>
      <w:r w:rsidRPr="00C756A9">
        <w:rPr>
          <w:rFonts w:cstheme="minorHAnsi"/>
          <w:sz w:val="24"/>
          <w:szCs w:val="24"/>
        </w:rPr>
        <w:t xml:space="preserve">lips, D., S. Bannister, and M. Reyners (2017), Deciphering the 3-D distribution of fluid along the shallow Hikurangi subduction zone using P- and S-wave attenuation, </w:t>
      </w:r>
      <w:r w:rsidRPr="00C756A9">
        <w:rPr>
          <w:rFonts w:cstheme="minorHAnsi"/>
          <w:i/>
          <w:iCs/>
          <w:sz w:val="24"/>
          <w:szCs w:val="24"/>
        </w:rPr>
        <w:t>Geophys. J . Int.</w:t>
      </w:r>
      <w:r w:rsidRPr="00C756A9">
        <w:rPr>
          <w:rFonts w:cstheme="minorHAnsi"/>
          <w:sz w:val="24"/>
          <w:szCs w:val="24"/>
        </w:rPr>
        <w:t xml:space="preserve">, </w:t>
      </w:r>
      <w:r w:rsidRPr="00C756A9">
        <w:rPr>
          <w:rFonts w:cstheme="minorHAnsi"/>
          <w:i/>
          <w:iCs/>
          <w:sz w:val="24"/>
          <w:szCs w:val="24"/>
        </w:rPr>
        <w:t>211</w:t>
      </w:r>
      <w:r w:rsidRPr="00C756A9">
        <w:rPr>
          <w:rFonts w:cstheme="minorHAnsi"/>
          <w:sz w:val="24"/>
          <w:szCs w:val="24"/>
        </w:rPr>
        <w:t>, 1032–1045, doi:doi.org/10.1093/gji/ggx348.</w:t>
      </w:r>
    </w:p>
    <w:p w14:paraId="57B69CB0" w14:textId="77777777" w:rsidR="002B24F4" w:rsidRPr="00C756A9" w:rsidRDefault="002B24F4" w:rsidP="001C0DE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585DAB12" w14:textId="2FCF5E0F" w:rsidR="007016F6" w:rsidRPr="00C756A9" w:rsidRDefault="007016F6" w:rsidP="001C0DE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756A9">
        <w:rPr>
          <w:rFonts w:cstheme="minorHAnsi"/>
          <w:sz w:val="24"/>
          <w:szCs w:val="24"/>
        </w:rPr>
        <w:t>Eberhart-Phi</w:t>
      </w:r>
      <w:r w:rsidR="00205AC3" w:rsidRPr="00C756A9">
        <w:rPr>
          <w:rFonts w:cstheme="minorHAnsi"/>
          <w:sz w:val="24"/>
          <w:szCs w:val="24"/>
        </w:rPr>
        <w:t>l</w:t>
      </w:r>
      <w:r w:rsidRPr="00C756A9">
        <w:rPr>
          <w:rFonts w:cstheme="minorHAnsi"/>
          <w:sz w:val="24"/>
          <w:szCs w:val="24"/>
        </w:rPr>
        <w:t xml:space="preserve">lips, D., S. Bannister, and M. Reyners (2020), Attenuation in the mantle wedge beneath super-volcanoes of the Taupo Volcanic Zone, New Zealand, </w:t>
      </w:r>
      <w:r w:rsidRPr="00C756A9">
        <w:rPr>
          <w:rFonts w:cstheme="minorHAnsi"/>
          <w:i/>
          <w:iCs/>
          <w:sz w:val="24"/>
          <w:szCs w:val="24"/>
        </w:rPr>
        <w:t>Geophys. J. Int.</w:t>
      </w:r>
      <w:r w:rsidRPr="00C756A9">
        <w:rPr>
          <w:rFonts w:cstheme="minorHAnsi"/>
          <w:sz w:val="24"/>
          <w:szCs w:val="24"/>
        </w:rPr>
        <w:t xml:space="preserve">, </w:t>
      </w:r>
      <w:r w:rsidRPr="00C756A9">
        <w:rPr>
          <w:rFonts w:cstheme="minorHAnsi"/>
          <w:i/>
          <w:iCs/>
          <w:sz w:val="24"/>
          <w:szCs w:val="24"/>
        </w:rPr>
        <w:t>220</w:t>
      </w:r>
      <w:r w:rsidRPr="00C756A9">
        <w:rPr>
          <w:rFonts w:cstheme="minorHAnsi"/>
          <w:sz w:val="24"/>
          <w:szCs w:val="24"/>
        </w:rPr>
        <w:t>, 703-723, doi:</w:t>
      </w:r>
      <w:r w:rsidR="008F7668" w:rsidRPr="00C756A9">
        <w:rPr>
          <w:rFonts w:cstheme="minorHAnsi"/>
          <w:sz w:val="24"/>
          <w:szCs w:val="24"/>
        </w:rPr>
        <w:t xml:space="preserve"> </w:t>
      </w:r>
      <w:r w:rsidRPr="00C756A9">
        <w:rPr>
          <w:rFonts w:cstheme="minorHAnsi"/>
          <w:sz w:val="24"/>
          <w:szCs w:val="24"/>
        </w:rPr>
        <w:t>10.1093/gji/ggz455.</w:t>
      </w:r>
    </w:p>
    <w:p w14:paraId="6204AB94" w14:textId="77777777" w:rsidR="002B24F4" w:rsidRPr="00C756A9" w:rsidRDefault="002B24F4" w:rsidP="001C0DE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1C78AAEE" w14:textId="41583F5D" w:rsidR="007016F6" w:rsidRPr="00C756A9" w:rsidRDefault="007016F6" w:rsidP="001C0DE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756A9">
        <w:rPr>
          <w:rFonts w:cstheme="minorHAnsi"/>
          <w:sz w:val="24"/>
          <w:szCs w:val="24"/>
        </w:rPr>
        <w:t>Eberhart-Phil</w:t>
      </w:r>
      <w:r w:rsidR="00205AC3" w:rsidRPr="00C756A9">
        <w:rPr>
          <w:rFonts w:cstheme="minorHAnsi"/>
          <w:sz w:val="24"/>
          <w:szCs w:val="24"/>
        </w:rPr>
        <w:t>l</w:t>
      </w:r>
      <w:r w:rsidRPr="00C756A9">
        <w:rPr>
          <w:rFonts w:cstheme="minorHAnsi"/>
          <w:sz w:val="24"/>
          <w:szCs w:val="24"/>
        </w:rPr>
        <w:t xml:space="preserve">ips, D., and B. Fry (2017), A new scheme for joint surface wave and earthquake travel-time inversion and resulting 3-D velocity model for the western North Island, New Zealand, </w:t>
      </w:r>
      <w:r w:rsidRPr="00C756A9">
        <w:rPr>
          <w:rFonts w:cstheme="minorHAnsi"/>
          <w:i/>
          <w:iCs/>
          <w:sz w:val="24"/>
          <w:szCs w:val="24"/>
        </w:rPr>
        <w:t>Phys. Earth and Plan. Int.</w:t>
      </w:r>
      <w:r w:rsidRPr="00C756A9">
        <w:rPr>
          <w:rFonts w:cstheme="minorHAnsi"/>
          <w:sz w:val="24"/>
          <w:szCs w:val="24"/>
        </w:rPr>
        <w:t xml:space="preserve">, </w:t>
      </w:r>
      <w:r w:rsidRPr="00C756A9">
        <w:rPr>
          <w:rFonts w:cstheme="minorHAnsi"/>
          <w:i/>
          <w:iCs/>
          <w:sz w:val="24"/>
          <w:szCs w:val="24"/>
        </w:rPr>
        <w:t>269</w:t>
      </w:r>
      <w:r w:rsidRPr="00C756A9">
        <w:rPr>
          <w:rFonts w:cstheme="minorHAnsi"/>
          <w:sz w:val="24"/>
          <w:szCs w:val="24"/>
        </w:rPr>
        <w:t>, 98–111, doi:10.1016/j.pepi.2017.05.014.</w:t>
      </w:r>
    </w:p>
    <w:p w14:paraId="2A577160" w14:textId="77777777" w:rsidR="002B24F4" w:rsidRPr="00C756A9" w:rsidRDefault="002B24F4" w:rsidP="001C0DE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5C423AAF" w14:textId="7183AB6C" w:rsidR="007016F6" w:rsidRPr="00C756A9" w:rsidRDefault="007016F6" w:rsidP="001C0DE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756A9">
        <w:rPr>
          <w:rFonts w:cstheme="minorHAnsi"/>
          <w:sz w:val="24"/>
          <w:szCs w:val="24"/>
        </w:rPr>
        <w:t>Eberhart-Phil</w:t>
      </w:r>
      <w:r w:rsidR="00205AC3" w:rsidRPr="00C756A9">
        <w:rPr>
          <w:rFonts w:cstheme="minorHAnsi"/>
          <w:sz w:val="24"/>
          <w:szCs w:val="24"/>
        </w:rPr>
        <w:t>l</w:t>
      </w:r>
      <w:r w:rsidRPr="00C756A9">
        <w:rPr>
          <w:rFonts w:cstheme="minorHAnsi"/>
          <w:sz w:val="24"/>
          <w:szCs w:val="24"/>
        </w:rPr>
        <w:t xml:space="preserve">ips, D., M. Reyners, and S. Bannister (2015), A 3-D Qp attenuation model for all of New Zealand, </w:t>
      </w:r>
      <w:r w:rsidRPr="00C756A9">
        <w:rPr>
          <w:rFonts w:cstheme="minorHAnsi"/>
          <w:i/>
          <w:iCs/>
          <w:sz w:val="24"/>
          <w:szCs w:val="24"/>
        </w:rPr>
        <w:t>Seis. Res. Lett.</w:t>
      </w:r>
      <w:r w:rsidRPr="00C756A9">
        <w:rPr>
          <w:rFonts w:cstheme="minorHAnsi"/>
          <w:sz w:val="24"/>
          <w:szCs w:val="24"/>
        </w:rPr>
        <w:t xml:space="preserve">, </w:t>
      </w:r>
      <w:r w:rsidRPr="00C756A9">
        <w:rPr>
          <w:rFonts w:cstheme="minorHAnsi"/>
          <w:i/>
          <w:iCs/>
          <w:sz w:val="24"/>
          <w:szCs w:val="24"/>
        </w:rPr>
        <w:t>86</w:t>
      </w:r>
      <w:r w:rsidRPr="00C756A9">
        <w:rPr>
          <w:rFonts w:cstheme="minorHAnsi"/>
          <w:sz w:val="24"/>
          <w:szCs w:val="24"/>
        </w:rPr>
        <w:t>, 1655-1663, doi:10.1785/0220150124.</w:t>
      </w:r>
    </w:p>
    <w:p w14:paraId="16C5744D" w14:textId="77777777" w:rsidR="002B24F4" w:rsidRPr="00C756A9" w:rsidRDefault="002B24F4" w:rsidP="001C0DE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73D23DB0" w14:textId="635449DD" w:rsidR="007016F6" w:rsidRPr="00C756A9" w:rsidRDefault="007016F6" w:rsidP="001C0DE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756A9">
        <w:rPr>
          <w:rFonts w:cstheme="minorHAnsi"/>
          <w:sz w:val="24"/>
          <w:szCs w:val="24"/>
        </w:rPr>
        <w:t>Eberhart-Phil</w:t>
      </w:r>
      <w:r w:rsidR="00205AC3" w:rsidRPr="00C756A9">
        <w:rPr>
          <w:rFonts w:cstheme="minorHAnsi"/>
          <w:sz w:val="24"/>
          <w:szCs w:val="24"/>
        </w:rPr>
        <w:t>l</w:t>
      </w:r>
      <w:r w:rsidRPr="00C756A9">
        <w:rPr>
          <w:rFonts w:cstheme="minorHAnsi"/>
          <w:sz w:val="24"/>
          <w:szCs w:val="24"/>
        </w:rPr>
        <w:t xml:space="preserve">ips, D., M. Reyners, P. Upton, and D. Gubbins (2018), Insights into the crustal structure and tectonic history of the southern South Island, New Zealand, from the 3-D distribution of P- and S-wave attenuation, </w:t>
      </w:r>
      <w:r w:rsidRPr="00C756A9">
        <w:rPr>
          <w:rFonts w:cstheme="minorHAnsi"/>
          <w:i/>
          <w:iCs/>
          <w:sz w:val="24"/>
          <w:szCs w:val="24"/>
        </w:rPr>
        <w:t>Geophys. J . Int.</w:t>
      </w:r>
      <w:r w:rsidRPr="00C756A9">
        <w:rPr>
          <w:rFonts w:cstheme="minorHAnsi"/>
          <w:sz w:val="24"/>
          <w:szCs w:val="24"/>
        </w:rPr>
        <w:t xml:space="preserve">, </w:t>
      </w:r>
      <w:r w:rsidRPr="00C756A9">
        <w:rPr>
          <w:rFonts w:cstheme="minorHAnsi"/>
          <w:i/>
          <w:iCs/>
          <w:sz w:val="24"/>
          <w:szCs w:val="24"/>
        </w:rPr>
        <w:t>214</w:t>
      </w:r>
      <w:r w:rsidRPr="00C756A9">
        <w:rPr>
          <w:rFonts w:cstheme="minorHAnsi"/>
          <w:sz w:val="24"/>
          <w:szCs w:val="24"/>
        </w:rPr>
        <w:t>, 1481-1505, doi:10.1093/gji/ggy194.</w:t>
      </w:r>
    </w:p>
    <w:p w14:paraId="3E9256DD" w14:textId="77777777" w:rsidR="002B24F4" w:rsidRPr="00C756A9" w:rsidRDefault="002B24F4" w:rsidP="001C0DE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78A733D2" w14:textId="522B29F4" w:rsidR="007016F6" w:rsidRPr="00C756A9" w:rsidRDefault="007016F6" w:rsidP="001C0DE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756A9">
        <w:rPr>
          <w:rFonts w:cstheme="minorHAnsi"/>
          <w:sz w:val="24"/>
          <w:szCs w:val="24"/>
        </w:rPr>
        <w:t xml:space="preserve">Eberhart-Phillips, D., S. Bannister, and S. Ellis (2014), Imaging P and S </w:t>
      </w:r>
      <w:r w:rsidR="00205AC3" w:rsidRPr="00C756A9">
        <w:rPr>
          <w:rFonts w:cstheme="minorHAnsi"/>
          <w:sz w:val="24"/>
          <w:szCs w:val="24"/>
        </w:rPr>
        <w:t>a</w:t>
      </w:r>
      <w:r w:rsidRPr="00C756A9">
        <w:rPr>
          <w:rFonts w:cstheme="minorHAnsi"/>
          <w:sz w:val="24"/>
          <w:szCs w:val="24"/>
        </w:rPr>
        <w:t xml:space="preserve">ttenuation in the </w:t>
      </w:r>
      <w:r w:rsidR="00205AC3" w:rsidRPr="00C756A9">
        <w:rPr>
          <w:rFonts w:cstheme="minorHAnsi"/>
          <w:sz w:val="24"/>
          <w:szCs w:val="24"/>
        </w:rPr>
        <w:t>t</w:t>
      </w:r>
      <w:r w:rsidRPr="00C756A9">
        <w:rPr>
          <w:rFonts w:cstheme="minorHAnsi"/>
          <w:sz w:val="24"/>
          <w:szCs w:val="24"/>
        </w:rPr>
        <w:t xml:space="preserve">ermination </w:t>
      </w:r>
      <w:r w:rsidR="00205AC3" w:rsidRPr="00C756A9">
        <w:rPr>
          <w:rFonts w:cstheme="minorHAnsi"/>
          <w:sz w:val="24"/>
          <w:szCs w:val="24"/>
        </w:rPr>
        <w:t>r</w:t>
      </w:r>
      <w:r w:rsidRPr="00C756A9">
        <w:rPr>
          <w:rFonts w:cstheme="minorHAnsi"/>
          <w:sz w:val="24"/>
          <w:szCs w:val="24"/>
        </w:rPr>
        <w:t xml:space="preserve">egion of the Hikurangi </w:t>
      </w:r>
      <w:r w:rsidR="00205AC3" w:rsidRPr="00C756A9">
        <w:rPr>
          <w:rFonts w:cstheme="minorHAnsi"/>
          <w:sz w:val="24"/>
          <w:szCs w:val="24"/>
        </w:rPr>
        <w:t>s</w:t>
      </w:r>
      <w:r w:rsidRPr="00C756A9">
        <w:rPr>
          <w:rFonts w:cstheme="minorHAnsi"/>
          <w:sz w:val="24"/>
          <w:szCs w:val="24"/>
        </w:rPr>
        <w:t xml:space="preserve">ubduction </w:t>
      </w:r>
      <w:r w:rsidR="00205AC3" w:rsidRPr="00C756A9">
        <w:rPr>
          <w:rFonts w:cstheme="minorHAnsi"/>
          <w:sz w:val="24"/>
          <w:szCs w:val="24"/>
        </w:rPr>
        <w:t>z</w:t>
      </w:r>
      <w:r w:rsidRPr="00C756A9">
        <w:rPr>
          <w:rFonts w:cstheme="minorHAnsi"/>
          <w:sz w:val="24"/>
          <w:szCs w:val="24"/>
        </w:rPr>
        <w:t xml:space="preserve">one, New Zealand, </w:t>
      </w:r>
      <w:r w:rsidRPr="00C756A9">
        <w:rPr>
          <w:rFonts w:cstheme="minorHAnsi"/>
          <w:i/>
          <w:iCs/>
          <w:sz w:val="24"/>
          <w:szCs w:val="24"/>
        </w:rPr>
        <w:t>Geophys. J . Int.</w:t>
      </w:r>
      <w:r w:rsidRPr="00C756A9">
        <w:rPr>
          <w:rFonts w:cstheme="minorHAnsi"/>
          <w:sz w:val="24"/>
          <w:szCs w:val="24"/>
        </w:rPr>
        <w:t xml:space="preserve">, </w:t>
      </w:r>
      <w:r w:rsidRPr="00C756A9">
        <w:rPr>
          <w:rFonts w:cstheme="minorHAnsi"/>
          <w:i/>
          <w:iCs/>
          <w:sz w:val="24"/>
          <w:szCs w:val="24"/>
        </w:rPr>
        <w:t>198</w:t>
      </w:r>
      <w:r w:rsidRPr="00C756A9">
        <w:rPr>
          <w:rFonts w:cstheme="minorHAnsi"/>
          <w:sz w:val="24"/>
          <w:szCs w:val="24"/>
        </w:rPr>
        <w:t>, 516-536, doi: 510.1093/gji/ggu1151.</w:t>
      </w:r>
    </w:p>
    <w:p w14:paraId="23B2E762" w14:textId="77777777" w:rsidR="002B24F4" w:rsidRPr="00C756A9" w:rsidRDefault="002B24F4" w:rsidP="001C0DE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12BC49DF" w14:textId="0F1B41AB" w:rsidR="008F7668" w:rsidRPr="00C756A9" w:rsidRDefault="008F7668" w:rsidP="001C0DE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756A9">
        <w:rPr>
          <w:rFonts w:cstheme="minorHAnsi"/>
          <w:sz w:val="24"/>
          <w:szCs w:val="24"/>
        </w:rPr>
        <w:t xml:space="preserve">Gardner, G. H. F., L. W. Gardner, and A. R. Gregory (1974), Formation velocity and density - the diagnostic basics for stratigraphic traps, </w:t>
      </w:r>
      <w:r w:rsidRPr="00C756A9">
        <w:rPr>
          <w:rFonts w:cstheme="minorHAnsi"/>
          <w:i/>
          <w:iCs/>
          <w:sz w:val="24"/>
          <w:szCs w:val="24"/>
        </w:rPr>
        <w:t>Geophysics</w:t>
      </w:r>
      <w:r w:rsidRPr="00C756A9">
        <w:rPr>
          <w:rFonts w:cstheme="minorHAnsi"/>
          <w:sz w:val="24"/>
          <w:szCs w:val="24"/>
        </w:rPr>
        <w:t xml:space="preserve">, </w:t>
      </w:r>
      <w:r w:rsidRPr="00C756A9">
        <w:rPr>
          <w:rFonts w:cstheme="minorHAnsi"/>
          <w:i/>
          <w:iCs/>
          <w:sz w:val="24"/>
          <w:szCs w:val="24"/>
        </w:rPr>
        <w:t>39</w:t>
      </w:r>
      <w:r w:rsidRPr="00C756A9">
        <w:rPr>
          <w:rFonts w:cstheme="minorHAnsi"/>
          <w:sz w:val="24"/>
          <w:szCs w:val="24"/>
        </w:rPr>
        <w:t>, 770-780.</w:t>
      </w:r>
    </w:p>
    <w:p w14:paraId="7C468973" w14:textId="77777777" w:rsidR="002B24F4" w:rsidRPr="00C756A9" w:rsidRDefault="002B24F4" w:rsidP="001C0DE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5C6AB000" w14:textId="21635F2A" w:rsidR="008F7668" w:rsidRPr="00C756A9" w:rsidRDefault="008F7668" w:rsidP="001C0DE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756A9">
        <w:rPr>
          <w:rFonts w:cstheme="minorHAnsi"/>
          <w:sz w:val="24"/>
          <w:szCs w:val="24"/>
        </w:rPr>
        <w:t xml:space="preserve">Henrys, S., D. Eberhart‐Phillips, Bassett, D., Sutherland, R., Okaya, D., Savage, M., et al. (2020), Upper plate heterogeneity along the southern Hikurangi Margin, New Zealand, </w:t>
      </w:r>
      <w:r w:rsidRPr="00C756A9">
        <w:rPr>
          <w:rFonts w:cstheme="minorHAnsi"/>
          <w:i/>
          <w:iCs/>
          <w:sz w:val="24"/>
          <w:szCs w:val="24"/>
        </w:rPr>
        <w:t>Geophys. Res. Let.</w:t>
      </w:r>
      <w:r w:rsidRPr="00C756A9">
        <w:rPr>
          <w:rFonts w:cstheme="minorHAnsi"/>
          <w:sz w:val="24"/>
          <w:szCs w:val="24"/>
        </w:rPr>
        <w:t xml:space="preserve">, </w:t>
      </w:r>
      <w:r w:rsidRPr="00C756A9">
        <w:rPr>
          <w:rFonts w:cstheme="minorHAnsi"/>
          <w:i/>
          <w:iCs/>
          <w:sz w:val="24"/>
          <w:szCs w:val="24"/>
        </w:rPr>
        <w:t>47</w:t>
      </w:r>
      <w:r w:rsidRPr="00C756A9">
        <w:rPr>
          <w:rFonts w:cstheme="minorHAnsi"/>
          <w:sz w:val="24"/>
          <w:szCs w:val="24"/>
        </w:rPr>
        <w:t>, e2019GL085511., doi:10.1029/2019GL085511.</w:t>
      </w:r>
    </w:p>
    <w:p w14:paraId="4C90D04C" w14:textId="77777777" w:rsidR="002B24F4" w:rsidRPr="00C756A9" w:rsidRDefault="002B24F4" w:rsidP="001C0DE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30CB47BB" w14:textId="36F36BFE" w:rsidR="004B2736" w:rsidRPr="007851E1" w:rsidRDefault="008F7668" w:rsidP="001C0DEB">
      <w:pPr>
        <w:spacing w:after="0"/>
        <w:rPr>
          <w:rFonts w:cstheme="minorHAnsi"/>
          <w:sz w:val="24"/>
          <w:szCs w:val="24"/>
        </w:rPr>
      </w:pPr>
      <w:r w:rsidRPr="00C756A9">
        <w:rPr>
          <w:rFonts w:cstheme="minorHAnsi"/>
          <w:sz w:val="24"/>
          <w:szCs w:val="24"/>
        </w:rPr>
        <w:t xml:space="preserve">Hill, D. P. (1978), Seismic evidence for the structure and Cenozoic tectonics of the Pacific Coast States, in </w:t>
      </w:r>
      <w:r w:rsidRPr="00C756A9">
        <w:rPr>
          <w:rFonts w:cstheme="minorHAnsi"/>
          <w:i/>
          <w:iCs/>
          <w:sz w:val="24"/>
          <w:szCs w:val="24"/>
        </w:rPr>
        <w:t>Cenozoic Tectonics and Regional Geophysics of the Western Cordillera</w:t>
      </w:r>
      <w:r w:rsidRPr="00C756A9">
        <w:rPr>
          <w:rFonts w:cstheme="minorHAnsi"/>
          <w:sz w:val="24"/>
          <w:szCs w:val="24"/>
        </w:rPr>
        <w:t>, edited by R. B. Smith and G. P. Eaton, pp. 145-174.</w:t>
      </w:r>
    </w:p>
    <w:sectPr w:rsidR="004B2736" w:rsidRPr="007851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736"/>
    <w:rsid w:val="0018196C"/>
    <w:rsid w:val="001C0DEB"/>
    <w:rsid w:val="00205AC3"/>
    <w:rsid w:val="00206CB4"/>
    <w:rsid w:val="002974CC"/>
    <w:rsid w:val="002B24F4"/>
    <w:rsid w:val="003A485A"/>
    <w:rsid w:val="00473134"/>
    <w:rsid w:val="004B2736"/>
    <w:rsid w:val="005565D8"/>
    <w:rsid w:val="006D3D8A"/>
    <w:rsid w:val="006D3F75"/>
    <w:rsid w:val="007016F6"/>
    <w:rsid w:val="00780320"/>
    <w:rsid w:val="007851E1"/>
    <w:rsid w:val="007A4255"/>
    <w:rsid w:val="00830CC3"/>
    <w:rsid w:val="008F7668"/>
    <w:rsid w:val="009A4317"/>
    <w:rsid w:val="00AB34FB"/>
    <w:rsid w:val="00AB39FE"/>
    <w:rsid w:val="00B375F6"/>
    <w:rsid w:val="00C756A9"/>
    <w:rsid w:val="00C803EB"/>
    <w:rsid w:val="00D74206"/>
    <w:rsid w:val="00E5364D"/>
    <w:rsid w:val="00E56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D7994A"/>
  <w15:chartTrackingRefBased/>
  <w15:docId w15:val="{692D9EAA-FCA7-4E41-A2B2-71686B97A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B273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273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4B27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-muted">
    <w:name w:val="text-muted"/>
    <w:basedOn w:val="DefaultParagraphFont"/>
    <w:rsid w:val="004B2736"/>
  </w:style>
  <w:style w:type="character" w:styleId="CommentReference">
    <w:name w:val="annotation reference"/>
    <w:basedOn w:val="DefaultParagraphFont"/>
    <w:uiPriority w:val="99"/>
    <w:semiHidden/>
    <w:unhideWhenUsed/>
    <w:rsid w:val="00205A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5A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5A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5A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5AC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5A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5AC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E536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32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666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Eberhart-Phillips</dc:creator>
  <cp:keywords/>
  <dc:description/>
  <cp:lastModifiedBy>Donna Eberhart-Phillips</cp:lastModifiedBy>
  <cp:revision>3</cp:revision>
  <dcterms:created xsi:type="dcterms:W3CDTF">2020-04-30T01:44:00Z</dcterms:created>
  <dcterms:modified xsi:type="dcterms:W3CDTF">2020-04-30T01:52:00Z</dcterms:modified>
</cp:coreProperties>
</file>