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5573A" w:rsidR="00E5573A" w:rsidP="76B8CAE0" w:rsidRDefault="00E5573A" w14:paraId="2061C1AE" w14:textId="79502355">
      <w:pPr>
        <w:rPr>
          <w:rFonts w:ascii="Times New Roman" w:hAnsi="Times New Roman" w:eastAsia="Times New Roman" w:cs="Times New Roman"/>
          <w:b w:val="1"/>
          <w:bCs w:val="1"/>
          <w:lang w:val="en-GB"/>
        </w:rPr>
      </w:pPr>
      <w:r w:rsidRPr="76B8CAE0">
        <w:rPr>
          <w:rFonts w:ascii="Times New Roman" w:hAnsi="Times New Roman" w:eastAsia="Times New Roman" w:cs="Times New Roman"/>
          <w:b w:val="1"/>
          <w:bCs w:val="1"/>
          <w:shd w:val="clear" w:color="auto" w:fill="FFFFFF"/>
          <w:lang w:val="en-CA"/>
        </w:rPr>
        <w:t>S5: </w:t>
      </w:r>
      <w:r w:rsidRPr="76B8CAE0">
        <w:rPr>
          <w:rFonts w:ascii="Times New Roman" w:hAnsi="Times New Roman" w:eastAsia="Times New Roman" w:cs="Times New Roman"/>
          <w:b w:val="1"/>
          <w:bCs w:val="1"/>
          <w:shd w:val="clear" w:color="auto" w:fill="FFFFFF"/>
          <w:lang w:val="en-GB"/>
        </w:rPr>
        <w:t>Correlations between behavioural variable scores show</w:t>
      </w:r>
      <w:r w:rsidRPr="76B8CAE0">
        <w:rPr>
          <w:rFonts w:ascii="Times New Roman" w:hAnsi="Times New Roman" w:eastAsia="Times New Roman" w:cs="Times New Roman"/>
          <w:b w:val="1"/>
          <w:bCs w:val="1"/>
          <w:shd w:val="clear" w:color="auto" w:fill="FFFFFF"/>
          <w:lang w:val="en-GB"/>
        </w:rPr>
        <w:t>ing stable individual diﬀerences</w:t>
      </w:r>
    </w:p>
    <w:p w:rsidR="008C4F8E" w:rsidP="76B8CAE0" w:rsidRDefault="008C4F8E" w14:paraId="672A6659" w14:textId="77777777">
      <w:pPr>
        <w:rPr>
          <w:rFonts w:ascii="Times New Roman" w:hAnsi="Times New Roman" w:eastAsia="Times New Roman" w:cs="Times New Roman"/>
        </w:rPr>
      </w:pPr>
    </w:p>
    <w:p w:rsidR="008C4F8E" w:rsidP="76B8CAE0" w:rsidRDefault="008C4F8E" w14:paraId="0A37501D" w14:textId="77777777">
      <w:pPr>
        <w:rPr>
          <w:rFonts w:ascii="Times New Roman" w:hAnsi="Times New Roman" w:eastAsia="Times New Roman" w:cs="Times New Roman"/>
        </w:rPr>
      </w:pPr>
    </w:p>
    <w:p w:rsidRPr="008C4F8E" w:rsidR="00E5573A" w:rsidP="76B8CAE0" w:rsidRDefault="00E5573A" w14:paraId="16224F1A" w14:textId="0034A906">
      <w:pPr>
        <w:pStyle w:val="Normal"/>
        <w:rPr>
          <w:rFonts w:ascii="Times New Roman" w:hAnsi="Times New Roman" w:eastAsia="Times New Roman" w:cs="Times New Roman"/>
        </w:rPr>
      </w:pPr>
      <w:r w:rsidRPr="76B8CAE0" w:rsidR="76B8CAE0">
        <w:rPr>
          <w:rFonts w:ascii="Times New Roman" w:hAnsi="Times New Roman" w:eastAsia="Times New Roman" w:cs="Times New Roman"/>
        </w:rPr>
        <w:t xml:space="preserve">Table S5-1. Between-individual level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behavioural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 xml:space="preserve"> correlations. </w:t>
      </w:r>
      <w:r w:rsidRPr="76B8CAE0" w:rsidR="76B8CAE0">
        <w:rPr>
          <w:rFonts w:ascii="Times New Roman" w:hAnsi="Times New Roman" w:eastAsia="Times New Roman" w:cs="Times New Roman"/>
          <w:i w:val="1"/>
          <w:iCs w:val="1"/>
        </w:rPr>
        <w:t>P</w:t>
      </w:r>
      <w:r w:rsidRPr="76B8CAE0" w:rsidR="76B8CAE0">
        <w:rPr>
          <w:rFonts w:ascii="Times New Roman" w:hAnsi="Times New Roman" w:eastAsia="Times New Roman" w:cs="Times New Roman"/>
        </w:rPr>
        <w:t xml:space="preserve">-values were adjusted for multiple comparisons using the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Benjamini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>-Hochberg procedure.</w:t>
      </w:r>
      <w:r w:rsidRPr="76B8CAE0" w:rsidR="76B8CAE0">
        <w:rPr>
          <w:rFonts w:ascii="Times New Roman" w:hAnsi="Times New Roman" w:eastAsia="Times New Roman" w:cs="Times New Roman"/>
        </w:rPr>
        <w:t xml:space="preserve"> Significant correlations are bolded.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  <w:t>Aster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isks indicate signiﬁcance levels at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p &lt;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0.05 *,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p &lt;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0.01 **,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p &lt; </w:t>
      </w:r>
      <w:r w:rsidRPr="76B8CAE0" w:rsidR="76B8CAE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  <w:t>0.001 ***.</w:t>
      </w:r>
    </w:p>
    <w:p w:rsidR="008C4F8E" w:rsidP="76B8CAE0" w:rsidRDefault="008C4F8E" w14:paraId="5DAB6C7B" w14:textId="77777777">
      <w:pPr>
        <w:rPr>
          <w:rFonts w:ascii="Times New Roman" w:hAnsi="Times New Roman" w:eastAsia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1559"/>
        <w:gridCol w:w="1559"/>
        <w:gridCol w:w="1418"/>
        <w:gridCol w:w="1559"/>
        <w:gridCol w:w="1559"/>
        <w:gridCol w:w="1843"/>
        <w:gridCol w:w="1417"/>
      </w:tblGrid>
      <w:tr w:rsidRPr="00653503" w:rsidR="00E5573A" w:rsidTr="23A7A13F" w14:paraId="488FEC47" w14:textId="77777777">
        <w:trPr>
          <w:trHeight w:val="320"/>
        </w:trPr>
        <w:tc>
          <w:tcPr>
            <w:tcW w:w="1696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653503" w:rsidR="008C4F8E" w:rsidP="76B8CAE0" w:rsidRDefault="008C4F8E" w14:paraId="02EB378F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993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tcMar/>
          </w:tcPr>
          <w:p w:rsidRPr="00653503" w:rsidR="008C4F8E" w:rsidP="76B8CAE0" w:rsidRDefault="008C4F8E" w14:paraId="6A05A80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428AFE1F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Confinement / separation vocalization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60C6E1E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Confinement / separation locomotion</w:t>
            </w:r>
          </w:p>
        </w:tc>
        <w:tc>
          <w:tcPr>
            <w:tcW w:w="1418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6FD3DDAE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Interaction with the mouse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155C6C72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Tail swishing with the mouse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268424AF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Approaching the passive human</w:t>
            </w:r>
          </w:p>
        </w:tc>
        <w:tc>
          <w:tcPr>
            <w:tcW w:w="1843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306287AE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Passive human approach vocalization</w:t>
            </w:r>
          </w:p>
        </w:tc>
        <w:tc>
          <w:tcPr>
            <w:tcW w:w="1417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46F079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Latency to petting success</w:t>
            </w:r>
          </w:p>
        </w:tc>
      </w:tr>
      <w:tr w:rsidRPr="00653503" w:rsidR="00E5573A" w:rsidTr="23A7A13F" w14:paraId="17B821A6" w14:textId="77777777">
        <w:trPr>
          <w:trHeight w:val="320"/>
        </w:trPr>
        <w:tc>
          <w:tcPr>
            <w:tcW w:w="1696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D4EEA6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Latency to struggle</w:t>
            </w:r>
          </w:p>
        </w:tc>
        <w:tc>
          <w:tcPr>
            <w:tcW w:w="993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06EE5D38" w14:textId="468FFDD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7729DF47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543BC218" w14:textId="77777777">
            <w:pPr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58DB23F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-0.54</w:t>
            </w:r>
          </w:p>
          <w:p w:rsidRPr="00653503" w:rsidR="008C4F8E" w:rsidP="76B8CAE0" w:rsidRDefault="008C4F8E" w14:paraId="1C4B6A1E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[-0.73, 0.26]</w:t>
            </w:r>
          </w:p>
          <w:p w:rsidRPr="00653503" w:rsidR="008C4F8E" w:rsidP="76B8CAE0" w:rsidRDefault="5CC25121" w14:paraId="628502A5" w14:textId="528F90D5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p 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= 0.01**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AED638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0.02</w:t>
            </w:r>
          </w:p>
          <w:p w:rsidRPr="00653503" w:rsidR="008C4F8E" w:rsidP="76B8CAE0" w:rsidRDefault="008C4F8E" w14:paraId="7DDB37B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[-0.40, 0.44]</w:t>
            </w:r>
          </w:p>
          <w:p w:rsidRPr="00653503" w:rsidR="008C4F8E" w:rsidP="76B8CAE0" w:rsidRDefault="5CC25121" w14:paraId="52C9A49E" w14:textId="475D549F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 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= 0.94</w:t>
            </w:r>
          </w:p>
        </w:tc>
        <w:tc>
          <w:tcPr>
            <w:tcW w:w="1418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8EF2E85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0.25</w:t>
            </w:r>
          </w:p>
          <w:p w:rsidRPr="00653503" w:rsidR="008C4F8E" w:rsidP="76B8CAE0" w:rsidRDefault="008C4F8E" w14:paraId="355DA5A1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[-0.26, 0.66]</w:t>
            </w:r>
          </w:p>
          <w:p w:rsidRPr="00653503" w:rsidR="008C4F8E" w:rsidP="76B8CAE0" w:rsidRDefault="5CC25121" w14:paraId="62C1D70E" w14:textId="5E6CD791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 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= 0.37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DB67DC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0.35</w:t>
            </w:r>
          </w:p>
          <w:p w:rsidRPr="00653503" w:rsidR="008C4F8E" w:rsidP="76B8CAE0" w:rsidRDefault="008C4F8E" w14:paraId="1474348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[-0.1, 0.68]</w:t>
            </w:r>
          </w:p>
          <w:p w:rsidRPr="00653503" w:rsidR="008C4F8E" w:rsidP="76B8CAE0" w:rsidRDefault="5CC25121" w14:paraId="513664C6" w14:textId="7FA808DC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 = 0.17</w:t>
            </w:r>
          </w:p>
        </w:tc>
        <w:tc>
          <w:tcPr>
            <w:tcW w:w="1559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45D6259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-0.53</w:t>
            </w:r>
          </w:p>
          <w:p w:rsidRPr="00653503" w:rsidR="008C4F8E" w:rsidP="76B8CAE0" w:rsidRDefault="008C4F8E" w14:paraId="0B86FA48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[-0.73, -0.26]</w:t>
            </w:r>
          </w:p>
          <w:p w:rsidRPr="00653503" w:rsidR="008C4F8E" w:rsidP="76B8CAE0" w:rsidRDefault="5CC25121" w14:paraId="7A931BF1" w14:textId="4119196E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 = 0.01**</w:t>
            </w:r>
          </w:p>
        </w:tc>
        <w:tc>
          <w:tcPr>
            <w:tcW w:w="1843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221D71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0.13</w:t>
            </w:r>
          </w:p>
          <w:p w:rsidRPr="00653503" w:rsidR="008C4F8E" w:rsidP="76B8CAE0" w:rsidRDefault="008C4F8E" w14:paraId="0862AF0E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[-0.29, 0.51]</w:t>
            </w:r>
          </w:p>
          <w:p w:rsidRPr="00653503" w:rsidR="008C4F8E" w:rsidP="76B8CAE0" w:rsidRDefault="5CC25121" w14:paraId="67714F6C" w14:textId="4DBC9256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 = 0.704</w:t>
            </w:r>
          </w:p>
        </w:tc>
        <w:tc>
          <w:tcPr>
            <w:tcW w:w="1417" w:type="dxa"/>
            <w:tcBorders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379DE31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-0.12</w:t>
            </w:r>
          </w:p>
          <w:p w:rsidRPr="00653503" w:rsidR="008C4F8E" w:rsidP="76B8CAE0" w:rsidRDefault="008C4F8E" w14:paraId="510B0651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[-0.54, 0.34]</w:t>
            </w:r>
          </w:p>
          <w:p w:rsidRPr="00653503" w:rsidR="008C4F8E" w:rsidP="76B8CAE0" w:rsidRDefault="5CC25121" w14:paraId="262CB239" w14:textId="377BAC9C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 = 0.70</w:t>
            </w:r>
          </w:p>
        </w:tc>
      </w:tr>
      <w:tr w:rsidRPr="00653503" w:rsidR="00E5573A" w:rsidTr="23A7A13F" w14:paraId="62ED5832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22E85DDD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Confinement / separation vocalization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3DB0DBCA" w14:textId="0DEF16CE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2FEFBAEB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0E7E965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A09E912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414EEB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0.02</w:t>
            </w:r>
          </w:p>
          <w:p w:rsidRPr="00653503" w:rsidR="008C4F8E" w:rsidP="76B8CAE0" w:rsidRDefault="008C4F8E" w14:paraId="45EB34C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[-0.03, 0.07]</w:t>
            </w:r>
          </w:p>
          <w:p w:rsidRPr="00653503" w:rsidR="008C4F8E" w:rsidP="76B8CAE0" w:rsidRDefault="5CC25121" w14:paraId="42E1791E" w14:textId="2F69F04B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 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= 0.95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E90274A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-0.16</w:t>
            </w:r>
          </w:p>
          <w:p w:rsidRPr="00653503" w:rsidR="008C4F8E" w:rsidP="76B8CAE0" w:rsidRDefault="008C4F8E" w14:paraId="647D5A5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[-0.54, 0.27]</w:t>
            </w:r>
          </w:p>
          <w:p w:rsidRPr="00653503" w:rsidR="008C4F8E" w:rsidP="76B8CAE0" w:rsidRDefault="5CC25121" w14:paraId="4C2D1F4A" w14:textId="18490060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 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= 0.646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B37AEC5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0.13</w:t>
            </w:r>
          </w:p>
          <w:p w:rsidRPr="00653503" w:rsidR="008C4F8E" w:rsidP="76B8CAE0" w:rsidRDefault="008C4F8E" w14:paraId="421858E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[-0.28, 0.5]</w:t>
            </w:r>
          </w:p>
          <w:p w:rsidRPr="00653503" w:rsidR="008C4F8E" w:rsidP="76B8CAE0" w:rsidRDefault="5CC25121" w14:paraId="30DEA2F0" w14:textId="26672899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0.704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2A58580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0.34</w:t>
            </w:r>
          </w:p>
          <w:p w:rsidRPr="00653503" w:rsidR="008C4F8E" w:rsidP="76B8CAE0" w:rsidRDefault="008C4F8E" w14:paraId="3954D38E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[0.02, 0.6]</w:t>
            </w:r>
          </w:p>
          <w:p w:rsidRPr="00653503" w:rsidR="008C4F8E" w:rsidP="76B8CAE0" w:rsidRDefault="5CC25121" w14:paraId="46042A81" w14:textId="207C07E5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0.169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300DD3FD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-0.61</w:t>
            </w:r>
          </w:p>
          <w:p w:rsidRPr="00653503" w:rsidR="008C4F8E" w:rsidP="76B8CAE0" w:rsidRDefault="008C4F8E" w14:paraId="4A607979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[-0.75, -0.42]</w:t>
            </w:r>
          </w:p>
          <w:p w:rsidRPr="00653503" w:rsidR="008C4F8E" w:rsidP="76B8CAE0" w:rsidRDefault="5CC25121" w14:paraId="1217E97D" w14:textId="1810C27F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= 0.007**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E2E7C8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0.12</w:t>
            </w:r>
          </w:p>
          <w:p w:rsidRPr="00653503" w:rsidR="008C4F8E" w:rsidP="76B8CAE0" w:rsidRDefault="008C4F8E" w14:paraId="6466D58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[-0.29, 0.49]</w:t>
            </w:r>
          </w:p>
          <w:p w:rsidRPr="00653503" w:rsidR="008C4F8E" w:rsidP="76B8CAE0" w:rsidRDefault="5CC25121" w14:paraId="254BEFB5" w14:textId="47FA6906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0.704</w:t>
            </w:r>
          </w:p>
        </w:tc>
      </w:tr>
      <w:tr w:rsidRPr="00653503" w:rsidR="00E5573A" w:rsidTr="23A7A13F" w14:paraId="00699A10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29B2E8E3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bookmarkStart w:name="_GoBack" w:id="0"/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Confinement / separation locomotion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0BAD5CD0" w14:textId="337E90F2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04226543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25352A61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33E67AC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BBD13F9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BBD000F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0.58</w:t>
            </w:r>
          </w:p>
          <w:p w:rsidRPr="00653503" w:rsidR="008C4F8E" w:rsidP="76B8CAE0" w:rsidRDefault="008C4F8E" w14:paraId="65D70D74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[0.26, 0.78]</w:t>
            </w:r>
          </w:p>
          <w:p w:rsidRPr="00653503" w:rsidR="008C4F8E" w:rsidP="76B8CAE0" w:rsidRDefault="5CC25121" w14:paraId="42E681B1" w14:textId="29CB39FB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= 0.007**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352B17FD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-0.1</w:t>
            </w:r>
          </w:p>
          <w:p w:rsidRPr="00653503" w:rsidR="008C4F8E" w:rsidP="76B8CAE0" w:rsidRDefault="008C4F8E" w14:paraId="27EDB115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[-0.5, 0.34]</w:t>
            </w:r>
          </w:p>
          <w:p w:rsidRPr="00653503" w:rsidR="008C4F8E" w:rsidP="76B8CAE0" w:rsidRDefault="5CC25121" w14:paraId="4FF5BE69" w14:textId="59D9A485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0.704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47EBF2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0.29</w:t>
            </w:r>
          </w:p>
          <w:p w:rsidRPr="00653503" w:rsidR="008C4F8E" w:rsidP="76B8CAE0" w:rsidRDefault="008C4F8E" w14:paraId="155A967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[-0.08, 0.59]</w:t>
            </w:r>
          </w:p>
          <w:p w:rsidRPr="00653503" w:rsidR="008C4F8E" w:rsidP="76B8CAE0" w:rsidRDefault="5CC25121" w14:paraId="1E1FAFE0" w14:textId="0ED93342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0.292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0BD9EAF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0.62</w:t>
            </w:r>
          </w:p>
          <w:p w:rsidRPr="00653503" w:rsidR="008C4F8E" w:rsidP="76B8CAE0" w:rsidRDefault="008C4F8E" w14:paraId="275CF161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[0.42, 0.76]</w:t>
            </w:r>
          </w:p>
          <w:p w:rsidRPr="00653503" w:rsidR="008C4F8E" w:rsidP="76B8CAE0" w:rsidRDefault="5CC25121" w14:paraId="712BBF15" w14:textId="4E50CFE5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= 0.007**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4B9074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0.41</w:t>
            </w:r>
          </w:p>
          <w:p w:rsidRPr="00653503" w:rsidR="008C4F8E" w:rsidP="76B8CAE0" w:rsidRDefault="008C4F8E" w14:paraId="1AC7188F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[0.02, 0.69]</w:t>
            </w:r>
          </w:p>
          <w:p w:rsidRPr="00653503" w:rsidR="008C4F8E" w:rsidP="76B8CAE0" w:rsidRDefault="5CC25121" w14:paraId="5E6925B7" w14:textId="4AD8FB65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0.072</w:t>
            </w:r>
          </w:p>
        </w:tc>
      </w:tr>
      <w:bookmarkEnd w:id="0"/>
      <w:tr w:rsidRPr="00653503" w:rsidR="00E5573A" w:rsidTr="23A7A13F" w14:paraId="084B5BCD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25CBA30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Interaction with the mouse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4EF0FEEB" w14:textId="0D570F19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2381ABA7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6ED70CD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BE1480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9FA2A7E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237AFA41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20E30064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0.17</w:t>
            </w:r>
          </w:p>
          <w:p w:rsidRPr="00653503" w:rsidR="008C4F8E" w:rsidP="76B8CAE0" w:rsidRDefault="008C4F8E" w14:paraId="3032DD5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[-0.06, 0.38]</w:t>
            </w:r>
          </w:p>
          <w:p w:rsidRPr="00653503" w:rsidR="008C4F8E" w:rsidP="76B8CAE0" w:rsidRDefault="5CC25121" w14:paraId="70F052B4" w14:textId="33111156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0.646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F54A5A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</w:t>
            </w:r>
          </w:p>
          <w:p w:rsidRPr="00653503" w:rsidR="008C4F8E" w:rsidP="76B8CAE0" w:rsidRDefault="008C4F8E" w14:paraId="7D80EF1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[-0.35, 0.51]</w:t>
            </w:r>
          </w:p>
          <w:p w:rsidRPr="00653503" w:rsidR="008C4F8E" w:rsidP="76B8CAE0" w:rsidRDefault="5CC25121" w14:paraId="0724F1BE" w14:textId="5D7F959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0.704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7773A893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0.50</w:t>
            </w:r>
          </w:p>
          <w:p w:rsidRPr="00653503" w:rsidR="008C4F8E" w:rsidP="76B8CAE0" w:rsidRDefault="008C4F8E" w14:paraId="477F19DB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[0.18, 0.73]</w:t>
            </w:r>
          </w:p>
          <w:p w:rsidRPr="00653503" w:rsidR="008C4F8E" w:rsidP="76B8CAE0" w:rsidRDefault="5CC25121" w14:paraId="06C9E0D7" w14:textId="02CA059D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= 0.017*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84D263E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0.75</w:t>
            </w:r>
          </w:p>
          <w:p w:rsidRPr="00653503" w:rsidR="008C4F8E" w:rsidP="76B8CAE0" w:rsidRDefault="008C4F8E" w14:paraId="006BB39F" w14:textId="77777777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[0.57, 0.86]</w:t>
            </w:r>
          </w:p>
          <w:p w:rsidRPr="00653503" w:rsidR="008C4F8E" w:rsidP="76B8CAE0" w:rsidRDefault="5CC25121" w14:paraId="28818472" w14:textId="29F7986E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= 0.007**</w:t>
            </w:r>
          </w:p>
        </w:tc>
      </w:tr>
      <w:tr w:rsidRPr="00653503" w:rsidR="00E5573A" w:rsidTr="23A7A13F" w14:paraId="35FE07B9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79FDE303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Tail swishing with the mouse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65B13F04" w14:textId="051C2C70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356B7784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09A72602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3AD8BB85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3AC2E41B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9D9AC6E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2A9CB6E2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09B7BBA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0.11</w:t>
            </w:r>
          </w:p>
          <w:p w:rsidRPr="00653503" w:rsidR="008C4F8E" w:rsidP="76B8CAE0" w:rsidRDefault="008C4F8E" w14:paraId="4F13D1E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[-0.31, 0.49]</w:t>
            </w:r>
          </w:p>
          <w:p w:rsidRPr="00653503" w:rsidR="008C4F8E" w:rsidP="76B8CAE0" w:rsidRDefault="5CC25121" w14:paraId="53491719" w14:textId="2E3886A1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0.704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06D0EF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0.34</w:t>
            </w:r>
          </w:p>
          <w:p w:rsidRPr="00653503" w:rsidR="008C4F8E" w:rsidP="76B8CAE0" w:rsidRDefault="008C4F8E" w14:paraId="66FEF718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[-0.04, 0.63]</w:t>
            </w:r>
          </w:p>
          <w:p w:rsidRPr="00653503" w:rsidR="008C4F8E" w:rsidP="76B8CAE0" w:rsidRDefault="5CC25121" w14:paraId="3F415CFA" w14:textId="0A401148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0.169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E58868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-0.23</w:t>
            </w:r>
          </w:p>
          <w:p w:rsidRPr="00653503" w:rsidR="008C4F8E" w:rsidP="76B8CAE0" w:rsidRDefault="008C4F8E" w14:paraId="2CC6128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[-0.6, 0.21]</w:t>
            </w:r>
          </w:p>
          <w:p w:rsidRPr="00653503" w:rsidR="008C4F8E" w:rsidP="76B8CAE0" w:rsidRDefault="5CC25121" w14:paraId="7923B461" w14:textId="67052BBB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0.420</w:t>
            </w:r>
          </w:p>
        </w:tc>
      </w:tr>
      <w:tr w:rsidRPr="00653503" w:rsidR="00E5573A" w:rsidTr="23A7A13F" w14:paraId="49995447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62C2245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Approaching the passive human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5A70C8BC" w14:textId="45583B4B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4E520DCB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10C9833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A5B706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DF7B9A8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1ED30F3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798B00B3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781E6FF2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71ABDF75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-0.07</w:t>
            </w:r>
          </w:p>
          <w:p w:rsidRPr="00653503" w:rsidR="008C4F8E" w:rsidP="76B8CAE0" w:rsidRDefault="008C4F8E" w14:paraId="1425E3CA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[-0.42, 0.31]</w:t>
            </w:r>
          </w:p>
          <w:p w:rsidRPr="00653503" w:rsidR="008C4F8E" w:rsidP="76B8CAE0" w:rsidRDefault="5CC25121" w14:paraId="62FC1383" w14:textId="4204C4C0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= 0.782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061DBC3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-0.26</w:t>
            </w:r>
          </w:p>
          <w:p w:rsidRPr="00653503" w:rsidR="008C4F8E" w:rsidP="76B8CAE0" w:rsidRDefault="008C4F8E" w14:paraId="0127244D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[-0.58, 0.12]</w:t>
            </w:r>
          </w:p>
          <w:p w:rsidRPr="00653503" w:rsidR="008C4F8E" w:rsidP="76B8CAE0" w:rsidRDefault="5CC25121" w14:paraId="7AEDD979" w14:textId="0A3DD7DA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0.357</w:t>
            </w:r>
          </w:p>
        </w:tc>
      </w:tr>
      <w:tr w:rsidRPr="00653503" w:rsidR="00E5573A" w:rsidTr="23A7A13F" w14:paraId="4A6898D1" w14:textId="77777777">
        <w:trPr>
          <w:trHeight w:val="320"/>
        </w:trPr>
        <w:tc>
          <w:tcPr>
            <w:tcW w:w="169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E5573A" w14:paraId="6814F3E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1"/>
                <w:szCs w:val="21"/>
              </w:rPr>
              <w:t>Passive human approach vocalization</w:t>
            </w:r>
          </w:p>
        </w:tc>
        <w:tc>
          <w:tcPr>
            <w:tcW w:w="99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tcMar/>
            <w:vAlign w:val="center"/>
          </w:tcPr>
          <w:p w:rsidRPr="008C4F8E" w:rsidR="008C4F8E" w:rsidP="76B8CAE0" w:rsidRDefault="008C4F8E" w14:paraId="2792B712" w14:textId="098FF252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Pr="008C4F8E" w:rsidR="008C4F8E" w:rsidP="76B8CAE0" w:rsidRDefault="008C4F8E" w14:paraId="3DA97C3A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CI 95%</w:t>
            </w:r>
          </w:p>
          <w:p w:rsidRPr="008C4F8E" w:rsidR="008C4F8E" w:rsidP="76B8CAE0" w:rsidRDefault="008C4F8E" w14:paraId="6895A7D2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A595F4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541EC805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E3FF041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1096122A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48F00459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60D9EF91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vAlign w:val="center"/>
            <w:hideMark/>
          </w:tcPr>
          <w:p w:rsidRPr="00653503" w:rsidR="008C4F8E" w:rsidP="76B8CAE0" w:rsidRDefault="008C4F8E" w14:paraId="7E4127A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-0.16</w:t>
            </w:r>
          </w:p>
          <w:p w:rsidRPr="00653503" w:rsidR="008C4F8E" w:rsidP="76B8CAE0" w:rsidRDefault="008C4F8E" w14:paraId="76B7EB9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[0.24, -0.53]</w:t>
            </w:r>
          </w:p>
          <w:p w:rsidRPr="00653503" w:rsidR="008C4F8E" w:rsidP="76B8CAE0" w:rsidRDefault="5CC25121" w14:paraId="37F7D921" w14:textId="5648211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0.646</w:t>
            </w:r>
          </w:p>
        </w:tc>
      </w:tr>
    </w:tbl>
    <w:p w:rsidRPr="008C4F8E" w:rsidR="0055147C" w:rsidP="76B8CAE0" w:rsidRDefault="005478C5" w14:paraId="5A39BBE3" w14:textId="77777777">
      <w:pPr>
        <w:rPr>
          <w:rFonts w:ascii="Times New Roman" w:hAnsi="Times New Roman" w:eastAsia="Times New Roman" w:cs="Times New Roman"/>
        </w:rPr>
      </w:pPr>
    </w:p>
    <w:p w:rsidR="00BF006E" w:rsidP="76B8CAE0" w:rsidRDefault="00BF006E" w14:paraId="41C8F396" w14:textId="77777777">
      <w:pPr>
        <w:rPr>
          <w:rFonts w:ascii="Times New Roman" w:hAnsi="Times New Roman" w:eastAsia="Times New Roman" w:cs="Times New Roman"/>
        </w:rPr>
      </w:pPr>
    </w:p>
    <w:p w:rsidR="00BF006E" w:rsidP="76B8CAE0" w:rsidRDefault="00BF006E" w14:paraId="72A3D3EC" w14:textId="77777777">
      <w:pPr>
        <w:rPr>
          <w:rFonts w:ascii="Times New Roman" w:hAnsi="Times New Roman" w:eastAsia="Times New Roman" w:cs="Times New Roman"/>
        </w:rPr>
      </w:pPr>
    </w:p>
    <w:p w:rsidR="76B8CAE0" w:rsidP="76B8CAE0" w:rsidRDefault="76B8CAE0" w14:paraId="3500F5D9" w14:textId="117B4C4A">
      <w:pPr>
        <w:pStyle w:val="Normal"/>
        <w:rPr>
          <w:rFonts w:ascii="Times New Roman" w:hAnsi="Times New Roman" w:eastAsia="Times New Roman" w:cs="Times New Roman"/>
        </w:rPr>
      </w:pPr>
    </w:p>
    <w:p w:rsidR="76B8CAE0" w:rsidP="76B8CAE0" w:rsidRDefault="76B8CAE0" w14:paraId="2A58D35D" w14:textId="02C6F0BF">
      <w:pPr>
        <w:pStyle w:val="Normal"/>
        <w:rPr>
          <w:rFonts w:ascii="Times New Roman" w:hAnsi="Times New Roman" w:eastAsia="Times New Roman" w:cs="Times New Roman"/>
        </w:rPr>
      </w:pPr>
    </w:p>
    <w:p w:rsidR="76B8CAE0" w:rsidP="76B8CAE0" w:rsidRDefault="76B8CAE0" w14:paraId="4D5EF9DC" w14:textId="247B6FFF">
      <w:pPr>
        <w:pStyle w:val="Normal"/>
        <w:rPr>
          <w:rFonts w:ascii="Times New Roman" w:hAnsi="Times New Roman" w:eastAsia="Times New Roman" w:cs="Times New Roman"/>
        </w:rPr>
      </w:pPr>
    </w:p>
    <w:p w:rsidR="76B8CAE0" w:rsidP="76B8CAE0" w:rsidRDefault="76B8CAE0" w14:paraId="6C7ADD80" w14:textId="48C2D28B">
      <w:pPr>
        <w:pStyle w:val="Normal"/>
        <w:rPr>
          <w:rFonts w:ascii="Times New Roman" w:hAnsi="Times New Roman" w:eastAsia="Times New Roman" w:cs="Times New Roman"/>
        </w:rPr>
      </w:pPr>
    </w:p>
    <w:p w:rsidR="76B8CAE0" w:rsidP="76B8CAE0" w:rsidRDefault="76B8CAE0" w14:paraId="3C8FC7E8" w14:textId="3CB1B2FF">
      <w:pPr>
        <w:pStyle w:val="Normal"/>
        <w:rPr>
          <w:rFonts w:ascii="Times New Roman" w:hAnsi="Times New Roman" w:eastAsia="Times New Roman" w:cs="Times New Roman"/>
        </w:rPr>
      </w:pPr>
    </w:p>
    <w:p w:rsidR="76B8CAE0" w:rsidP="76B8CAE0" w:rsidRDefault="76B8CAE0" w14:paraId="4505EA95" w14:textId="07D673BE">
      <w:pPr>
        <w:pStyle w:val="Normal"/>
        <w:rPr>
          <w:rFonts w:ascii="Times New Roman" w:hAnsi="Times New Roman" w:eastAsia="Times New Roman" w:cs="Times New Roman"/>
        </w:rPr>
      </w:pPr>
    </w:p>
    <w:p w:rsidR="00BF006E" w:rsidP="76B8CAE0" w:rsidRDefault="00BF006E" w14:paraId="0D0B940D" w14:textId="77777777">
      <w:pPr>
        <w:rPr>
          <w:rFonts w:ascii="Times New Roman" w:hAnsi="Times New Roman" w:eastAsia="Times New Roman" w:cs="Times New Roman"/>
        </w:rPr>
      </w:pPr>
    </w:p>
    <w:p w:rsidR="00BF006E" w:rsidP="76B8CAE0" w:rsidRDefault="00BF006E" w14:paraId="0E27B00A" w14:textId="77777777">
      <w:pPr>
        <w:rPr>
          <w:rFonts w:ascii="Times New Roman" w:hAnsi="Times New Roman" w:eastAsia="Times New Roman" w:cs="Times New Roman"/>
        </w:rPr>
      </w:pPr>
    </w:p>
    <w:p w:rsidR="00BF006E" w:rsidP="76B8CAE0" w:rsidRDefault="00E5573A" w14:paraId="00751720" w14:textId="2B91CB7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en-GB"/>
        </w:rPr>
      </w:pPr>
      <w:r w:rsidRPr="76B8CAE0" w:rsidR="76B8CAE0">
        <w:rPr>
          <w:rFonts w:ascii="Times New Roman" w:hAnsi="Times New Roman" w:eastAsia="Times New Roman" w:cs="Times New Roman"/>
        </w:rPr>
        <w:t xml:space="preserve">Table S5-2. Phenotypic and within-individual level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behavioural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 xml:space="preserve"> correlations. Note that these correlations were only calculated in cases where more than one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behavioural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 xml:space="preserve"> variable was measured in one test.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Behavioural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 xml:space="preserve"> variables obtained via PCA are denoted with the symbol: </w:t>
      </w:r>
      <w:r w:rsidRPr="76B8CAE0" w:rsidR="76B8CAE0">
        <w:rPr>
          <w:rFonts w:ascii="Times New Roman" w:hAnsi="Times New Roman" w:eastAsia="Times New Roman" w:cs="Times New Roman"/>
          <w:sz w:val="32"/>
          <w:szCs w:val="32"/>
          <w:vertAlign w:val="superscript"/>
        </w:rPr>
        <w:t>+</w:t>
      </w:r>
      <w:r w:rsidRPr="76B8CAE0" w:rsidR="76B8CAE0">
        <w:rPr>
          <w:rFonts w:ascii="Times New Roman" w:hAnsi="Times New Roman" w:eastAsia="Times New Roman" w:cs="Times New Roman"/>
        </w:rPr>
        <w:t xml:space="preserve">. </w:t>
      </w:r>
      <w:r w:rsidRPr="76B8CAE0" w:rsidR="76B8CAE0">
        <w:rPr>
          <w:rFonts w:ascii="Times New Roman" w:hAnsi="Times New Roman" w:eastAsia="Times New Roman" w:cs="Times New Roman"/>
          <w:i w:val="1"/>
          <w:iCs w:val="1"/>
        </w:rPr>
        <w:t>P</w:t>
      </w:r>
      <w:r w:rsidRPr="76B8CAE0" w:rsidR="76B8CAE0">
        <w:rPr>
          <w:rFonts w:ascii="Times New Roman" w:hAnsi="Times New Roman" w:eastAsia="Times New Roman" w:cs="Times New Roman"/>
        </w:rPr>
        <w:t xml:space="preserve">-values were adjusted for multiple comparisons using the </w:t>
      </w:r>
      <w:proofErr w:type="spellStart"/>
      <w:r w:rsidRPr="76B8CAE0" w:rsidR="76B8CAE0">
        <w:rPr>
          <w:rFonts w:ascii="Times New Roman" w:hAnsi="Times New Roman" w:eastAsia="Times New Roman" w:cs="Times New Roman"/>
        </w:rPr>
        <w:t>Benjamini</w:t>
      </w:r>
      <w:proofErr w:type="spellEnd"/>
      <w:r w:rsidRPr="76B8CAE0" w:rsidR="76B8CAE0">
        <w:rPr>
          <w:rFonts w:ascii="Times New Roman" w:hAnsi="Times New Roman" w:eastAsia="Times New Roman" w:cs="Times New Roman"/>
        </w:rPr>
        <w:t>-Hochberg procedure.</w:t>
      </w:r>
    </w:p>
    <w:p w:rsidR="00E5573A" w:rsidP="76B8CAE0" w:rsidRDefault="00E5573A" w14:paraId="60061E4C" w14:textId="77777777">
      <w:pPr>
        <w:rPr>
          <w:rFonts w:ascii="Times New Roman" w:hAnsi="Times New Roman" w:eastAsia="Times New Roman" w:cs="Times New Roman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2410"/>
        <w:gridCol w:w="2268"/>
        <w:gridCol w:w="2268"/>
        <w:gridCol w:w="2126"/>
      </w:tblGrid>
      <w:tr w:rsidRPr="00BF006E" w:rsidR="00BF006E" w:rsidTr="76B8CAE0" w14:paraId="6BE06401" w14:textId="77777777">
        <w:trPr>
          <w:trHeight w:val="320"/>
        </w:trPr>
        <w:tc>
          <w:tcPr>
            <w:tcW w:w="2263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4EAFD9C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43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64D4FCC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Correlation type</w:t>
            </w:r>
          </w:p>
        </w:tc>
        <w:tc>
          <w:tcPr>
            <w:tcW w:w="2410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7DCBCE4A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Confinement / separation locomotion</w:t>
            </w:r>
          </w:p>
        </w:tc>
        <w:tc>
          <w:tcPr>
            <w:tcW w:w="2268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6ADB91B4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Tail swishing with the mouse</w:t>
            </w:r>
          </w:p>
        </w:tc>
        <w:tc>
          <w:tcPr>
            <w:tcW w:w="2268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7126F65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Passive human approach vocalization</w:t>
            </w:r>
          </w:p>
        </w:tc>
        <w:tc>
          <w:tcPr>
            <w:tcW w:w="2126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20F0875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Latency to petting success</w:t>
            </w:r>
          </w:p>
        </w:tc>
      </w:tr>
      <w:tr w:rsidRPr="00BF006E" w:rsidR="00BF006E" w:rsidTr="76B8CAE0" w14:paraId="7757530F" w14:textId="77777777">
        <w:trPr>
          <w:trHeight w:val="320"/>
        </w:trPr>
        <w:tc>
          <w:tcPr>
            <w:tcW w:w="2263" w:type="dxa"/>
            <w:vMerge w:val="restart"/>
            <w:tcBorders>
              <w:left w:val="single" w:color="FFFFFF" w:themeColor="background1" w:sz="4" w:space="0"/>
              <w:right w:val="single" w:color="BFBFBF" w:themeColor="background1" w:themeShade="BF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7C19CB7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Confinement / separation vocalization</w:t>
            </w:r>
          </w:p>
        </w:tc>
        <w:tc>
          <w:tcPr>
            <w:tcW w:w="1843" w:type="dxa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40CC125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Phenotypic</w:t>
            </w:r>
          </w:p>
        </w:tc>
        <w:tc>
          <w:tcPr>
            <w:tcW w:w="2410" w:type="dxa"/>
            <w:tcBorders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838D846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0.007</w:t>
            </w:r>
          </w:p>
          <w:p w:rsidRPr="00BF006E" w:rsidR="00BF006E" w:rsidP="76B8CAE0" w:rsidRDefault="00BF006E" w14:paraId="6B2227F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[-0.03, 0.04]</w:t>
            </w:r>
          </w:p>
          <w:p w:rsidRPr="00BF006E" w:rsidR="00BF006E" w:rsidP="76B8CAE0" w:rsidRDefault="5CC25121" w14:paraId="6067CE79" w14:textId="05C55294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0.972</w:t>
            </w:r>
          </w:p>
        </w:tc>
        <w:tc>
          <w:tcPr>
            <w:tcW w:w="2268" w:type="dxa"/>
            <w:tcBorders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812ED9E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0FB2EC7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A53A7B2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</w:tr>
      <w:tr w:rsidRPr="00BF006E" w:rsidR="00BF006E" w:rsidTr="76B8CAE0" w14:paraId="5343948B" w14:textId="77777777">
        <w:trPr>
          <w:trHeight w:val="320"/>
        </w:trPr>
        <w:tc>
          <w:tcPr>
            <w:tcW w:w="2263" w:type="dxa"/>
            <w:vMerge/>
            <w:noWrap/>
            <w:tcMar/>
            <w:vAlign w:val="center"/>
            <w:hideMark/>
          </w:tcPr>
          <w:p w:rsidRPr="00BF006E" w:rsidR="00BF006E" w:rsidP="00BF006E" w:rsidRDefault="00BF006E" w14:paraId="4B94D5A5" w14:textId="77777777">
            <w:pPr>
              <w:jc w:val="center"/>
              <w:rPr>
                <w:rFonts w:ascii="Palatino Linotype" w:hAnsi="Palatino Linotype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7DA6A434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Within-individual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7517F78C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-0.03</w:t>
            </w:r>
          </w:p>
          <w:p w:rsidRPr="00BF006E" w:rsidR="00BF006E" w:rsidP="76B8CAE0" w:rsidRDefault="00BF006E" w14:paraId="348869D3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[-0.06, -0.001]</w:t>
            </w:r>
          </w:p>
          <w:p w:rsidRPr="00BF006E" w:rsidR="00BF006E" w:rsidP="76B8CAE0" w:rsidRDefault="5CC25121" w14:paraId="65ED809C" w14:textId="7ED35496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 = 0.996</w:t>
            </w: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512896E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6644F91B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7EB2007A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</w:tr>
      <w:tr w:rsidRPr="00BF006E" w:rsidR="00BF006E" w:rsidTr="76B8CAE0" w14:paraId="2DF8954D" w14:textId="77777777">
        <w:trPr>
          <w:trHeight w:val="320"/>
        </w:trPr>
        <w:tc>
          <w:tcPr>
            <w:tcW w:w="2263" w:type="dxa"/>
            <w:vMerge w:val="restart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BFBFBF" w:themeColor="background1" w:themeShade="BF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4452B779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Interaction with the mouse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81E2C1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Phenotypic</w:t>
            </w:r>
          </w:p>
        </w:tc>
        <w:tc>
          <w:tcPr>
            <w:tcW w:w="2410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DEEC669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62C87088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0.01</w:t>
            </w:r>
          </w:p>
          <w:p w:rsidRPr="00BF006E" w:rsidR="00BF006E" w:rsidP="76B8CAE0" w:rsidRDefault="00BF006E" w14:paraId="00F1DC95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[-0.13, 0.14]</w:t>
            </w:r>
          </w:p>
          <w:p w:rsidRPr="00BF006E" w:rsidR="00BF006E" w:rsidP="76B8CAE0" w:rsidRDefault="5CC25121" w14:paraId="0AAC1C23" w14:textId="5B188023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= 0.963</w:t>
            </w: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6D21969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137965D0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</w:tr>
      <w:tr w:rsidRPr="00BF006E" w:rsidR="00BF006E" w:rsidTr="76B8CAE0" w14:paraId="66539F0D" w14:textId="77777777">
        <w:trPr>
          <w:trHeight w:val="320"/>
        </w:trPr>
        <w:tc>
          <w:tcPr>
            <w:tcW w:w="2263" w:type="dxa"/>
            <w:vMerge/>
            <w:noWrap/>
            <w:tcMar/>
            <w:vAlign w:val="center"/>
            <w:hideMark/>
          </w:tcPr>
          <w:p w:rsidRPr="00BF006E" w:rsidR="00BF006E" w:rsidP="00BF006E" w:rsidRDefault="00BF006E" w14:paraId="3656B9AB" w14:textId="77777777">
            <w:pPr>
              <w:jc w:val="center"/>
              <w:rPr>
                <w:rFonts w:ascii="Palatino Linotype" w:hAnsi="Palatino Linotype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C16FD0F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Within-individual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5FB0818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28EC6DC4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-0.19</w:t>
            </w:r>
          </w:p>
          <w:p w:rsidRPr="00BF006E" w:rsidR="00BF006E" w:rsidP="76B8CAE0" w:rsidRDefault="00BF006E" w14:paraId="781556A5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[-0.29, -0.08]</w:t>
            </w:r>
          </w:p>
          <w:p w:rsidRPr="00BF006E" w:rsidR="00BF006E" w:rsidP="76B8CAE0" w:rsidRDefault="5CC25121" w14:paraId="293E5162" w14:textId="6F6D73B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= 0.996</w:t>
            </w: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225F3DF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15BE4A3C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</w:p>
        </w:tc>
      </w:tr>
      <w:tr w:rsidRPr="00BF006E" w:rsidR="00BF006E" w:rsidTr="76B8CAE0" w14:paraId="0E7CBF5E" w14:textId="77777777">
        <w:trPr>
          <w:trHeight w:val="320"/>
        </w:trPr>
        <w:tc>
          <w:tcPr>
            <w:tcW w:w="2263" w:type="dxa"/>
            <w:vMerge w:val="restart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BFBFBF" w:themeColor="background1" w:themeShade="BF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30C5E5E7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Approaching the passive human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6DE50B80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Phenotypic</w:t>
            </w:r>
          </w:p>
        </w:tc>
        <w:tc>
          <w:tcPr>
            <w:tcW w:w="2410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49F31CB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53128261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1DBB602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-0.01</w:t>
            </w:r>
          </w:p>
          <w:p w:rsidRPr="00BF006E" w:rsidR="00BF006E" w:rsidP="76B8CAE0" w:rsidRDefault="00BF006E" w14:paraId="12C9E6DB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[-0.26, 0.24]</w:t>
            </w:r>
          </w:p>
          <w:p w:rsidRPr="00BF006E" w:rsidR="00BF006E" w:rsidP="76B8CAE0" w:rsidRDefault="5CC25121" w14:paraId="0145917E" w14:textId="2E1B3573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= 0.951</w:t>
            </w:r>
          </w:p>
        </w:tc>
        <w:tc>
          <w:tcPr>
            <w:tcW w:w="212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70F7167C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-0.21</w:t>
            </w:r>
          </w:p>
          <w:p w:rsidRPr="00BF006E" w:rsidR="00BF006E" w:rsidP="76B8CAE0" w:rsidRDefault="00BF006E" w14:paraId="7184EFD0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[-0.41, 0.01]</w:t>
            </w:r>
          </w:p>
          <w:p w:rsidRPr="00BF006E" w:rsidR="00BF006E" w:rsidP="76B8CAE0" w:rsidRDefault="5CC25121" w14:paraId="4660B19C" w14:textId="4ED1D48A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auto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 = 0.816</w:t>
            </w:r>
          </w:p>
        </w:tc>
      </w:tr>
      <w:tr w:rsidRPr="00BF006E" w:rsidR="00BF006E" w:rsidTr="76B8CAE0" w14:paraId="4ACF582F" w14:textId="77777777">
        <w:trPr>
          <w:trHeight w:val="320"/>
        </w:trPr>
        <w:tc>
          <w:tcPr>
            <w:tcW w:w="2263" w:type="dxa"/>
            <w:vMerge/>
            <w:noWrap/>
            <w:tcMar/>
            <w:vAlign w:val="center"/>
            <w:hideMark/>
          </w:tcPr>
          <w:p w:rsidRPr="00BF006E" w:rsidR="00BF006E" w:rsidP="00BF006E" w:rsidRDefault="00BF006E" w14:paraId="62486C05" w14:textId="77777777">
            <w:pPr>
              <w:jc w:val="center"/>
              <w:rPr>
                <w:rFonts w:ascii="Palatino Linotype" w:hAnsi="Palatino Linotype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7A7513CD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Within-individual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101652C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B99056E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267FC2D7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0.09</w:t>
            </w:r>
          </w:p>
          <w:p w:rsidRPr="00BF006E" w:rsidR="00BF006E" w:rsidP="76B8CAE0" w:rsidRDefault="00BF006E" w14:paraId="36D99CEB" w14:textId="77777777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>[-0.13, 0.3]</w:t>
            </w:r>
          </w:p>
          <w:p w:rsidRPr="00BF006E" w:rsidR="00BF006E" w:rsidP="76B8CAE0" w:rsidRDefault="5CC25121" w14:paraId="0DBAAF1A" w14:textId="66733294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= 996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15DEE0D4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-0.15</w:t>
            </w:r>
          </w:p>
          <w:p w:rsidRPr="00BF006E" w:rsidR="00BF006E" w:rsidP="76B8CAE0" w:rsidRDefault="00BF006E" w14:paraId="6A898D29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[-0.35, 0.07]</w:t>
            </w:r>
          </w:p>
          <w:p w:rsidRPr="00BF006E" w:rsidR="00BF006E" w:rsidP="76B8CAE0" w:rsidRDefault="5CC25121" w14:paraId="31061E63" w14:textId="490F17BB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auto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 = 996</w:t>
            </w:r>
          </w:p>
        </w:tc>
      </w:tr>
      <w:tr w:rsidRPr="00BF006E" w:rsidR="00BF006E" w:rsidTr="76B8CAE0" w14:paraId="5D2C5F48" w14:textId="77777777">
        <w:trPr>
          <w:trHeight w:val="125"/>
        </w:trPr>
        <w:tc>
          <w:tcPr>
            <w:tcW w:w="2263" w:type="dxa"/>
            <w:vMerge w:val="restart"/>
            <w:tcBorders>
              <w:top w:val="single" w:color="A6A6A6" w:themeColor="background1" w:themeShade="A6" w:sz="4" w:space="0"/>
              <w:left w:val="single" w:color="FFFFFF" w:themeColor="background1" w:sz="4" w:space="0"/>
              <w:right w:val="single" w:color="BFBFBF" w:themeColor="background1" w:themeShade="BF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E5573A" w14:paraId="2F12BE63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36"/>
                <w:szCs w:val="36"/>
                <w:vertAlign w:val="superscript"/>
              </w:rPr>
              <w:t>+</w:t>
            </w: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Passive human approach vocalization</w:t>
            </w:r>
          </w:p>
        </w:tc>
        <w:tc>
          <w:tcPr>
            <w:tcW w:w="1843" w:type="dxa"/>
            <w:tcBorders>
              <w:top w:val="single" w:color="A6A6A6" w:themeColor="background1" w:themeShade="A6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BE69D7B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Phenotypic</w:t>
            </w:r>
          </w:p>
        </w:tc>
        <w:tc>
          <w:tcPr>
            <w:tcW w:w="2410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1299C43A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4DDBEF00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461D779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537FE6B9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-0.09</w:t>
            </w:r>
          </w:p>
          <w:p w:rsidRPr="00BF006E" w:rsidR="00BF006E" w:rsidP="76B8CAE0" w:rsidRDefault="00BF006E" w14:paraId="2D286E8F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[-0.31, 0.14]</w:t>
            </w:r>
          </w:p>
          <w:p w:rsidRPr="00BF006E" w:rsidR="00BF006E" w:rsidP="76B8CAE0" w:rsidRDefault="5CC25121" w14:paraId="1A3CEF65" w14:textId="33DCFF6C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auto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 = 0.951</w:t>
            </w:r>
          </w:p>
        </w:tc>
      </w:tr>
      <w:tr w:rsidRPr="00BF006E" w:rsidR="00BF006E" w:rsidTr="76B8CAE0" w14:paraId="5720D714" w14:textId="77777777">
        <w:trPr>
          <w:trHeight w:val="320"/>
        </w:trPr>
        <w:tc>
          <w:tcPr>
            <w:tcW w:w="2263" w:type="dxa"/>
            <w:vMerge/>
            <w:noWrap/>
            <w:tcMar/>
            <w:vAlign w:val="center"/>
            <w:hideMark/>
          </w:tcPr>
          <w:p w:rsidRPr="00BF006E" w:rsidR="00BF006E" w:rsidP="00BF006E" w:rsidRDefault="00BF006E" w14:paraId="3CF2D8B6" w14:textId="77777777">
            <w:pPr>
              <w:jc w:val="center"/>
              <w:rPr>
                <w:rFonts w:ascii="Palatino Linotype" w:hAnsi="Palatino Linotype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525F144A" w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Within-individual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FB78278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1FC39945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0562CB0E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tcMar/>
            <w:vAlign w:val="center"/>
            <w:hideMark/>
          </w:tcPr>
          <w:p w:rsidRPr="00BF006E" w:rsidR="00BF006E" w:rsidP="76B8CAE0" w:rsidRDefault="00BF006E" w14:paraId="30CA47C4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0.001</w:t>
            </w:r>
          </w:p>
          <w:p w:rsidRPr="00BF006E" w:rsidR="00BF006E" w:rsidP="76B8CAE0" w:rsidRDefault="00BF006E" w14:paraId="56E1DD26" w14:textId="77777777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[-0.21, 0.22]</w:t>
            </w:r>
          </w:p>
          <w:p w:rsidRPr="00BF006E" w:rsidR="00BF006E" w:rsidP="76B8CAE0" w:rsidRDefault="5CC25121" w14:paraId="02210CCE" w14:textId="548F9F89"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pPr>
            <w:r w:rsidRPr="76B8CAE0" w:rsidR="76B8CAE0">
              <w:rPr>
                <w:rFonts w:ascii="Times New Roman" w:hAnsi="Times New Roman" w:eastAsia="Times New Roman" w:cs="Times New Roman"/>
                <w:i w:val="1"/>
                <w:iCs w:val="1"/>
                <w:color w:val="auto"/>
                <w:sz w:val="22"/>
                <w:szCs w:val="22"/>
              </w:rPr>
              <w:t>p</w:t>
            </w:r>
            <w:r w:rsidRPr="76B8CAE0" w:rsidR="76B8CAE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 = 996</w:t>
            </w:r>
          </w:p>
        </w:tc>
      </w:tr>
    </w:tbl>
    <w:p w:rsidR="00BF006E" w:rsidP="76B8CAE0" w:rsidRDefault="00BF006E" w14:paraId="34CE0A41" w14:textId="77777777">
      <w:pPr>
        <w:rPr>
          <w:rFonts w:ascii="Times New Roman" w:hAnsi="Times New Roman" w:eastAsia="Times New Roman" w:cs="Times New Roman"/>
        </w:rPr>
      </w:pPr>
    </w:p>
    <w:sectPr w:rsidR="00BF006E" w:rsidSect="0065350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96F" w:rsidP="008C4F8E" w:rsidRDefault="00BE596F" w14:paraId="62EBF3C5" w14:textId="77777777">
      <w:r>
        <w:separator/>
      </w:r>
    </w:p>
  </w:endnote>
  <w:endnote w:type="continuationSeparator" w:id="0">
    <w:p w:rsidR="00BE596F" w:rsidP="008C4F8E" w:rsidRDefault="00BE596F" w14:paraId="6D98A1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96F" w:rsidP="008C4F8E" w:rsidRDefault="00BE596F" w14:paraId="2946DB82" w14:textId="77777777">
      <w:r>
        <w:separator/>
      </w:r>
    </w:p>
  </w:footnote>
  <w:footnote w:type="continuationSeparator" w:id="0">
    <w:p w:rsidR="00BE596F" w:rsidP="008C4F8E" w:rsidRDefault="00BE596F" w14:paraId="5997CC1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03"/>
    <w:rsid w:val="005478C5"/>
    <w:rsid w:val="00653503"/>
    <w:rsid w:val="0069207A"/>
    <w:rsid w:val="006E4A48"/>
    <w:rsid w:val="00820F60"/>
    <w:rsid w:val="008C4F8E"/>
    <w:rsid w:val="009374A0"/>
    <w:rsid w:val="00BE596F"/>
    <w:rsid w:val="00BF006E"/>
    <w:rsid w:val="00C7409C"/>
    <w:rsid w:val="00E5573A"/>
    <w:rsid w:val="236604A6"/>
    <w:rsid w:val="23A7A13F"/>
    <w:rsid w:val="42804F9C"/>
    <w:rsid w:val="5CC25121"/>
    <w:rsid w:val="68EB060A"/>
    <w:rsid w:val="76B8C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6503"/>
  <w15:chartTrackingRefBased/>
  <w15:docId w15:val="{C9362583-EA24-E841-B298-6CCCEF96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50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C4F8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C4F8E"/>
  </w:style>
  <w:style w:type="paragraph" w:styleId="Footer">
    <w:name w:val="footer"/>
    <w:basedOn w:val="Normal"/>
    <w:link w:val="FooterChar"/>
    <w:uiPriority w:val="99"/>
    <w:unhideWhenUsed/>
    <w:rsid w:val="008C4F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C4F8E"/>
  </w:style>
  <w:style w:type="character" w:styleId="normaltextrun" w:customStyle="1">
    <w:name w:val="normaltextrun"/>
    <w:basedOn w:val="DefaultParagraphFont"/>
    <w:rsid w:val="00E55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1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D8ECF3-6810-6D4E-8354-05D10DC629A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ANDREA CITLALLI URRUTIA SCHROEDER</dc:creator>
  <keywords/>
  <dc:description/>
  <lastModifiedBy>Andrea Urrutia</lastModifiedBy>
  <revision>8</revision>
  <dcterms:created xsi:type="dcterms:W3CDTF">2020-02-27T18:38:00.0000000Z</dcterms:created>
  <dcterms:modified xsi:type="dcterms:W3CDTF">2020-03-24T23:16:31.9656732Z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http://www.zotero.org/styles/animal-behaviour</vt:lpwstr>
  </property>
  <property fmtid="{D5CDD505-2E9C-101B-9397-08002B2CF9AE}" pid="11" name="Mendeley Recent Style Name 4_1">
    <vt:lpwstr>Animal Behaviour</vt:lpwstr>
  </property>
  <property fmtid="{D5CDD505-2E9C-101B-9397-08002B2CF9AE}" pid="12" name="Mendeley Recent Style Id 5_1">
    <vt:lpwstr>http://www.zotero.org/styles/animal-cognition</vt:lpwstr>
  </property>
  <property fmtid="{D5CDD505-2E9C-101B-9397-08002B2CF9AE}" pid="13" name="Mendeley Recent Style Name 5_1">
    <vt:lpwstr>Animal Cognition</vt:lpwstr>
  </property>
  <property fmtid="{D5CDD505-2E9C-101B-9397-08002B2CF9AE}" pid="14" name="Mendeley Recent Style Id 6_1">
    <vt:lpwstr>http://www.zotero.org/styles/behavioral-ecology</vt:lpwstr>
  </property>
  <property fmtid="{D5CDD505-2E9C-101B-9397-08002B2CF9AE}" pid="15" name="Mendeley Recent Style Name 6_1">
    <vt:lpwstr>Behavioral Ecology</vt:lpwstr>
  </property>
  <property fmtid="{D5CDD505-2E9C-101B-9397-08002B2CF9AE}" pid="16" name="Mendeley Recent Style Id 7_1">
    <vt:lpwstr>http://www.zotero.org/styles/chicago-author-date</vt:lpwstr>
  </property>
  <property fmtid="{D5CDD505-2E9C-101B-9397-08002B2CF9AE}" pid="17" name="Mendeley Recent Style Name 7_1">
    <vt:lpwstr>Chicago Manual of Style 17th edition (author-date)</vt:lpwstr>
  </property>
  <property fmtid="{D5CDD505-2E9C-101B-9397-08002B2CF9AE}" pid="18" name="Mendeley Recent Style Id 8_1">
    <vt:lpwstr>http://www.zotero.org/styles/harvard-cite-them-right</vt:lpwstr>
  </property>
  <property fmtid="{D5CDD505-2E9C-101B-9397-08002B2CF9AE}" pid="19" name="Mendeley Recent Style Name 8_1">
    <vt:lpwstr>Cite Them Right 10th edition - Harvard</vt:lpwstr>
  </property>
  <property fmtid="{D5CDD505-2E9C-101B-9397-08002B2CF9AE}" pid="20" name="Mendeley Recent Style Id 9_1">
    <vt:lpwstr>http://www.zotero.org/styles/ieee</vt:lpwstr>
  </property>
  <property fmtid="{D5CDD505-2E9C-101B-9397-08002B2CF9AE}" pid="21" name="Mendeley Recent Style Name 9_1">
    <vt:lpwstr>IEEE</vt:lpwstr>
  </property>
</Properties>
</file>