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BC0" w:rsidRPr="00BE5B23" w:rsidRDefault="00310BC0" w:rsidP="0051431E">
      <w:pPr>
        <w:spacing w:line="240" w:lineRule="auto"/>
        <w:jc w:val="both"/>
        <w:rPr>
          <w:rFonts w:ascii="Arial" w:hAnsi="Arial" w:cs="Arial"/>
        </w:rPr>
      </w:pPr>
      <w:r w:rsidRPr="00BE5B23">
        <w:rPr>
          <w:rFonts w:ascii="Arial" w:hAnsi="Arial" w:cs="Arial"/>
          <w:b/>
          <w:bCs/>
        </w:rPr>
        <w:t xml:space="preserve">Supplementary Fig. </w:t>
      </w:r>
      <w:r w:rsidR="00B265D6">
        <w:rPr>
          <w:rFonts w:ascii="Arial" w:hAnsi="Arial" w:cs="Arial"/>
          <w:b/>
          <w:bCs/>
        </w:rPr>
        <w:t>5</w:t>
      </w:r>
      <w:r w:rsidR="00B265D6"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  <w:bCs/>
        </w:rPr>
        <w:t>Ado/A2AR impact p-S6 activation</w:t>
      </w:r>
      <w:r w:rsidR="0098416D">
        <w:rPr>
          <w:rFonts w:ascii="Arial" w:hAnsi="Arial" w:cs="Arial"/>
          <w:bCs/>
        </w:rPr>
        <w:t xml:space="preserve">. The data </w:t>
      </w:r>
      <w:r w:rsidR="0051431E">
        <w:rPr>
          <w:rFonts w:ascii="Arial" w:hAnsi="Arial" w:cs="Arial"/>
          <w:bCs/>
        </w:rPr>
        <w:t xml:space="preserve">represented </w:t>
      </w:r>
      <w:r w:rsidR="0098416D">
        <w:rPr>
          <w:rFonts w:ascii="Arial" w:hAnsi="Arial" w:cs="Arial"/>
          <w:bCs/>
        </w:rPr>
        <w:t>in this figure</w:t>
      </w:r>
      <w:r w:rsidR="0051431E">
        <w:rPr>
          <w:rFonts w:ascii="Arial" w:hAnsi="Arial" w:cs="Arial"/>
          <w:bCs/>
        </w:rPr>
        <w:t xml:space="preserve"> </w:t>
      </w:r>
      <w:proofErr w:type="gramStart"/>
      <w:r w:rsidR="0051431E">
        <w:rPr>
          <w:rFonts w:ascii="Arial" w:hAnsi="Arial" w:cs="Arial"/>
          <w:bCs/>
        </w:rPr>
        <w:t>were obtained</w:t>
      </w:r>
      <w:proofErr w:type="gramEnd"/>
      <w:r w:rsidR="0051431E">
        <w:rPr>
          <w:rFonts w:ascii="Arial" w:hAnsi="Arial" w:cs="Arial"/>
          <w:bCs/>
        </w:rPr>
        <w:t xml:space="preserve"> analyzing CD8</w:t>
      </w:r>
      <w:r w:rsidR="0051431E" w:rsidRPr="0051431E">
        <w:rPr>
          <w:rFonts w:ascii="Arial" w:hAnsi="Arial" w:cs="Arial"/>
          <w:bCs/>
          <w:vertAlign w:val="superscript"/>
        </w:rPr>
        <w:t>+</w:t>
      </w:r>
      <w:r w:rsidR="0051431E">
        <w:rPr>
          <w:rFonts w:ascii="Arial" w:hAnsi="Arial" w:cs="Arial"/>
          <w:bCs/>
        </w:rPr>
        <w:t xml:space="preserve"> T cells </w:t>
      </w:r>
      <w:r w:rsidR="0051431E" w:rsidRPr="00BE5B23">
        <w:rPr>
          <w:rFonts w:ascii="Arial" w:hAnsi="Arial" w:cs="Arial"/>
          <w:bCs/>
        </w:rPr>
        <w:t>s</w:t>
      </w:r>
      <w:bookmarkStart w:id="0" w:name="_GoBack"/>
      <w:bookmarkEnd w:id="0"/>
      <w:r w:rsidR="0051431E" w:rsidRPr="00BE5B23">
        <w:rPr>
          <w:rFonts w:ascii="Arial" w:hAnsi="Arial" w:cs="Arial"/>
          <w:bCs/>
        </w:rPr>
        <w:t xml:space="preserve">timulated for </w:t>
      </w:r>
      <w:r w:rsidR="0051431E">
        <w:rPr>
          <w:rFonts w:ascii="Arial" w:hAnsi="Arial" w:cs="Arial"/>
          <w:bCs/>
        </w:rPr>
        <w:t>3</w:t>
      </w:r>
      <w:r w:rsidR="0051431E" w:rsidRPr="00BE5B23">
        <w:rPr>
          <w:rFonts w:ascii="Arial" w:hAnsi="Arial" w:cs="Arial"/>
          <w:bCs/>
        </w:rPr>
        <w:t>h by anti-CD3/anti-CD28 coated beads</w:t>
      </w:r>
      <w:r w:rsidR="0051431E">
        <w:rPr>
          <w:rFonts w:ascii="Arial" w:hAnsi="Arial" w:cs="Arial"/>
          <w:bCs/>
        </w:rPr>
        <w:t xml:space="preserve"> under the distinct described conditions.</w:t>
      </w:r>
      <w:r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</w:rPr>
        <w:t>(</w:t>
      </w:r>
      <w:r w:rsidRPr="00BE5B23">
        <w:rPr>
          <w:rFonts w:ascii="Arial" w:hAnsi="Arial" w:cs="Arial"/>
          <w:b/>
        </w:rPr>
        <w:t>a</w:t>
      </w:r>
      <w:r w:rsidRPr="00BE5B23">
        <w:rPr>
          <w:rFonts w:ascii="Arial" w:hAnsi="Arial" w:cs="Arial"/>
        </w:rPr>
        <w:t xml:space="preserve">) </w:t>
      </w:r>
      <w:r w:rsidRPr="00BE5B23">
        <w:rPr>
          <w:rFonts w:ascii="Arial" w:hAnsi="Arial" w:cs="Arial"/>
          <w:bCs/>
        </w:rPr>
        <w:t>Representative example of p-S6 expression detected by flow cytometry after treatment with Ado or the depicted combination of A2AR agonist (</w:t>
      </w:r>
      <w:r w:rsidRPr="00BE5B23">
        <w:rPr>
          <w:rFonts w:ascii="Arial" w:hAnsi="Arial" w:cs="Arial"/>
        </w:rPr>
        <w:t xml:space="preserve">CGS 21680) </w:t>
      </w:r>
      <w:r w:rsidRPr="00BE5B23">
        <w:rPr>
          <w:rFonts w:ascii="Arial" w:hAnsi="Arial" w:cs="Arial"/>
          <w:bCs/>
        </w:rPr>
        <w:t>and A2AR/A2BR anta</w:t>
      </w:r>
      <w:r w:rsidR="0051431E">
        <w:rPr>
          <w:rFonts w:ascii="Arial" w:hAnsi="Arial" w:cs="Arial"/>
          <w:bCs/>
        </w:rPr>
        <w:t>gonists (ZM 241385 and PSB 1115</w:t>
      </w:r>
      <w:r w:rsidRPr="00BE5B23">
        <w:rPr>
          <w:rFonts w:ascii="Arial" w:hAnsi="Arial" w:cs="Arial"/>
          <w:bCs/>
        </w:rPr>
        <w:t xml:space="preserve">). </w:t>
      </w:r>
      <w:proofErr w:type="gramStart"/>
      <w:r w:rsidRPr="00BE5B23">
        <w:rPr>
          <w:rFonts w:ascii="Arial" w:hAnsi="Arial" w:cs="Arial"/>
          <w:bCs/>
        </w:rPr>
        <w:t>(</w:t>
      </w:r>
      <w:r w:rsidRPr="00BE5B23">
        <w:rPr>
          <w:rFonts w:ascii="Arial" w:hAnsi="Arial" w:cs="Arial"/>
          <w:b/>
          <w:bCs/>
        </w:rPr>
        <w:t>b</w:t>
      </w:r>
      <w:r w:rsidRPr="00BE5B23">
        <w:rPr>
          <w:rFonts w:ascii="Arial" w:hAnsi="Arial" w:cs="Arial"/>
          <w:bCs/>
        </w:rPr>
        <w:t xml:space="preserve">) Representative western blot analysis of p-S6 and S6 after treatment with Ado alone or combined with the A2AR antagonist (ZM 241385) or the PKA inhibitor (KT570), Rapamycin, the </w:t>
      </w:r>
      <w:r w:rsidRPr="00BE5B23">
        <w:rPr>
          <w:rFonts w:ascii="Arial" w:hAnsi="Arial" w:cs="Arial"/>
        </w:rPr>
        <w:t xml:space="preserve">AKT1/2 </w:t>
      </w:r>
      <w:r w:rsidRPr="00BE5B23">
        <w:rPr>
          <w:rFonts w:ascii="Arial" w:hAnsi="Arial" w:cs="Arial"/>
          <w:bCs/>
        </w:rPr>
        <w:t>inhibitor (MK2206)</w:t>
      </w:r>
      <w:r>
        <w:rPr>
          <w:rFonts w:ascii="Arial" w:hAnsi="Arial" w:cs="Arial"/>
          <w:bCs/>
        </w:rPr>
        <w:t>.</w:t>
      </w:r>
      <w:proofErr w:type="gramEnd"/>
      <w:r w:rsidRPr="00BE5B23">
        <w:rPr>
          <w:rFonts w:ascii="Arial" w:hAnsi="Arial" w:cs="Arial"/>
          <w:bCs/>
        </w:rPr>
        <w:t xml:space="preserve"> </w:t>
      </w:r>
      <w:proofErr w:type="gramStart"/>
      <w:r w:rsidRPr="00BE5B23">
        <w:rPr>
          <w:rFonts w:ascii="Arial" w:hAnsi="Arial" w:cs="Arial"/>
          <w:bCs/>
        </w:rPr>
        <w:t>α-Tubulin</w:t>
      </w:r>
      <w:proofErr w:type="gramEnd"/>
      <w:r w:rsidRPr="00BE5B23">
        <w:rPr>
          <w:rFonts w:ascii="Arial" w:hAnsi="Arial" w:cs="Arial"/>
          <w:bCs/>
        </w:rPr>
        <w:t xml:space="preserve"> was detected as a loading control. </w:t>
      </w:r>
      <w:r w:rsidRPr="00BE5B23">
        <w:rPr>
          <w:rFonts w:ascii="Arial" w:hAnsi="Arial" w:cs="Arial"/>
          <w:bCs/>
          <w:i/>
        </w:rPr>
        <w:t>n</w:t>
      </w:r>
      <w:r w:rsidRPr="00BE5B23">
        <w:rPr>
          <w:rFonts w:ascii="Arial" w:hAnsi="Arial" w:cs="Arial"/>
          <w:bCs/>
        </w:rPr>
        <w:t xml:space="preserve"> = </w:t>
      </w:r>
      <w:proofErr w:type="gramStart"/>
      <w:r w:rsidRPr="00BE5B23">
        <w:rPr>
          <w:rFonts w:ascii="Arial" w:hAnsi="Arial" w:cs="Arial"/>
          <w:bCs/>
        </w:rPr>
        <w:t>3</w:t>
      </w:r>
      <w:proofErr w:type="gramEnd"/>
      <w:r w:rsidRPr="00BE5B23">
        <w:rPr>
          <w:rFonts w:ascii="Arial" w:hAnsi="Arial" w:cs="Arial"/>
          <w:bCs/>
        </w:rPr>
        <w:t>. (</w:t>
      </w:r>
      <w:r w:rsidRPr="00BE5B23">
        <w:rPr>
          <w:rFonts w:ascii="Arial" w:hAnsi="Arial" w:cs="Arial"/>
          <w:b/>
          <w:bCs/>
        </w:rPr>
        <w:t>c</w:t>
      </w:r>
      <w:r w:rsidRPr="00BE5B23">
        <w:rPr>
          <w:rFonts w:ascii="Arial" w:hAnsi="Arial" w:cs="Arial"/>
          <w:bCs/>
        </w:rPr>
        <w:t>) Representative example of p-Akt</w:t>
      </w:r>
      <w:r w:rsidRPr="00BE5B23">
        <w:rPr>
          <w:rFonts w:ascii="Arial" w:hAnsi="Arial" w:cs="Arial"/>
          <w:bCs/>
          <w:vertAlign w:val="superscript"/>
        </w:rPr>
        <w:t xml:space="preserve">Ser473 </w:t>
      </w:r>
      <w:r w:rsidRPr="00BE5B23">
        <w:rPr>
          <w:rFonts w:ascii="Arial" w:hAnsi="Arial" w:cs="Arial"/>
          <w:bCs/>
        </w:rPr>
        <w:t xml:space="preserve">expression detected by flow cytometry in resting condition or after treatment with Ado. </w:t>
      </w:r>
      <w:proofErr w:type="gramStart"/>
      <w:r w:rsidRPr="00BE5B23">
        <w:rPr>
          <w:rFonts w:ascii="Arial" w:hAnsi="Arial" w:cs="Arial"/>
          <w:bCs/>
        </w:rPr>
        <w:t>(</w:t>
      </w:r>
      <w:r w:rsidRPr="00BE5B23">
        <w:rPr>
          <w:rFonts w:ascii="Arial" w:hAnsi="Arial" w:cs="Arial"/>
          <w:b/>
          <w:bCs/>
        </w:rPr>
        <w:t>d</w:t>
      </w:r>
      <w:r w:rsidRPr="00BE5B23">
        <w:rPr>
          <w:rFonts w:ascii="Arial" w:hAnsi="Arial" w:cs="Arial"/>
          <w:bCs/>
        </w:rPr>
        <w:t>) Representative western blot analysis of p-Akt</w:t>
      </w:r>
      <w:r w:rsidRPr="00BE5B23">
        <w:rPr>
          <w:rFonts w:ascii="Arial" w:hAnsi="Arial" w:cs="Arial"/>
          <w:bCs/>
          <w:vertAlign w:val="superscript"/>
        </w:rPr>
        <w:t>Ser473</w:t>
      </w:r>
      <w:r w:rsidRPr="00BE5B23">
        <w:rPr>
          <w:rFonts w:ascii="Arial" w:hAnsi="Arial" w:cs="Arial"/>
          <w:bCs/>
        </w:rPr>
        <w:t xml:space="preserve"> and Akt</w:t>
      </w:r>
      <w:r w:rsidRPr="00BE5B23">
        <w:rPr>
          <w:rFonts w:ascii="Arial" w:hAnsi="Arial" w:cs="Arial"/>
          <w:bCs/>
          <w:vertAlign w:val="superscript"/>
        </w:rPr>
        <w:t>Ser473</w:t>
      </w:r>
      <w:r w:rsidRPr="00BE5B23">
        <w:rPr>
          <w:rFonts w:ascii="Arial" w:hAnsi="Arial" w:cs="Arial"/>
          <w:bCs/>
        </w:rPr>
        <w:t xml:space="preserve"> after treatment with Ado alone or combined with the A2AR antagonist (ZM 241385) or the PKA inhibitor (KT570), Rapamycin, the </w:t>
      </w:r>
      <w:r w:rsidRPr="00BE5B23">
        <w:rPr>
          <w:rFonts w:ascii="Arial" w:hAnsi="Arial" w:cs="Arial"/>
        </w:rPr>
        <w:t xml:space="preserve">AKT1/2 </w:t>
      </w:r>
      <w:r w:rsidRPr="00BE5B23">
        <w:rPr>
          <w:rFonts w:ascii="Arial" w:hAnsi="Arial" w:cs="Arial"/>
          <w:bCs/>
        </w:rPr>
        <w:t>inhibitor (MK2206).</w:t>
      </w:r>
      <w:proofErr w:type="gramEnd"/>
      <w:r w:rsidRPr="00BE5B23">
        <w:rPr>
          <w:rFonts w:ascii="Arial" w:hAnsi="Arial" w:cs="Arial"/>
          <w:bCs/>
        </w:rPr>
        <w:t xml:space="preserve">  </w:t>
      </w:r>
      <w:proofErr w:type="gramStart"/>
      <w:r w:rsidRPr="00BE5B23">
        <w:rPr>
          <w:rFonts w:ascii="Arial" w:hAnsi="Arial" w:cs="Arial"/>
          <w:bCs/>
        </w:rPr>
        <w:t>α-Tubulin</w:t>
      </w:r>
      <w:proofErr w:type="gramEnd"/>
      <w:r w:rsidRPr="00BE5B23">
        <w:rPr>
          <w:rFonts w:ascii="Arial" w:hAnsi="Arial" w:cs="Arial"/>
          <w:bCs/>
        </w:rPr>
        <w:t xml:space="preserve"> was detected as a loading control. </w:t>
      </w:r>
      <w:r w:rsidRPr="00BE5B23">
        <w:rPr>
          <w:rFonts w:ascii="Arial" w:hAnsi="Arial" w:cs="Arial"/>
          <w:bCs/>
          <w:i/>
        </w:rPr>
        <w:t>n</w:t>
      </w:r>
      <w:r w:rsidRPr="00BE5B23">
        <w:rPr>
          <w:rFonts w:ascii="Arial" w:hAnsi="Arial" w:cs="Arial"/>
          <w:bCs/>
        </w:rPr>
        <w:t xml:space="preserve"> = </w:t>
      </w:r>
      <w:proofErr w:type="gramStart"/>
      <w:r w:rsidRPr="00BE5B23">
        <w:rPr>
          <w:rFonts w:ascii="Arial" w:hAnsi="Arial" w:cs="Arial"/>
          <w:bCs/>
        </w:rPr>
        <w:t>3</w:t>
      </w:r>
      <w:proofErr w:type="gramEnd"/>
      <w:r w:rsidRPr="00BE5B23">
        <w:rPr>
          <w:rFonts w:ascii="Arial" w:hAnsi="Arial" w:cs="Arial"/>
          <w:bCs/>
        </w:rPr>
        <w:t>. (</w:t>
      </w:r>
      <w:r w:rsidRPr="00BE5B23">
        <w:rPr>
          <w:rFonts w:ascii="Arial" w:hAnsi="Arial" w:cs="Arial"/>
          <w:b/>
          <w:bCs/>
        </w:rPr>
        <w:t>e</w:t>
      </w:r>
      <w:r w:rsidRPr="00BE5B23">
        <w:rPr>
          <w:rFonts w:ascii="Arial" w:hAnsi="Arial" w:cs="Arial"/>
          <w:bCs/>
        </w:rPr>
        <w:t xml:space="preserve">) </w:t>
      </w:r>
      <w:r w:rsidRPr="00BE5B23">
        <w:rPr>
          <w:rFonts w:ascii="Arial" w:hAnsi="Arial" w:cs="Arial"/>
        </w:rPr>
        <w:t xml:space="preserve">Cumulative data showing the fold change in </w:t>
      </w:r>
      <w:r w:rsidRPr="00BE5B23">
        <w:rPr>
          <w:rFonts w:ascii="Arial" w:hAnsi="Arial" w:cs="Arial"/>
          <w:bCs/>
        </w:rPr>
        <w:t>p-Akt</w:t>
      </w:r>
      <w:r w:rsidRPr="00BE5B23">
        <w:rPr>
          <w:rFonts w:ascii="Arial" w:hAnsi="Arial" w:cs="Arial"/>
          <w:bCs/>
          <w:vertAlign w:val="superscript"/>
        </w:rPr>
        <w:t xml:space="preserve">Ser473 </w:t>
      </w:r>
      <w:r w:rsidRPr="00BE5B23">
        <w:rPr>
          <w:rFonts w:ascii="Arial" w:hAnsi="Arial" w:cs="Arial"/>
          <w:bCs/>
        </w:rPr>
        <w:t xml:space="preserve">expression </w:t>
      </w:r>
      <w:r w:rsidR="0098416D">
        <w:rPr>
          <w:rFonts w:ascii="Arial" w:hAnsi="Arial" w:cs="Arial"/>
        </w:rPr>
        <w:t>after</w:t>
      </w:r>
      <w:r w:rsidRPr="00BE5B23">
        <w:rPr>
          <w:rFonts w:ascii="Arial" w:hAnsi="Arial" w:cs="Arial"/>
        </w:rPr>
        <w:t xml:space="preserve"> </w:t>
      </w:r>
      <w:r w:rsidR="0098416D">
        <w:rPr>
          <w:rFonts w:ascii="Arial" w:hAnsi="Arial" w:cs="Arial"/>
          <w:bCs/>
        </w:rPr>
        <w:t>treatment</w:t>
      </w:r>
      <w:r w:rsidRPr="00BE5B23">
        <w:rPr>
          <w:rFonts w:ascii="Arial" w:hAnsi="Arial" w:cs="Arial"/>
          <w:bCs/>
        </w:rPr>
        <w:t xml:space="preserve"> with </w:t>
      </w:r>
      <w:r w:rsidRPr="00BE5B23">
        <w:rPr>
          <w:rFonts w:ascii="Arial" w:hAnsi="Arial" w:cs="Arial"/>
        </w:rPr>
        <w:t xml:space="preserve">the indicated combinations of </w:t>
      </w:r>
      <w:r w:rsidRPr="00BE5B23">
        <w:rPr>
          <w:rFonts w:ascii="Arial" w:hAnsi="Arial" w:cs="Arial"/>
          <w:bCs/>
        </w:rPr>
        <w:t xml:space="preserve">Ado, </w:t>
      </w:r>
      <w:r w:rsidRPr="00BE5B23">
        <w:rPr>
          <w:rFonts w:ascii="Arial" w:hAnsi="Arial" w:cs="Arial"/>
        </w:rPr>
        <w:t>A2AR agonist (CGS 21680), A2AR/A2BR antagonists (ZM</w:t>
      </w:r>
      <w:r w:rsidRPr="00BE5B23">
        <w:t xml:space="preserve"> </w:t>
      </w:r>
      <w:r w:rsidRPr="00BE5B23">
        <w:rPr>
          <w:rFonts w:ascii="Arial" w:hAnsi="Arial" w:cs="Arial"/>
        </w:rPr>
        <w:t xml:space="preserve">241385 and PSB 1115, respectively) or </w:t>
      </w:r>
      <w:r w:rsidRPr="00BE5B23">
        <w:rPr>
          <w:rFonts w:ascii="Arial" w:hAnsi="Arial" w:cs="Arial"/>
          <w:bCs/>
        </w:rPr>
        <w:t xml:space="preserve">the </w:t>
      </w:r>
      <w:r w:rsidRPr="00BE5B23">
        <w:rPr>
          <w:rFonts w:ascii="Arial" w:hAnsi="Arial" w:cs="Arial"/>
        </w:rPr>
        <w:t>AKT</w:t>
      </w:r>
      <w:r w:rsidRPr="00E00E5F">
        <w:rPr>
          <w:rFonts w:ascii="Arial" w:hAnsi="Arial" w:cs="Arial"/>
          <w:vertAlign w:val="subscript"/>
        </w:rPr>
        <w:t xml:space="preserve">1/2 </w:t>
      </w:r>
      <w:r w:rsidRPr="00BE5B23">
        <w:rPr>
          <w:rFonts w:ascii="Arial" w:hAnsi="Arial" w:cs="Arial"/>
          <w:bCs/>
        </w:rPr>
        <w:t xml:space="preserve">inhibitor (MK2206). </w:t>
      </w:r>
      <w:r w:rsidRPr="00BE5B23">
        <w:rPr>
          <w:rFonts w:ascii="Arial" w:hAnsi="Arial" w:cs="Arial"/>
        </w:rPr>
        <w:t xml:space="preserve">The 25th to 75th percentiles, the median and min-max of the values are represented;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</w:t>
      </w:r>
      <w:proofErr w:type="gramStart"/>
      <w:r w:rsidRPr="00BE5B23">
        <w:rPr>
          <w:rFonts w:ascii="Arial" w:hAnsi="Arial" w:cs="Arial"/>
        </w:rPr>
        <w:t>7</w:t>
      </w:r>
      <w:proofErr w:type="gramEnd"/>
      <w:r w:rsidRPr="00BE5B23">
        <w:rPr>
          <w:rFonts w:ascii="Arial" w:hAnsi="Arial" w:cs="Arial"/>
        </w:rPr>
        <w:t>.</w:t>
      </w:r>
      <w:r w:rsidRPr="00BE5B23">
        <w:rPr>
          <w:rFonts w:ascii="Arial" w:hAnsi="Arial" w:cs="Arial"/>
          <w:bCs/>
        </w:rPr>
        <w:t xml:space="preserve"> (</w:t>
      </w:r>
      <w:r w:rsidRPr="00BE5B23">
        <w:rPr>
          <w:rFonts w:ascii="Arial" w:hAnsi="Arial" w:cs="Arial"/>
          <w:b/>
          <w:bCs/>
        </w:rPr>
        <w:t>f</w:t>
      </w:r>
      <w:r w:rsidRPr="00BE5B23">
        <w:rPr>
          <w:rFonts w:ascii="Arial" w:hAnsi="Arial" w:cs="Arial"/>
          <w:bCs/>
        </w:rPr>
        <w:t xml:space="preserve">) </w:t>
      </w:r>
      <w:r w:rsidRPr="00BE5B23">
        <w:rPr>
          <w:rFonts w:ascii="Arial" w:hAnsi="Arial" w:cs="Arial"/>
        </w:rPr>
        <w:t xml:space="preserve">Cumulative data showing the fold change in </w:t>
      </w:r>
      <w:r w:rsidRPr="00BE5B23">
        <w:rPr>
          <w:rFonts w:ascii="Arial" w:hAnsi="Arial" w:cs="Arial"/>
          <w:bCs/>
        </w:rPr>
        <w:t xml:space="preserve">p-S6 expression </w:t>
      </w:r>
      <w:r w:rsidRPr="00BE5B23">
        <w:rPr>
          <w:rFonts w:ascii="Arial" w:hAnsi="Arial" w:cs="Arial"/>
        </w:rPr>
        <w:t>by memory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</w:rPr>
        <w:t xml:space="preserve"> T cell subsets (T</w:t>
      </w:r>
      <w:r w:rsidRPr="00BE5B23">
        <w:rPr>
          <w:rFonts w:ascii="Arial" w:hAnsi="Arial" w:cs="Arial"/>
          <w:vertAlign w:val="subscript"/>
        </w:rPr>
        <w:t>CM</w:t>
      </w:r>
      <w:r w:rsidRPr="00BE5B23">
        <w:rPr>
          <w:rFonts w:ascii="Arial" w:hAnsi="Arial" w:cs="Arial"/>
        </w:rPr>
        <w:t>, T</w:t>
      </w:r>
      <w:r w:rsidRPr="00BE5B23">
        <w:rPr>
          <w:rFonts w:ascii="Arial" w:hAnsi="Arial" w:cs="Arial"/>
          <w:vertAlign w:val="subscript"/>
        </w:rPr>
        <w:t>EM</w:t>
      </w:r>
      <w:r w:rsidRPr="00BE5B23">
        <w:rPr>
          <w:rFonts w:ascii="Arial" w:hAnsi="Arial" w:cs="Arial"/>
        </w:rPr>
        <w:t>, T</w:t>
      </w:r>
      <w:r w:rsidRPr="00BE5B23">
        <w:rPr>
          <w:rFonts w:ascii="Arial" w:hAnsi="Arial" w:cs="Arial"/>
          <w:vertAlign w:val="subscript"/>
        </w:rPr>
        <w:t>EMRA</w:t>
      </w:r>
      <w:r w:rsidRPr="00BE5B23">
        <w:rPr>
          <w:rFonts w:ascii="Arial" w:hAnsi="Arial" w:cs="Arial"/>
        </w:rPr>
        <w:t xml:space="preserve">) in presence of Ado or the A2AR selective agonist CGS 21680. </w:t>
      </w:r>
      <w:bookmarkStart w:id="1" w:name="OLE_LINK6"/>
      <w:r w:rsidRPr="00BE5B23">
        <w:rPr>
          <w:rFonts w:ascii="Arial" w:hAnsi="Arial" w:cs="Arial"/>
        </w:rPr>
        <w:t>The 25th to 75th percentiles, the median and min-max of the values are represented</w:t>
      </w:r>
      <w:proofErr w:type="gramStart"/>
      <w:r w:rsidRPr="00BE5B23">
        <w:rPr>
          <w:rFonts w:ascii="Arial" w:hAnsi="Arial" w:cs="Arial"/>
        </w:rPr>
        <w:t>;</w:t>
      </w:r>
      <w:proofErr w:type="gramEnd"/>
      <w:r w:rsidRPr="00BE5B23">
        <w:rPr>
          <w:rFonts w:ascii="Arial" w:hAnsi="Arial" w:cs="Arial"/>
        </w:rPr>
        <w:t xml:space="preserve">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1</w:t>
      </w:r>
      <w:bookmarkEnd w:id="1"/>
      <w:r w:rsidRPr="00BE5B23">
        <w:rPr>
          <w:rFonts w:ascii="Arial" w:hAnsi="Arial" w:cs="Arial"/>
        </w:rPr>
        <w:t xml:space="preserve">4 and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12 from left to right. 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0.01, 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0.001, ****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0.0001, one-way ANOVA test.</w:t>
      </w:r>
    </w:p>
    <w:sectPr w:rsidR="00310BC0" w:rsidRPr="00BE5B23" w:rsidSect="00C13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AB4" w:rsidRDefault="00CC0AB4" w:rsidP="0045030A">
      <w:r>
        <w:separator/>
      </w:r>
    </w:p>
  </w:endnote>
  <w:endnote w:type="continuationSeparator" w:id="0">
    <w:p w:rsidR="00CC0AB4" w:rsidRDefault="00CC0AB4" w:rsidP="0045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AB4" w:rsidRDefault="00CC0AB4" w:rsidP="0045030A">
      <w:r>
        <w:separator/>
      </w:r>
    </w:p>
  </w:footnote>
  <w:footnote w:type="continuationSeparator" w:id="0">
    <w:p w:rsidR="00CC0AB4" w:rsidRDefault="00CC0AB4" w:rsidP="0045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C0"/>
    <w:rsid w:val="00016CA4"/>
    <w:rsid w:val="000903FC"/>
    <w:rsid w:val="000E0EA3"/>
    <w:rsid w:val="000F0D32"/>
    <w:rsid w:val="00281E53"/>
    <w:rsid w:val="00310BC0"/>
    <w:rsid w:val="0045030A"/>
    <w:rsid w:val="00462BDF"/>
    <w:rsid w:val="0051431E"/>
    <w:rsid w:val="005B1024"/>
    <w:rsid w:val="005C1D93"/>
    <w:rsid w:val="00611DE3"/>
    <w:rsid w:val="00664266"/>
    <w:rsid w:val="006A0093"/>
    <w:rsid w:val="0073785C"/>
    <w:rsid w:val="00747486"/>
    <w:rsid w:val="007A76F2"/>
    <w:rsid w:val="0084535D"/>
    <w:rsid w:val="00886C5B"/>
    <w:rsid w:val="00913E81"/>
    <w:rsid w:val="0098416D"/>
    <w:rsid w:val="00A902CE"/>
    <w:rsid w:val="00AD7C95"/>
    <w:rsid w:val="00B265D6"/>
    <w:rsid w:val="00B443F8"/>
    <w:rsid w:val="00BA1E20"/>
    <w:rsid w:val="00C136C1"/>
    <w:rsid w:val="00C83283"/>
    <w:rsid w:val="00CC0AB4"/>
    <w:rsid w:val="00D60C21"/>
    <w:rsid w:val="00EE045C"/>
    <w:rsid w:val="00F04FC7"/>
    <w:rsid w:val="00F86033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CA765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BC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4535D"/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45030A"/>
  </w:style>
  <w:style w:type="paragraph" w:styleId="Pieddepage">
    <w:name w:val="footer"/>
    <w:basedOn w:val="Normal"/>
    <w:link w:val="Pieddepag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5030A"/>
  </w:style>
  <w:style w:type="paragraph" w:styleId="Textedebulles">
    <w:name w:val="Balloon Text"/>
    <w:basedOn w:val="Normal"/>
    <w:link w:val="TextedebullesCar"/>
    <w:uiPriority w:val="99"/>
    <w:semiHidden/>
    <w:unhideWhenUsed/>
    <w:rsid w:val="00886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_CFO_Compétences">
  <a:themeElements>
    <a:clrScheme name="Capitaux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FO_Compétences" id="{F261A1D7-D9B9-4A3E-9604-431426B697CF}" vid="{DDFCCE1E-12A7-46DE-8330-DB367F8B372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2019-01-04T11:03:00Z</dcterms:created>
  <dcterms:modified xsi:type="dcterms:W3CDTF">2019-09-04T12:22:00Z</dcterms:modified>
</cp:coreProperties>
</file>