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F71B0" w:rsidRPr="00A53B88" w:rsidRDefault="005D78D5" w:rsidP="005D78D5">
      <w:pPr>
        <w:spacing w:after="0"/>
        <w:jc w:val="left"/>
        <w:rPr>
          <w:b/>
          <w:sz w:val="28"/>
          <w:szCs w:val="28"/>
        </w:rPr>
      </w:pPr>
      <w:r w:rsidRPr="005D78D5">
        <w:rPr>
          <w:b/>
          <w:sz w:val="28"/>
          <w:szCs w:val="28"/>
        </w:rPr>
        <w:t>Forest and agricultural land cha</w:t>
      </w:r>
      <w:r>
        <w:rPr>
          <w:b/>
          <w:sz w:val="28"/>
          <w:szCs w:val="28"/>
        </w:rPr>
        <w:t>nge in the Carpathian region</w:t>
      </w:r>
      <w:r w:rsidR="003A4A5F">
        <w:rPr>
          <w:b/>
          <w:sz w:val="28"/>
          <w:szCs w:val="28"/>
        </w:rPr>
        <w:t xml:space="preserve">. </w:t>
      </w:r>
      <w:r w:rsidRPr="005D78D5">
        <w:rPr>
          <w:b/>
          <w:sz w:val="28"/>
          <w:szCs w:val="28"/>
        </w:rPr>
        <w:t>A meta-analysis of long-term patterns and drivers of change</w:t>
      </w:r>
      <w:r w:rsidR="002E1749" w:rsidRPr="00A53B88">
        <w:rPr>
          <w:b/>
          <w:sz w:val="28"/>
          <w:szCs w:val="28"/>
          <w:vertAlign w:val="superscript"/>
        </w:rPr>
        <w:footnoteReference w:id="1"/>
      </w:r>
    </w:p>
    <w:p w:rsidR="00A53B88" w:rsidRDefault="00A53B88" w:rsidP="00985271">
      <w:pPr>
        <w:spacing w:line="264" w:lineRule="auto"/>
        <w:jc w:val="left"/>
      </w:pPr>
    </w:p>
    <w:p w:rsidR="005D78D5" w:rsidRPr="002E1749" w:rsidRDefault="005D78D5" w:rsidP="005D78D5">
      <w:pPr>
        <w:spacing w:line="264" w:lineRule="auto"/>
        <w:jc w:val="left"/>
      </w:pPr>
      <w:r>
        <w:t>Catalina Munteanu</w:t>
      </w:r>
      <w:r w:rsidR="0067246A">
        <w:t xml:space="preserve"> </w:t>
      </w:r>
      <w:r w:rsidRPr="003A4A5F">
        <w:rPr>
          <w:vertAlign w:val="superscript"/>
        </w:rPr>
        <w:t>a</w:t>
      </w:r>
      <w:r>
        <w:t>, Tobias Kuemmerle</w:t>
      </w:r>
      <w:r w:rsidR="0067246A">
        <w:t xml:space="preserve"> </w:t>
      </w:r>
      <w:r w:rsidRPr="003A4A5F">
        <w:rPr>
          <w:vertAlign w:val="superscript"/>
        </w:rPr>
        <w:t>b,c</w:t>
      </w:r>
      <w:r>
        <w:t>, Martin Boltiziar</w:t>
      </w:r>
      <w:r w:rsidR="0067246A">
        <w:t xml:space="preserve"> </w:t>
      </w:r>
      <w:r w:rsidRPr="003A4A5F">
        <w:rPr>
          <w:vertAlign w:val="superscript"/>
        </w:rPr>
        <w:t>d,e</w:t>
      </w:r>
      <w:r>
        <w:t>, Van Butsic</w:t>
      </w:r>
      <w:r w:rsidR="0067246A">
        <w:t xml:space="preserve"> </w:t>
      </w:r>
      <w:r w:rsidRPr="003A4A5F">
        <w:rPr>
          <w:vertAlign w:val="superscript"/>
        </w:rPr>
        <w:t>b,f</w:t>
      </w:r>
      <w:r>
        <w:t>, Urs Gimmi</w:t>
      </w:r>
      <w:r w:rsidR="0067246A">
        <w:t xml:space="preserve"> </w:t>
      </w:r>
      <w:r w:rsidRPr="003A4A5F">
        <w:rPr>
          <w:vertAlign w:val="superscript"/>
        </w:rPr>
        <w:t>g</w:t>
      </w:r>
      <w:r>
        <w:t>, Lu</w:t>
      </w:r>
      <w:r>
        <w:rPr>
          <w:rFonts w:cs="Times New Roman"/>
        </w:rPr>
        <w:t>́</w:t>
      </w:r>
      <w:r>
        <w:t>bo</w:t>
      </w:r>
      <w:r>
        <w:rPr>
          <w:rFonts w:cs="Times New Roman"/>
        </w:rPr>
        <w:t>š</w:t>
      </w:r>
      <w:r>
        <w:t xml:space="preserve"> Halada</w:t>
      </w:r>
      <w:r w:rsidR="0067246A">
        <w:t xml:space="preserve"> </w:t>
      </w:r>
      <w:r w:rsidRPr="003A4A5F">
        <w:rPr>
          <w:vertAlign w:val="superscript"/>
        </w:rPr>
        <w:t>d</w:t>
      </w:r>
      <w:r>
        <w:t>, Dominik Kaim</w:t>
      </w:r>
      <w:r w:rsidR="0067246A">
        <w:t xml:space="preserve"> </w:t>
      </w:r>
      <w:r w:rsidRPr="003A4A5F">
        <w:rPr>
          <w:vertAlign w:val="superscript"/>
        </w:rPr>
        <w:t>h</w:t>
      </w:r>
      <w:r>
        <w:t>, Gé</w:t>
      </w:r>
      <w:r w:rsidR="00A415CB">
        <w:t>za Király</w:t>
      </w:r>
      <w:r w:rsidR="0067246A">
        <w:t xml:space="preserve"> </w:t>
      </w:r>
      <w:r w:rsidR="00A415CB" w:rsidRPr="003A4A5F">
        <w:rPr>
          <w:vertAlign w:val="superscript"/>
        </w:rPr>
        <w:t>i</w:t>
      </w:r>
      <w:r w:rsidR="00A415CB">
        <w:t>, Éva Konkoly-Gyuró</w:t>
      </w:r>
      <w:r w:rsidR="0067246A">
        <w:t xml:space="preserve"> </w:t>
      </w:r>
      <w:r w:rsidR="00A415CB" w:rsidRPr="003A4A5F">
        <w:rPr>
          <w:vertAlign w:val="superscript"/>
        </w:rPr>
        <w:t>j</w:t>
      </w:r>
      <w:r w:rsidR="00A415CB">
        <w:t xml:space="preserve">, </w:t>
      </w:r>
      <w:r w:rsidR="00A4008A">
        <w:t xml:space="preserve">Jacek </w:t>
      </w:r>
      <w:r>
        <w:t>Kozak</w:t>
      </w:r>
      <w:r w:rsidR="0067246A">
        <w:t xml:space="preserve"> </w:t>
      </w:r>
      <w:r w:rsidR="0067246A" w:rsidRPr="003A4A5F">
        <w:rPr>
          <w:vertAlign w:val="superscript"/>
        </w:rPr>
        <w:t>h</w:t>
      </w:r>
      <w:r w:rsidR="0067246A">
        <w:t>, Juraj Lieskovsky</w:t>
      </w:r>
      <w:r w:rsidR="0067246A">
        <w:rPr>
          <w:rFonts w:cs="Times New Roman"/>
        </w:rPr>
        <w:t>́</w:t>
      </w:r>
      <w:r>
        <w:t xml:space="preserve"> </w:t>
      </w:r>
      <w:r w:rsidRPr="003A4A5F">
        <w:rPr>
          <w:vertAlign w:val="superscript"/>
        </w:rPr>
        <w:t>d,g</w:t>
      </w:r>
      <w:r>
        <w:t>, Matej Mojses</w:t>
      </w:r>
      <w:r w:rsidR="0067246A">
        <w:t xml:space="preserve"> </w:t>
      </w:r>
      <w:r w:rsidRPr="003A4A5F">
        <w:rPr>
          <w:vertAlign w:val="superscript"/>
        </w:rPr>
        <w:t>d</w:t>
      </w:r>
      <w:r>
        <w:t>, Daniel Müller</w:t>
      </w:r>
      <w:r w:rsidR="0067246A">
        <w:t xml:space="preserve"> </w:t>
      </w:r>
      <w:r w:rsidRPr="003A4A5F">
        <w:rPr>
          <w:vertAlign w:val="superscript"/>
        </w:rPr>
        <w:t>f,b</w:t>
      </w:r>
      <w:r>
        <w:t>, Krzystof Ostaﬁn</w:t>
      </w:r>
      <w:r w:rsidR="0067246A">
        <w:t xml:space="preserve"> </w:t>
      </w:r>
      <w:r w:rsidR="00A4008A" w:rsidRPr="003A4A5F">
        <w:rPr>
          <w:vertAlign w:val="superscript"/>
        </w:rPr>
        <w:t>h</w:t>
      </w:r>
      <w:r w:rsidR="00A4008A">
        <w:t xml:space="preserve">, </w:t>
      </w:r>
      <w:r>
        <w:t>Katarzyna Ostapowicza,</w:t>
      </w:r>
      <w:r w:rsidRPr="003A4A5F">
        <w:rPr>
          <w:vertAlign w:val="superscript"/>
        </w:rPr>
        <w:t>h</w:t>
      </w:r>
      <w:r>
        <w:t>, Oleksandra Shandra</w:t>
      </w:r>
      <w:r w:rsidR="0067246A">
        <w:t xml:space="preserve"> </w:t>
      </w:r>
      <w:r w:rsidRPr="003A4A5F">
        <w:rPr>
          <w:vertAlign w:val="superscript"/>
        </w:rPr>
        <w:t>k</w:t>
      </w:r>
      <w:r>
        <w:t>, Pr</w:t>
      </w:r>
      <w:r w:rsidR="0067246A">
        <w:rPr>
          <w:rFonts w:cs="Times New Roman"/>
        </w:rPr>
        <w:t>̌</w:t>
      </w:r>
      <w:r w:rsidR="0067246A">
        <w:t>emysl S</w:t>
      </w:r>
      <w:r w:rsidR="0067246A">
        <w:rPr>
          <w:rFonts w:cs="Times New Roman"/>
        </w:rPr>
        <w:t>̌</w:t>
      </w:r>
      <w:r w:rsidR="00A415CB">
        <w:t xml:space="preserve">tych </w:t>
      </w:r>
      <w:r w:rsidR="00A415CB" w:rsidRPr="003A4A5F">
        <w:rPr>
          <w:vertAlign w:val="superscript"/>
        </w:rPr>
        <w:t>l</w:t>
      </w:r>
      <w:r w:rsidR="00A415CB">
        <w:t>, Sarah Walker</w:t>
      </w:r>
      <w:r w:rsidR="0067246A">
        <w:t xml:space="preserve"> </w:t>
      </w:r>
      <w:r w:rsidR="00A415CB" w:rsidRPr="003A4A5F">
        <w:rPr>
          <w:vertAlign w:val="superscript"/>
        </w:rPr>
        <w:t>m</w:t>
      </w:r>
      <w:r w:rsidR="00A415CB">
        <w:t xml:space="preserve">, </w:t>
      </w:r>
      <w:r>
        <w:t>Volker C. Radeloff</w:t>
      </w:r>
      <w:r w:rsidR="0067246A">
        <w:t xml:space="preserve"> </w:t>
      </w:r>
      <w:r w:rsidRPr="003A4A5F">
        <w:rPr>
          <w:vertAlign w:val="superscript"/>
        </w:rPr>
        <w:t>a</w:t>
      </w:r>
    </w:p>
    <w:p w:rsidR="005D78D5" w:rsidRDefault="005D78D5" w:rsidP="005D78D5">
      <w:pPr>
        <w:spacing w:line="264" w:lineRule="auto"/>
        <w:ind w:left="705" w:hanging="705"/>
        <w:jc w:val="left"/>
      </w:pPr>
      <w:r>
        <w:t xml:space="preserve">a </w:t>
      </w:r>
      <w:r>
        <w:tab/>
        <w:t>Department of Forest and Wildlife Ecology, University of Wisconsin-Madison, 1630 Linden Drive, Madison, WI 53706, USA</w:t>
      </w:r>
    </w:p>
    <w:p w:rsidR="005D78D5" w:rsidRDefault="005D78D5" w:rsidP="005D78D5">
      <w:pPr>
        <w:spacing w:line="264" w:lineRule="auto"/>
        <w:ind w:left="705" w:hanging="705"/>
        <w:jc w:val="left"/>
      </w:pPr>
      <w:r>
        <w:t xml:space="preserve">b </w:t>
      </w:r>
      <w:r>
        <w:tab/>
        <w:t>Geography Department, Humboldt-University Berlin, Unter den Linden 6, 10099 Berlin, Germany</w:t>
      </w:r>
    </w:p>
    <w:p w:rsidR="005D78D5" w:rsidRDefault="005D78D5" w:rsidP="005D78D5">
      <w:pPr>
        <w:spacing w:line="264" w:lineRule="auto"/>
        <w:ind w:left="705" w:hanging="705"/>
        <w:jc w:val="left"/>
      </w:pPr>
      <w:r>
        <w:t xml:space="preserve">c </w:t>
      </w:r>
      <w:r>
        <w:tab/>
        <w:t>Earth System Analysis, Potsdam Institute for Climate Impact Research, 14412 Potsdam, Germany</w:t>
      </w:r>
    </w:p>
    <w:p w:rsidR="005D78D5" w:rsidRDefault="005D78D5" w:rsidP="005D78D5">
      <w:pPr>
        <w:spacing w:line="264" w:lineRule="auto"/>
        <w:ind w:left="705" w:hanging="705"/>
        <w:jc w:val="left"/>
      </w:pPr>
      <w:r>
        <w:t xml:space="preserve">d </w:t>
      </w:r>
      <w:r>
        <w:tab/>
        <w:t>Institute of Landscape Ecology of the Slovak Academy of Sciences Bratislava, Branch Nitra, Akademická 2, 949 01 Nitra, Slovakia</w:t>
      </w:r>
    </w:p>
    <w:p w:rsidR="005D78D5" w:rsidRDefault="005D78D5" w:rsidP="005D78D5">
      <w:pPr>
        <w:spacing w:line="264" w:lineRule="auto"/>
        <w:ind w:left="705" w:hanging="705"/>
        <w:jc w:val="left"/>
      </w:pPr>
      <w:r>
        <w:t xml:space="preserve">e </w:t>
      </w:r>
      <w:r>
        <w:tab/>
        <w:t>Department of Geography and Regional Development, Faculty of Natural Sciences, Constantine the Philosophers University in Nitra, Trieda A. Hlinku 1, 949 01 Nitra, Slovakia</w:t>
      </w:r>
    </w:p>
    <w:p w:rsidR="005D78D5" w:rsidRDefault="005D78D5" w:rsidP="005D78D5">
      <w:pPr>
        <w:spacing w:line="264" w:lineRule="auto"/>
        <w:ind w:left="705" w:hanging="705"/>
        <w:jc w:val="left"/>
      </w:pPr>
      <w:r>
        <w:t xml:space="preserve">f </w:t>
      </w:r>
      <w:r>
        <w:tab/>
        <w:t>Leibniz Institute of Agricultural Development in Central and Eastern Europe (IAMO), Halle (Saale), Germany</w:t>
      </w:r>
    </w:p>
    <w:p w:rsidR="005D78D5" w:rsidRDefault="005D78D5" w:rsidP="005D78D5">
      <w:pPr>
        <w:spacing w:line="264" w:lineRule="auto"/>
        <w:ind w:left="705" w:hanging="705"/>
        <w:jc w:val="left"/>
      </w:pPr>
      <w:r>
        <w:t xml:space="preserve">g </w:t>
      </w:r>
      <w:r>
        <w:tab/>
        <w:t>Research Unit Landscape Dynamics, Swiss Federal Institute for Forest, Snow and Landscape Research WSL, Zürcherstrasse 111, 8903 Birmensdorf, Switzerland</w:t>
      </w:r>
    </w:p>
    <w:p w:rsidR="005D78D5" w:rsidRDefault="005D78D5" w:rsidP="005D78D5">
      <w:pPr>
        <w:spacing w:line="264" w:lineRule="auto"/>
        <w:ind w:left="705" w:hanging="705"/>
        <w:jc w:val="left"/>
      </w:pPr>
      <w:r>
        <w:t xml:space="preserve">h </w:t>
      </w:r>
      <w:r>
        <w:tab/>
        <w:t>Institute of Geography and Spatial Management, Jagiellonian University, Gronostajowa 7, 30-387 Kraków, Poland</w:t>
      </w:r>
    </w:p>
    <w:p w:rsidR="005D78D5" w:rsidRDefault="005D78D5" w:rsidP="005D78D5">
      <w:pPr>
        <w:spacing w:line="264" w:lineRule="auto"/>
        <w:ind w:left="705" w:hanging="705"/>
        <w:jc w:val="left"/>
      </w:pPr>
      <w:r>
        <w:t xml:space="preserve">i </w:t>
      </w:r>
      <w:r>
        <w:tab/>
        <w:t>Institute of Geomatics, Forest Opening-up and Water Management, University of West Hungary, Bajcsy-Zs. u. 4, H-9400 Sopron, Hungary</w:t>
      </w:r>
    </w:p>
    <w:p w:rsidR="005D78D5" w:rsidRDefault="005D78D5" w:rsidP="005D78D5">
      <w:pPr>
        <w:spacing w:line="264" w:lineRule="auto"/>
        <w:ind w:left="705" w:hanging="705"/>
        <w:jc w:val="left"/>
      </w:pPr>
      <w:r>
        <w:t xml:space="preserve">j </w:t>
      </w:r>
      <w:r>
        <w:tab/>
        <w:t>Institute of Forest Management and Rural Development, University of West Hungary, PO Box 132, H-9401 Sopron, Hungary</w:t>
      </w:r>
    </w:p>
    <w:p w:rsidR="005D78D5" w:rsidRDefault="005D78D5" w:rsidP="005D78D5">
      <w:pPr>
        <w:spacing w:line="264" w:lineRule="auto"/>
        <w:ind w:left="705" w:hanging="705"/>
        <w:jc w:val="left"/>
      </w:pPr>
      <w:r>
        <w:t xml:space="preserve">k </w:t>
      </w:r>
      <w:r>
        <w:tab/>
        <w:t>Department of Physical Geography and Geoecology of the Taras Shevchenko National University of Kyiv, Ukraine</w:t>
      </w:r>
    </w:p>
    <w:p w:rsidR="005B511F" w:rsidRDefault="005D78D5" w:rsidP="00A4008A">
      <w:pPr>
        <w:spacing w:line="264" w:lineRule="auto"/>
        <w:ind w:left="705" w:hanging="705"/>
        <w:jc w:val="left"/>
      </w:pPr>
      <w:r>
        <w:t xml:space="preserve">l </w:t>
      </w:r>
      <w:r>
        <w:tab/>
        <w:t>Faculty of Science, Charles University in Prague, Albertov 6, 128 43 Prague 2, Czech Republic</w:t>
      </w:r>
    </w:p>
    <w:p w:rsidR="00A53B88" w:rsidRDefault="005D78D5" w:rsidP="00A4008A">
      <w:pPr>
        <w:spacing w:line="264" w:lineRule="auto"/>
        <w:ind w:left="705" w:hanging="705"/>
        <w:jc w:val="left"/>
      </w:pPr>
      <w:r>
        <w:t>m</w:t>
      </w:r>
      <w:r w:rsidR="005B511F">
        <w:tab/>
      </w:r>
      <w:bookmarkStart w:id="0" w:name="_GoBack"/>
      <w:bookmarkEnd w:id="0"/>
      <w:r>
        <w:t>Department of Applied and Agricultural Economics, University of Wisconsin, Madison, 427 Lorch Court, Madison, WI 53706, USA</w:t>
      </w:r>
    </w:p>
    <w:p w:rsidR="00561A21" w:rsidRDefault="00561A21" w:rsidP="00985271">
      <w:pPr>
        <w:spacing w:line="264" w:lineRule="auto"/>
        <w:jc w:val="left"/>
        <w:rPr>
          <w:b/>
        </w:rPr>
      </w:pPr>
    </w:p>
    <w:p w:rsidR="00A53B88" w:rsidRPr="00A53B88" w:rsidRDefault="002E1749" w:rsidP="00985271">
      <w:pPr>
        <w:spacing w:line="264" w:lineRule="auto"/>
        <w:jc w:val="left"/>
        <w:rPr>
          <w:b/>
        </w:rPr>
      </w:pPr>
      <w:r w:rsidRPr="00A53B88">
        <w:rPr>
          <w:b/>
        </w:rPr>
        <w:t xml:space="preserve">Corresponding author: </w:t>
      </w:r>
    </w:p>
    <w:p w:rsidR="002E1749" w:rsidRPr="005D78D5" w:rsidRDefault="005D78D5" w:rsidP="00985271">
      <w:pPr>
        <w:spacing w:after="200" w:line="264" w:lineRule="auto"/>
        <w:jc w:val="left"/>
        <w:rPr>
          <w:lang w:val="de-DE"/>
        </w:rPr>
      </w:pPr>
      <w:r w:rsidRPr="005D78D5">
        <w:rPr>
          <w:lang w:val="de-DE"/>
        </w:rPr>
        <w:t>cmunteanu@wisc.edu (C. Munteanu</w:t>
      </w:r>
      <w:r>
        <w:rPr>
          <w:lang w:val="de-DE"/>
        </w:rPr>
        <w:t>)</w:t>
      </w:r>
      <w:r w:rsidR="002E1749" w:rsidRPr="005D78D5">
        <w:rPr>
          <w:lang w:val="de-DE"/>
        </w:rPr>
        <w:br w:type="page"/>
      </w:r>
    </w:p>
    <w:p w:rsidR="00813FBB" w:rsidRPr="00813FBB" w:rsidRDefault="002E1749" w:rsidP="00985271">
      <w:pPr>
        <w:spacing w:line="264" w:lineRule="auto"/>
        <w:rPr>
          <w:b/>
        </w:rPr>
      </w:pPr>
      <w:r w:rsidRPr="00813FBB">
        <w:rPr>
          <w:b/>
        </w:rPr>
        <w:lastRenderedPageBreak/>
        <w:t>Abstract</w:t>
      </w:r>
    </w:p>
    <w:p w:rsidR="002E1749" w:rsidRDefault="00007CCD" w:rsidP="00007CCD">
      <w:pPr>
        <w:spacing w:after="200" w:line="264" w:lineRule="auto"/>
      </w:pPr>
      <w:r w:rsidRPr="00007CCD">
        <w:t>Humans have altered land cover for centuries, and land-cover change is a main component of global change. Land use transition trajectories, such as the forest transition theory (i.e. switch from deforestation to stable or increasing forest cover), relate long term changes in land use to gradual changes in underlying drivers, such as economic development, demographic change, and urbanization. However, because only few studies examined land change over centuries, it is not clear how land cover changes during very long time-periods which are punctuated by shifts in socio-economics and policies, such as wars. Our goal here was to examine broad land change patterns and processes, and their main driving forces in Central and Eastern Europe during distinct periods of the past 250 years. We conducted a meta-analysis of 66 publications describing 102 case study locations and quantiﬁed the main forest and agricultural changes in the Carpathian region since the 18th century. These studies captured gradual changes since the peak of the Austro-Hungarian Empire up to the accession to the European Union of most of the formerly socialist countries in the study region. Agricultural land-use increased during the Austro-Hungarian Empire in 70% of the case studies, but dropped sharply during and especially after the collapse of the Socialism (over 70% of the cases). The highest rates of abandonment occurred between 1990 and 2000. The Carpathian region experienced forest transition during the Interwar period (93% of the cases), and the forest expansion trend persisted after the collapse of Socialism (70% of the cases). In terms of the drivers, institutional and economic factors were most inﬂuential in shaping deforestation and agricultural expansion, while socio- demographics and institutional shifts were the key drivers of land abandonment. Our study highlights the drastic effects that socio-economic and institutional changes can have on land-use and land-cover change, and the value of longitudinal studies of land change to uncover these effects.</w:t>
      </w:r>
      <w:r w:rsidR="002E1749">
        <w:br w:type="page"/>
      </w:r>
    </w:p>
    <w:p w:rsidR="001725CF" w:rsidRPr="000D0F5C" w:rsidRDefault="001725CF" w:rsidP="00985271">
      <w:pPr>
        <w:spacing w:line="264" w:lineRule="auto"/>
        <w:rPr>
          <w:b/>
        </w:rPr>
      </w:pPr>
      <w:r w:rsidRPr="000D0F5C">
        <w:rPr>
          <w:b/>
        </w:rPr>
        <w:lastRenderedPageBreak/>
        <w:t>Introduction</w:t>
      </w:r>
    </w:p>
    <w:p w:rsidR="00007CCD" w:rsidRDefault="00007CCD" w:rsidP="00007CCD">
      <w:pPr>
        <w:spacing w:line="264" w:lineRule="auto"/>
      </w:pPr>
      <w:r w:rsidRPr="00007CCD">
        <w:t>Land-cover change is a main compon</w:t>
      </w:r>
      <w:r>
        <w:t>ent of global environmen</w:t>
      </w:r>
      <w:r w:rsidRPr="00007CCD">
        <w:t>tal change (Foley et al., 2005), affecting climate, biodiversity and</w:t>
      </w:r>
      <w:r>
        <w:t xml:space="preserve"> ecosystem services, which in turn, affect land-use decisions (Ojima et al., 1994). Humans have altered land cover for centuries, but recent rates of change are higher than ever (Foley et al., 2005; Goldewijk, 2001; Hansen et al., 2010). The temporal dimension of change is particularly interesting because land-use legacies may persist for centuries (Foster et al., 2003). Over long time periods though, land-use transition theories predict gradual changes, primarily as a function of demographic and economic factors (DeFries et al., 2004; Foley et al., 2005). For example, forest transition theory postulates that gradual economic and demographic change leads to agricultural specialization and reforestation of marginal lands, and deﬁnes the transition point as the time of the lowest forest cover in a given country or region (Mather, 1992; Meyfroidt and Lambin, 2011). Different regions may experience these transitions at different points in time, depending on economic, political or institutional condition (Meyfroidt and Lambin, 2011) or go through multiple transition phases (Yeo and Huang, 2013), as land systems respond to institutional and economic changes (Lambin et al., 2001). Shifts in political systems, and the related socio-economic adaptations, such as those following the collapse of the Soviet Union, greatly affect land trends (Hostert et al., 2011). The question is though ﬁrst, how land cover changes over long time periods, and how these changes vary depending on economic, institutional and social factors. Regional land change patterns are the combined result of changes at much ﬁner scale, that are driven by complex economic, policy and institutional, demographic and market forces (Lambin and Meyfroidt, 2010; Verburg et al., 2009). These localized changes, in turn, are constrained by interacting broad- and local-scale driving forces, especially in crisis situations (Cioroianu, 2007). While, the local-scale drivers of land-use change can be understood from case-studies (Foley et al., 2005), the variation of these drivers across regions can only be understood from a broader perspective.</w:t>
      </w:r>
    </w:p>
    <w:p w:rsidR="00007CCD" w:rsidRDefault="00007CCD" w:rsidP="00007CCD">
      <w:pPr>
        <w:spacing w:line="264" w:lineRule="auto"/>
      </w:pPr>
      <w:r>
        <w:t>Capturing land change under successive distinct economic periods and documenting change processes over large areas and long time periods (e.g., centuries) is often impossible due to the lack of consistent, broad-scale and long-term data. When that is the case, a meta-analysis can be a valuable tool for synthesizing knowledge and extracting broader scale patterns and drivers of change (Poteete and Ostrom, 2008; Rudel, 2008). Meta-analyses have been applied to assess, for example, long-term urban growth across the globe (Seto et al., 2011), desertiﬁcation (Geist and Lambin, 2004), deforestation (Geist and Lambin, 2002), and tropical agriculture (Keys and McConnell, 2005). In regard to forest change, such a meta- analysis showed that tropical deforestation is a result of interacting proximate causes and underlying driving forces, which vary geographically and with historical context (Geist and Lambin, 2002). Another meta-analysis focusing on forest cover in Mexico showed that cattle ranching and outmigration cause deforestation in low- land areas, while highland regions with outmigration experience forest cover increase (Rudel, 2008). Dryland degradation globally has been attributed to the combined effects of climate, economies and institutions which drive cropland expansion, overgrazing and infrastructure development (Geist and Lambin, 2004). In Central Eastern Europe, Kozak (2010) analyzed land change across a number of local case studies to describe forest transition in the Polish Carpathian Mountains as occurring between the two World Wars (WW). However, while most meta-analyses examined broad spatial extents and explain spatial variation, their temporal scale has been limited to decades, which limits the ability to isolate effects and legacies of major socio-economic shifts across time and space. Fur- thermore, most meta-analyses of land change processes included only case studies that were published in English (Geist and Lambin, 2004; McConnell and Keys, 2005; Seto et al., 2011), thus not including local research and knowledge.</w:t>
      </w:r>
    </w:p>
    <w:p w:rsidR="00007CCD" w:rsidRDefault="00007CCD" w:rsidP="00007CCD">
      <w:pPr>
        <w:spacing w:line="264" w:lineRule="auto"/>
      </w:pPr>
      <w:r>
        <w:t>Broad scale, long term comparative studies across countries of Eastern Europe are still lacking (Björnsen-Gurung et al., 2009), despite the availability of a high number of local, regionally published studies. Given its long land-use history and multiple social, political and economic shocks, the Carpathian region represents a “natural experiment” (Gehlbach and Malesky, 2010) to examine long-term land-use change and to develop a broader synthesis of land-use histories.</w:t>
      </w:r>
    </w:p>
    <w:p w:rsidR="00007CCD" w:rsidRDefault="00007CCD" w:rsidP="00007CCD">
      <w:pPr>
        <w:spacing w:line="264" w:lineRule="auto"/>
      </w:pPr>
      <w:r>
        <w:t>Our overall goal was to identify and quantify broad-scale and long-term land change patterns and processes during times of shocks, and the main driving forces of these changes. To do so, we conducted a meta-analysis of historical land change studies for the Carpathian region, reaching as far back as 1790s.</w:t>
      </w:r>
    </w:p>
    <w:p w:rsidR="00007CCD" w:rsidRDefault="00007CCD" w:rsidP="00007CCD">
      <w:pPr>
        <w:spacing w:line="264" w:lineRule="auto"/>
      </w:pPr>
      <w:r>
        <w:t>Speciﬁcally, our objectives were to:</w:t>
      </w:r>
    </w:p>
    <w:p w:rsidR="00007CCD" w:rsidRDefault="00007CCD" w:rsidP="00007CCD">
      <w:pPr>
        <w:spacing w:line="264" w:lineRule="auto"/>
      </w:pPr>
    </w:p>
    <w:p w:rsidR="00007CCD" w:rsidRDefault="00007CCD" w:rsidP="00007CCD">
      <w:pPr>
        <w:spacing w:line="264" w:lineRule="auto"/>
        <w:ind w:left="705" w:hanging="705"/>
      </w:pPr>
      <w:r>
        <w:t>(1)</w:t>
      </w:r>
      <w:r>
        <w:tab/>
        <w:t>Assess and quantify the main forest and agricultural changes in the Carpathian region for politically and economically distinct time periods over the past 250 years;</w:t>
      </w:r>
    </w:p>
    <w:p w:rsidR="00007CCD" w:rsidRDefault="00007CCD" w:rsidP="00007CCD">
      <w:pPr>
        <w:spacing w:line="264" w:lineRule="auto"/>
      </w:pPr>
      <w:r>
        <w:t>(2)</w:t>
      </w:r>
      <w:r>
        <w:tab/>
        <w:t>Assess the heterogeneity of the local-scale studies across the region;</w:t>
      </w:r>
    </w:p>
    <w:p w:rsidR="00007CCD" w:rsidRPr="000D0F5C" w:rsidRDefault="00007CCD" w:rsidP="00340290">
      <w:pPr>
        <w:spacing w:line="264" w:lineRule="auto"/>
        <w:ind w:left="705" w:hanging="705"/>
      </w:pPr>
      <w:r>
        <w:t>(3)</w:t>
      </w:r>
      <w:r>
        <w:tab/>
        <w:t>Identify the main drivers of long-term land-use change and the impact of major socio-economic shocks on forest and agricultural change.</w:t>
      </w:r>
    </w:p>
    <w:p w:rsidR="00007CCD" w:rsidRDefault="00007CCD" w:rsidP="00985271">
      <w:pPr>
        <w:spacing w:line="264" w:lineRule="auto"/>
        <w:rPr>
          <w:b/>
        </w:rPr>
      </w:pPr>
    </w:p>
    <w:p w:rsidR="0001635E" w:rsidRDefault="0001635E" w:rsidP="00985271">
      <w:pPr>
        <w:spacing w:line="264" w:lineRule="auto"/>
        <w:rPr>
          <w:b/>
        </w:rPr>
      </w:pPr>
      <w:r w:rsidRPr="0001635E">
        <w:rPr>
          <w:b/>
        </w:rPr>
        <w:t>Methods</w:t>
      </w:r>
    </w:p>
    <w:p w:rsidR="0001635E" w:rsidRDefault="0001635E" w:rsidP="00985271">
      <w:pPr>
        <w:spacing w:line="264" w:lineRule="auto"/>
        <w:rPr>
          <w:b/>
        </w:rPr>
      </w:pPr>
    </w:p>
    <w:p w:rsidR="0001635E" w:rsidRDefault="0001635E" w:rsidP="00985271">
      <w:pPr>
        <w:spacing w:line="264" w:lineRule="auto"/>
        <w:rPr>
          <w:b/>
        </w:rPr>
      </w:pPr>
      <w:r w:rsidRPr="0001635E">
        <w:rPr>
          <w:b/>
        </w:rPr>
        <w:t>Study area</w:t>
      </w:r>
    </w:p>
    <w:p w:rsidR="0001635E" w:rsidRDefault="0001635E" w:rsidP="0001635E">
      <w:pPr>
        <w:spacing w:line="264" w:lineRule="auto"/>
      </w:pPr>
      <w:r>
        <w:t>We studied the 350,000 km2 Carpathian region in Eastern Europe, which comprises two major eco-regions: the Carpathian Mountains and the Pannonian Plains. The study area includes parts of the Czech Republic, Poland, Ukraine and Romania, and all of Hungary and Slovakia (Fig. 1), has a temperate climate, and landscapes consisting mostly of a mosaic of forests, pastures, and agricultural ﬁelds. The region harbors some of the largest contiguous temperate forests in Europe (Knorn et al., 2009; Kuemmerle et al., 2007) alongside high nature conservation value farmland (Paracchini et al., 2008). The Pannonian plains also represent one of the most fertile regions in Europe (Schiller et al., 2010). The Carpathian eco-region is a global biodiversity hotspot, particularly regarding plant diversity, and harbors rare old-growth and alpine meadow ecosystems and many wildlife species of conservation concern (e.g., brown bear, wolf, lynx, European bison (Salvatori et al., 2002).</w:t>
      </w:r>
    </w:p>
    <w:p w:rsidR="000D0F5C" w:rsidRPr="000D0F5C" w:rsidRDefault="0001635E" w:rsidP="0001635E">
      <w:pPr>
        <w:spacing w:line="264" w:lineRule="auto"/>
      </w:pPr>
      <w:r>
        <w:t>The region has a long land-use history, with centuries of agricultural and forest land use being inﬂuenced by changes in political, economic and demographic dynamics (Verburg et al., 2009). Land-cover changes during recent decades (since 1980s), have been captured by remote sensing analyses of the entire region, and showed overall increases in forest cover and agricultural abandonment (Grifﬁths et al., 2014; Kuemmerle et al., 2008). However, our understanding of long-term land-use trends remains scattered across numerous local-scale case-studies dispersed across the region (e.g., Feranec and Ot’ahel, 2009; Kaim, 2009; Ostaﬁn, 2009) and a synthesis of these studies is lacking.</w:t>
      </w:r>
    </w:p>
    <w:p w:rsidR="007164FF" w:rsidRDefault="007164FF" w:rsidP="00985271">
      <w:pPr>
        <w:spacing w:line="264" w:lineRule="auto"/>
        <w:rPr>
          <w:b/>
        </w:rPr>
      </w:pPr>
      <w:r w:rsidRPr="007164FF">
        <w:rPr>
          <w:b/>
        </w:rPr>
        <w:t>Theoretical land change predictions</w:t>
      </w:r>
    </w:p>
    <w:p w:rsidR="007164FF" w:rsidRDefault="007164FF" w:rsidP="007164FF">
      <w:pPr>
        <w:spacing w:line="264" w:lineRule="auto"/>
      </w:pPr>
      <w:r w:rsidRPr="007164FF">
        <w:t>In order to understand land-use trends in the region, we examined agricultural and forest change during ﬁve historical periods with distinctive socio-economic, political, technological and cultural characteristics, that were demarcated by several large-scale shocks: (1) the Habsburg and Austro-Hungarian Empires (K.u.K. Monarchy), a time of agricultural modernization and the beginning of the industrial revolution, which ended with World War I (WW I), (2) the Interwar period, characterized by the emergence of several nation-states, industrialization and intensiﬁcation up to World War II (WW II), (3) the Socialist period,</w:t>
      </w:r>
      <w:r>
        <w:t xml:space="preserve"> deﬁned by intensiﬁcation, centrally planned economies and land reforms leading to nationalization and collectivization, which ended around 1990 in the Carpathian countries, (4) the Transition when countries established market economies and land reforms took place, which lasted roughly until 2000, and lastly (5) the Accession of most countries to the EU in either 2004 and 2007 (except Ukraine), a period inﬂuenced by EU’s trade, agricultural, and economic policies. We considered this last time period to start in 2000 because that is when most countries already adjusted their regulations and legislation according to European standards.</w:t>
      </w:r>
    </w:p>
    <w:p w:rsidR="007164FF" w:rsidRDefault="007164FF" w:rsidP="00985271">
      <w:pPr>
        <w:spacing w:line="264" w:lineRule="auto"/>
      </w:pPr>
      <w:r>
        <w:t>We formulated a set of expected land change trends for each period, based on overall socio-economic and technological trends during the respective time periods. Speciﬁcally, we predicted that the expansion of the Austro-Hungarian Empire, and the industrial revolution, led to homogenization and specialization of land use practices  (Bic</w:t>
      </w:r>
      <w:r>
        <w:rPr>
          <w:rFonts w:cs="Times New Roman"/>
        </w:rPr>
        <w:t>̌</w:t>
      </w:r>
      <w:r>
        <w:t>ík et al., 2001), manifested as an increase in agricultural lands and a decrease in forest cover up to WW II. Under socialism, natural resource use intensiﬁed (Cioroianu, 2007), and we hypothesized that agricultural expansion, intensiﬁcation and in some countries collectivization, led to an increase of agricultural land, especially in lowland areas, while abandonment of marginal lands allowed for forest recovery. We expected that the collapse of socialism, followed by the changes in ownership structure and the establishment of market economies led to a decrease in agri</w:t>
      </w:r>
      <w:r w:rsidRPr="007164FF">
        <w:t>cultural lands due to abandonment and forest re-growth during</w:t>
      </w:r>
      <w:r>
        <w:t xml:space="preserve"> </w:t>
      </w:r>
      <w:r w:rsidRPr="007164FF">
        <w:t>the Transition period (Baumann et al., 2011; Kuemmerle et al., 2009a,b; Prishchepov et al., 2013). We also expected that the effects of the EU macro-economic policies would result in the increase of agricultural lands due to subsidies (Björnsen-Gurung et al., 2009) and continued forest transition (Lambin and Meyfroidt, 2010). We hypothesized thus increases in both agricultural lands (</w:t>
      </w:r>
      <w:r>
        <w:t>over pre</w:t>
      </w:r>
      <w:r w:rsidRPr="007164FF">
        <w:t>viously abandoned ﬁelds) and forest cover after 2000 (Csaki and Jambor, 2009). For a summary of these expected trends, see Table 1.</w:t>
      </w:r>
    </w:p>
    <w:p w:rsidR="007164FF" w:rsidRDefault="007164FF" w:rsidP="00985271">
      <w:pPr>
        <w:spacing w:line="264" w:lineRule="auto"/>
      </w:pPr>
    </w:p>
    <w:p w:rsidR="00D6146C" w:rsidRDefault="00D6146C" w:rsidP="00985271">
      <w:pPr>
        <w:spacing w:line="264" w:lineRule="auto"/>
        <w:rPr>
          <w:b/>
        </w:rPr>
      </w:pPr>
      <w:r w:rsidRPr="00D6146C">
        <w:rPr>
          <w:b/>
        </w:rPr>
        <w:t>Data</w:t>
      </w:r>
    </w:p>
    <w:p w:rsidR="000D0F5C" w:rsidRPr="000D0F5C" w:rsidRDefault="00D6146C" w:rsidP="00985271">
      <w:pPr>
        <w:spacing w:line="264" w:lineRule="auto"/>
      </w:pPr>
      <w:r w:rsidRPr="00D6146C">
        <w:t>We collected case study information on forest and agricultural change both from peer-reviewed articles and gray literature. We used Google Scholar and regional</w:t>
      </w:r>
      <w:r>
        <w:t xml:space="preserve"> scientiﬁc databases using com</w:t>
      </w:r>
      <w:r w:rsidRPr="00D6146C">
        <w:t>binations of “historic”, “land-use/land-cover change”, and “maps” in English and the regional languages (Romanian, Slovakian, and Ukrainian) and complemented this information with traditional library research in the respective countries plus references from local experts in the Czech Republic, Hungary, Ukraine, Poland, Romania and Slovakia. For 85 publ</w:t>
      </w:r>
      <w:r>
        <w:t>ications, we extracted informa</w:t>
      </w:r>
      <w:r w:rsidRPr="00D6146C">
        <w:t>tion a</w:t>
      </w:r>
      <w:r>
        <w:t xml:space="preserve">bout the study area, land cover at </w:t>
      </w:r>
      <w:r w:rsidR="00791FA5">
        <w:t xml:space="preserve">different </w:t>
      </w:r>
      <w:r w:rsidRPr="00D6146C">
        <w:t>time  periods, and the main drive</w:t>
      </w:r>
      <w:r>
        <w:t>rs of change. In approximately half of the</w:t>
      </w:r>
      <w:r w:rsidRPr="00D6146C">
        <w:t xml:space="preserve"> cases, data was provided directly by authors of the paper. For the remaining publications we extracted the data using a structured form. From the total of 85 publications, we selected and analyzed those 66 papers (listed in Appendix 1) that (1) were based on spatially-explicit data (historic maps,</w:t>
      </w:r>
      <w:r>
        <w:t xml:space="preserve"> aerial photographs, and satel</w:t>
      </w:r>
      <w:r w:rsidRPr="00D6146C">
        <w:t>lite imagery) and not only statistics; (2) examined</w:t>
      </w:r>
      <w:r>
        <w:t xml:space="preserve"> land cover at </w:t>
      </w:r>
      <w:r w:rsidRPr="00D6146C">
        <w:t>least two points in time, and (3) in</w:t>
      </w:r>
      <w:r>
        <w:t xml:space="preserve">cluded spatial data regarding </w:t>
      </w:r>
      <w:r w:rsidRPr="00D6146C">
        <w:t>the study location or coordinates of the study region. We excluded papers that did not meet at least one of the three criteria (Appendix 2). We hereafter refer to a case stu</w:t>
      </w:r>
      <w:r>
        <w:t>dy as being a single geograph</w:t>
      </w:r>
      <w:r w:rsidRPr="00D6146C">
        <w:t>ical location at which either forest or agricultural (or both) land cover was reported during a give</w:t>
      </w:r>
      <w:r>
        <w:t>n time period. Some papers con</w:t>
      </w:r>
      <w:r w:rsidRPr="00D6146C">
        <w:t>tained several case studies, reporting land-cover change in multiple locations. We did not include in our meta-analysis recent broad- scale remote sensing land change studies based on Landsat data (Alcantara et al., 2012; Baumann et al., 2011; Grifﬁths et al., 2014; Knorn et</w:t>
      </w:r>
      <w:r>
        <w:t xml:space="preserve"> al., 2012, 2009; Kuemmerle et al.,</w:t>
      </w:r>
      <w:r w:rsidRPr="00D6146C">
        <w:t xml:space="preserve"> 2011, </w:t>
      </w:r>
      <w:r>
        <w:t>2009a, 2008,</w:t>
      </w:r>
      <w:r w:rsidRPr="00D6146C">
        <w:t xml:space="preserve"> 2007; Prishc</w:t>
      </w:r>
      <w:r>
        <w:t>hepov et al., 2012), due to their signiﬁcantly differ</w:t>
      </w:r>
      <w:r w:rsidRPr="00D6146C">
        <w:t xml:space="preserve">ent spatial extent, frequent overlap among studies, and generally short duration, but we considered them in the discussion of change drivers. In sum, the 66 papers contained a total of 102 case study locations, for which change rates were calculated for one or more time-periods (Fig. 1 and Table 1). </w:t>
      </w:r>
      <w:r>
        <w:t>The spatial extent of the indi</w:t>
      </w:r>
      <w:r w:rsidRPr="00D6146C">
        <w:t xml:space="preserve">vidual studies spans from 240 ha (Wolski, 2001) to over 2 million hectares (Grekov, 2002), with the median at 12,500 ha </w:t>
      </w:r>
      <w:r>
        <w:t xml:space="preserve">(Fig. 1b). On </w:t>
      </w:r>
      <w:r w:rsidRPr="00D6146C">
        <w:t>a temporal scale, the shortest time p</w:t>
      </w:r>
      <w:r>
        <w:t>eriod covered by all case stud</w:t>
      </w:r>
      <w:r w:rsidRPr="00D6146C">
        <w:t>ies at a single location was 10 years (Grekov, 2002), and the longe</w:t>
      </w:r>
      <w:r>
        <w:t>st 238 years (Mojses and Boltiz</w:t>
      </w:r>
      <w:r>
        <w:rPr>
          <w:rFonts w:cs="Times New Roman"/>
        </w:rPr>
        <w:t>̌</w:t>
      </w:r>
      <w:r w:rsidRPr="00D6146C">
        <w:t>iar, 2011). The mean time covered was 105 years.</w:t>
      </w:r>
    </w:p>
    <w:p w:rsidR="00D6146C" w:rsidRDefault="00D6146C" w:rsidP="00985271">
      <w:pPr>
        <w:spacing w:line="264" w:lineRule="auto"/>
        <w:rPr>
          <w:b/>
        </w:rPr>
      </w:pPr>
    </w:p>
    <w:p w:rsidR="00D6146C" w:rsidRDefault="00D6146C" w:rsidP="00985271">
      <w:pPr>
        <w:spacing w:line="264" w:lineRule="auto"/>
        <w:rPr>
          <w:b/>
        </w:rPr>
      </w:pPr>
      <w:r w:rsidRPr="00D6146C">
        <w:rPr>
          <w:b/>
        </w:rPr>
        <w:t>Analysis</w:t>
      </w:r>
    </w:p>
    <w:p w:rsidR="00D6146C" w:rsidRDefault="00D6146C" w:rsidP="00D6146C">
      <w:pPr>
        <w:spacing w:line="264" w:lineRule="auto"/>
      </w:pPr>
      <w:r>
        <w:t>We developed a common land-cover class catalog, which was applied to all studies. In most instances, this necessitated the aggregation of classes (e.g., ‘permanent’ and ‘seasonal crops’ were combined into ‘agriculture’). The ﬁnal product was land-cover data for ‘forest’, ‘agriculture’ and ‘other’ land covers. We calculated the annual rate of change for each land-cover class following the model of FAO forest change assessments (</w:t>
      </w:r>
      <w:r w:rsidR="001D3426">
        <w:t>Pandey, 1995) which uses a for</w:t>
      </w:r>
      <w:r>
        <w:t>mula based on the compound interest law in order to compare among sites (Puyravaud, 2003):</w:t>
      </w:r>
    </w:p>
    <w:p w:rsidR="001D3426" w:rsidRDefault="001D3426" w:rsidP="00D6146C">
      <w:pPr>
        <w:spacing w:line="264" w:lineRule="auto"/>
      </w:pPr>
    </w:p>
    <w:p w:rsidR="00D6146C" w:rsidRPr="003A4A5F" w:rsidRDefault="003A4A5F" w:rsidP="003A4A5F">
      <w:pPr>
        <w:spacing w:line="264" w:lineRule="auto"/>
      </w:pPr>
      <w:r w:rsidRPr="003A4A5F">
        <w:t>Ann</w:t>
      </w:r>
      <w:r w:rsidRPr="00AE2319">
        <w:rPr>
          <w:vertAlign w:val="subscript"/>
        </w:rPr>
        <w:t>change</w:t>
      </w:r>
      <w:r w:rsidRPr="003A4A5F">
        <w:t xml:space="preserve"> =  </w:t>
      </w:r>
      <w:r>
        <w:t>(</w:t>
      </w:r>
      <w:r w:rsidRPr="003A4A5F">
        <w:t>A2</w:t>
      </w:r>
      <w:r>
        <w:t>/</w:t>
      </w:r>
      <w:r w:rsidRPr="003A4A5F">
        <w:t>A1</w:t>
      </w:r>
      <w:r>
        <w:t>)</w:t>
      </w:r>
      <w:r w:rsidRPr="003A4A5F">
        <w:rPr>
          <w:vertAlign w:val="superscript"/>
        </w:rPr>
        <w:t xml:space="preserve"> 1/(t2−t1</w:t>
      </w:r>
      <w:r>
        <w:rPr>
          <w:vertAlign w:val="superscript"/>
        </w:rPr>
        <w:t>)</w:t>
      </w:r>
      <w:r>
        <w:t xml:space="preserve"> </w:t>
      </w:r>
      <w:r w:rsidRPr="003A4A5F">
        <w:t>− 1</w:t>
      </w:r>
    </w:p>
    <w:p w:rsidR="001D3426" w:rsidRDefault="001D3426" w:rsidP="001D3426">
      <w:pPr>
        <w:spacing w:line="264" w:lineRule="auto"/>
      </w:pPr>
      <w:r>
        <w:t>A1 and A2 represent the area of land cover of interest (forest or agriculture land) at the times t1 and t2. When a case study reported multiple rates within one of the ﬁve analyzed time-periods, we calculated weighted averages. Studies that reported a single rate of change across multiple time periods were mapped using a different symbol, as these depict change only between the beginning and end of the ﬁrst and last period, missing variation within the selected time window. We deﬁned change rates between 0.1% change/year as ‘stable’ land use. Centroids were digitized to represent the location of each study and rates of change were calculated for each study and time period under investigation (Fig. 1).</w:t>
      </w:r>
    </w:p>
    <w:p w:rsidR="001D3426" w:rsidRDefault="001D3426" w:rsidP="001D3426">
      <w:pPr>
        <w:spacing w:line="264" w:lineRule="auto"/>
      </w:pPr>
      <w:r>
        <w:t>To identify the main drivers, we conducted a qualitative review, categorizing the major types of driving forces as suggested by Geist and Lambin (2004) and Bürgi et al. (2005): institutional, economic, social-demographic, cultural, and climatic. Because our analysis only captured changes in land cover and not in land-use intensity, technological drivers, such as the introduction of fertilizers, or mechanization, which would mostly lead to increased yields or crop rotation, where considered jointly with the economic factors. For each case study, we identiﬁed the two most important drivers of change as described by paper authors and regional experts. We counted the number studies that mentioned each driver and qualitatively reviewed each driver across case-studies and the four land change processes of interest (deforestation, reforestation, agricultural expansion, and agricultural abandonment).</w:t>
      </w:r>
    </w:p>
    <w:p w:rsidR="001D3426" w:rsidRDefault="001D3426" w:rsidP="00985271">
      <w:pPr>
        <w:spacing w:line="264" w:lineRule="auto"/>
        <w:rPr>
          <w:b/>
        </w:rPr>
      </w:pPr>
    </w:p>
    <w:p w:rsidR="001D3426" w:rsidRDefault="001D3426" w:rsidP="00985271">
      <w:pPr>
        <w:spacing w:line="264" w:lineRule="auto"/>
        <w:rPr>
          <w:b/>
        </w:rPr>
      </w:pPr>
      <w:r w:rsidRPr="001D3426">
        <w:rPr>
          <w:b/>
        </w:rPr>
        <w:t>Case study representativeness and robustness check</w:t>
      </w:r>
    </w:p>
    <w:p w:rsidR="001D3426" w:rsidRDefault="001D3426" w:rsidP="001D3426">
      <w:pPr>
        <w:spacing w:line="264" w:lineRule="auto"/>
      </w:pPr>
      <w:r>
        <w:t>The case studies ranged widely in extent (240 ha to 2.1 million ha) and duration (from 2 to 180 years). We tested for correlation between the absolute values of the annual rate of change and (a) the size of study area, (b) the temporal extent of the studies and (c) the percentage cover at the beginning of the study, but found only weak associations (adjusted R-squares of 0.036, 0.018, and 0.033 respectively). Spatially, land change research was concentrated in the Carpathian Mountains, while lowland areas were underrepresented, except in Ukraine. The highest density of studies was in Poland and Slovakia (Fig. 1). Since 2000, case-studies on agricultural and forest change were relatively sparse due to the short time period under consideration (12 years).</w:t>
      </w:r>
    </w:p>
    <w:p w:rsidR="001D3426" w:rsidRPr="001D3426" w:rsidRDefault="001D3426" w:rsidP="001D3426">
      <w:pPr>
        <w:spacing w:line="264" w:lineRule="auto"/>
      </w:pPr>
      <w:r>
        <w:t xml:space="preserve">In order to check if case studies represented the general conditions of the respective country’s share of the study area, we examined three physical variables, mean elevation, mean slope, and dominant soil type, for each case study and compared mean values of the case-studies with the mean of country’s share of the study area. We found that the dominant soil across all countries was Cambisol, as was the case for most of the case-studies, except in Hungary where Luvisols and Fluvisols were overrepresented (Fig. 2). In terms of slope and elevation, case studies in the Czech Republic, Slovakia and Ukraine studies represented their country’s physical conditions well. In Poland and Romania, many studies were carried out at </w:t>
      </w:r>
      <w:r w:rsidRPr="001D3426">
        <w:t>higher-than-average elevations and slopes, but the means for the country’s share of the study area fall close to the 1st quartile of the case studies distribution in all cases (Fig. 2).</w:t>
      </w:r>
    </w:p>
    <w:p w:rsidR="001D3426" w:rsidRDefault="001D3426" w:rsidP="00985271">
      <w:pPr>
        <w:spacing w:line="264" w:lineRule="auto"/>
        <w:rPr>
          <w:b/>
        </w:rPr>
      </w:pPr>
    </w:p>
    <w:p w:rsidR="001D3426" w:rsidRDefault="001D3426" w:rsidP="00985271">
      <w:pPr>
        <w:spacing w:line="264" w:lineRule="auto"/>
        <w:rPr>
          <w:b/>
        </w:rPr>
      </w:pPr>
      <w:r w:rsidRPr="001D3426">
        <w:rPr>
          <w:b/>
        </w:rPr>
        <w:t>Results</w:t>
      </w:r>
    </w:p>
    <w:p w:rsidR="001D3426" w:rsidRDefault="001D3426" w:rsidP="001D3426">
      <w:pPr>
        <w:spacing w:line="264" w:lineRule="auto"/>
      </w:pPr>
      <w:r>
        <w:t>Forest cover increase was the most common land-cover change over the past 250 years in the majority of studies. Among the time periods, we found the highest proportion of case studies reporting decreases in forest cover during the K.u.K. Monarchy (over 22% of studies). However, even during this period, stable forest cover was the most common pattern (mean annual change +0.08%). Forest cover increased during all other periods, especially during the Transition and EU period (mean annual change +1.07% and +0.89%). In the Interwar period, 92% of studies reported stable or increasing forest cover (mean annual change 0.35%, Fig. 3). A high proportion of studies reported forest cover increase (65%) for the Socialist period, in particular in the northern part of the Carpathians (annual mean 0.33%), followed by continuing increasing forest cover during Transition and EU accession periods (73% and 72% respectively). After 2000, forest cover increased (annual mean 0.89%), but in Romania we found high rates of forest cover loss (Figs. 3 and 4).</w:t>
      </w:r>
    </w:p>
    <w:p w:rsidR="001D3426" w:rsidRDefault="001D3426" w:rsidP="001D3426">
      <w:pPr>
        <w:spacing w:line="264" w:lineRule="auto"/>
      </w:pPr>
      <w:r>
        <w:t>Agricultural change was generally complementary to forest change, where forests increased, agriculture decreased, and vice versa. However, during the K.u.K Monarchy period, agriculture increased (70% of studies, mean annual increase of 0.12%), while forest cover was mostly stable (45% of studies), indicating agricultural expansion into other land covers (Figs. 3 and 5). The mean annual change of agricultural land during the Interwar period was 1.28%, despite relatively stable agricultural cover (55% of studies, 0.1% annual change) reported in most studies. After 1945, most studies (&gt;75%) reported a decrease of agricultural land-cover. During the Transition and EU accession periods, there were substantial decreases in agricultural cover (mean annual change of 1.61% and 1.20% respectively). Across time periods, the proportion of studies documenting loss of agricultural land increased constantly until 2000, but dropped slightly after the EU accession (Fig. 3).</w:t>
      </w:r>
    </w:p>
    <w:p w:rsidR="001D3426" w:rsidRDefault="001D3426" w:rsidP="001D3426">
      <w:pPr>
        <w:spacing w:line="264" w:lineRule="auto"/>
      </w:pPr>
      <w:r>
        <w:t>There were interesting regional patterns of change though: forest decreased during the K.u.K. Monarchy in the Romanian, Ukrainian, and Slovakian Carpathians, while it increased in the Polish Carpathians, and was stable in the Czech Republic ( 0.1% annual change). During the Interwar period the majority of the forest change case-studies (48%) reported stable or increasing (44%) forest cover (&gt;0.1% annual change) but most of them were in Slovakia, and Poland, while cases of forest loss occurred in Hungary, Romania and Slovakia. Thus, across the region, forest transition occurred during the Interwar period, though we caution that pat- terns at elevations over 1000 m in Ukraine and Romania were different (Shandra et al., 2013). The most rapid forest increase during the Socialist period occurred in the border region between Poland, Ukraine, and Slovakia (Fig. 4), while deforestation occurred in lowland areas (e.g., Hungary) as well as in the mining district of central Slovakia. After 1990, forest cover increased across Poland, Slovakia, Czech Republic and Hungary, but there were still cases of forest loss in the Eastern Romanian Carpathians and southwestern Slovakia.</w:t>
      </w:r>
    </w:p>
    <w:p w:rsidR="001D3426" w:rsidRDefault="001D3426" w:rsidP="001D3426">
      <w:pPr>
        <w:spacing w:line="264" w:lineRule="auto"/>
      </w:pPr>
      <w:r>
        <w:t>Agricultural change varied regionally: during the K.u.K. Monarchy, agriculture expanded mostly in the lowlands of Hungary, Czech Republic, and Ukraine, concurrent with forest loss, while agriculture decreased in the mountains of Slovakia and Poland. In the Interwar period agricultural land use peaked in parts of Hungary and southwest Slovakia, while agriculture declined in parts of the Polish Carpathians and northern Slovakia. During the Socialist time period, low but positive annual rates of agricultural expansion occurred in Romania and southeast of Hungary. In Slovakia and the Czech Republic, agriculture decreased slowly, whereas in Poland, agricultural land decreased by up to 5% per year (Wos</w:t>
      </w:r>
      <w:r>
        <w:rPr>
          <w:rFonts w:cs="Times New Roman"/>
        </w:rPr>
        <w:t>́</w:t>
      </w:r>
      <w:r>
        <w:t>, 2005). Since 1990s, agricultural decrease was least pronounced in the lowlands of Hungary, Ukraine, and the Czech Republic. In mountain areas, lower abandonment rates were reported in Ukraine, contrasting with higher rates for Romania and Slovakia (Fig. 5). Since 2000 agriculture declined in 69% of the studies, but we caution that there are only few studies for this period.</w:t>
      </w:r>
    </w:p>
    <w:p w:rsidR="001D3426" w:rsidRPr="001D3426" w:rsidRDefault="001D3426" w:rsidP="001D3426">
      <w:pPr>
        <w:spacing w:line="264" w:lineRule="auto"/>
      </w:pPr>
      <w:r>
        <w:t>Our analysis of the main drivers of land change examined the number of times at least one of the selected drivers of change (institutional, economic, socio-demographic, cultural, and climatic) was deemed important by the case-study authors and collaborators for each of the change processes. We found that institutional and economic factors were the most important drivers of agricultural expansion and deforestation, jointly accounting for more than 75% and 65% respectively of the case studies. This class of drivers also included the technological developments that led to agricultural intensiﬁcation and support forest transition, but our focus on land-cover areas did not allow to examine technological drivers in detail. In contrast, socio-demographic factors like migration or sector employment were more important for agricultural abandonment (42% of cases) and forest succession (36% of cases, Fig. 6). Physical factors were also mentioned as drivers of change, for example climate supported forest succession on abandoned mountain pastures, where the timberline shifted to higher altitudes (Mihai et al., 2006; Shandra et al., 2013). Overall, abandonment of agriculture was largely driven by socio-demographic (42%) and institutional (31%) factors, with the economy playing a less important role (24%) (Fig. 6).</w:t>
      </w:r>
    </w:p>
    <w:p w:rsidR="001D3426" w:rsidRDefault="001D3426" w:rsidP="00985271">
      <w:pPr>
        <w:spacing w:line="264" w:lineRule="auto"/>
        <w:rPr>
          <w:b/>
        </w:rPr>
      </w:pPr>
    </w:p>
    <w:p w:rsidR="00921881" w:rsidRDefault="00921881" w:rsidP="00985271">
      <w:pPr>
        <w:spacing w:line="264" w:lineRule="auto"/>
        <w:rPr>
          <w:b/>
        </w:rPr>
      </w:pPr>
      <w:r w:rsidRPr="00921881">
        <w:rPr>
          <w:b/>
        </w:rPr>
        <w:t>Discussion</w:t>
      </w:r>
    </w:p>
    <w:p w:rsidR="00921881" w:rsidRDefault="00921881" w:rsidP="00985271">
      <w:pPr>
        <w:spacing w:line="264" w:lineRule="auto"/>
      </w:pPr>
      <w:r w:rsidRPr="00921881">
        <w:t xml:space="preserve">We identiﬁed temporal and spatial patterns of land-cover change and their driving forces </w:t>
      </w:r>
      <w:r w:rsidR="00C62FE8">
        <w:t>over the last 250 years across</w:t>
      </w:r>
      <w:r w:rsidRPr="00921881">
        <w:t xml:space="preserve"> the Carpathian Basin. Our results showed that forest change was closely related to agricultural dynamics and that rates and patterns of change were heterogeneous among politically distinct time periods, and varied regionally. Deforestation was less widespread than we had expected, and the observed changes differed from our expectations in particular during the</w:t>
      </w:r>
      <w:r w:rsidR="00C62FE8">
        <w:t xml:space="preserve"> K.u.K. Monarchy </w:t>
      </w:r>
      <w:r w:rsidRPr="00921881">
        <w:t>and</w:t>
      </w:r>
      <w:r w:rsidR="00C62FE8">
        <w:t xml:space="preserve"> </w:t>
      </w:r>
      <w:r w:rsidRPr="00921881">
        <w:t xml:space="preserve">Interwar periods. Between WW I and WW II, forest cover decrease stopped across the region. Our ﬁndings are concurrent with other studies (Kozak, 2003; Kuemmerle </w:t>
      </w:r>
      <w:r w:rsidR="00C62FE8">
        <w:t xml:space="preserve">et al., 2011), indicating that </w:t>
      </w:r>
      <w:r w:rsidRPr="00921881">
        <w:t>the region as a whole experienced a forest transition during the Interwar period, despite regional differences (Shandra et al., 2013). After WW II, the observed forest cover increase was in line with our expectations (Table 2). While agricultural abandonment was widespread throughout the 20th century, increase in agricultural cover occurred only during the K.u.K. Monarchy. Contrary to our</w:t>
      </w:r>
      <w:r w:rsidR="00C62FE8">
        <w:t xml:space="preserve"> </w:t>
      </w:r>
      <w:r w:rsidRPr="00921881">
        <w:t>expectations, agricultural abandonment started early, being a prominent process across the region already during the Interwar and Socialist periods. However, abandonment rates increased after the collapse of the Socialism. In general, forest and agricultural dynamics were complementary, but there were exceptions to this rule due to rapid urban or grassland-related land-cover changes. Agricultural expansion and def</w:t>
      </w:r>
      <w:r w:rsidR="00C62FE8">
        <w:t xml:space="preserve">orestation were mostly driven </w:t>
      </w:r>
      <w:r w:rsidRPr="00921881">
        <w:t>by economic and political events, while land abandonment and reforestation were mostly driven by socio-demographic factors.</w:t>
      </w:r>
    </w:p>
    <w:p w:rsidR="00921881" w:rsidRDefault="00921881" w:rsidP="00921881">
      <w:pPr>
        <w:spacing w:line="264" w:lineRule="auto"/>
      </w:pPr>
      <w:r>
        <w:t>Our analysis highlighted regional variation in land change pattern</w:t>
      </w:r>
      <w:r w:rsidR="00C62FE8">
        <w:t xml:space="preserve">s, and in the major drivers of </w:t>
      </w:r>
      <w:r>
        <w:t>chan</w:t>
      </w:r>
      <w:r w:rsidR="00C62FE8">
        <w:t>ge across the</w:t>
      </w:r>
      <w:r>
        <w:t xml:space="preserve"> study area. We primarily focused on p</w:t>
      </w:r>
      <w:r w:rsidR="00C62FE8">
        <w:t>atterns of two broad scale pro</w:t>
      </w:r>
      <w:r>
        <w:t>cesses: deforestation followed by agricultural expansion and forest cover increase, related to agricul</w:t>
      </w:r>
      <w:r w:rsidR="00C62FE8">
        <w:t>tural abandonment. The rise of</w:t>
      </w:r>
      <w:r>
        <w:t xml:space="preserve"> the Habsburg Empire and Austro-Hungarian Monarchy, which brought German settlers to the Ca</w:t>
      </w:r>
      <w:r w:rsidR="00C62FE8">
        <w:t>rpathian region, and the indus</w:t>
      </w:r>
      <w:r>
        <w:t>trial revolution of the 19th century, caused signiﬁcant population growth, increasing demands for agricultural products (Vepryk, 2002). Deforestation for agricultural de</w:t>
      </w:r>
      <w:r w:rsidR="00C62FE8">
        <w:t>velopment was both an economic and a cultural process (Boltiz</w:t>
      </w:r>
      <w:r w:rsidR="00C62FE8">
        <w:rPr>
          <w:rFonts w:cs="Times New Roman"/>
        </w:rPr>
        <w:t>̌</w:t>
      </w:r>
      <w:r w:rsidR="00C62FE8">
        <w:t>iar and Chrastina, 2006; Mojses and Boltiz</w:t>
      </w:r>
      <w:r w:rsidR="00C62FE8">
        <w:rPr>
          <w:rFonts w:cs="Times New Roman"/>
        </w:rPr>
        <w:t>̌</w:t>
      </w:r>
      <w:r>
        <w:t>iar, 2011; Skokanová e</w:t>
      </w:r>
      <w:r w:rsidR="00C62FE8">
        <w:t>t al., 2012), and as such, pat</w:t>
      </w:r>
      <w:r>
        <w:t xml:space="preserve">terns of deforestation varied by land ownership. While Ukrainian smallholders cleared forest </w:t>
      </w:r>
      <w:r w:rsidR="00C62FE8">
        <w:t>patches for agricultural use in low-</w:t>
      </w:r>
      <w:r>
        <w:t>land areas, large landowners did not deforest, but replaced mixed forest stands with spruce plantations for pulp production at high elevations (Vepryk, 2001). While forest clearing for agriculture was common (Chra</w:t>
      </w:r>
      <w:r w:rsidR="00C62FE8">
        <w:t>stina and Boltiz</w:t>
      </w:r>
      <w:r w:rsidR="00C62FE8">
        <w:rPr>
          <w:rFonts w:cs="Times New Roman"/>
        </w:rPr>
        <w:t>̌</w:t>
      </w:r>
      <w:r>
        <w:t>i</w:t>
      </w:r>
      <w:r w:rsidR="00C62FE8">
        <w:t xml:space="preserve">ar, 2010; Konkoly-Gyuró et al., </w:t>
      </w:r>
      <w:r>
        <w:t>2011; Vepryk, 2002), deforestation was also related to expanding grassland and urban cover. For example, on Ukrainian mountain meadows, livestock farming increased partly due to Hungarian and Czech investment up to WWII, lowering the timberline (Sitko and Troll, 2008). In the Northern Romanian Carpathians, net forest cover decreased at timberline since 1880s, but generally net forest cover increased at timberline due to decline of transhumance (Shandra et al., 2013).</w:t>
      </w:r>
    </w:p>
    <w:p w:rsidR="00921881" w:rsidRDefault="00921881" w:rsidP="00921881">
      <w:pPr>
        <w:spacing w:line="264" w:lineRule="auto"/>
      </w:pPr>
      <w:r>
        <w:t>Similarly, economic growth led to the drainage of wetlands for agriculture in Hungary (Biró et al., 2012; Konkoly-Gyuró et al., 2011; Nagy, 2008), the Czech Rep</w:t>
      </w:r>
      <w:r w:rsidR="00C62FE8">
        <w:t xml:space="preserve">ublic, and Slovakia (Demek </w:t>
      </w:r>
      <w:r>
        <w:t>et al., 2008; Drgona, 2004; Gerard et al., 2010, 2006b; Mojses and Bezák, 2010) and to the conversion of</w:t>
      </w:r>
      <w:r w:rsidR="00C62FE8">
        <w:t xml:space="preserve"> grasslands to row crops in</w:t>
      </w:r>
      <w:r>
        <w:t xml:space="preserve"> Hungary </w:t>
      </w:r>
      <w:r w:rsidR="00C62FE8">
        <w:t>(Chrastina and Boltiz</w:t>
      </w:r>
      <w:r w:rsidR="00C62FE8">
        <w:rPr>
          <w:rFonts w:cs="Times New Roman"/>
        </w:rPr>
        <w:t>̌</w:t>
      </w:r>
      <w:r w:rsidR="00C62FE8">
        <w:t>iar, 2008), Romania (Schreiber, 2003), and the Czech Republic (Chrastina and Boltiz</w:t>
      </w:r>
      <w:r w:rsidR="00C62FE8">
        <w:rPr>
          <w:rFonts w:cs="Times New Roman"/>
        </w:rPr>
        <w:t>̌</w:t>
      </w:r>
      <w:r w:rsidR="00C62FE8">
        <w:t>iar, 2008; Havlíc</w:t>
      </w:r>
      <w:r w:rsidR="00C62FE8">
        <w:rPr>
          <w:rFonts w:cs="Times New Roman"/>
        </w:rPr>
        <w:t>̌</w:t>
      </w:r>
      <w:r w:rsidR="00C62FE8">
        <w:t xml:space="preserve">ek et al., 2011). During the Socialist time, annual </w:t>
      </w:r>
      <w:r>
        <w:t>forest cover loss was high due to the clearing of forested area of no economic value (sma</w:t>
      </w:r>
      <w:r w:rsidR="00C62FE8">
        <w:t>ll isolated patches and shrubby</w:t>
      </w:r>
      <w:r>
        <w:t xml:space="preserve"> vegetation)</w:t>
      </w:r>
      <w:r w:rsidR="00C62FE8">
        <w:t xml:space="preserve"> </w:t>
      </w:r>
      <w:r>
        <w:t xml:space="preserve">in Slovakia and the Czech </w:t>
      </w:r>
      <w:r w:rsidR="00C62FE8">
        <w:t>Republic (Demek et al., 2008; S</w:t>
      </w:r>
      <w:r w:rsidR="00C62FE8">
        <w:rPr>
          <w:rFonts w:cs="Times New Roman"/>
        </w:rPr>
        <w:t>̌</w:t>
      </w:r>
      <w:r>
        <w:t>pulerová, 2008; Stránská, 2008). Political goals of increasing agricultural production caused agricultural expansio</w:t>
      </w:r>
      <w:r w:rsidR="00C62FE8">
        <w:t>n in the Czech Republic (Demek et al., 2008; Skokanová et al., 2009; S</w:t>
      </w:r>
      <w:r w:rsidR="00C62FE8">
        <w:rPr>
          <w:rFonts w:cs="Times New Roman"/>
        </w:rPr>
        <w:t>̌</w:t>
      </w:r>
      <w:r w:rsidR="00C62FE8">
        <w:t>tych, 2007).</w:t>
      </w:r>
      <w:r>
        <w:t xml:space="preserve"> There was also considerable regional variation related to agricultural expansion: in some mountain areas (e.g., parts of the Polish and Slovak Carpathians) agricultural land remained privately owned and agriculture did not expand (K</w:t>
      </w:r>
      <w:r w:rsidR="00C62FE8">
        <w:t>ozak, 2010; Mojses and Petrovic</w:t>
      </w:r>
      <w:r w:rsidR="00C62FE8">
        <w:rPr>
          <w:rFonts w:cs="Times New Roman"/>
        </w:rPr>
        <w:t>̌</w:t>
      </w:r>
      <w:r>
        <w:t>, 2013), while some agricultural expansion occurred in Romania (where 80% of the population was already employed in agriculture at the time of collectivization), and in the Great Plain of Hungary (about 50% of the population) (Kli</w:t>
      </w:r>
      <w:r w:rsidR="00C62FE8">
        <w:t>gman and Verdery, 2011). Defor</w:t>
      </w:r>
      <w:r>
        <w:t>estation between 1945 and 1990 was, however, not always related to agricultural expansion. For example, tourism and industrial development led to forest cover loss in the Southern Romanian Carpathians (Huzui et al., 2012) and the Tatra Mountains (Gerard et al., 2010, 2006a,b). Similarly, since 1990, s</w:t>
      </w:r>
      <w:r w:rsidR="00C62FE8">
        <w:t>elective logging for household needs, illegal harvesting, and</w:t>
      </w:r>
      <w:r>
        <w:t xml:space="preserve"> larg</w:t>
      </w:r>
      <w:r w:rsidR="00C62FE8">
        <w:t xml:space="preserve">e scale clear-cuts </w:t>
      </w:r>
      <w:r>
        <w:t>due to loopholes in the forest laws of some countries (Irland and Kremenetska, 2009; Kuemmerle et al., 2009a) caused forest losses (Grozavu et al., 2012; Mihai et al., 2007, 2006) with particularly heavy illegal logging reported in Romania (Knorn et al., 2012; Shandra et al., 2013), and Ukraine (Kuemmerle et al., 2009a).</w:t>
      </w:r>
    </w:p>
    <w:p w:rsidR="00921881" w:rsidRDefault="00921881" w:rsidP="00921881">
      <w:pPr>
        <w:spacing w:line="264" w:lineRule="auto"/>
      </w:pPr>
      <w:r>
        <w:t>On the other hand, agricultural abandonment and reforestation occurred mostly after WWII, with few local exceptions during earlier times (Patru-Stupariu, 2011). Since 1880, forest cover increased along the timberline throughout the study area (Shandra et al., 2013). During the 19th and early 20th century, marginal agricultural sites in the Polish mountains exhibited the most abandonment due to harsh environmental conditions (Ostaﬁn, 2009), while agriculture expanded in more favorable areas with little terrain, in line with the forest transition theory (Lambin and Meyfroidt, 2010; Lambin et al., 2001). The agricultural decrease was related to a shift of agricultural activities to more productive lands, as well as to industrialization (Gerard et al., 2010, 2006a,b). During the Socialist time period, the forced industrialization of the</w:t>
      </w:r>
      <w:r w:rsidR="00C62FE8">
        <w:t xml:space="preserve"> </w:t>
      </w:r>
      <w:r>
        <w:t xml:space="preserve">1970s led to migration from rural areas to cities, causing farmland abandonment, for example, in Romania (Schreiber, 2003). In the same period, forests increased along inaccessible areas of the Iron Curtain in the Czech </w:t>
      </w:r>
      <w:r w:rsidR="00C62FE8">
        <w:t>Republic (Skokanová and Eremiás</w:t>
      </w:r>
      <w:r w:rsidR="00C62FE8">
        <w:rPr>
          <w:rFonts w:cs="Times New Roman"/>
        </w:rPr>
        <w:t>̌</w:t>
      </w:r>
      <w:r>
        <w:t>ová, 2012), and Slovakia (Kalivoda et al., 2010).</w:t>
      </w:r>
    </w:p>
    <w:p w:rsidR="00921881" w:rsidRDefault="00921881" w:rsidP="00921881">
      <w:pPr>
        <w:spacing w:line="264" w:lineRule="auto"/>
      </w:pPr>
      <w:r>
        <w:t>After the collapse of socialism, the lack o</w:t>
      </w:r>
      <w:r w:rsidR="00C62FE8">
        <w:t>f agricultural sub</w:t>
      </w:r>
      <w:r>
        <w:t>sidies, decreased proﬁtability (M</w:t>
      </w:r>
      <w:r w:rsidR="00C62FE8">
        <w:t>üller et al., 2013; Prishchepov</w:t>
      </w:r>
      <w:r>
        <w:t xml:space="preserve"> et al., 2012), and the bankruptcy of</w:t>
      </w:r>
      <w:r w:rsidR="00C62FE8">
        <w:t xml:space="preserve"> most large agricultural enterprises (Petrovic</w:t>
      </w:r>
      <w:r w:rsidR="00C62FE8">
        <w:rPr>
          <w:rFonts w:cs="Times New Roman"/>
        </w:rPr>
        <w:t>̌</w:t>
      </w:r>
      <w:r w:rsidR="00C62FE8">
        <w:t xml:space="preserve"> and Hres</w:t>
      </w:r>
      <w:r w:rsidR="00C62FE8">
        <w:rPr>
          <w:rFonts w:cs="Times New Roman"/>
        </w:rPr>
        <w:t>̌</w:t>
      </w:r>
      <w:r w:rsidR="00C62FE8">
        <w:t>ko, 2010; Turnock, 2002; Zaus</w:t>
      </w:r>
      <w:r w:rsidR="00C62FE8">
        <w:rPr>
          <w:rFonts w:cs="Times New Roman"/>
        </w:rPr>
        <w:t>̌</w:t>
      </w:r>
      <w:r>
        <w:t>ková et al., 2011) caused widespread abandonment fo</w:t>
      </w:r>
      <w:r w:rsidR="00C62FE8">
        <w:t>llowed by reforestation (Boltiz</w:t>
      </w:r>
      <w:r w:rsidR="00C62FE8">
        <w:rPr>
          <w:rFonts w:cs="Times New Roman"/>
        </w:rPr>
        <w:t>̌</w:t>
      </w:r>
      <w:r w:rsidR="00C62FE8">
        <w:t>iar and Chrastina, 2008; Havlíc</w:t>
      </w:r>
      <w:r w:rsidR="00C62FE8">
        <w:rPr>
          <w:rFonts w:cs="Times New Roman"/>
        </w:rPr>
        <w:t>̌</w:t>
      </w:r>
      <w:r w:rsidR="00C62FE8">
        <w:t>ek et al., 2009; Zaus</w:t>
      </w:r>
      <w:r w:rsidR="00C62FE8">
        <w:rPr>
          <w:rFonts w:cs="Times New Roman"/>
        </w:rPr>
        <w:t>̌</w:t>
      </w:r>
      <w:r>
        <w:t xml:space="preserve">ková et al., 2011). Increasing emigration </w:t>
      </w:r>
      <w:r w:rsidR="00C62FE8">
        <w:t>to western Europe (Munteanu et al.,  2008; Petrovic</w:t>
      </w:r>
      <w:r w:rsidR="00C62FE8">
        <w:rPr>
          <w:rFonts w:cs="Times New Roman"/>
        </w:rPr>
        <w:t>̌</w:t>
      </w:r>
      <w:r w:rsidR="00C62FE8">
        <w:t xml:space="preserve">, 2006) resulted in decreasing </w:t>
      </w:r>
      <w:r>
        <w:t>employment in the agricultural sector, reduc</w:t>
      </w:r>
      <w:r w:rsidR="00C62FE8">
        <w:t>ing pressure on land and allow</w:t>
      </w:r>
      <w:r>
        <w:t>ing forest succession to take place (Kozak, 2003; Kozak et al., 2007; Smaliychuk, 2010). In the Ukraine, after 1990, abandonment occurred mostly on large agricultural</w:t>
      </w:r>
      <w:r w:rsidR="00C62FE8">
        <w:t xml:space="preserve"> ﬁelds, while subsistence agri</w:t>
      </w:r>
      <w:r>
        <w:t xml:space="preserve">culture reemerged on marginal lands in the mountains (Baumann et al., 2011). Last but not least, nature conservation policies con- tributed to stabilize or increase forest cover after 1945, and especially since 1990, in parts of Slovakia, Hungary and Poland (Gerard et al., 2006b; Konkoly-Gyuró et al., 2011; Olah and </w:t>
      </w:r>
      <w:r w:rsidR="00C62FE8">
        <w:t>Boltiz</w:t>
      </w:r>
      <w:r w:rsidR="00C62FE8">
        <w:rPr>
          <w:rFonts w:cs="Times New Roman"/>
        </w:rPr>
        <w:t>̌</w:t>
      </w:r>
      <w:r>
        <w:t>iar, 2009), even though the effectiveness of protected areas in Romania is uncertain (Knorn et al., 2012). In mountain areas, forest increase was also triggered by decreasing grazing pressure (</w:t>
      </w:r>
      <w:r w:rsidR="00C62FE8">
        <w:t>Mihai et al., 2007; Tirla et al., 2012; Zaus</w:t>
      </w:r>
      <w:r w:rsidR="00C62FE8">
        <w:rPr>
          <w:rFonts w:cs="Times New Roman"/>
        </w:rPr>
        <w:t>̌</w:t>
      </w:r>
      <w:r w:rsidR="00C62FE8">
        <w:t>ková et al., 2011) and changing cli</w:t>
      </w:r>
      <w:r>
        <w:t>mate (Mihai et al., 2006; Shandra et a</w:t>
      </w:r>
      <w:r w:rsidR="00C62FE8">
        <w:t xml:space="preserve">l., 2013; Tirla et al., 2012). </w:t>
      </w:r>
      <w:r>
        <w:t>On the other hand, after the EU accession, nature conservation and agricultural policies alongside with</w:t>
      </w:r>
      <w:r w:rsidR="00C62FE8">
        <w:t xml:space="preserve"> awareness of the loss of valu</w:t>
      </w:r>
      <w:r>
        <w:t>able mountain grasslands, resulted in a shift from arable land to high-nature value meadows and from forest to pastures (Bezák and Halada, 2010; Cebecaurová and Cebecauer, 2008; Zausˇková et al., 2011).</w:t>
      </w:r>
    </w:p>
    <w:p w:rsidR="00921881" w:rsidRDefault="00921881" w:rsidP="00921881">
      <w:pPr>
        <w:spacing w:line="264" w:lineRule="auto"/>
      </w:pPr>
      <w:r>
        <w:t xml:space="preserve">Most of our case studies reported interactions among the drivers of land change, with broader political decisions being often the underlying factors constraining economic and social conditions (Cebecaurová and Cebecauer, 2008; </w:t>
      </w:r>
      <w:r w:rsidR="00C62FE8">
        <w:t xml:space="preserve">Janicki, 2004; Sitko and Troll, </w:t>
      </w:r>
      <w:r>
        <w:t>2008). The same driver also often caused different land change patterns in different parts of the region: for example during the Socialist time period, national poli</w:t>
      </w:r>
      <w:r w:rsidR="00C62FE8">
        <w:t>cies led to agricultural expansion on  fertile soils in Hungary (Chrastina and Boltiz</w:t>
      </w:r>
      <w:r w:rsidR="00C62FE8">
        <w:rPr>
          <w:rFonts w:cs="Times New Roman"/>
        </w:rPr>
        <w:t>̌</w:t>
      </w:r>
      <w:r>
        <w:t>ia</w:t>
      </w:r>
      <w:r w:rsidR="00C62FE8">
        <w:t>r,</w:t>
      </w:r>
      <w:r>
        <w:t xml:space="preserve"> 2008), while forced industrialization as a national policy caused migration and abandonment of agriculture in areas of Romania (Schreiber, 2003). Relative to other drivers of change, the effects of culture on land use may only become apparent at long temporal scales. This means that culture may not have been an important driver at the temporal scale of some of our case studies, which reported change on the order of decades rather than centuries, and culture thus being less prevalent in our summaries tha</w:t>
      </w:r>
      <w:r w:rsidR="00C62FE8">
        <w:t>n its overall impor</w:t>
      </w:r>
      <w:r>
        <w:t>tance would suggest. Furthermore individual effects of drivers were difﬁcult to isolate because of the interplay between social, economic and political elements th</w:t>
      </w:r>
      <w:r w:rsidR="00C62FE8">
        <w:t>at lead to local land-use deci</w:t>
      </w:r>
      <w:r>
        <w:t>sions.</w:t>
      </w:r>
    </w:p>
    <w:p w:rsidR="00921881" w:rsidRDefault="00921881" w:rsidP="00921881">
      <w:pPr>
        <w:spacing w:line="264" w:lineRule="auto"/>
      </w:pPr>
      <w:r>
        <w:t>It was beyond the scope of our anal</w:t>
      </w:r>
      <w:r w:rsidR="00C62FE8">
        <w:t>ysis to assess changes in land-</w:t>
      </w:r>
      <w:r>
        <w:t>use intensity, since most case studies did not map these explicitly. However, across the region, notable changes include agricultural intensiﬁcation and shifts in forest management. Intensiﬁcation was driven mostly by economic and technological development throughout the 19th cent</w:t>
      </w:r>
      <w:r w:rsidR="00C62FE8">
        <w:t>ury (Demek et al., 2008; Havlíc</w:t>
      </w:r>
      <w:r w:rsidR="00C62FE8">
        <w:rPr>
          <w:rFonts w:cs="Times New Roman"/>
        </w:rPr>
        <w:t>̌</w:t>
      </w:r>
      <w:r>
        <w:t>ek et al., 2011; Skokanová et al., 2009), when both crop rotation and industrial fertilizers were introdu</w:t>
      </w:r>
      <w:r w:rsidR="00C62FE8">
        <w:t>ced. Similarly, Soviet agricul</w:t>
      </w:r>
      <w:r>
        <w:t xml:space="preserve">tural policies led to intensiﬁcation (Cebecaurová and Cebecauer, 2008; Mojses and Bezák, 2010; Skokanová et al., 2009) while nationalization of land caused </w:t>
      </w:r>
      <w:r w:rsidR="00C62FE8">
        <w:t>increase in property sizes and</w:t>
      </w:r>
      <w:r>
        <w:t xml:space="preserve"> the shift from small-scale farms to large state-owned ag</w:t>
      </w:r>
      <w:r w:rsidR="00C62FE8">
        <w:t>ricultural operations (Boltiz</w:t>
      </w:r>
      <w:r w:rsidR="00C62FE8">
        <w:rPr>
          <w:rFonts w:cs="Times New Roman"/>
        </w:rPr>
        <w:t>̌</w:t>
      </w:r>
      <w:r>
        <w:t>iar and Chra</w:t>
      </w:r>
      <w:r w:rsidR="00C62FE8">
        <w:t>stina, 2006; Krivosudsky, 2011; S</w:t>
      </w:r>
      <w:r w:rsidR="00C62FE8">
        <w:rPr>
          <w:rFonts w:cs="Times New Roman"/>
        </w:rPr>
        <w:t>̌</w:t>
      </w:r>
      <w:r w:rsidR="00C62FE8">
        <w:t>tych, 2007; S</w:t>
      </w:r>
      <w:r w:rsidR="00C62FE8">
        <w:rPr>
          <w:rFonts w:cs="Times New Roman"/>
        </w:rPr>
        <w:t>̌</w:t>
      </w:r>
      <w:r w:rsidR="00C62FE8">
        <w:t>tych et al., 2012). These changes did not neces</w:t>
      </w:r>
      <w:r>
        <w:t>sarily affect the land cover, but let to landscape homogenization (Krivo</w:t>
      </w:r>
      <w:r w:rsidR="00C62FE8">
        <w:t>sudsky, 2011; Mojses and Boltiz</w:t>
      </w:r>
      <w:r w:rsidR="00C62FE8">
        <w:rPr>
          <w:rFonts w:cs="Times New Roman"/>
        </w:rPr>
        <w:t>̌</w:t>
      </w:r>
      <w:r>
        <w:t>iar, 2011; Sˇpulerová, 2008). Conversely, changes in forest use aff</w:t>
      </w:r>
      <w:r w:rsidR="00C62FE8">
        <w:t>ected forest patterns and frag</w:t>
      </w:r>
      <w:r>
        <w:t>mentation: non-native species were planted fo</w:t>
      </w:r>
      <w:r w:rsidR="00C62FE8">
        <w:t>r timber production (Chrastina and Boltiz</w:t>
      </w:r>
      <w:r w:rsidR="00C62FE8">
        <w:rPr>
          <w:rFonts w:cs="Times New Roman"/>
        </w:rPr>
        <w:t>̌</w:t>
      </w:r>
      <w:r w:rsidR="00C62FE8">
        <w:t xml:space="preserve">iar, 2010; Nagy, 2008) and heavy </w:t>
      </w:r>
      <w:r>
        <w:t>logging and clearcuts occurred during Soviet times in Romania and Slo</w:t>
      </w:r>
      <w:r w:rsidR="00C62FE8">
        <w:t>vakia (Boltiz</w:t>
      </w:r>
      <w:r w:rsidR="00C62FE8">
        <w:rPr>
          <w:rFonts w:cs="Times New Roman"/>
        </w:rPr>
        <w:t>̌</w:t>
      </w:r>
      <w:r>
        <w:t>iar and Chrastina, 2008; Grozavu et al., 2012; Niculita</w:t>
      </w:r>
      <w:r w:rsidR="00C62FE8">
        <w:t xml:space="preserve"> </w:t>
      </w:r>
      <w:r>
        <w:t>et al., 2008) due to increased dem</w:t>
      </w:r>
      <w:r w:rsidR="00C62FE8">
        <w:t>and for wood. Despite the docu</w:t>
      </w:r>
      <w:r>
        <w:t>mented overall forest cover increase after 2000 (0.89% mean annual change), extensive forest disturbances – which do not necessarily alter the land-cover type – occurred in Romania, Poland, Ukraine and the Czech Republic (Grifﬁths et al., 2014; Kuemmerle et al., 2009a).</w:t>
      </w:r>
    </w:p>
    <w:p w:rsidR="00921881" w:rsidRDefault="00921881" w:rsidP="00921881">
      <w:pPr>
        <w:spacing w:line="264" w:lineRule="auto"/>
      </w:pPr>
      <w:r>
        <w:t xml:space="preserve">Overall, our analysis provided </w:t>
      </w:r>
      <w:r w:rsidR="00C62FE8">
        <w:t>a synthesis of land change pat</w:t>
      </w:r>
      <w:r>
        <w:t>terns and processes during time periods with very different and rapidly changing political and eco</w:t>
      </w:r>
      <w:r w:rsidR="00C62FE8">
        <w:t xml:space="preserve">nomic conditions. The strength </w:t>
      </w:r>
      <w:r>
        <w:t>of our analyses lied in the multi-language data so</w:t>
      </w:r>
      <w:r w:rsidR="00C62FE8">
        <w:t xml:space="preserve">urces as well </w:t>
      </w:r>
      <w:r>
        <w:t>as in the fact that we compleme</w:t>
      </w:r>
      <w:r w:rsidR="00C62FE8">
        <w:t>nted this information with tra</w:t>
      </w:r>
      <w:r>
        <w:t>ditional library research, accessing a wide base of local knowledge. Furthermore, by sy</w:t>
      </w:r>
      <w:r w:rsidR="00C62FE8">
        <w:t>nthesizing land changes in 102</w:t>
      </w:r>
      <w:r>
        <w:t xml:space="preserve"> case-studies, our analysis improves the understanding of overall trends, and acknowledges regional and temporal differences, rather than extrapolating ﬁndings of single micro-scale studies. We showed that rates of change differed mar</w:t>
      </w:r>
      <w:r w:rsidR="00A03805">
        <w:t xml:space="preserve">kedly over the past 250 years: </w:t>
      </w:r>
      <w:r>
        <w:t>after the collapse of the Austro-Hungarian Empire agricultural land declined, while the collapse of the</w:t>
      </w:r>
      <w:r w:rsidR="00A03805">
        <w:t xml:space="preserve"> socialism accelerated agricul</w:t>
      </w:r>
      <w:r>
        <w:t>tural abandonment and forest cover increase. We also showed that recent land change trends do follow long term land changes in terms of direction of changes but the m</w:t>
      </w:r>
      <w:r w:rsidR="00A03805">
        <w:t>agnitude of these pro</w:t>
      </w:r>
      <w:r>
        <w:t>cesses differs substantially across periods, with high rates of change being captured since the collapse of socialism. We acknowledge that some case-studies were foc</w:t>
      </w:r>
      <w:r w:rsidR="00A03805">
        <w:t>used on capturing change based</w:t>
      </w:r>
      <w:r>
        <w:t xml:space="preserve"> on unique conditions, such as depopulated areas of Poland (e.g., Maciejowski, 2001; Warcholik, 200</w:t>
      </w:r>
      <w:r w:rsidR="00A03805">
        <w:t>5; Wolski, 2001) or ﬂooded villages in Slovakia (Petrovic</w:t>
      </w:r>
      <w:r w:rsidR="00A03805">
        <w:rPr>
          <w:rFonts w:cs="Times New Roman"/>
        </w:rPr>
        <w:t>̌</w:t>
      </w:r>
      <w:r w:rsidR="00A03805">
        <w:t xml:space="preserve"> and Bezák, 2010) so that our</w:t>
      </w:r>
      <w:r>
        <w:t xml:space="preserve"> analysis might describe the very peaks of observed processes. However, despite the abrupt changes in political and economic systems, which might disrupt gradual land transitions, the forest transition theory holds true in this region with the shift from decreasing to increasing forest cover occurring between the tw</w:t>
      </w:r>
      <w:r w:rsidR="00A03805">
        <w:t xml:space="preserve">o World Wars for the most case </w:t>
      </w:r>
      <w:r>
        <w:t>studies.</w:t>
      </w:r>
    </w:p>
    <w:p w:rsidR="00921881" w:rsidRDefault="00921881" w:rsidP="00921881">
      <w:pPr>
        <w:spacing w:line="264" w:lineRule="auto"/>
      </w:pPr>
      <w:r w:rsidRPr="00921881">
        <w:t>Our results show that despite repeated shocks, which can alter the intensity of long-term, gradual changes, forest transition theory holds true in the Carpathian reg</w:t>
      </w:r>
      <w:r w:rsidR="00A03805">
        <w:t>ion. The change point from for</w:t>
      </w:r>
      <w:r w:rsidRPr="00921881">
        <w:t>est decrease to forest increase occurred between t</w:t>
      </w:r>
      <w:r w:rsidR="00A03805">
        <w:t>he two</w:t>
      </w:r>
      <w:r w:rsidRPr="00921881">
        <w:t xml:space="preserve"> World </w:t>
      </w:r>
      <w:r>
        <w:t>Wars in most of the areas. Around t</w:t>
      </w:r>
      <w:r w:rsidR="00A03805">
        <w:t xml:space="preserve">he world, the forest transition </w:t>
      </w:r>
      <w:r>
        <w:t>occurred at different points in time, highly dependent on the socio-</w:t>
      </w:r>
      <w:r w:rsidR="00A03805">
        <w:t xml:space="preserve">economic, institutional conditions and global marked </w:t>
      </w:r>
      <w:r w:rsidRPr="00921881">
        <w:t xml:space="preserve">dynamics. For example, western European countries like France and Britain </w:t>
      </w:r>
      <w:r>
        <w:t>experienced forest transition already</w:t>
      </w:r>
      <w:r w:rsidR="00A03805">
        <w:t xml:space="preserve"> in the second half of the 18</w:t>
      </w:r>
      <w:r w:rsidR="00A03805" w:rsidRPr="00A03805">
        <w:t>th</w:t>
      </w:r>
      <w:r w:rsidR="00A03805">
        <w:t xml:space="preserve"> </w:t>
      </w:r>
      <w:r>
        <w:t>century (Mather, 1998, 1992) as a func</w:t>
      </w:r>
      <w:r w:rsidR="00A03805">
        <w:t>tion of their land use special</w:t>
      </w:r>
      <w:r>
        <w:t>ization and developing economies (Barbier et al., 2010; Lambin and Meyfroidt, 2010). Countries, such as India, China, Vietnam, Chile, El Salvador, on the other hand, experienced forest transition recently (second half of the 20th century), dr</w:t>
      </w:r>
      <w:r w:rsidR="00A03805">
        <w:t>iven by governance, global mar</w:t>
      </w:r>
      <w:r>
        <w:t>ket dynamics and displacement of land use abroad (Mather, 2007; Meyfroidt et al., 2010).</w:t>
      </w:r>
    </w:p>
    <w:p w:rsidR="00921881" w:rsidRPr="00921881" w:rsidRDefault="00921881" w:rsidP="00921881">
      <w:pPr>
        <w:spacing w:line="264" w:lineRule="auto"/>
      </w:pPr>
      <w:r>
        <w:t>In the Carpathians, the agri</w:t>
      </w:r>
      <w:r w:rsidR="00A03805">
        <w:t>cultural change was mostly mir</w:t>
      </w:r>
      <w:r>
        <w:t>rored by forest cover and also involved other land-cover classes, for which data availability was limited. Agricultural expansion up to the early part of the 20th century, coincides broadly with the trends observed du</w:t>
      </w:r>
      <w:r w:rsidR="00A03805">
        <w:t>ring the 19th century in other devel</w:t>
      </w:r>
      <w:r>
        <w:t>oped regions such as the US, Canada or USSR, where agriculture expanded mostly over grasslands and forests (Goldewijk, 2001). In developing tropical countries, ag</w:t>
      </w:r>
      <w:r w:rsidR="00A03805">
        <w:t>ricultural expansion and inten</w:t>
      </w:r>
      <w:r>
        <w:t>siﬁcation is a more recent process (Keys and McConnell, 2005). Countries like Bhutan, Brazil, Costa Rica or China experience large increases in agricultural covers only in the second half of the 20th century (Meyfroidt et al., 2010). In contrast, during the same time, many post-soviet countries face land abandonment since the collapse of socialism (Alcantara et al., 2012; Prishchepov et al., 2013), a similar trend to the one we</w:t>
      </w:r>
      <w:r w:rsidR="00A03805">
        <w:t xml:space="preserve"> observed in the Carpathi</w:t>
      </w:r>
      <w:r>
        <w:t xml:space="preserve">ans. Regional differences were notable, especially due to physical </w:t>
      </w:r>
      <w:r w:rsidRPr="00921881">
        <w:t>factors and several interacting driving forces, but institutional, pol- icy and economic drivers were most inﬂuential in shaping both deforestation and agricultural ex</w:t>
      </w:r>
      <w:r w:rsidR="00A03805">
        <w:t>pansion. Socio-demographic fac</w:t>
      </w:r>
      <w:r w:rsidRPr="00921881">
        <w:t>tors like rural population decline were the key drivers for land abandonment. Overall, we highlighted the value of longitudinal studies of land change to reveal the strong effects that repeated socio-economic and institutional changes have on land-use and land-cover.</w:t>
      </w:r>
    </w:p>
    <w:p w:rsidR="00921881" w:rsidRDefault="00921881" w:rsidP="00985271">
      <w:pPr>
        <w:spacing w:line="264" w:lineRule="auto"/>
        <w:rPr>
          <w:b/>
        </w:rPr>
      </w:pPr>
    </w:p>
    <w:p w:rsidR="00AE2319" w:rsidRDefault="00AE2319" w:rsidP="00985271">
      <w:pPr>
        <w:spacing w:line="264" w:lineRule="auto"/>
        <w:rPr>
          <w:b/>
        </w:rPr>
      </w:pPr>
    </w:p>
    <w:p w:rsidR="00AE2319" w:rsidRDefault="00AE2319" w:rsidP="00985271">
      <w:pPr>
        <w:spacing w:line="264" w:lineRule="auto"/>
        <w:rPr>
          <w:b/>
        </w:rPr>
      </w:pPr>
    </w:p>
    <w:p w:rsidR="001725CF" w:rsidRPr="000D0F5C" w:rsidRDefault="001725CF" w:rsidP="00985271">
      <w:pPr>
        <w:spacing w:line="264" w:lineRule="auto"/>
        <w:rPr>
          <w:b/>
        </w:rPr>
      </w:pPr>
      <w:r w:rsidRPr="000D0F5C">
        <w:rPr>
          <w:b/>
        </w:rPr>
        <w:t>Acknowledgements</w:t>
      </w:r>
    </w:p>
    <w:p w:rsidR="000D0F5C" w:rsidRDefault="00CB4177" w:rsidP="00CB4177">
      <w:pPr>
        <w:spacing w:line="264" w:lineRule="auto"/>
      </w:pPr>
      <w:r>
        <w:t>We are indebted and most grateful to all the case-study paper authors who shared their data, and provided additional information. Without their excellent work, our study would not have been possible. We thank P. Culbert, S. Martinuzzi, H. Gibbs, and J. Alix-Garcia for valuable comments at various stages of this study. We are grateful to two anonymous reviewers who provided insightful revisions to our paper. Last but not least, we gratefully acknowledge support by the Land-Cover and Land-Use Change Program of the National Aeronautic Space Administration (NASA), the European Commission (Integrated Project VOLANTE, FP7-ENV- 2010-265104 and HERCULES, FP7-ENV-2013-603447), the Einstein Foundation, Berlin (Germany), and the Fulbright Scholar Program.</w:t>
      </w:r>
    </w:p>
    <w:p w:rsidR="00CB4177" w:rsidRDefault="00CB4177" w:rsidP="00985271">
      <w:pPr>
        <w:spacing w:line="264" w:lineRule="auto"/>
        <w:rPr>
          <w:b/>
          <w:lang w:val="de-DE"/>
        </w:rPr>
      </w:pPr>
    </w:p>
    <w:p w:rsidR="00B90531" w:rsidRDefault="00B90531" w:rsidP="00985271">
      <w:pPr>
        <w:spacing w:line="264" w:lineRule="auto"/>
        <w:rPr>
          <w:b/>
          <w:lang w:val="en-US"/>
        </w:rPr>
      </w:pPr>
    </w:p>
    <w:p w:rsidR="00B90531" w:rsidRDefault="00B90531" w:rsidP="00985271">
      <w:pPr>
        <w:spacing w:line="264" w:lineRule="auto"/>
        <w:rPr>
          <w:b/>
          <w:lang w:val="en-US"/>
        </w:rPr>
        <w:sectPr w:rsidR="00B90531">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134" w:left="1417" w:header="708" w:footer="708" w:gutter="0"/>
          <w:cols w:space="708"/>
          <w:docGrid w:linePitch="360"/>
        </w:sectPr>
      </w:pPr>
    </w:p>
    <w:p w:rsidR="001725CF" w:rsidRPr="00AB26D6" w:rsidRDefault="001725CF" w:rsidP="00985271">
      <w:pPr>
        <w:spacing w:line="264" w:lineRule="auto"/>
        <w:rPr>
          <w:b/>
          <w:lang w:val="en-US"/>
        </w:rPr>
      </w:pPr>
      <w:r w:rsidRPr="00AB26D6">
        <w:rPr>
          <w:b/>
          <w:lang w:val="en-US"/>
        </w:rPr>
        <w:t>References</w:t>
      </w:r>
    </w:p>
    <w:p w:rsidR="00AB26D6" w:rsidRPr="00AB26D6" w:rsidRDefault="00AB26D6" w:rsidP="00AB26D6">
      <w:pPr>
        <w:spacing w:line="264" w:lineRule="auto"/>
        <w:rPr>
          <w:lang w:val="en-US"/>
        </w:rPr>
      </w:pPr>
      <w:r w:rsidRPr="00AB26D6">
        <w:rPr>
          <w:lang w:val="en-US"/>
        </w:rPr>
        <w:t>Alcantara, C., Kuemmerle, T., Prishchepov, A.V., Rade</w:t>
      </w:r>
      <w:r>
        <w:rPr>
          <w:lang w:val="en-US"/>
        </w:rPr>
        <w:t>loff, V.C., 2012. Mapping aban</w:t>
      </w:r>
      <w:r w:rsidRPr="00AB26D6">
        <w:rPr>
          <w:lang w:val="en-US"/>
        </w:rPr>
        <w:t>doned agriculture with multi-temporal MODIS satell</w:t>
      </w:r>
      <w:r>
        <w:rPr>
          <w:lang w:val="en-US"/>
        </w:rPr>
        <w:t>ite data. Remote Sens. Environ.</w:t>
      </w:r>
      <w:r w:rsidRPr="00AB26D6">
        <w:rPr>
          <w:lang w:val="en-US"/>
        </w:rPr>
        <w:t xml:space="preserve"> 124, 334–347.</w:t>
      </w:r>
    </w:p>
    <w:p w:rsidR="00AB26D6" w:rsidRDefault="00AB26D6" w:rsidP="00AB26D6">
      <w:pPr>
        <w:spacing w:line="264" w:lineRule="auto"/>
        <w:rPr>
          <w:lang w:val="en-US"/>
        </w:rPr>
      </w:pPr>
    </w:p>
    <w:p w:rsidR="00AB26D6" w:rsidRDefault="00AB26D6" w:rsidP="00AB26D6">
      <w:pPr>
        <w:spacing w:line="264" w:lineRule="auto"/>
        <w:rPr>
          <w:lang w:val="en-US"/>
        </w:rPr>
      </w:pPr>
      <w:r w:rsidRPr="00AB26D6">
        <w:rPr>
          <w:lang w:val="en-US"/>
        </w:rPr>
        <w:t>Badea, R., 2011. The dynamics of forest areas in the Vâlsan Basin. Forum Geogr. X, 372–378.</w:t>
      </w:r>
    </w:p>
    <w:p w:rsidR="00E67102" w:rsidRPr="00AB26D6" w:rsidRDefault="00E67102" w:rsidP="00AB26D6">
      <w:pPr>
        <w:spacing w:line="264" w:lineRule="auto"/>
        <w:rPr>
          <w:lang w:val="en-US"/>
        </w:rPr>
      </w:pPr>
    </w:p>
    <w:p w:rsidR="00AB26D6" w:rsidRPr="00AB26D6" w:rsidRDefault="00AB26D6" w:rsidP="00AB26D6">
      <w:pPr>
        <w:spacing w:line="264" w:lineRule="auto"/>
        <w:rPr>
          <w:lang w:val="en-US"/>
        </w:rPr>
      </w:pPr>
      <w:r>
        <w:rPr>
          <w:lang w:val="en-US"/>
        </w:rPr>
        <w:t>Bic</w:t>
      </w:r>
      <w:r>
        <w:rPr>
          <w:rFonts w:cs="Times New Roman"/>
          <w:lang w:val="en-US"/>
        </w:rPr>
        <w:t>̌</w:t>
      </w:r>
      <w:r>
        <w:rPr>
          <w:lang w:val="en-US"/>
        </w:rPr>
        <w:t>ík, I., Jelec</w:t>
      </w:r>
      <w:r>
        <w:rPr>
          <w:rFonts w:cs="Times New Roman"/>
          <w:lang w:val="en-US"/>
        </w:rPr>
        <w:t>̌</w:t>
      </w:r>
      <w:r>
        <w:rPr>
          <w:lang w:val="en-US"/>
        </w:rPr>
        <w:t>ek, L., S</w:t>
      </w:r>
      <w:r>
        <w:rPr>
          <w:rFonts w:cs="Times New Roman"/>
          <w:lang w:val="en-US"/>
        </w:rPr>
        <w:t>̌</w:t>
      </w:r>
      <w:r>
        <w:rPr>
          <w:lang w:val="en-US"/>
        </w:rPr>
        <w:t xml:space="preserve">tepánek, V., 2001. Land-use changes and their social driving </w:t>
      </w:r>
      <w:r w:rsidRPr="00AB26D6">
        <w:rPr>
          <w:lang w:val="en-US"/>
        </w:rPr>
        <w:t>forces in Czechia in the 19th and 20th centuries. Land Use Policy 18, 65–73.</w:t>
      </w:r>
    </w:p>
    <w:p w:rsidR="00AB26D6" w:rsidRDefault="00AB26D6" w:rsidP="00AB26D6">
      <w:pPr>
        <w:spacing w:line="264" w:lineRule="auto"/>
        <w:rPr>
          <w:lang w:val="en-US"/>
        </w:rPr>
      </w:pPr>
    </w:p>
    <w:p w:rsidR="00AB26D6" w:rsidRPr="00AB26D6" w:rsidRDefault="00AB26D6" w:rsidP="00AB26D6">
      <w:pPr>
        <w:spacing w:line="264" w:lineRule="auto"/>
        <w:rPr>
          <w:lang w:val="en-US"/>
        </w:rPr>
      </w:pPr>
      <w:r w:rsidRPr="00AB26D6">
        <w:rPr>
          <w:lang w:val="de-DE"/>
        </w:rPr>
        <w:t>Barbier, E.B.,</w:t>
      </w:r>
      <w:r>
        <w:rPr>
          <w:lang w:val="de-DE"/>
        </w:rPr>
        <w:t xml:space="preserve"> Burgess, J.C., Grainger, A., 2010. </w:t>
      </w:r>
      <w:r>
        <w:rPr>
          <w:lang w:val="en-US"/>
        </w:rPr>
        <w:t xml:space="preserve">The forest transition: towards a more comprehensive theoretical framework. Land Use Policy 27, </w:t>
      </w:r>
      <w:r w:rsidRPr="00AB26D6">
        <w:rPr>
          <w:lang w:val="en-US"/>
        </w:rPr>
        <w:t>98–107.</w:t>
      </w:r>
    </w:p>
    <w:p w:rsidR="00AB26D6" w:rsidRDefault="00AB26D6" w:rsidP="00AB26D6">
      <w:pPr>
        <w:spacing w:line="264" w:lineRule="auto"/>
        <w:rPr>
          <w:lang w:val="en-US"/>
        </w:rPr>
      </w:pPr>
    </w:p>
    <w:p w:rsidR="00AB26D6" w:rsidRPr="00AB26D6" w:rsidRDefault="00AB26D6" w:rsidP="00AB26D6">
      <w:pPr>
        <w:spacing w:line="264" w:lineRule="auto"/>
        <w:rPr>
          <w:lang w:val="en-US"/>
        </w:rPr>
      </w:pPr>
      <w:r w:rsidRPr="00AB26D6">
        <w:rPr>
          <w:lang w:val="en-US"/>
        </w:rPr>
        <w:t>Baumann, M., Kuemmerle, T., Elbakidze, M., Ozdogan, M., Radeloff, V.C., Keuler, N.S., Prishchepov, A.V., Kruhlov, I., Hostert, P., 2011. Patterns and drivers of post-socialist farmland abandonment in Western Ukraine. Land Use Policy 28, 552–562.</w:t>
      </w:r>
    </w:p>
    <w:p w:rsidR="00AB26D6" w:rsidRDefault="00AB26D6" w:rsidP="00AB26D6">
      <w:pPr>
        <w:spacing w:line="264" w:lineRule="auto"/>
        <w:rPr>
          <w:lang w:val="en-US"/>
        </w:rPr>
      </w:pPr>
    </w:p>
    <w:p w:rsidR="00AB26D6" w:rsidRPr="00AB26D6" w:rsidRDefault="00AB26D6" w:rsidP="00AB26D6">
      <w:pPr>
        <w:spacing w:line="264" w:lineRule="auto"/>
        <w:rPr>
          <w:lang w:val="en-US"/>
        </w:rPr>
      </w:pPr>
      <w:r w:rsidRPr="00AB26D6">
        <w:rPr>
          <w:lang w:val="en-US"/>
        </w:rPr>
        <w:t>Bezák, P., Halada, L., 2010. Sustainable management recommendations to reduce the loss of agricultural biodiversity in the mountain regions of NE Slovakia. Mt. Res. Dev. 30, 194–204.</w:t>
      </w:r>
    </w:p>
    <w:p w:rsidR="00AB26D6" w:rsidRDefault="00AB26D6" w:rsidP="00AB26D6">
      <w:pPr>
        <w:spacing w:line="264" w:lineRule="auto"/>
        <w:rPr>
          <w:lang w:val="en-US"/>
        </w:rPr>
      </w:pPr>
    </w:p>
    <w:p w:rsidR="00AB26D6" w:rsidRPr="00AB26D6" w:rsidRDefault="00AB26D6" w:rsidP="00AB26D6">
      <w:pPr>
        <w:spacing w:line="264" w:lineRule="auto"/>
        <w:rPr>
          <w:lang w:val="en-US"/>
        </w:rPr>
      </w:pPr>
      <w:r w:rsidRPr="00AB26D6">
        <w:rPr>
          <w:lang w:val="en-US"/>
        </w:rPr>
        <w:t>Biró, M., Czúcz, B., Horváth, F., Révész, A., Csatári, B., Molnár, Z., 2012. Drivers of grassland loss in Hungary during the post-socialist trans</w:t>
      </w:r>
      <w:r>
        <w:rPr>
          <w:lang w:val="en-US"/>
        </w:rPr>
        <w:t xml:space="preserve">formation (1987–1999). Landsc. Ecol. </w:t>
      </w:r>
      <w:r w:rsidRPr="00AB26D6">
        <w:rPr>
          <w:lang w:val="en-US"/>
        </w:rPr>
        <w:t>28, 789–803.</w:t>
      </w:r>
    </w:p>
    <w:p w:rsidR="00AB26D6" w:rsidRDefault="00AB26D6" w:rsidP="00AB26D6">
      <w:pPr>
        <w:spacing w:line="264" w:lineRule="auto"/>
        <w:rPr>
          <w:lang w:val="en-US"/>
        </w:rPr>
      </w:pPr>
    </w:p>
    <w:p w:rsidR="00AB26D6" w:rsidRPr="00AB26D6" w:rsidRDefault="00AB26D6" w:rsidP="00AB26D6">
      <w:pPr>
        <w:spacing w:line="264" w:lineRule="auto"/>
        <w:rPr>
          <w:lang w:val="en-US"/>
        </w:rPr>
      </w:pPr>
      <w:r w:rsidRPr="00AB26D6">
        <w:rPr>
          <w:lang w:val="en-US"/>
        </w:rPr>
        <w:t>Björnsen-Gurung, A., Bokwa, A., Chełmicki, W., Elbakidze, M., Hirschmugl, M., Hostert, P., Ibisch, P., Kozak, J., Kuemmerle, T., Matei, E., Ostapowicz, K., Pociask- Karteczka, J., Schmidt, L., van der Linden, S., Zebisch, M., 2009. Global change research in the Carpathian Mountain Region. Mt. Res. Dev. 29, 282–288.</w:t>
      </w:r>
    </w:p>
    <w:p w:rsidR="00AB26D6" w:rsidRDefault="00AB26D6" w:rsidP="00AB26D6">
      <w:pPr>
        <w:spacing w:line="264" w:lineRule="auto"/>
        <w:rPr>
          <w:lang w:val="en-US"/>
        </w:rPr>
      </w:pPr>
    </w:p>
    <w:p w:rsidR="00AB26D6" w:rsidRPr="00AB26D6" w:rsidRDefault="00AB26D6" w:rsidP="00AB26D6">
      <w:pPr>
        <w:spacing w:line="264" w:lineRule="auto"/>
        <w:rPr>
          <w:lang w:val="en-US"/>
        </w:rPr>
      </w:pPr>
      <w:r w:rsidRPr="00AB26D6">
        <w:rPr>
          <w:lang w:val="en-US"/>
        </w:rPr>
        <w:t>Bochko, O., 2010. Analiz zemelnoi ploschi Z</w:t>
      </w:r>
      <w:r>
        <w:rPr>
          <w:lang w:val="en-US"/>
        </w:rPr>
        <w:t xml:space="preserve">akarpatskoi oblasti v suchasnyh umovah. </w:t>
      </w:r>
      <w:r w:rsidRPr="00AB26D6">
        <w:rPr>
          <w:lang w:val="en-US"/>
        </w:rPr>
        <w:t>Nauk. Visnyk Mukachivskogo Derjavnogo Univ. 9, 146–152 (in Ukrainian).</w:t>
      </w:r>
    </w:p>
    <w:p w:rsidR="00AB26D6" w:rsidRDefault="00AB26D6" w:rsidP="00AB26D6">
      <w:pPr>
        <w:spacing w:line="264" w:lineRule="auto"/>
        <w:rPr>
          <w:lang w:val="en-US"/>
        </w:rPr>
      </w:pPr>
    </w:p>
    <w:p w:rsidR="00AB26D6" w:rsidRPr="00AB26D6" w:rsidRDefault="00AB26D6" w:rsidP="00AB26D6">
      <w:pPr>
        <w:spacing w:line="264" w:lineRule="auto"/>
        <w:rPr>
          <w:lang w:val="en-US"/>
        </w:rPr>
      </w:pPr>
      <w:r>
        <w:rPr>
          <w:lang w:val="en-US"/>
        </w:rPr>
        <w:t>Boltiz</w:t>
      </w:r>
      <w:r>
        <w:rPr>
          <w:rFonts w:cs="Times New Roman"/>
          <w:lang w:val="en-US"/>
        </w:rPr>
        <w:t>̌</w:t>
      </w:r>
      <w:r>
        <w:rPr>
          <w:lang w:val="en-US"/>
        </w:rPr>
        <w:t>iar, M., Chrastina, P., 2006. Vyuz</w:t>
      </w:r>
      <w:r>
        <w:rPr>
          <w:rFonts w:cs="Times New Roman"/>
          <w:lang w:val="en-US"/>
        </w:rPr>
        <w:t>̌</w:t>
      </w:r>
      <w:r>
        <w:rPr>
          <w:lang w:val="en-US"/>
        </w:rPr>
        <w:t>itie krajiny SV okraja Bakon</w:t>
      </w:r>
      <w:r>
        <w:rPr>
          <w:rFonts w:cs="Times New Roman"/>
          <w:lang w:val="en-US"/>
        </w:rPr>
        <w:t>̌</w:t>
      </w:r>
      <w:r>
        <w:rPr>
          <w:lang w:val="en-US"/>
        </w:rPr>
        <w:t xml:space="preserve"> ského lesa </w:t>
      </w:r>
      <w:r w:rsidRPr="00AB26D6">
        <w:rPr>
          <w:lang w:val="en-US"/>
        </w:rPr>
        <w:t>v Mad’arsku. Geogr. Rev. 2, 49–61 (in Slovak).</w:t>
      </w:r>
    </w:p>
    <w:p w:rsidR="00AB26D6" w:rsidRDefault="00AB26D6" w:rsidP="00AB26D6">
      <w:pPr>
        <w:spacing w:line="264" w:lineRule="auto"/>
        <w:rPr>
          <w:lang w:val="en-US"/>
        </w:rPr>
      </w:pPr>
    </w:p>
    <w:p w:rsidR="00AB26D6" w:rsidRPr="00AB26D6" w:rsidRDefault="00AB26D6" w:rsidP="00AB26D6">
      <w:pPr>
        <w:spacing w:line="264" w:lineRule="auto"/>
        <w:rPr>
          <w:lang w:val="en-US"/>
        </w:rPr>
      </w:pPr>
      <w:r>
        <w:rPr>
          <w:lang w:val="en-US"/>
        </w:rPr>
        <w:t>Boltiz</w:t>
      </w:r>
      <w:r>
        <w:rPr>
          <w:rFonts w:cs="Times New Roman"/>
          <w:lang w:val="en-US"/>
        </w:rPr>
        <w:t>̌</w:t>
      </w:r>
      <w:r w:rsidRPr="00AB26D6">
        <w:rPr>
          <w:lang w:val="en-US"/>
        </w:rPr>
        <w:t>iar, M., Chrastina, P., 2008. Zmeny v</w:t>
      </w:r>
      <w:r>
        <w:rPr>
          <w:lang w:val="en-US"/>
        </w:rPr>
        <w:t>yuz</w:t>
      </w:r>
      <w:r>
        <w:rPr>
          <w:rFonts w:cs="Times New Roman"/>
          <w:lang w:val="en-US"/>
        </w:rPr>
        <w:t>̌</w:t>
      </w:r>
      <w:r>
        <w:rPr>
          <w:lang w:val="en-US"/>
        </w:rPr>
        <w:t>itia zeme níz</w:t>
      </w:r>
      <w:r>
        <w:rPr>
          <w:rFonts w:cs="Times New Roman"/>
          <w:lang w:val="en-US"/>
        </w:rPr>
        <w:t>̌</w:t>
      </w:r>
      <w:r w:rsidRPr="00AB26D6">
        <w:rPr>
          <w:lang w:val="en-US"/>
        </w:rPr>
        <w:t>innej pol’nohospodárskej krajiny na príklade obce Nové Sady (1782–2002). Geoinformation 4, 16–35 (in Slovak).</w:t>
      </w:r>
    </w:p>
    <w:p w:rsidR="00AB26D6" w:rsidRDefault="00AB26D6" w:rsidP="00AB26D6">
      <w:pPr>
        <w:spacing w:line="264" w:lineRule="auto"/>
        <w:rPr>
          <w:lang w:val="en-US"/>
        </w:rPr>
      </w:pPr>
    </w:p>
    <w:p w:rsidR="00AB26D6" w:rsidRPr="00AB26D6" w:rsidRDefault="00AB26D6" w:rsidP="00AB26D6">
      <w:pPr>
        <w:spacing w:line="264" w:lineRule="auto"/>
        <w:rPr>
          <w:lang w:val="en-US"/>
        </w:rPr>
      </w:pPr>
      <w:r>
        <w:rPr>
          <w:lang w:val="en-US"/>
        </w:rPr>
        <w:t>Boucníková, E., Kuc</w:t>
      </w:r>
      <w:r>
        <w:rPr>
          <w:rFonts w:cs="Times New Roman"/>
          <w:lang w:val="en-US"/>
        </w:rPr>
        <w:t>̌</w:t>
      </w:r>
      <w:r>
        <w:rPr>
          <w:lang w:val="en-US"/>
        </w:rPr>
        <w:t xml:space="preserve">era, T., 2005. How natural and cultural aspects </w:t>
      </w:r>
      <w:r w:rsidRPr="00AB26D6">
        <w:rPr>
          <w:lang w:val="en-US"/>
        </w:rPr>
        <w:t>in</w:t>
      </w:r>
      <w:r w:rsidRPr="00AB26D6">
        <w:rPr>
          <w:lang w:val="de-DE"/>
        </w:rPr>
        <w:t>ﬂ</w:t>
      </w:r>
      <w:r>
        <w:rPr>
          <w:lang w:val="en-US"/>
        </w:rPr>
        <w:t xml:space="preserve">uence </w:t>
      </w:r>
      <w:r w:rsidRPr="00AB26D6">
        <w:rPr>
          <w:lang w:val="en-US"/>
        </w:rPr>
        <w:t>land cover changes in the Czech Republic? Ekológia. Int. J. Ecol. Probl. Biosph. 24, 69–82.</w:t>
      </w:r>
    </w:p>
    <w:p w:rsidR="00AB26D6" w:rsidRPr="00AB26D6" w:rsidRDefault="00AB26D6" w:rsidP="00AB26D6">
      <w:pPr>
        <w:spacing w:line="264" w:lineRule="auto"/>
        <w:rPr>
          <w:lang w:val="en-US"/>
        </w:rPr>
      </w:pPr>
      <w:r>
        <w:rPr>
          <w:lang w:val="en-US"/>
        </w:rPr>
        <w:t>Bugár, G., Petrovic</w:t>
      </w:r>
      <w:r>
        <w:rPr>
          <w:rFonts w:cs="Times New Roman"/>
          <w:lang w:val="en-US"/>
        </w:rPr>
        <w:t>̌</w:t>
      </w:r>
      <w:r>
        <w:rPr>
          <w:lang w:val="en-US"/>
        </w:rPr>
        <w:t xml:space="preserve">, F., Mojses, M., 2010. Effects of underground coal mining on the rate of landscape changes. </w:t>
      </w:r>
      <w:r w:rsidRPr="00AB26D6">
        <w:rPr>
          <w:lang w:val="en-US"/>
        </w:rPr>
        <w:t>In: Baranc</w:t>
      </w:r>
      <w:r w:rsidRPr="00AB26D6">
        <w:rPr>
          <w:rFonts w:cs="Times New Roman"/>
          <w:lang w:val="en-US"/>
        </w:rPr>
        <w:t>̌</w:t>
      </w:r>
      <w:r w:rsidRPr="00AB26D6">
        <w:rPr>
          <w:lang w:val="en-US"/>
        </w:rPr>
        <w:t>oková, M, Krajc</w:t>
      </w:r>
      <w:r w:rsidRPr="00AB26D6">
        <w:rPr>
          <w:rFonts w:cs="Times New Roman"/>
          <w:lang w:val="en-US"/>
        </w:rPr>
        <w:t>̌</w:t>
      </w:r>
      <w:r w:rsidRPr="00AB26D6">
        <w:rPr>
          <w:lang w:val="en-US"/>
        </w:rPr>
        <w:t xml:space="preserve">í, </w:t>
      </w:r>
      <w:r>
        <w:rPr>
          <w:lang w:val="en-US"/>
        </w:rPr>
        <w:t>J., Kollár, J., Belc</w:t>
      </w:r>
      <w:r>
        <w:rPr>
          <w:rFonts w:cs="Times New Roman"/>
          <w:lang w:val="en-US"/>
        </w:rPr>
        <w:t>̌</w:t>
      </w:r>
      <w:r w:rsidRPr="00AB26D6">
        <w:rPr>
          <w:lang w:val="en-US"/>
        </w:rPr>
        <w:t>áková,</w:t>
      </w:r>
      <w:r>
        <w:rPr>
          <w:lang w:val="en-US"/>
        </w:rPr>
        <w:t xml:space="preserve"> I. (Eds.), Landscape Ecology – Methods, Applications and Interdis</w:t>
      </w:r>
      <w:r w:rsidRPr="00AB26D6">
        <w:rPr>
          <w:lang w:val="en-US"/>
        </w:rPr>
        <w:t>ciplinary Approach. Institute of Landscape Ecology Slovak Academy of Sciences, Bratislava, pp. 425–432.</w:t>
      </w:r>
    </w:p>
    <w:p w:rsidR="00AB26D6" w:rsidRDefault="00AB26D6" w:rsidP="00AB26D6">
      <w:pPr>
        <w:spacing w:line="264" w:lineRule="auto"/>
        <w:rPr>
          <w:lang w:val="de-DE"/>
        </w:rPr>
      </w:pPr>
    </w:p>
    <w:p w:rsidR="00AB26D6" w:rsidRPr="00AB26D6" w:rsidRDefault="00AB26D6" w:rsidP="00AB26D6">
      <w:pPr>
        <w:spacing w:line="264" w:lineRule="auto"/>
        <w:rPr>
          <w:lang w:val="en-US"/>
        </w:rPr>
      </w:pPr>
      <w:r w:rsidRPr="00AB26D6">
        <w:rPr>
          <w:lang w:val="de-DE"/>
        </w:rPr>
        <w:t xml:space="preserve">Bürgi, M., Hersperger, A.M., Schneeberger, N., 2005. </w:t>
      </w:r>
      <w:r w:rsidRPr="00AB26D6">
        <w:rPr>
          <w:lang w:val="en-US"/>
        </w:rPr>
        <w:t>Driving forces of landscape change – current and new directions. Landsc. Ecol. 19, 857–868.</w:t>
      </w:r>
    </w:p>
    <w:p w:rsidR="00AB26D6" w:rsidRDefault="00AB26D6" w:rsidP="00AB26D6">
      <w:pPr>
        <w:spacing w:line="264" w:lineRule="auto"/>
        <w:rPr>
          <w:lang w:val="en-US"/>
        </w:rPr>
      </w:pPr>
    </w:p>
    <w:p w:rsidR="00AB26D6" w:rsidRPr="00AB26D6" w:rsidRDefault="00AB26D6" w:rsidP="00AB26D6">
      <w:pPr>
        <w:spacing w:line="264" w:lineRule="auto"/>
        <w:rPr>
          <w:lang w:val="en-US"/>
        </w:rPr>
      </w:pPr>
      <w:r w:rsidRPr="00AB26D6">
        <w:rPr>
          <w:lang w:val="en-US"/>
        </w:rPr>
        <w:t>Cebecaurová, M., Cebecauer, T., 2008. Spatio-tempor</w:t>
      </w:r>
      <w:r>
        <w:rPr>
          <w:lang w:val="en-US"/>
        </w:rPr>
        <w:t>al trends of landscape develop</w:t>
      </w:r>
      <w:r w:rsidRPr="00AB26D6">
        <w:rPr>
          <w:lang w:val="en-US"/>
        </w:rPr>
        <w:t>ment in southwest part of Slovakia: analysis of major landscape change types. Ekológia. Int. J. Ecol. Probl. Biosph. 27, 212–228.</w:t>
      </w:r>
    </w:p>
    <w:p w:rsidR="00AB26D6" w:rsidRDefault="00AB26D6" w:rsidP="00AB26D6">
      <w:pPr>
        <w:spacing w:line="264" w:lineRule="auto"/>
        <w:rPr>
          <w:lang w:val="en-US"/>
        </w:rPr>
      </w:pPr>
    </w:p>
    <w:p w:rsidR="00AB26D6" w:rsidRPr="00AB26D6" w:rsidRDefault="00AB26D6" w:rsidP="00AB26D6">
      <w:pPr>
        <w:spacing w:line="264" w:lineRule="auto"/>
        <w:rPr>
          <w:lang w:val="en-US"/>
        </w:rPr>
      </w:pPr>
      <w:r>
        <w:rPr>
          <w:lang w:val="en-US"/>
        </w:rPr>
        <w:t>Chrastina, P., Boltiz</w:t>
      </w:r>
      <w:r>
        <w:rPr>
          <w:rFonts w:cs="Times New Roman"/>
          <w:lang w:val="en-US"/>
        </w:rPr>
        <w:t>̌</w:t>
      </w:r>
      <w:r w:rsidRPr="00AB26D6">
        <w:rPr>
          <w:lang w:val="en-US"/>
        </w:rPr>
        <w:t>iar, M., 2008. Zmeny kra</w:t>
      </w:r>
      <w:r>
        <w:rPr>
          <w:lang w:val="en-US"/>
        </w:rPr>
        <w:t>jiny Slovenskej enklávy Vel’ky´ Bánhedes</w:t>
      </w:r>
      <w:r>
        <w:rPr>
          <w:rFonts w:cs="Times New Roman"/>
          <w:lang w:val="en-US"/>
        </w:rPr>
        <w:t>̌</w:t>
      </w:r>
      <w:r>
        <w:rPr>
          <w:lang w:val="en-US"/>
        </w:rPr>
        <w:t xml:space="preserve"> Slovenc</w:t>
      </w:r>
      <w:r>
        <w:rPr>
          <w:rFonts w:cs="Times New Roman"/>
          <w:lang w:val="en-US"/>
        </w:rPr>
        <w:t>̌</w:t>
      </w:r>
      <w:r>
        <w:rPr>
          <w:lang w:val="en-US"/>
        </w:rPr>
        <w:t>ina v Mens</w:t>
      </w:r>
      <w:r>
        <w:rPr>
          <w:rFonts w:cs="Times New Roman"/>
          <w:lang w:val="en-US"/>
        </w:rPr>
        <w:t>̌</w:t>
      </w:r>
      <w:r>
        <w:rPr>
          <w:lang w:val="en-US"/>
        </w:rPr>
        <w:t>inovom Prostredí S</w:t>
      </w:r>
      <w:r>
        <w:rPr>
          <w:rFonts w:cs="Times New Roman"/>
          <w:lang w:val="en-US"/>
        </w:rPr>
        <w:t>̌</w:t>
      </w:r>
      <w:r w:rsidRPr="00AB26D6">
        <w:rPr>
          <w:lang w:val="en-US"/>
        </w:rPr>
        <w:t>túdie z</w:t>
      </w:r>
      <w:r>
        <w:rPr>
          <w:lang w:val="en-US"/>
        </w:rPr>
        <w:t xml:space="preserve"> Druhej Medzinárodnej Konferencie Vy´ skumného Ústavu Slovákov v Mad’arsku Békes</w:t>
      </w:r>
      <w:r>
        <w:rPr>
          <w:rFonts w:cs="Times New Roman"/>
          <w:lang w:val="en-US"/>
        </w:rPr>
        <w:t>̌</w:t>
      </w:r>
      <w:r>
        <w:rPr>
          <w:lang w:val="en-US"/>
        </w:rPr>
        <w:t xml:space="preserve">ská </w:t>
      </w:r>
      <w:r w:rsidRPr="00AB26D6">
        <w:rPr>
          <w:lang w:val="en-US"/>
        </w:rPr>
        <w:t>C</w:t>
      </w:r>
      <w:r>
        <w:rPr>
          <w:rFonts w:cs="Times New Roman"/>
          <w:lang w:val="en-US"/>
        </w:rPr>
        <w:t>̌</w:t>
      </w:r>
      <w:r>
        <w:rPr>
          <w:lang w:val="en-US"/>
        </w:rPr>
        <w:t xml:space="preserve"> aba 17–18.10.2007. Vy´ skumny´ </w:t>
      </w:r>
      <w:r w:rsidRPr="00AB26D6">
        <w:rPr>
          <w:lang w:val="en-US"/>
        </w:rPr>
        <w:t>ú</w:t>
      </w:r>
      <w:r>
        <w:rPr>
          <w:lang w:val="en-US"/>
        </w:rPr>
        <w:t>stav Slovákov v Mad’arsku Békes</w:t>
      </w:r>
      <w:r>
        <w:rPr>
          <w:rFonts w:cs="Times New Roman"/>
          <w:lang w:val="en-US"/>
        </w:rPr>
        <w:t>̌</w:t>
      </w:r>
      <w:r>
        <w:rPr>
          <w:lang w:val="en-US"/>
        </w:rPr>
        <w:t>ská C</w:t>
      </w:r>
      <w:r>
        <w:rPr>
          <w:rFonts w:cs="Times New Roman"/>
          <w:lang w:val="en-US"/>
        </w:rPr>
        <w:t>̌</w:t>
      </w:r>
      <w:r w:rsidRPr="00AB26D6">
        <w:rPr>
          <w:lang w:val="en-US"/>
        </w:rPr>
        <w:t xml:space="preserve"> aba, pp. 397–408 (in Slovak).</w:t>
      </w:r>
    </w:p>
    <w:p w:rsidR="00AB26D6" w:rsidRDefault="00AB26D6" w:rsidP="00AB26D6">
      <w:pPr>
        <w:spacing w:line="264" w:lineRule="auto"/>
        <w:rPr>
          <w:lang w:val="en-US"/>
        </w:rPr>
      </w:pPr>
    </w:p>
    <w:p w:rsidR="00AB26D6" w:rsidRPr="00AB26D6" w:rsidRDefault="00AB26D6" w:rsidP="00AB26D6">
      <w:pPr>
        <w:spacing w:line="264" w:lineRule="auto"/>
        <w:rPr>
          <w:lang w:val="en-US"/>
        </w:rPr>
      </w:pPr>
      <w:r>
        <w:rPr>
          <w:lang w:val="en-US"/>
        </w:rPr>
        <w:t>Chrastina, P., Boltiz</w:t>
      </w:r>
      <w:r>
        <w:rPr>
          <w:rFonts w:cs="Times New Roman"/>
          <w:lang w:val="en-US"/>
        </w:rPr>
        <w:t>̌</w:t>
      </w:r>
      <w:r>
        <w:rPr>
          <w:lang w:val="en-US"/>
        </w:rPr>
        <w:t>iar, M., 2010. Senváclav: Krajina–c</w:t>
      </w:r>
      <w:r>
        <w:rPr>
          <w:rFonts w:cs="Times New Roman"/>
          <w:lang w:val="en-US"/>
        </w:rPr>
        <w:t>̌</w:t>
      </w:r>
      <w:r>
        <w:rPr>
          <w:lang w:val="en-US"/>
        </w:rPr>
        <w:t>lovek–kultúra slovenskej enklávy vo Vys</w:t>
      </w:r>
      <w:r>
        <w:rPr>
          <w:rFonts w:cs="Times New Roman"/>
          <w:lang w:val="en-US"/>
        </w:rPr>
        <w:t>̌</w:t>
      </w:r>
      <w:r>
        <w:rPr>
          <w:lang w:val="en-US"/>
        </w:rPr>
        <w:t xml:space="preserve">egrádskych vrchoch. In: Viedermann, E. (Ed.), Studia </w:t>
      </w:r>
      <w:r w:rsidRPr="00AB26D6">
        <w:rPr>
          <w:lang w:val="en-US"/>
        </w:rPr>
        <w:t>Historica Nitriensia. Filozo</w:t>
      </w:r>
      <w:r w:rsidRPr="00AB26D6">
        <w:rPr>
          <w:lang w:val="de-DE"/>
        </w:rPr>
        <w:t>ﬁ</w:t>
      </w:r>
      <w:r>
        <w:rPr>
          <w:lang w:val="en-US"/>
        </w:rPr>
        <w:t>cká fakulta Univerzity Kons</w:t>
      </w:r>
      <w:r>
        <w:rPr>
          <w:rFonts w:cs="Times New Roman"/>
          <w:lang w:val="en-US"/>
        </w:rPr>
        <w:t>̌</w:t>
      </w:r>
      <w:r w:rsidRPr="00AB26D6">
        <w:rPr>
          <w:lang w:val="en-US"/>
        </w:rPr>
        <w:t>tantína Filozofa v Nitre Nitra, pp. 53–86 (in Slovak).</w:t>
      </w:r>
    </w:p>
    <w:p w:rsidR="00AB26D6" w:rsidRDefault="00AB26D6" w:rsidP="00AB26D6">
      <w:pPr>
        <w:spacing w:line="264" w:lineRule="auto"/>
        <w:rPr>
          <w:lang w:val="en-US"/>
        </w:rPr>
      </w:pPr>
    </w:p>
    <w:p w:rsidR="00AB26D6" w:rsidRPr="00AB26D6" w:rsidRDefault="00AB26D6" w:rsidP="00AB26D6">
      <w:pPr>
        <w:spacing w:line="264" w:lineRule="auto"/>
        <w:rPr>
          <w:lang w:val="en-US"/>
        </w:rPr>
      </w:pPr>
      <w:r w:rsidRPr="00AB26D6">
        <w:rPr>
          <w:lang w:val="en-US"/>
        </w:rPr>
        <w:t>Cioroianu, A., 2007. Pe umerii lui Marx O introducere în istoria comunismului româ- nesc. Curtea Veche, Bucuresti (in Romanian).</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AB26D6">
        <w:rPr>
          <w:lang w:val="en-US"/>
        </w:rPr>
        <w:t>Csaki, C., Jambor, S., 2009. The diversity of effects of EU membership on agriculture in New Member States. Policy Stud. Rural Transition, 4. FAO, pp. 44.</w:t>
      </w:r>
    </w:p>
    <w:p w:rsidR="00AB26D6" w:rsidRPr="00AB26D6" w:rsidRDefault="00AB26D6" w:rsidP="00AB26D6">
      <w:pPr>
        <w:spacing w:line="264" w:lineRule="auto"/>
        <w:rPr>
          <w:lang w:val="en-US"/>
        </w:rPr>
      </w:pPr>
    </w:p>
    <w:p w:rsidR="00AB26D6" w:rsidRPr="00AB26D6" w:rsidRDefault="00AB26D6" w:rsidP="00AB26D6">
      <w:pPr>
        <w:spacing w:line="264" w:lineRule="auto"/>
        <w:rPr>
          <w:lang w:val="en-US"/>
        </w:rPr>
      </w:pPr>
      <w:r w:rsidRPr="00AB26D6">
        <w:rPr>
          <w:lang w:val="en-US"/>
        </w:rPr>
        <w:t>Dec, M., Kaszta, Z˙ ., Korzeniowska, K., Podsada, A., Sobczyszyn-Z˙ mudz´ , S., Wojtowicz, A., Zimna, E., Ostapowicz, K., 2009. Land use c</w:t>
      </w:r>
      <w:r w:rsidR="00861A7B">
        <w:rPr>
          <w:lang w:val="en-US"/>
        </w:rPr>
        <w:t>hanges in three Carpathian com</w:t>
      </w:r>
      <w:r w:rsidRPr="00AB26D6">
        <w:rPr>
          <w:lang w:val="en-US"/>
        </w:rPr>
        <w:t>munes (Niedz´ wiedz´ , Szczawnica Trzciana) in the sec</w:t>
      </w:r>
      <w:r w:rsidR="00861A7B">
        <w:rPr>
          <w:lang w:val="en-US"/>
        </w:rPr>
        <w:t>ond part of 20th century. Arch.</w:t>
      </w:r>
      <w:r w:rsidRPr="00AB26D6">
        <w:rPr>
          <w:lang w:val="en-US"/>
        </w:rPr>
        <w:t xml:space="preserve"> Fotogram. </w:t>
      </w:r>
      <w:r w:rsidR="00861A7B">
        <w:rPr>
          <w:lang w:val="en-US"/>
        </w:rPr>
        <w:t xml:space="preserve">i Teledetekcji </w:t>
      </w:r>
      <w:r w:rsidRPr="00AB26D6">
        <w:rPr>
          <w:lang w:val="en-US"/>
        </w:rPr>
        <w:t>20, 81–89.</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AB26D6">
        <w:rPr>
          <w:lang w:val="en-US"/>
        </w:rPr>
        <w:t>DeFries, R.S., Foley, J.A., Asner, G.P., 2004. Land-use choices: balancing human needs and ecosystem function in a nutshell. Front. Ecol. 2, 249–257.</w:t>
      </w:r>
    </w:p>
    <w:p w:rsidR="00861A7B" w:rsidRDefault="00861A7B" w:rsidP="00AB26D6">
      <w:pPr>
        <w:spacing w:line="264" w:lineRule="auto"/>
        <w:rPr>
          <w:lang w:val="en-US"/>
        </w:rPr>
      </w:pPr>
    </w:p>
    <w:p w:rsidR="00AB26D6" w:rsidRPr="00AB26D6" w:rsidRDefault="00861A7B" w:rsidP="00AB26D6">
      <w:pPr>
        <w:spacing w:line="264" w:lineRule="auto"/>
        <w:rPr>
          <w:lang w:val="en-US"/>
        </w:rPr>
      </w:pPr>
      <w:r>
        <w:rPr>
          <w:lang w:val="en-US"/>
        </w:rPr>
        <w:t>Demek, J., Havlíc</w:t>
      </w:r>
      <w:r>
        <w:rPr>
          <w:rFonts w:cs="Times New Roman"/>
          <w:lang w:val="en-US"/>
        </w:rPr>
        <w:t>̌</w:t>
      </w:r>
      <w:r>
        <w:rPr>
          <w:lang w:val="en-US"/>
        </w:rPr>
        <w:t>ek, M., Chrudina, Z., Mackovc</w:t>
      </w:r>
      <w:r>
        <w:rPr>
          <w:rFonts w:cs="Times New Roman"/>
          <w:lang w:val="en-US"/>
        </w:rPr>
        <w:t>̌</w:t>
      </w:r>
      <w:r w:rsidR="00AB26D6" w:rsidRPr="00AB26D6">
        <w:rPr>
          <w:lang w:val="en-US"/>
        </w:rPr>
        <w:t>in, P., 2008. Changes in land-use and the river network o</w:t>
      </w:r>
      <w:r>
        <w:rPr>
          <w:lang w:val="en-US"/>
        </w:rPr>
        <w:t xml:space="preserve">f the Graben Dyjsko-svratecky´ </w:t>
      </w:r>
      <w:r w:rsidR="00AB26D6" w:rsidRPr="00AB26D6">
        <w:rPr>
          <w:lang w:val="en-US"/>
        </w:rPr>
        <w:t>úval (Czech Republic) in the last 242 years. J. Landsc. Ecol. 1, 22–51.</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AB26D6">
        <w:rPr>
          <w:lang w:val="en-US"/>
        </w:rPr>
        <w:t>Drgona, V., 2004. Assessment of the landscape us</w:t>
      </w:r>
      <w:r w:rsidR="00861A7B">
        <w:rPr>
          <w:lang w:val="en-US"/>
        </w:rPr>
        <w:t xml:space="preserve">e changes in the city of Nitra. </w:t>
      </w:r>
      <w:r w:rsidRPr="00AB26D6">
        <w:rPr>
          <w:lang w:val="en-US"/>
        </w:rPr>
        <w:t>Ekológia. Int. J. Ecol. Probl. Biosph. 23, 385–392.</w:t>
      </w:r>
    </w:p>
    <w:p w:rsidR="00AB26D6" w:rsidRPr="00AB26D6" w:rsidRDefault="00AB26D6" w:rsidP="00AB26D6">
      <w:pPr>
        <w:spacing w:line="264" w:lineRule="auto"/>
        <w:rPr>
          <w:lang w:val="en-US"/>
        </w:rPr>
      </w:pPr>
      <w:r w:rsidRPr="00AB26D6">
        <w:rPr>
          <w:lang w:val="en-US"/>
        </w:rPr>
        <w:t>Feranec, J., Ot’ahel’, J., 2008. Land cover changes in Slovakia in the period 1</w:t>
      </w:r>
      <w:r w:rsidR="00861A7B">
        <w:rPr>
          <w:lang w:val="en-US"/>
        </w:rPr>
        <w:t>970–2000. Geogr. c</w:t>
      </w:r>
      <w:r w:rsidR="00861A7B">
        <w:rPr>
          <w:rFonts w:cs="Times New Roman"/>
          <w:lang w:val="en-US"/>
        </w:rPr>
        <w:t>̌</w:t>
      </w:r>
      <w:r w:rsidRPr="00AB26D6">
        <w:rPr>
          <w:lang w:val="en-US"/>
        </w:rPr>
        <w:t>asopis 60, 113–128.</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AB26D6">
        <w:rPr>
          <w:lang w:val="en-US"/>
        </w:rPr>
        <w:t>Feranec, J., Ot’ahel, J., 2009. Land cover/land use change research and mapping in Slovakia. Geogr. Slovaca 26, 169–190.</w:t>
      </w:r>
    </w:p>
    <w:p w:rsidR="00861A7B" w:rsidRDefault="00861A7B" w:rsidP="00AB26D6">
      <w:pPr>
        <w:spacing w:line="264" w:lineRule="auto"/>
        <w:rPr>
          <w:lang w:val="en-US"/>
        </w:rPr>
      </w:pPr>
    </w:p>
    <w:p w:rsidR="00AB26D6" w:rsidRPr="00AB26D6" w:rsidRDefault="00861A7B" w:rsidP="00AB26D6">
      <w:pPr>
        <w:spacing w:line="264" w:lineRule="auto"/>
        <w:rPr>
          <w:lang w:val="en-US"/>
        </w:rPr>
      </w:pPr>
      <w:r>
        <w:rPr>
          <w:lang w:val="en-US"/>
        </w:rPr>
        <w:t>Feranec, J., S</w:t>
      </w:r>
      <w:r>
        <w:rPr>
          <w:rFonts w:cs="Times New Roman"/>
          <w:lang w:val="en-US"/>
        </w:rPr>
        <w:t>̌</w:t>
      </w:r>
      <w:r>
        <w:rPr>
          <w:lang w:val="en-US"/>
        </w:rPr>
        <w:t>úri, M., Ot’ahel’, J., Cebecauer, T., Kolár</w:t>
      </w:r>
      <w:r>
        <w:rPr>
          <w:rFonts w:cs="Times New Roman"/>
          <w:lang w:val="en-US"/>
        </w:rPr>
        <w:t>̌</w:t>
      </w:r>
      <w:r>
        <w:rPr>
          <w:lang w:val="en-US"/>
        </w:rPr>
        <w:t>, J., Soukup, T., Zden</w:t>
      </w:r>
      <w:r>
        <w:rPr>
          <w:rFonts w:cs="Times New Roman"/>
          <w:lang w:val="en-US"/>
        </w:rPr>
        <w:t>̌</w:t>
      </w:r>
      <w:r w:rsidR="00AB26D6" w:rsidRPr="00AB26D6">
        <w:rPr>
          <w:lang w:val="en-US"/>
        </w:rPr>
        <w:t xml:space="preserve"> k</w:t>
      </w:r>
      <w:r>
        <w:rPr>
          <w:lang w:val="en-US"/>
        </w:rPr>
        <w:t xml:space="preserve">ová, </w:t>
      </w:r>
      <w:r w:rsidR="00AB26D6" w:rsidRPr="00AB26D6">
        <w:rPr>
          <w:lang w:val="en-US"/>
        </w:rPr>
        <w:t>D.,</w:t>
      </w:r>
    </w:p>
    <w:p w:rsidR="00AB26D6" w:rsidRPr="00AB26D6" w:rsidRDefault="00AB26D6" w:rsidP="00AB26D6">
      <w:pPr>
        <w:spacing w:line="264" w:lineRule="auto"/>
        <w:rPr>
          <w:lang w:val="en-US"/>
        </w:rPr>
      </w:pPr>
      <w:r w:rsidRPr="00AB26D6">
        <w:rPr>
          <w:lang w:val="en-US"/>
        </w:rPr>
        <w:t>Waszmuth, J., Vâjdea, V., Vîjdea, A.M., Nitica, C.,</w:t>
      </w:r>
      <w:r w:rsidR="00861A7B">
        <w:rPr>
          <w:lang w:val="en-US"/>
        </w:rPr>
        <w:t xml:space="preserve"> 2000. Inventory of major land</w:t>
      </w:r>
      <w:r w:rsidRPr="00AB26D6">
        <w:rPr>
          <w:lang w:val="en-US"/>
        </w:rPr>
        <w:t>scape changes in the Czech Republic, Hungary, Romania and Slovak Republic 1970s–1990s. Int. J. Appl. Earth Obs. Geoinf. 2, 129–139.</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AB26D6">
        <w:rPr>
          <w:lang w:val="en-US"/>
        </w:rPr>
        <w:t>Feurdean, A.N., 2010. Forest conservation in a changing world: natural or cultural? Example from the Western Carpathians fores</w:t>
      </w:r>
      <w:r w:rsidR="00861A7B">
        <w:rPr>
          <w:lang w:val="en-US"/>
        </w:rPr>
        <w:t>ts, Romania. Stud. Univ. Babes-</w:t>
      </w:r>
      <w:r w:rsidRPr="00AB26D6">
        <w:rPr>
          <w:lang w:val="en-US"/>
        </w:rPr>
        <w:t>Bolyai, Geol. 55, 45–48.</w:t>
      </w:r>
    </w:p>
    <w:p w:rsidR="00861A7B" w:rsidRDefault="00861A7B" w:rsidP="00AB26D6">
      <w:pPr>
        <w:spacing w:line="264" w:lineRule="auto"/>
        <w:rPr>
          <w:lang w:val="en-US"/>
        </w:rPr>
      </w:pPr>
    </w:p>
    <w:p w:rsidR="00AB26D6" w:rsidRPr="00AB26D6" w:rsidRDefault="00861A7B" w:rsidP="00AB26D6">
      <w:pPr>
        <w:spacing w:line="264" w:lineRule="auto"/>
        <w:rPr>
          <w:lang w:val="en-US"/>
        </w:rPr>
      </w:pPr>
      <w:r>
        <w:rPr>
          <w:lang w:val="en-US"/>
        </w:rPr>
        <w:t xml:space="preserve">Foley, J.A., DeFries, R.S., Asner, G.P., Barford, C., Bonan, G., Carpenter, S.R., </w:t>
      </w:r>
      <w:r w:rsidR="00AB26D6" w:rsidRPr="00AB26D6">
        <w:rPr>
          <w:lang w:val="en-US"/>
        </w:rPr>
        <w:t>Chapin, F.S., Coe, M.T., Daily, G.C., Gibbs, H.K., Helkowski, J.H., Holloway, T., Howard, E.A., Kucharik, C.J., Monfreda, C., Patz, J.A., Prentice, I.C., Ramankutty, N., Snyder, P.K., 2005. Global conse</w:t>
      </w:r>
      <w:r>
        <w:rPr>
          <w:lang w:val="en-US"/>
        </w:rPr>
        <w:t>quences of land use. Science 80</w:t>
      </w:r>
      <w:r w:rsidR="00AB26D6" w:rsidRPr="00AB26D6">
        <w:rPr>
          <w:lang w:val="en-US"/>
        </w:rPr>
        <w:t xml:space="preserve"> (309), 570–574.</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861A7B">
        <w:rPr>
          <w:lang w:val="de-DE"/>
        </w:rPr>
        <w:t xml:space="preserve">Foster, D.R., Swanson, F.J., Aber, J., Burke, I., Brokaw, N., Tilman, D., Knapp, A., 2003. </w:t>
      </w:r>
      <w:r w:rsidRPr="00AB26D6">
        <w:rPr>
          <w:lang w:val="en-US"/>
        </w:rPr>
        <w:t>The importance of land-use legacies to ecology and conservation. Bioscience 53, 77–88.</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AB26D6">
        <w:rPr>
          <w:lang w:val="en-US"/>
        </w:rPr>
        <w:t>Kilianová, H., Pechanec, V., Zapletalová, Z., 2008. Land use changes of agriculture landsca</w:t>
      </w:r>
      <w:r w:rsidR="00861A7B">
        <w:rPr>
          <w:lang w:val="en-US"/>
        </w:rPr>
        <w:t>pe in Trkmanka catchment. In: S</w:t>
      </w:r>
      <w:r w:rsidR="00861A7B">
        <w:rPr>
          <w:rFonts w:cs="Times New Roman"/>
          <w:lang w:val="en-US"/>
        </w:rPr>
        <w:t>̌</w:t>
      </w:r>
      <w:r w:rsidR="00861A7B">
        <w:rPr>
          <w:lang w:val="en-US"/>
        </w:rPr>
        <w:t>pulerová, J., Hrnc</w:t>
      </w:r>
      <w:r w:rsidR="00861A7B">
        <w:rPr>
          <w:rFonts w:cs="Times New Roman"/>
          <w:lang w:val="en-US"/>
        </w:rPr>
        <w:t>̌</w:t>
      </w:r>
      <w:r w:rsidR="00861A7B">
        <w:rPr>
          <w:lang w:val="en-US"/>
        </w:rPr>
        <w:t>iarová, T. (Eds.), Biodi</w:t>
      </w:r>
      <w:r w:rsidRPr="00AB26D6">
        <w:rPr>
          <w:lang w:val="en-US"/>
        </w:rPr>
        <w:t>versity of Agricultural Landscape. Institute of Landscape</w:t>
      </w:r>
      <w:r w:rsidR="00861A7B">
        <w:rPr>
          <w:lang w:val="en-US"/>
        </w:rPr>
        <w:t xml:space="preserve"> Ecology SAS, Bratislava, pp. </w:t>
      </w:r>
      <w:r w:rsidRPr="00AB26D6">
        <w:rPr>
          <w:lang w:val="en-US"/>
        </w:rPr>
        <w:t>199–205.</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861A7B">
        <w:rPr>
          <w:lang w:val="de-DE"/>
        </w:rPr>
        <w:t xml:space="preserve">Konkoly-Gyuró, E., Jombach, S., Tatai, Z., 2007. </w:t>
      </w:r>
      <w:r w:rsidRPr="00AB26D6">
        <w:rPr>
          <w:lang w:val="en-US"/>
        </w:rPr>
        <w:t>Indicators for landscape iden</w:t>
      </w:r>
      <w:r w:rsidR="00861A7B">
        <w:rPr>
          <w:lang w:val="en-US"/>
        </w:rPr>
        <w:t xml:space="preserve">tity: </w:t>
      </w:r>
      <w:r w:rsidRPr="00AB26D6">
        <w:rPr>
          <w:lang w:val="en-US"/>
        </w:rPr>
        <w:t>a novel social sustainability impact issue Basic source: Cori</w:t>
      </w:r>
      <w:r w:rsidR="00861A7B">
        <w:rPr>
          <w:lang w:val="en-US"/>
        </w:rPr>
        <w:t xml:space="preserve">ne Land Cover Database. Sens. Newslett. </w:t>
      </w:r>
      <w:r w:rsidRPr="00AB26D6">
        <w:rPr>
          <w:lang w:val="en-US"/>
        </w:rPr>
        <w:t>5, 8–10.</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AB26D6">
        <w:rPr>
          <w:lang w:val="en-US"/>
        </w:rPr>
        <w:t>Korjyk, V., 2001. Lisystist Bukoviny yak funktsia antropogenizacii dovkillya in Ukrainian. Nauk. Visnyk Chernivetskogo Univ. Ser. Geogr. 104, pp. 36–60.</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AB26D6">
        <w:rPr>
          <w:lang w:val="en-US"/>
        </w:rPr>
        <w:t>Kozak, I., 1994. Ekologichni osoblyvosti typovyh biogeocenotichnyh kompkleksiv. In: Antropogenni Zminy Biogeocenotichnogo Pokrivu v Karpatskomu Regioni. Golubets, Kyiv, pp. 166 (in Ukrainian).</w:t>
      </w:r>
    </w:p>
    <w:p w:rsidR="00861A7B" w:rsidRDefault="00861A7B" w:rsidP="00AB26D6">
      <w:pPr>
        <w:spacing w:line="264" w:lineRule="auto"/>
        <w:rPr>
          <w:lang w:val="de-DE"/>
        </w:rPr>
      </w:pPr>
    </w:p>
    <w:p w:rsidR="00AB26D6" w:rsidRPr="00AB26D6" w:rsidRDefault="00AB26D6" w:rsidP="00AB26D6">
      <w:pPr>
        <w:spacing w:line="264" w:lineRule="auto"/>
        <w:rPr>
          <w:lang w:val="en-US"/>
        </w:rPr>
      </w:pPr>
      <w:r w:rsidRPr="00AB26D6">
        <w:rPr>
          <w:lang w:val="de-DE"/>
        </w:rPr>
        <w:t xml:space="preserve">Gehlbach, S., Malesky, E.J., 2010. </w:t>
      </w:r>
      <w:r w:rsidRPr="00AB26D6">
        <w:rPr>
          <w:lang w:val="en-US"/>
        </w:rPr>
        <w:t>The Grand Experiment That Wasn’t? New Institu- tional Economics and the Postcommunist Experience. Working Paper.</w:t>
      </w:r>
    </w:p>
    <w:p w:rsidR="00AB26D6" w:rsidRPr="00AB26D6" w:rsidRDefault="00AB26D6" w:rsidP="00AB26D6">
      <w:pPr>
        <w:spacing w:line="264" w:lineRule="auto"/>
        <w:rPr>
          <w:lang w:val="en-US"/>
        </w:rPr>
      </w:pPr>
      <w:r w:rsidRPr="00AB26D6">
        <w:rPr>
          <w:lang w:val="en-US"/>
        </w:rPr>
        <w:t>Geist, H.J., Lambin, E.F., 2002. Proximate causes and underlying driving forces of tropica</w:t>
      </w:r>
      <w:r w:rsidR="00861A7B">
        <w:rPr>
          <w:lang w:val="en-US"/>
        </w:rPr>
        <w:t>l deforestation. Bioscience 52,</w:t>
      </w:r>
      <w:r w:rsidRPr="00AB26D6">
        <w:rPr>
          <w:lang w:val="en-US"/>
        </w:rPr>
        <w:t xml:space="preserve"> 143.</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AB26D6">
        <w:rPr>
          <w:lang w:val="en-US"/>
        </w:rPr>
        <w:t>Geist, H.J., Lambin, E.F., 2004. Dynamic causal patterns of deserti</w:t>
      </w:r>
      <w:r w:rsidRPr="00AB26D6">
        <w:rPr>
          <w:lang w:val="de-DE"/>
        </w:rPr>
        <w:t>ﬁ</w:t>
      </w:r>
      <w:r w:rsidR="00861A7B">
        <w:rPr>
          <w:lang w:val="en-US"/>
        </w:rPr>
        <w:t xml:space="preserve">cation. Bioscience 54, </w:t>
      </w:r>
      <w:r w:rsidRPr="00AB26D6">
        <w:rPr>
          <w:lang w:val="en-US"/>
        </w:rPr>
        <w:t>817–829.</w:t>
      </w:r>
    </w:p>
    <w:p w:rsidR="00861A7B" w:rsidRDefault="00861A7B" w:rsidP="00AB26D6">
      <w:pPr>
        <w:spacing w:line="264" w:lineRule="auto"/>
        <w:rPr>
          <w:lang w:val="en-US"/>
        </w:rPr>
      </w:pPr>
    </w:p>
    <w:p w:rsidR="00AB26D6" w:rsidRPr="00AB26D6" w:rsidRDefault="00861A7B" w:rsidP="00AB26D6">
      <w:pPr>
        <w:spacing w:line="264" w:lineRule="auto"/>
        <w:rPr>
          <w:lang w:val="en-US"/>
        </w:rPr>
      </w:pPr>
      <w:r>
        <w:rPr>
          <w:lang w:val="en-US"/>
        </w:rPr>
        <w:t xml:space="preserve">Gerard, F., Bugár, G., Gregor, M., </w:t>
      </w:r>
      <w:r w:rsidR="00AB26D6" w:rsidRPr="00AB26D6">
        <w:rPr>
          <w:lang w:val="en-US"/>
        </w:rPr>
        <w:t>Hala</w:t>
      </w:r>
      <w:r>
        <w:rPr>
          <w:lang w:val="en-US"/>
        </w:rPr>
        <w:t>da, L., Hazeu, G., Huiti, H., Köhler, R., Kolár</w:t>
      </w:r>
      <w:r>
        <w:rPr>
          <w:rFonts w:cs="Times New Roman"/>
          <w:lang w:val="en-US"/>
        </w:rPr>
        <w:t>̌</w:t>
      </w:r>
      <w:r>
        <w:rPr>
          <w:lang w:val="en-US"/>
        </w:rPr>
        <w:t>, J., Luque, S., M</w:t>
      </w:r>
      <w:r>
        <w:rPr>
          <w:rFonts w:cs="Times New Roman"/>
          <w:lang w:val="en-US"/>
        </w:rPr>
        <w:t>ă</w:t>
      </w:r>
      <w:r>
        <w:rPr>
          <w:lang w:val="en-US"/>
        </w:rPr>
        <w:t xml:space="preserve">l’cher, C., Olschofsky, K., Petit, S., Pino, J., Smith, G., </w:t>
      </w:r>
      <w:r w:rsidR="00AB26D6" w:rsidRPr="00AB26D6">
        <w:rPr>
          <w:lang w:val="en-US"/>
        </w:rPr>
        <w:t>Thomson, A., W</w:t>
      </w:r>
      <w:r>
        <w:rPr>
          <w:lang w:val="en-US"/>
        </w:rPr>
        <w:t>achowicz, M., Bezák, P., Boltiz</w:t>
      </w:r>
      <w:r>
        <w:rPr>
          <w:rFonts w:cs="Times New Roman"/>
          <w:lang w:val="en-US"/>
        </w:rPr>
        <w:t>̌</w:t>
      </w:r>
      <w:r w:rsidR="00AB26D6" w:rsidRPr="00AB26D6">
        <w:rPr>
          <w:lang w:val="en-US"/>
        </w:rPr>
        <w:t>iar, M., De B</w:t>
      </w:r>
      <w:r>
        <w:rPr>
          <w:lang w:val="en-US"/>
        </w:rPr>
        <w:t xml:space="preserve">adts, E., Halabuk, A., Manchester, S., </w:t>
      </w:r>
      <w:r w:rsidR="00AB26D6" w:rsidRPr="00AB26D6">
        <w:rPr>
          <w:lang w:val="en-US"/>
        </w:rPr>
        <w:t>Mojse</w:t>
      </w:r>
      <w:r>
        <w:rPr>
          <w:lang w:val="en-US"/>
        </w:rPr>
        <w:t>s, M., Petrovic</w:t>
      </w:r>
      <w:r>
        <w:rPr>
          <w:rFonts w:cs="Times New Roman"/>
          <w:lang w:val="en-US"/>
        </w:rPr>
        <w:t>̌</w:t>
      </w:r>
      <w:r>
        <w:rPr>
          <w:lang w:val="en-US"/>
        </w:rPr>
        <w:t xml:space="preserve">, F., Roda, F., Roscher, M., Tuominen, S., Ziese, </w:t>
      </w:r>
      <w:r w:rsidR="00AB26D6" w:rsidRPr="00AB26D6">
        <w:rPr>
          <w:lang w:val="en-US"/>
        </w:rPr>
        <w:t>H., 2006a. BIOPRESS Final report, sections 5 and 6: Jan 2003–Dec 2005, EC-FPV Contract.</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AB26D6">
        <w:rPr>
          <w:lang w:val="en-US"/>
        </w:rPr>
        <w:t>Gerard, F., Petit, S., Smith, G., Thomson, A., Brown, N., Manchester, S., Wadsworth, R., Bugár, G.</w:t>
      </w:r>
      <w:r w:rsidR="00861A7B">
        <w:rPr>
          <w:lang w:val="en-US"/>
        </w:rPr>
        <w:t>, Halada, L., Bezak, P., Boltiz</w:t>
      </w:r>
      <w:r w:rsidR="00861A7B">
        <w:rPr>
          <w:rFonts w:cs="Times New Roman"/>
          <w:lang w:val="en-US"/>
        </w:rPr>
        <w:t>̌</w:t>
      </w:r>
      <w:r w:rsidRPr="00AB26D6">
        <w:rPr>
          <w:lang w:val="en-US"/>
        </w:rPr>
        <w:t>iar, M., De badts, E., Halabuk, A., Mojses, M., Petrovicˇ, F., Gregor, M., Hazeu, G., Mucher, C., W</w:t>
      </w:r>
      <w:r w:rsidR="00861A7B">
        <w:rPr>
          <w:lang w:val="en-US"/>
        </w:rPr>
        <w:t>achowicz, a., Huitu, M., Tuomi</w:t>
      </w:r>
      <w:r w:rsidRPr="00AB26D6">
        <w:rPr>
          <w:lang w:val="en-US"/>
        </w:rPr>
        <w:t>nen, H., Kohler, S., Olschofsky, R., Ziese, K., Kolar, H., Sustera, J., Luque, J., Pino, S., Pons, J., Roda, X., Roscher, F., Feranec, M.J., 2010. Land cover change in Europe between 1950 and 2000 determined employing aerial p</w:t>
      </w:r>
      <w:r w:rsidR="00861A7B">
        <w:rPr>
          <w:lang w:val="en-US"/>
        </w:rPr>
        <w:t xml:space="preserve">hotography. Prog. Phys. Geogr. 34, </w:t>
      </w:r>
      <w:r w:rsidRPr="00AB26D6">
        <w:rPr>
          <w:lang w:val="en-US"/>
        </w:rPr>
        <w:t>183–205.</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AB26D6">
        <w:rPr>
          <w:lang w:val="en-US"/>
        </w:rPr>
        <w:t>Gerard, F., Thomson, A., Wadsworth, R., Gregor, M., Luque, S., Sandra, L., Huitu, H., Köhler, R., Olschofsky, K., Hazeu, G., Mucher, S., Halada, L., Bugár, G., Pino, J., 2006b. Land cover change in Europe from the 1950ies to 2000 Aerial photo interpretation and derived statistics from 59 samples distributed across Europe. Institute for World For</w:t>
      </w:r>
      <w:r w:rsidR="00861A7B">
        <w:rPr>
          <w:lang w:val="en-US"/>
        </w:rPr>
        <w:t xml:space="preserve">estry. University of Hamburg, </w:t>
      </w:r>
      <w:r w:rsidRPr="00AB26D6">
        <w:rPr>
          <w:lang w:val="en-US"/>
        </w:rPr>
        <w:t>Hamburg.</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AB26D6">
        <w:rPr>
          <w:lang w:val="en-US"/>
        </w:rPr>
        <w:t>Goldewijk, K.K., 2001. Estimating global land use change over the past 300 years: The HYDE Database. Global Biogeochem. Cycles 15, 417.</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AB26D6">
        <w:rPr>
          <w:lang w:val="en-US"/>
        </w:rPr>
        <w:t>Grekov, S., 2002. Do suchasnoi dynamiki silskogospodarskogo zemlekoristuvannya v Karpato-Podilskomu regioni. Nauk. zapysky Ternoilskogo derjavnogo Pedagog. Univ. Ser. Geogr. 138, 154–161 (in Ukrainian).</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AB26D6">
        <w:rPr>
          <w:lang w:val="en-US"/>
        </w:rPr>
        <w:t>Grif</w:t>
      </w:r>
      <w:r w:rsidRPr="00AB26D6">
        <w:rPr>
          <w:lang w:val="de-DE"/>
        </w:rPr>
        <w:t>ﬁ</w:t>
      </w:r>
      <w:r w:rsidRPr="00AB26D6">
        <w:rPr>
          <w:lang w:val="en-US"/>
        </w:rPr>
        <w:t>ths, P., Kuemmerle, T., Baumann, M., Radeloff, V.C., Abrudan, I.V., Lieskovsky´ , J., Munteanu, C., Ostapowicz, K., Hostert, P., 2014. Forest disturbances, forest recover, and changes in forest types across the Carpathian ecoregion from  1985 to 2010 based on Landsat image composites Remote Sens. Environ., http://dx.doi.org/10.1016/j.rse.2013.04.022 (in press).</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AB26D6">
        <w:rPr>
          <w:lang w:val="en-US"/>
        </w:rPr>
        <w:t>Grozavu, A., Marginit, M., Niculita, C., 2012. The dynamics of land use in the middle sector of the Moldova river drainage basin (Eastern Carpathi</w:t>
      </w:r>
      <w:r w:rsidR="00861A7B">
        <w:rPr>
          <w:lang w:val="en-US"/>
        </w:rPr>
        <w:t>ans, Romania). In: Boltiz</w:t>
      </w:r>
      <w:r w:rsidR="00861A7B">
        <w:rPr>
          <w:rFonts w:cs="Times New Roman"/>
          <w:lang w:val="en-US"/>
        </w:rPr>
        <w:t>̌</w:t>
      </w:r>
      <w:r w:rsidR="00861A7B">
        <w:rPr>
          <w:lang w:val="en-US"/>
        </w:rPr>
        <w:t>iar, M. (Ed.), Conference Abstracts of the</w:t>
      </w:r>
      <w:r w:rsidRPr="00AB26D6">
        <w:rPr>
          <w:lang w:val="en-US"/>
        </w:rPr>
        <w:t xml:space="preserve"> 2nd  Forum  Carpaticum.  From Data to Knowledge, from Knowledge to Action. Slovak A</w:t>
      </w:r>
      <w:r w:rsidR="00861A7B">
        <w:rPr>
          <w:lang w:val="en-US"/>
        </w:rPr>
        <w:t>cademy of Sciences, Bratislava,</w:t>
      </w:r>
      <w:r w:rsidRPr="00AB26D6">
        <w:rPr>
          <w:lang w:val="en-US"/>
        </w:rPr>
        <w:t xml:space="preserve"> p. 214.</w:t>
      </w:r>
    </w:p>
    <w:p w:rsidR="00AB26D6" w:rsidRPr="00AB26D6" w:rsidRDefault="00AB26D6" w:rsidP="00AB26D6">
      <w:pPr>
        <w:spacing w:line="264" w:lineRule="auto"/>
        <w:rPr>
          <w:lang w:val="en-US"/>
        </w:rPr>
      </w:pPr>
      <w:r w:rsidRPr="00AB26D6">
        <w:rPr>
          <w:lang w:val="de-DE"/>
        </w:rPr>
        <w:t xml:space="preserve">Hansen, M.C., Stehman, S.V., Potapov, P.V., 2010. </w:t>
      </w:r>
      <w:r w:rsidRPr="00AB26D6">
        <w:rPr>
          <w:lang w:val="en-US"/>
        </w:rPr>
        <w:t>Quanti</w:t>
      </w:r>
      <w:r w:rsidRPr="00AB26D6">
        <w:rPr>
          <w:lang w:val="de-DE"/>
        </w:rPr>
        <w:t>ﬁ</w:t>
      </w:r>
      <w:r w:rsidRPr="00AB26D6">
        <w:rPr>
          <w:lang w:val="en-US"/>
        </w:rPr>
        <w:t>cation of global gross forest cover loss. Proc. Natl. Acad. Sci. U. S. A. 107, 8650–8655.</w:t>
      </w:r>
    </w:p>
    <w:p w:rsidR="00861A7B" w:rsidRDefault="00861A7B" w:rsidP="00AB26D6">
      <w:pPr>
        <w:spacing w:line="264" w:lineRule="auto"/>
        <w:rPr>
          <w:lang w:val="en-US"/>
        </w:rPr>
      </w:pPr>
    </w:p>
    <w:p w:rsidR="00AB26D6" w:rsidRPr="00AB26D6" w:rsidRDefault="00861A7B" w:rsidP="00AB26D6">
      <w:pPr>
        <w:spacing w:line="264" w:lineRule="auto"/>
        <w:rPr>
          <w:lang w:val="en-US"/>
        </w:rPr>
      </w:pPr>
      <w:r>
        <w:rPr>
          <w:lang w:val="en-US"/>
        </w:rPr>
        <w:t>Havlíc</w:t>
      </w:r>
      <w:r>
        <w:rPr>
          <w:rFonts w:cs="Times New Roman"/>
          <w:lang w:val="en-US"/>
        </w:rPr>
        <w:t>̌</w:t>
      </w:r>
      <w:r w:rsidR="00AB26D6" w:rsidRPr="00AB26D6">
        <w:rPr>
          <w:lang w:val="en-US"/>
        </w:rPr>
        <w:t>ek, M., Bo</w:t>
      </w:r>
      <w:r>
        <w:rPr>
          <w:lang w:val="en-US"/>
        </w:rPr>
        <w:t>rovec, R., 2008. Zmeˇny ve vyuz</w:t>
      </w:r>
      <w:r>
        <w:rPr>
          <w:rFonts w:cs="Times New Roman"/>
          <w:lang w:val="en-US"/>
        </w:rPr>
        <w:t>̌</w:t>
      </w:r>
      <w:r w:rsidR="00AB26D6" w:rsidRPr="00AB26D6">
        <w:rPr>
          <w:lang w:val="en-US"/>
        </w:rPr>
        <w:t>ití krajiny na Hodonínsku od poloviny</w:t>
      </w:r>
    </w:p>
    <w:p w:rsidR="00AB26D6" w:rsidRPr="00AB26D6" w:rsidRDefault="00861A7B" w:rsidP="00AB26D6">
      <w:pPr>
        <w:spacing w:line="264" w:lineRule="auto"/>
        <w:rPr>
          <w:lang w:val="en-US"/>
        </w:rPr>
      </w:pPr>
      <w:r>
        <w:rPr>
          <w:lang w:val="en-US"/>
        </w:rPr>
        <w:t>19. století do súc</w:t>
      </w:r>
      <w:r>
        <w:rPr>
          <w:rFonts w:cs="Times New Roman"/>
          <w:lang w:val="en-US"/>
        </w:rPr>
        <w:t>̌</w:t>
      </w:r>
      <w:r>
        <w:rPr>
          <w:lang w:val="en-US"/>
        </w:rPr>
        <w:t>astnosti (in Czech). In: Herber, V. (Ed.),</w:t>
      </w:r>
      <w:r w:rsidR="00AB26D6" w:rsidRPr="00AB26D6">
        <w:rPr>
          <w:lang w:val="en-US"/>
        </w:rPr>
        <w:t xml:space="preserve"> Fyzicskogeogra</w:t>
      </w:r>
      <w:r w:rsidR="00AB26D6" w:rsidRPr="00AB26D6">
        <w:rPr>
          <w:lang w:val="de-DE"/>
        </w:rPr>
        <w:t>ﬁ</w:t>
      </w:r>
      <w:r w:rsidR="00AB26D6" w:rsidRPr="00AB26D6">
        <w:rPr>
          <w:lang w:val="en-US"/>
        </w:rPr>
        <w:t>cky´ Sborník 6. Masarykova univerzita Brno, pp. 257–262.</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AB26D6">
        <w:rPr>
          <w:lang w:val="en-US"/>
        </w:rPr>
        <w:t>Havlícˇek, M., Borovec, R., Svoboda, J., 2009. Long-term changes in land use in the Litava River basin. Acta Pruhoniciana, 31–37.</w:t>
      </w:r>
    </w:p>
    <w:p w:rsidR="00AB26D6" w:rsidRPr="00AB26D6" w:rsidRDefault="00861A7B" w:rsidP="00AB26D6">
      <w:pPr>
        <w:spacing w:line="264" w:lineRule="auto"/>
        <w:rPr>
          <w:lang w:val="en-US"/>
        </w:rPr>
      </w:pPr>
      <w:r>
        <w:rPr>
          <w:lang w:val="en-US"/>
        </w:rPr>
        <w:t>Havlíc</w:t>
      </w:r>
      <w:r>
        <w:rPr>
          <w:rFonts w:cs="Times New Roman"/>
          <w:lang w:val="en-US"/>
        </w:rPr>
        <w:t>̌</w:t>
      </w:r>
      <w:r>
        <w:rPr>
          <w:lang w:val="en-US"/>
        </w:rPr>
        <w:t>ek, M., Krejc</w:t>
      </w:r>
      <w:r>
        <w:rPr>
          <w:rFonts w:cs="Times New Roman"/>
          <w:lang w:val="en-US"/>
        </w:rPr>
        <w:t>̌</w:t>
      </w:r>
      <w:r w:rsidR="00AB26D6" w:rsidRPr="00AB26D6">
        <w:rPr>
          <w:lang w:val="en-US"/>
        </w:rPr>
        <w:t>íková, B., Chrudina, Z., Borovec, R., Svoboda, J., 2011. Land use a</w:t>
      </w:r>
      <w:r>
        <w:rPr>
          <w:lang w:val="en-US"/>
        </w:rPr>
        <w:t>nd streams changes in the Velic</w:t>
      </w:r>
      <w:r>
        <w:rPr>
          <w:rFonts w:cs="Times New Roman"/>
          <w:lang w:val="en-US"/>
        </w:rPr>
        <w:t>̌</w:t>
      </w:r>
      <w:r w:rsidR="00AB26D6" w:rsidRPr="00AB26D6">
        <w:rPr>
          <w:lang w:val="en-US"/>
        </w:rPr>
        <w:t>ka river basin, the Kyjovka upper river basin and the Svratka upper river basin. Acta Pruhoniciana 99, 5–17.</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861A7B">
        <w:rPr>
          <w:lang w:val="de-DE"/>
        </w:rPr>
        <w:t xml:space="preserve">Hostert, P., Kuemmerle, T., Prishchepov, A.V., Sieber, A., Lambin, E.F., Radeloff, V.C., 2011. </w:t>
      </w:r>
      <w:r w:rsidRPr="00AB26D6">
        <w:rPr>
          <w:lang w:val="en-US"/>
        </w:rPr>
        <w:t>Rapid land use change after socio-economic disturbances: the collapse of the Soviet Union versus Che</w:t>
      </w:r>
      <w:r w:rsidR="00861A7B">
        <w:rPr>
          <w:lang w:val="en-US"/>
        </w:rPr>
        <w:t>rnobyl. Environ. Res. Lett. 6,</w:t>
      </w:r>
      <w:r w:rsidRPr="00AB26D6">
        <w:rPr>
          <w:lang w:val="en-US"/>
        </w:rPr>
        <w:t xml:space="preserve"> 8.</w:t>
      </w:r>
    </w:p>
    <w:p w:rsidR="00861A7B" w:rsidRDefault="00861A7B" w:rsidP="00AB26D6">
      <w:pPr>
        <w:spacing w:line="264" w:lineRule="auto"/>
        <w:rPr>
          <w:lang w:val="en-US"/>
        </w:rPr>
      </w:pPr>
    </w:p>
    <w:p w:rsidR="00AB26D6" w:rsidRPr="00AB26D6" w:rsidRDefault="00861A7B" w:rsidP="00AB26D6">
      <w:pPr>
        <w:spacing w:line="264" w:lineRule="auto"/>
        <w:rPr>
          <w:lang w:val="en-US"/>
        </w:rPr>
      </w:pPr>
      <w:r>
        <w:rPr>
          <w:lang w:val="en-US"/>
        </w:rPr>
        <w:t xml:space="preserve">Hurbánek, P., Pazúr, R., 2007. Land Use Changes in the Communes of Legnava </w:t>
      </w:r>
      <w:r w:rsidR="00AB26D6" w:rsidRPr="00AB26D6">
        <w:rPr>
          <w:lang w:val="en-US"/>
        </w:rPr>
        <w:t xml:space="preserve">and Litmanová in the Slovak Part of the Slovak-Polish Borderland in 1871/73- 2005 (in </w:t>
      </w:r>
      <w:r>
        <w:rPr>
          <w:lang w:val="en-US"/>
        </w:rPr>
        <w:t>Slovak). In: Kraft, S. (Ed.), C</w:t>
      </w:r>
      <w:r>
        <w:rPr>
          <w:rFonts w:cs="Times New Roman"/>
          <w:lang w:val="en-US"/>
        </w:rPr>
        <w:t>̌</w:t>
      </w:r>
      <w:r w:rsidR="00AB26D6" w:rsidRPr="00AB26D6">
        <w:rPr>
          <w:lang w:val="en-US"/>
        </w:rPr>
        <w:t xml:space="preserve"> eská Geogra</w:t>
      </w:r>
      <w:r w:rsidR="00AB26D6" w:rsidRPr="00AB26D6">
        <w:rPr>
          <w:lang w:val="de-DE"/>
        </w:rPr>
        <w:t>ﬁ</w:t>
      </w:r>
      <w:r w:rsidR="00AB26D6" w:rsidRPr="00AB26D6">
        <w:rPr>
          <w:lang w:val="en-US"/>
        </w:rPr>
        <w:t>e v E</w:t>
      </w:r>
      <w:r>
        <w:rPr>
          <w:lang w:val="en-US"/>
        </w:rPr>
        <w:t>vropském Prostoru: XXI. Sjezd C</w:t>
      </w:r>
      <w:r>
        <w:rPr>
          <w:rFonts w:cs="Times New Roman"/>
          <w:lang w:val="en-US"/>
        </w:rPr>
        <w:t>̌</w:t>
      </w:r>
      <w:r w:rsidR="00AB26D6" w:rsidRPr="00AB26D6">
        <w:rPr>
          <w:lang w:val="en-US"/>
        </w:rPr>
        <w:t xml:space="preserve"> eské Geogra</w:t>
      </w:r>
      <w:r w:rsidR="00AB26D6" w:rsidRPr="00AB26D6">
        <w:rPr>
          <w:lang w:val="de-DE"/>
        </w:rPr>
        <w:t>ﬁ</w:t>
      </w:r>
      <w:r>
        <w:rPr>
          <w:lang w:val="en-US"/>
        </w:rPr>
        <w:t>cké Spolec</w:t>
      </w:r>
      <w:r>
        <w:rPr>
          <w:rFonts w:cs="Times New Roman"/>
          <w:lang w:val="en-US"/>
        </w:rPr>
        <w:t>̌</w:t>
      </w:r>
      <w:r>
        <w:rPr>
          <w:lang w:val="en-US"/>
        </w:rPr>
        <w:t>nosti. Jihoc</w:t>
      </w:r>
      <w:r>
        <w:rPr>
          <w:rFonts w:cs="Times New Roman"/>
          <w:lang w:val="en-US"/>
        </w:rPr>
        <w:t>̌</w:t>
      </w:r>
      <w:r>
        <w:rPr>
          <w:lang w:val="en-US"/>
        </w:rPr>
        <w:t>eská univerzita, C</w:t>
      </w:r>
      <w:r>
        <w:rPr>
          <w:rFonts w:cs="Times New Roman"/>
          <w:lang w:val="en-US"/>
        </w:rPr>
        <w:t>̌</w:t>
      </w:r>
      <w:r>
        <w:rPr>
          <w:lang w:val="en-US"/>
        </w:rPr>
        <w:t xml:space="preserve"> eské Bude</w:t>
      </w:r>
      <w:r>
        <w:rPr>
          <w:rFonts w:cs="Times New Roman"/>
          <w:lang w:val="en-US"/>
        </w:rPr>
        <w:t>̌</w:t>
      </w:r>
      <w:r>
        <w:rPr>
          <w:lang w:val="en-US"/>
        </w:rPr>
        <w:t xml:space="preserve">jovice, pp. </w:t>
      </w:r>
      <w:r w:rsidR="00AB26D6" w:rsidRPr="00AB26D6">
        <w:rPr>
          <w:lang w:val="en-US"/>
        </w:rPr>
        <w:t>1143–1149.</w:t>
      </w:r>
    </w:p>
    <w:p w:rsidR="00861A7B" w:rsidRDefault="00861A7B" w:rsidP="00AB26D6">
      <w:pPr>
        <w:spacing w:line="264" w:lineRule="auto"/>
        <w:rPr>
          <w:lang w:val="en-US"/>
        </w:rPr>
      </w:pPr>
    </w:p>
    <w:p w:rsidR="00AB26D6" w:rsidRPr="00AB26D6" w:rsidRDefault="00861A7B" w:rsidP="00AB26D6">
      <w:pPr>
        <w:spacing w:line="264" w:lineRule="auto"/>
        <w:rPr>
          <w:lang w:val="en-US"/>
        </w:rPr>
      </w:pPr>
      <w:r>
        <w:rPr>
          <w:lang w:val="en-US"/>
        </w:rPr>
        <w:t>Huzui, A.E., C</w:t>
      </w:r>
      <w:r>
        <w:rPr>
          <w:rFonts w:cs="Times New Roman"/>
          <w:lang w:val="en-US"/>
        </w:rPr>
        <w:t>ă</w:t>
      </w:r>
      <w:r>
        <w:rPr>
          <w:lang w:val="en-US"/>
        </w:rPr>
        <w:t>lin, I., P</w:t>
      </w:r>
      <w:r>
        <w:rPr>
          <w:rFonts w:cs="Times New Roman"/>
          <w:lang w:val="en-US"/>
        </w:rPr>
        <w:t>ă</w:t>
      </w:r>
      <w:r w:rsidR="00AB26D6" w:rsidRPr="00AB26D6">
        <w:rPr>
          <w:lang w:val="en-US"/>
        </w:rPr>
        <w:t>tru-Stupariu, I., 2012. Spatial pattern analyses of landscape using multi-temporal data sources. In: Procedia Environ. Sci. 2011 Int. Conf. Environ. Identity 14, pp. 98–110.</w:t>
      </w:r>
    </w:p>
    <w:p w:rsidR="00861A7B" w:rsidRDefault="00861A7B" w:rsidP="00AB26D6">
      <w:pPr>
        <w:spacing w:line="264" w:lineRule="auto"/>
        <w:rPr>
          <w:lang w:val="en-US"/>
        </w:rPr>
      </w:pPr>
    </w:p>
    <w:p w:rsidR="00AB26D6" w:rsidRPr="00AB26D6" w:rsidRDefault="00AB26D6" w:rsidP="00AB26D6">
      <w:pPr>
        <w:spacing w:line="264" w:lineRule="auto"/>
        <w:rPr>
          <w:lang w:val="en-US"/>
        </w:rPr>
      </w:pPr>
      <w:r w:rsidRPr="00861A7B">
        <w:rPr>
          <w:lang w:val="de-DE"/>
        </w:rPr>
        <w:t xml:space="preserve">Irland, L.C., Kremenetska, E., 2009. </w:t>
      </w:r>
      <w:r w:rsidRPr="00AB26D6">
        <w:rPr>
          <w:lang w:val="en-US"/>
        </w:rPr>
        <w:t>Practical eco</w:t>
      </w:r>
      <w:r w:rsidR="00861A7B">
        <w:rPr>
          <w:lang w:val="en-US"/>
        </w:rPr>
        <w:t>nomics of forest ecosystem man</w:t>
      </w:r>
      <w:r w:rsidRPr="00AB26D6">
        <w:rPr>
          <w:lang w:val="en-US"/>
        </w:rPr>
        <w:t>agement: The Case of the Ukrainian Carpathians I.P. In: Keeton, S.W.S (Ed.), Ecological Economics and Sustainable Forest Management: Developing a Transdisciplinary Approach for the Carpathian Mountains. Ukrainian National Forestry University Press, Lviv, p. 432.</w:t>
      </w:r>
    </w:p>
    <w:p w:rsidR="00861A7B" w:rsidRDefault="00861A7B" w:rsidP="00AB26D6">
      <w:pPr>
        <w:spacing w:line="264" w:lineRule="auto"/>
        <w:rPr>
          <w:lang w:val="en-US"/>
        </w:rPr>
      </w:pPr>
    </w:p>
    <w:p w:rsidR="00AB26D6" w:rsidRPr="00AB26D6" w:rsidRDefault="00861A7B" w:rsidP="00AB26D6">
      <w:pPr>
        <w:spacing w:line="264" w:lineRule="auto"/>
        <w:rPr>
          <w:lang w:val="en-US"/>
        </w:rPr>
      </w:pPr>
      <w:r>
        <w:rPr>
          <w:lang w:val="en-US"/>
        </w:rPr>
        <w:t>Janc</w:t>
      </w:r>
      <w:r>
        <w:rPr>
          <w:rFonts w:cs="Times New Roman"/>
          <w:lang w:val="en-US"/>
        </w:rPr>
        <w:t>̌</w:t>
      </w:r>
      <w:r>
        <w:rPr>
          <w:lang w:val="en-US"/>
        </w:rPr>
        <w:t>ovic</w:t>
      </w:r>
      <w:r>
        <w:rPr>
          <w:rFonts w:cs="Times New Roman"/>
          <w:lang w:val="en-US"/>
        </w:rPr>
        <w:t>̌</w:t>
      </w:r>
      <w:r>
        <w:rPr>
          <w:lang w:val="en-US"/>
        </w:rPr>
        <w:t>, P., Petrovic</w:t>
      </w:r>
      <w:r>
        <w:rPr>
          <w:rFonts w:cs="Times New Roman"/>
          <w:lang w:val="en-US"/>
        </w:rPr>
        <w:t>̌</w:t>
      </w:r>
      <w:r>
        <w:rPr>
          <w:lang w:val="en-US"/>
        </w:rPr>
        <w:t>, F., Kanus</w:t>
      </w:r>
      <w:r>
        <w:rPr>
          <w:rFonts w:cs="Times New Roman"/>
          <w:lang w:val="en-US"/>
        </w:rPr>
        <w:t>̌</w:t>
      </w:r>
      <w:r>
        <w:rPr>
          <w:lang w:val="en-US"/>
        </w:rPr>
        <w:t>c</w:t>
      </w:r>
      <w:r>
        <w:rPr>
          <w:rFonts w:cs="Times New Roman"/>
          <w:lang w:val="en-US"/>
        </w:rPr>
        <w:t>̌</w:t>
      </w:r>
      <w:r>
        <w:rPr>
          <w:lang w:val="en-US"/>
        </w:rPr>
        <w:t>ák, P.,</w:t>
      </w:r>
      <w:r w:rsidR="00B16D6A">
        <w:rPr>
          <w:lang w:val="en-US"/>
        </w:rPr>
        <w:t xml:space="preserve"> 2010. The impact of landscape</w:t>
      </w:r>
      <w:r w:rsidR="00AB26D6" w:rsidRPr="00AB26D6">
        <w:rPr>
          <w:lang w:val="en-US"/>
        </w:rPr>
        <w:t xml:space="preserve"> cha</w:t>
      </w:r>
      <w:r w:rsidR="00B16D6A">
        <w:rPr>
          <w:lang w:val="en-US"/>
        </w:rPr>
        <w:t xml:space="preserve">nges to ornithocenosis of </w:t>
      </w:r>
      <w:r w:rsidR="00AB26D6" w:rsidRPr="00AB26D6">
        <w:rPr>
          <w:lang w:val="en-US"/>
        </w:rPr>
        <w:t>Dolnováz</w:t>
      </w:r>
      <w:r w:rsidR="00B16D6A">
        <w:rPr>
          <w:rFonts w:cs="Times New Roman"/>
          <w:lang w:val="en-US"/>
        </w:rPr>
        <w:t>̌</w:t>
      </w:r>
      <w:r w:rsidR="00B16D6A">
        <w:rPr>
          <w:lang w:val="en-US"/>
        </w:rPr>
        <w:t>ska niva (in Czech). In: XXII Sjezdu C</w:t>
      </w:r>
      <w:r w:rsidR="00B16D6A">
        <w:rPr>
          <w:rFonts w:cs="Times New Roman"/>
          <w:lang w:val="en-US"/>
        </w:rPr>
        <w:t>̌</w:t>
      </w:r>
      <w:r w:rsidR="00B16D6A">
        <w:rPr>
          <w:lang w:val="en-US"/>
        </w:rPr>
        <w:t xml:space="preserve"> eské </w:t>
      </w:r>
      <w:r w:rsidR="00AB26D6" w:rsidRPr="00AB26D6">
        <w:rPr>
          <w:lang w:val="en-US"/>
        </w:rPr>
        <w:t>Geogra</w:t>
      </w:r>
      <w:r w:rsidR="00AB26D6" w:rsidRPr="00AB26D6">
        <w:rPr>
          <w:lang w:val="de-DE"/>
        </w:rPr>
        <w:t>ﬁ</w:t>
      </w:r>
      <w:r w:rsidR="00AB26D6" w:rsidRPr="00AB26D6">
        <w:rPr>
          <w:lang w:val="en-US"/>
        </w:rPr>
        <w:t>cké Ostrava 2010. Geogra</w:t>
      </w:r>
      <w:r w:rsidR="00AB26D6" w:rsidRPr="00AB26D6">
        <w:rPr>
          <w:lang w:val="de-DE"/>
        </w:rPr>
        <w:t>ﬁ</w:t>
      </w:r>
      <w:r w:rsidR="00B16D6A">
        <w:rPr>
          <w:lang w:val="en-US"/>
        </w:rPr>
        <w:t>e pro z</w:t>
      </w:r>
      <w:r w:rsidR="00B16D6A">
        <w:rPr>
          <w:rFonts w:cs="Times New Roman"/>
          <w:lang w:val="en-US"/>
        </w:rPr>
        <w:t>̌</w:t>
      </w:r>
      <w:r w:rsidR="00AB26D6" w:rsidRPr="00AB26D6">
        <w:rPr>
          <w:lang w:val="en-US"/>
        </w:rPr>
        <w:t>iv</w:t>
      </w:r>
      <w:r w:rsidR="00B16D6A">
        <w:rPr>
          <w:lang w:val="en-US"/>
        </w:rPr>
        <w:t>ot veve 21. století: sborník pr</w:t>
      </w:r>
      <w:r w:rsidR="00B16D6A">
        <w:rPr>
          <w:rFonts w:cs="Times New Roman"/>
          <w:lang w:val="en-US"/>
        </w:rPr>
        <w:t>̌</w:t>
      </w:r>
      <w:r w:rsidR="00B16D6A">
        <w:rPr>
          <w:lang w:val="en-US"/>
        </w:rPr>
        <w:t>íspe</w:t>
      </w:r>
      <w:r w:rsidR="00B16D6A">
        <w:rPr>
          <w:rFonts w:cs="Times New Roman"/>
          <w:lang w:val="en-US"/>
        </w:rPr>
        <w:t>̌</w:t>
      </w:r>
      <w:r w:rsidR="00B16D6A">
        <w:rPr>
          <w:lang w:val="en-US"/>
        </w:rPr>
        <w:t>vku˚ z spoloc</w:t>
      </w:r>
      <w:r w:rsidR="00B16D6A">
        <w:rPr>
          <w:rFonts w:cs="Times New Roman"/>
          <w:lang w:val="en-US"/>
        </w:rPr>
        <w:t>̌</w:t>
      </w:r>
      <w:r w:rsidR="00AB26D6" w:rsidRPr="00AB26D6">
        <w:rPr>
          <w:lang w:val="en-US"/>
        </w:rPr>
        <w:t>nesti Ostrava, pp. 114–119.</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Janicki, R., 2004. Speci</w:t>
      </w:r>
      <w:r w:rsidRPr="00AB26D6">
        <w:rPr>
          <w:lang w:val="de-DE"/>
        </w:rPr>
        <w:t>ﬁ</w:t>
      </w:r>
      <w:r w:rsidRPr="00AB26D6">
        <w:rPr>
          <w:lang w:val="en-US"/>
        </w:rPr>
        <w:t>c features of the landscap</w:t>
      </w:r>
      <w:r w:rsidR="00B16D6A">
        <w:rPr>
          <w:lang w:val="en-US"/>
        </w:rPr>
        <w:t>e succession processes in Prze</w:t>
      </w:r>
      <w:r w:rsidRPr="00AB26D6">
        <w:rPr>
          <w:lang w:val="en-US"/>
        </w:rPr>
        <w:t>myskie Foothills. In: Kirchner, K., Wojtanowicz, J. (Eds.), Cultural Landscapes. Regiograph, Brno, p. 377.</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Kaim, D., 2009. Zmiany pokrycia terenu na pograniczu polsko-słowackim na przykładzie Małych Pienin. Przegla˛ d Geogr. 81, 93–106 (in Polish).</w:t>
      </w:r>
    </w:p>
    <w:p w:rsidR="00B16D6A" w:rsidRDefault="00B16D6A" w:rsidP="00AB26D6">
      <w:pPr>
        <w:spacing w:line="264" w:lineRule="auto"/>
        <w:rPr>
          <w:lang w:val="en-US"/>
        </w:rPr>
      </w:pPr>
    </w:p>
    <w:p w:rsidR="00AB26D6" w:rsidRPr="00AB26D6" w:rsidRDefault="00B16D6A" w:rsidP="00AB26D6">
      <w:pPr>
        <w:spacing w:line="264" w:lineRule="auto"/>
        <w:rPr>
          <w:lang w:val="en-US"/>
        </w:rPr>
      </w:pPr>
      <w:r>
        <w:rPr>
          <w:lang w:val="en-US"/>
        </w:rPr>
        <w:t>Kalivoda, H., Petrovic</w:t>
      </w:r>
      <w:r>
        <w:rPr>
          <w:rFonts w:cs="Times New Roman"/>
          <w:lang w:val="en-US"/>
        </w:rPr>
        <w:t>̌</w:t>
      </w:r>
      <w:r w:rsidR="00AB26D6" w:rsidRPr="00AB26D6">
        <w:rPr>
          <w:lang w:val="en-US"/>
        </w:rPr>
        <w:t>, F., Kalivodová, E., Kürthy, A., 2010. In</w:t>
      </w:r>
      <w:r w:rsidR="00AB26D6" w:rsidRPr="00AB26D6">
        <w:rPr>
          <w:lang w:val="de-DE"/>
        </w:rPr>
        <w:t>ﬂ</w:t>
      </w:r>
      <w:r w:rsidR="00AB26D6" w:rsidRPr="00AB26D6">
        <w:rPr>
          <w:lang w:val="en-US"/>
        </w:rPr>
        <w:t>uence of the landscape structure on the butter</w:t>
      </w:r>
      <w:r w:rsidR="00AB26D6" w:rsidRPr="00AB26D6">
        <w:rPr>
          <w:lang w:val="de-DE"/>
        </w:rPr>
        <w:t>ﬂ</w:t>
      </w:r>
      <w:r w:rsidR="00AB26D6" w:rsidRPr="00AB26D6">
        <w:rPr>
          <w:lang w:val="en-US"/>
        </w:rPr>
        <w:t>y (Lepidoptera, Hesperioidea and Papilionoidea) and bird (Aves) taxocoenoses in Vel’ké Leváre (SW Slovakia). Ekológia. In</w:t>
      </w:r>
      <w:r>
        <w:rPr>
          <w:lang w:val="en-US"/>
        </w:rPr>
        <w:t xml:space="preserve">t. J. Ecol. Probl. Biosph. 29, </w:t>
      </w:r>
      <w:r w:rsidR="00AB26D6" w:rsidRPr="00AB26D6">
        <w:rPr>
          <w:lang w:val="en-US"/>
        </w:rPr>
        <w:t>337–359.</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Keys, E., McConnell, W.J., 2005. Global change and the intensi</w:t>
      </w:r>
      <w:r w:rsidRPr="00AB26D6">
        <w:rPr>
          <w:lang w:val="de-DE"/>
        </w:rPr>
        <w:t>ﬁ</w:t>
      </w:r>
      <w:r w:rsidRPr="00AB26D6">
        <w:rPr>
          <w:lang w:val="en-US"/>
        </w:rPr>
        <w:t>cation of agriculture in the tropics. Glob. Environ. Change 15, 320–337.</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Kligman, G., Verdery, K., 2011. Peasants Under Siege</w:t>
      </w:r>
      <w:r w:rsidR="00B16D6A">
        <w:rPr>
          <w:lang w:val="en-US"/>
        </w:rPr>
        <w:t>: The Collectivization of Roma</w:t>
      </w:r>
      <w:r w:rsidRPr="00AB26D6">
        <w:rPr>
          <w:lang w:val="en-US"/>
        </w:rPr>
        <w:t>nian Agriculture, 1949–1962. Princeton University Press, Princeton, New Jersey. Knorn, J., Kuemmerle, T., Radeloff, V.C., Szabo, A., Min</w:t>
      </w:r>
      <w:r w:rsidR="00B16D6A">
        <w:rPr>
          <w:lang w:val="en-US"/>
        </w:rPr>
        <w:t>drescu, M., Keeton, W.S., Abru</w:t>
      </w:r>
      <w:r w:rsidRPr="00AB26D6">
        <w:rPr>
          <w:lang w:val="en-US"/>
        </w:rPr>
        <w:t>dan, I.V., Grif</w:t>
      </w:r>
      <w:r w:rsidRPr="00AB26D6">
        <w:rPr>
          <w:lang w:val="de-DE"/>
        </w:rPr>
        <w:t>ﬁ</w:t>
      </w:r>
      <w:r w:rsidRPr="00AB26D6">
        <w:rPr>
          <w:lang w:val="en-US"/>
        </w:rPr>
        <w:t>ths, P., Gancz, V., Hostert, P., 2012. F</w:t>
      </w:r>
      <w:r w:rsidR="00B16D6A">
        <w:rPr>
          <w:lang w:val="en-US"/>
        </w:rPr>
        <w:t xml:space="preserve">orest restitution and protected </w:t>
      </w:r>
      <w:r w:rsidRPr="00AB26D6">
        <w:rPr>
          <w:lang w:val="en-US"/>
        </w:rPr>
        <w:t>area effectiveness in post-socialis</w:t>
      </w:r>
      <w:r w:rsidR="00B16D6A">
        <w:rPr>
          <w:lang w:val="en-US"/>
        </w:rPr>
        <w:t xml:space="preserve">t Romania. Biol. Conserv. 146, </w:t>
      </w:r>
      <w:r w:rsidRPr="00AB26D6">
        <w:rPr>
          <w:lang w:val="en-US"/>
        </w:rPr>
        <w:t>204–212.</w:t>
      </w:r>
    </w:p>
    <w:p w:rsidR="00B16D6A" w:rsidRDefault="00B16D6A" w:rsidP="00AB26D6">
      <w:pPr>
        <w:spacing w:line="264" w:lineRule="auto"/>
        <w:rPr>
          <w:lang w:val="en-US"/>
        </w:rPr>
      </w:pPr>
    </w:p>
    <w:p w:rsidR="00AB26D6" w:rsidRPr="00AB26D6" w:rsidRDefault="00AB26D6" w:rsidP="00AB26D6">
      <w:pPr>
        <w:spacing w:line="264" w:lineRule="auto"/>
        <w:rPr>
          <w:lang w:val="de-DE"/>
        </w:rPr>
      </w:pPr>
      <w:r w:rsidRPr="00B16D6A">
        <w:rPr>
          <w:lang w:val="de-DE"/>
        </w:rPr>
        <w:t xml:space="preserve">Knorn, J., Rabe, A., Radeloff, V.C., Kuemmerle, T., Kozak, J., Hostert, P., 2009. </w:t>
      </w:r>
      <w:r w:rsidRPr="00AB26D6">
        <w:rPr>
          <w:lang w:val="en-US"/>
        </w:rPr>
        <w:t>Land cover mapping of large areas using chain classi</w:t>
      </w:r>
      <w:r w:rsidRPr="00AB26D6">
        <w:rPr>
          <w:lang w:val="de-DE"/>
        </w:rPr>
        <w:t>ﬁ</w:t>
      </w:r>
      <w:r w:rsidRPr="00AB26D6">
        <w:rPr>
          <w:lang w:val="en-US"/>
        </w:rPr>
        <w:t xml:space="preserve">cation of neighboring Landsat satellite images. </w:t>
      </w:r>
      <w:r w:rsidR="00B16D6A">
        <w:rPr>
          <w:lang w:val="de-DE"/>
        </w:rPr>
        <w:t>Remote Sens. Environ. 113,</w:t>
      </w:r>
      <w:r w:rsidRPr="00AB26D6">
        <w:rPr>
          <w:lang w:val="de-DE"/>
        </w:rPr>
        <w:t xml:space="preserve"> 957–964.</w:t>
      </w:r>
    </w:p>
    <w:p w:rsidR="00AB26D6" w:rsidRPr="00AB26D6" w:rsidRDefault="00AB26D6" w:rsidP="00AB26D6">
      <w:pPr>
        <w:spacing w:line="264" w:lineRule="auto"/>
        <w:rPr>
          <w:lang w:val="en-US"/>
        </w:rPr>
      </w:pPr>
      <w:r w:rsidRPr="00AB26D6">
        <w:rPr>
          <w:lang w:val="de-DE"/>
        </w:rPr>
        <w:t xml:space="preserve">Konkoly-Gyuró, E., Nagy, D., Balázs, P., Király, G., 2011. </w:t>
      </w:r>
      <w:r w:rsidRPr="00AB26D6">
        <w:rPr>
          <w:lang w:val="en-US"/>
        </w:rPr>
        <w:t>Assessment of land cover change in western Hungarian landscapes. In: Balázs, P., Konkoly-Gyuró, É. (Eds.), TransEcoNet Workshop on Landscape History Proceedings. University of West Hunga</w:t>
      </w:r>
      <w:r w:rsidR="00B16D6A">
        <w:rPr>
          <w:lang w:val="en-US"/>
        </w:rPr>
        <w:t xml:space="preserve">ry Press, Sopron, Hungary, pp. </w:t>
      </w:r>
      <w:r w:rsidRPr="00AB26D6">
        <w:rPr>
          <w:lang w:val="en-US"/>
        </w:rPr>
        <w:t>75–89.</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Kozak, J., 2003. Forest cover change in the Western Carpathians in the past 180 Years.</w:t>
      </w:r>
    </w:p>
    <w:p w:rsidR="00AB26D6" w:rsidRPr="00AB26D6" w:rsidRDefault="00AB26D6" w:rsidP="00AB26D6">
      <w:pPr>
        <w:spacing w:line="264" w:lineRule="auto"/>
        <w:rPr>
          <w:lang w:val="en-US"/>
        </w:rPr>
      </w:pPr>
      <w:r w:rsidRPr="00AB26D6">
        <w:rPr>
          <w:lang w:val="en-US"/>
        </w:rPr>
        <w:t>Mt. Res. Dev. 23, 369–375.</w:t>
      </w:r>
    </w:p>
    <w:p w:rsidR="00B16D6A" w:rsidRDefault="00B16D6A" w:rsidP="00AB26D6">
      <w:pPr>
        <w:spacing w:line="264" w:lineRule="auto"/>
        <w:rPr>
          <w:lang w:val="en-US"/>
        </w:rPr>
      </w:pPr>
    </w:p>
    <w:p w:rsidR="00AB26D6" w:rsidRPr="00B16D6A" w:rsidRDefault="00AB26D6" w:rsidP="00AB26D6">
      <w:pPr>
        <w:spacing w:line="264" w:lineRule="auto"/>
        <w:rPr>
          <w:lang w:val="en-US"/>
        </w:rPr>
      </w:pPr>
      <w:r w:rsidRPr="00AB26D6">
        <w:rPr>
          <w:lang w:val="en-US"/>
        </w:rPr>
        <w:t>Kozak, J., 2010. Forest cover changes and their drivers in the Polish Carpathian Mountains Since 1800. In: Nagendra, H., Southwort</w:t>
      </w:r>
      <w:r w:rsidR="00B16D6A">
        <w:rPr>
          <w:lang w:val="en-US"/>
        </w:rPr>
        <w:t>h, J. (Eds.), Reforesting Land</w:t>
      </w:r>
      <w:r w:rsidRPr="00AB26D6">
        <w:rPr>
          <w:lang w:val="en-US"/>
        </w:rPr>
        <w:t xml:space="preserve">scapes Linking Pattern and Process. </w:t>
      </w:r>
      <w:r w:rsidRPr="00B16D6A">
        <w:rPr>
          <w:lang w:val="en-US"/>
        </w:rPr>
        <w:t>Landscape Series 10. Springer, Dordrecht, Heidelberg, London, New York, pp. 253–273.</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Kozak, J., Estreguil, C., Troll, M., 2007. Forest cover ch</w:t>
      </w:r>
      <w:r w:rsidR="00B16D6A">
        <w:rPr>
          <w:lang w:val="en-US"/>
        </w:rPr>
        <w:t>anges in the northern Carpathi</w:t>
      </w:r>
      <w:r w:rsidRPr="00AB26D6">
        <w:rPr>
          <w:lang w:val="en-US"/>
        </w:rPr>
        <w:t>ans in the 20th century: a slow transition. J. Land Use Sci., 127–146.</w:t>
      </w:r>
    </w:p>
    <w:p w:rsidR="00B16D6A" w:rsidRDefault="00B16D6A" w:rsidP="00AB26D6">
      <w:pPr>
        <w:spacing w:line="264" w:lineRule="auto"/>
        <w:rPr>
          <w:lang w:val="en-US"/>
        </w:rPr>
      </w:pPr>
    </w:p>
    <w:p w:rsidR="00AB26D6" w:rsidRPr="00AB26D6" w:rsidRDefault="00AB26D6" w:rsidP="00AB26D6">
      <w:pPr>
        <w:spacing w:line="264" w:lineRule="auto"/>
        <w:rPr>
          <w:lang w:val="de-DE"/>
        </w:rPr>
      </w:pPr>
      <w:r w:rsidRPr="00AB26D6">
        <w:rPr>
          <w:lang w:val="en-US"/>
        </w:rPr>
        <w:t xml:space="preserve">Kozak, J., Ostapowicz, K., Szablowska-Midor, A., Widacki, W., 2004. Land abandon- ment in the Western Beskidy Mts. and its environmental background. </w:t>
      </w:r>
      <w:r w:rsidRPr="00AB26D6">
        <w:rPr>
          <w:lang w:val="de-DE"/>
        </w:rPr>
        <w:t>Ekológia. Int. J. Ecol. Probl. Biosph. 23, 116–126.</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Krivosudsky, R., 2011. Land use development of south-east slopes of Malé Karpaty mts. In: Dob</w:t>
      </w:r>
      <w:r w:rsidR="00B16D6A">
        <w:rPr>
          <w:lang w:val="en-US"/>
        </w:rPr>
        <w:t>rovodská, M., S</w:t>
      </w:r>
      <w:r w:rsidR="00B16D6A">
        <w:rPr>
          <w:rFonts w:cs="Times New Roman"/>
          <w:lang w:val="en-US"/>
        </w:rPr>
        <w:t>̌</w:t>
      </w:r>
      <w:r w:rsidR="00B16D6A">
        <w:rPr>
          <w:lang w:val="en-US"/>
        </w:rPr>
        <w:t>pulerová, J., S</w:t>
      </w:r>
      <w:r w:rsidR="00B16D6A">
        <w:rPr>
          <w:rFonts w:cs="Times New Roman"/>
          <w:lang w:val="en-US"/>
        </w:rPr>
        <w:t>̌</w:t>
      </w:r>
      <w:r w:rsidRPr="00AB26D6">
        <w:rPr>
          <w:lang w:val="en-US"/>
        </w:rPr>
        <w:t>tefunkov</w:t>
      </w:r>
      <w:r w:rsidR="00B16D6A">
        <w:rPr>
          <w:lang w:val="en-US"/>
        </w:rPr>
        <w:t>á, D. (Eds.), Research and Man</w:t>
      </w:r>
      <w:r w:rsidRPr="00AB26D6">
        <w:rPr>
          <w:lang w:val="en-US"/>
        </w:rPr>
        <w:t>agement of Historical Agricultural Landscape. Institute of Landscape Ecology. Slovak Academy of Sciences, Bratislava, pp. 39–49.</w:t>
      </w:r>
    </w:p>
    <w:p w:rsidR="00B16D6A" w:rsidRDefault="00B16D6A" w:rsidP="00AB26D6">
      <w:pPr>
        <w:spacing w:line="264" w:lineRule="auto"/>
        <w:rPr>
          <w:lang w:val="en-US"/>
        </w:rPr>
      </w:pPr>
    </w:p>
    <w:p w:rsidR="00AB26D6" w:rsidRPr="00AB26D6" w:rsidRDefault="00AB26D6" w:rsidP="00AB26D6">
      <w:pPr>
        <w:spacing w:line="264" w:lineRule="auto"/>
        <w:rPr>
          <w:lang w:val="de-DE"/>
        </w:rPr>
      </w:pPr>
      <w:r w:rsidRPr="00AB26D6">
        <w:rPr>
          <w:lang w:val="en-US"/>
        </w:rPr>
        <w:t xml:space="preserve">Kuemmerle, T., Chaskovskyy, O., Knorn, J., Radeloff, V.C., Kruhlov, I., Keeton, W.S., Hostert, P., 2009a. Forest cover change and illegal logging in the Ukrainian Carpathians in the transition period from 1988 to 2007. </w:t>
      </w:r>
      <w:r w:rsidR="00B16D6A">
        <w:rPr>
          <w:lang w:val="de-DE"/>
        </w:rPr>
        <w:t xml:space="preserve">Remote Sens. Environ. 113, </w:t>
      </w:r>
      <w:r w:rsidRPr="00AB26D6">
        <w:rPr>
          <w:lang w:val="de-DE"/>
        </w:rPr>
        <w:t>1194–1207.</w:t>
      </w:r>
    </w:p>
    <w:p w:rsidR="00B16D6A" w:rsidRDefault="00B16D6A" w:rsidP="00AB26D6">
      <w:pPr>
        <w:spacing w:line="264" w:lineRule="auto"/>
        <w:rPr>
          <w:lang w:val="de-DE"/>
        </w:rPr>
      </w:pPr>
    </w:p>
    <w:p w:rsidR="00AB26D6" w:rsidRPr="00AB26D6" w:rsidRDefault="00AB26D6" w:rsidP="00AB26D6">
      <w:pPr>
        <w:spacing w:line="264" w:lineRule="auto"/>
        <w:rPr>
          <w:lang w:val="de-DE"/>
        </w:rPr>
      </w:pPr>
      <w:r w:rsidRPr="00AB26D6">
        <w:rPr>
          <w:lang w:val="de-DE"/>
        </w:rPr>
        <w:t xml:space="preserve">Kuemmerle, T., Müller, D., Grifﬁths, P., Rusu, M., 2009b. </w:t>
      </w:r>
      <w:r w:rsidRPr="00AB26D6">
        <w:rPr>
          <w:lang w:val="en-US"/>
        </w:rPr>
        <w:t xml:space="preserve">Land use change in Southern Romania after the collapse of socialism. </w:t>
      </w:r>
      <w:r w:rsidRPr="00AB26D6">
        <w:rPr>
          <w:lang w:val="de-DE"/>
        </w:rPr>
        <w:t>Reg. Environ. Change 9, 1–12.</w:t>
      </w:r>
    </w:p>
    <w:p w:rsidR="00B16D6A" w:rsidRDefault="00B16D6A" w:rsidP="00AB26D6">
      <w:pPr>
        <w:spacing w:line="264" w:lineRule="auto"/>
        <w:rPr>
          <w:lang w:val="en-US"/>
        </w:rPr>
      </w:pPr>
    </w:p>
    <w:p w:rsidR="00AB26D6" w:rsidRPr="00AB26D6" w:rsidRDefault="00AB26D6" w:rsidP="00AB26D6">
      <w:pPr>
        <w:spacing w:line="264" w:lineRule="auto"/>
        <w:rPr>
          <w:lang w:val="de-DE"/>
        </w:rPr>
      </w:pPr>
      <w:r w:rsidRPr="00AB26D6">
        <w:rPr>
          <w:lang w:val="en-US"/>
        </w:rPr>
        <w:t xml:space="preserve">Kuemmerle, T., Hostert, P., Radeloff, V.C., Perzanowski, K., Kruhlov, I., 2007. Post- socialist forest disturbance in the Carpathian border region of Poland, Slovakia, and Ukraine. </w:t>
      </w:r>
      <w:r w:rsidRPr="00AB26D6">
        <w:rPr>
          <w:lang w:val="de-DE"/>
        </w:rPr>
        <w:t>Ecol. Appl. 17, 1279–1295.</w:t>
      </w:r>
    </w:p>
    <w:p w:rsidR="00B16D6A" w:rsidRDefault="00B16D6A" w:rsidP="00AB26D6">
      <w:pPr>
        <w:spacing w:line="264" w:lineRule="auto"/>
        <w:rPr>
          <w:lang w:val="de-DE"/>
        </w:rPr>
      </w:pPr>
    </w:p>
    <w:p w:rsidR="00AB26D6" w:rsidRPr="00AB26D6" w:rsidRDefault="00AB26D6" w:rsidP="00AB26D6">
      <w:pPr>
        <w:spacing w:line="264" w:lineRule="auto"/>
        <w:rPr>
          <w:lang w:val="en-US"/>
        </w:rPr>
      </w:pPr>
      <w:r w:rsidRPr="00AB26D6">
        <w:rPr>
          <w:lang w:val="de-DE"/>
        </w:rPr>
        <w:t xml:space="preserve">Kuemmerle, T., Hostert, P., Radeloff, V.C., van der Linden, S., Perzanowski, K., Kruhlov, I., 2008. </w:t>
      </w:r>
      <w:r w:rsidRPr="00AB26D6">
        <w:rPr>
          <w:lang w:val="en-US"/>
        </w:rPr>
        <w:t>Cross-border comparison of Post-socialist Farmland abandonment in the Carpathi</w:t>
      </w:r>
      <w:r w:rsidR="00B16D6A">
        <w:rPr>
          <w:lang w:val="en-US"/>
        </w:rPr>
        <w:t xml:space="preserve">ans. Ecosystems 11, </w:t>
      </w:r>
      <w:r w:rsidRPr="00AB26D6">
        <w:rPr>
          <w:lang w:val="en-US"/>
        </w:rPr>
        <w:t>614–628.</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Kuemmerle, T., Oloffson, P., Chaskovskyy, O., Bau</w:t>
      </w:r>
      <w:r w:rsidR="00B16D6A">
        <w:rPr>
          <w:lang w:val="en-US"/>
        </w:rPr>
        <w:t>mann, M., Ostapowicz, K., Wood</w:t>
      </w:r>
      <w:r w:rsidRPr="00AB26D6">
        <w:rPr>
          <w:lang w:val="en-US"/>
        </w:rPr>
        <w:t>cock, C.E., Houghton, R.A., Hostert, P., Keeton, W.S., Radeloff, V.C., 2011. Post-Soviet farmland</w:t>
      </w:r>
      <w:r w:rsidR="00B16D6A">
        <w:rPr>
          <w:lang w:val="en-US"/>
        </w:rPr>
        <w:t xml:space="preserve"> abandonment, forest recovery, and carbon </w:t>
      </w:r>
      <w:r w:rsidRPr="00AB26D6">
        <w:rPr>
          <w:lang w:val="en-US"/>
        </w:rPr>
        <w:t>sequestration in western Ukraine. Global Change Biol. 17, 1335–1349.</w:t>
      </w:r>
    </w:p>
    <w:p w:rsidR="00B16D6A" w:rsidRDefault="00B16D6A" w:rsidP="00AB26D6">
      <w:pPr>
        <w:spacing w:line="264" w:lineRule="auto"/>
        <w:rPr>
          <w:lang w:val="en-US"/>
        </w:rPr>
      </w:pPr>
    </w:p>
    <w:p w:rsidR="00AB26D6" w:rsidRPr="00B16D6A" w:rsidRDefault="00B16D6A" w:rsidP="00AB26D6">
      <w:pPr>
        <w:spacing w:line="264" w:lineRule="auto"/>
        <w:rPr>
          <w:lang w:val="en-US"/>
        </w:rPr>
      </w:pPr>
      <w:r>
        <w:rPr>
          <w:lang w:val="en-US"/>
        </w:rPr>
        <w:t>Labuda, M., Pavlic</w:t>
      </w:r>
      <w:r>
        <w:rPr>
          <w:rFonts w:cs="Times New Roman"/>
          <w:lang w:val="en-US"/>
        </w:rPr>
        <w:t>̌</w:t>
      </w:r>
      <w:r>
        <w:rPr>
          <w:lang w:val="en-US"/>
        </w:rPr>
        <w:t>ková, K., 2006. Zmeny vo vyuz</w:t>
      </w:r>
      <w:r>
        <w:rPr>
          <w:rFonts w:cs="Times New Roman"/>
          <w:lang w:val="en-US"/>
        </w:rPr>
        <w:t>̌</w:t>
      </w:r>
      <w:r w:rsidR="00AB26D6" w:rsidRPr="00AB26D6">
        <w:rPr>
          <w:lang w:val="en-US"/>
        </w:rPr>
        <w:t xml:space="preserve">ívaní pol’nohospodárskej krajiny a jej ekologickej stability v rokoch 1955 a 1990 na území Myjavskej pahorkatiny. </w:t>
      </w:r>
      <w:r w:rsidR="00AB26D6" w:rsidRPr="00B16D6A">
        <w:rPr>
          <w:lang w:val="en-US"/>
        </w:rPr>
        <w:t>Acta Environ. Univ. Comenianae 14, 65–75 (in Slovak).</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Lambin, E.F., Meyfroidt, P., 2010. Land use transitions: socio-ecological feedback versus socio-economic change. Land Use Policy 27, 108–118.</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Lambin, E.F., Turner, B.L., Geist, H.J., Agbola, S.B., Angelsen, A., Bruce, J.W., Coom</w:t>
      </w:r>
      <w:r w:rsidR="00B16D6A">
        <w:rPr>
          <w:lang w:val="en-US"/>
        </w:rPr>
        <w:t>es, O.T.,</w:t>
      </w:r>
      <w:r w:rsidRPr="00AB26D6">
        <w:rPr>
          <w:lang w:val="en-US"/>
        </w:rPr>
        <w:t xml:space="preserve"> Dirzo, </w:t>
      </w:r>
      <w:r w:rsidR="00B16D6A">
        <w:rPr>
          <w:lang w:val="en-US"/>
        </w:rPr>
        <w:t xml:space="preserve">R., Fischer, G., Folke, C., George, </w:t>
      </w:r>
      <w:r w:rsidRPr="00AB26D6">
        <w:rPr>
          <w:lang w:val="en-US"/>
        </w:rPr>
        <w:t>P.S.,</w:t>
      </w:r>
      <w:r w:rsidR="00B16D6A">
        <w:rPr>
          <w:lang w:val="en-US"/>
        </w:rPr>
        <w:t xml:space="preserve"> Homewood, K., Imbernon, J., </w:t>
      </w:r>
      <w:r w:rsidRPr="00AB26D6">
        <w:rPr>
          <w:lang w:val="en-US"/>
        </w:rPr>
        <w:t>Leemans, R., Li, X., Moran, E.F., Mortimore, M., Ramakrishnan, P.S., Richards, J.F., Skånes, H., Steffen, W., Stone, G.D., Svedin, U., Veldkamp, T.A., Vogel, C., Xu, J., 2001. The causes of land-use and land-cover change: moving beyond the myths. Global Environ. Change 11, 261–269.</w:t>
      </w:r>
    </w:p>
    <w:p w:rsidR="00AB26D6" w:rsidRPr="00B16D6A" w:rsidRDefault="00AB26D6" w:rsidP="00AB26D6">
      <w:pPr>
        <w:spacing w:line="264" w:lineRule="auto"/>
        <w:rPr>
          <w:lang w:val="en-US"/>
        </w:rPr>
      </w:pPr>
      <w:r w:rsidRPr="00AB26D6">
        <w:rPr>
          <w:lang w:val="en-US"/>
        </w:rPr>
        <w:t>Lavruk, M., 2011. Geogra</w:t>
      </w:r>
      <w:r w:rsidRPr="00AB26D6">
        <w:rPr>
          <w:lang w:val="de-DE"/>
        </w:rPr>
        <w:t>ﬁ</w:t>
      </w:r>
      <w:r w:rsidRPr="00AB26D6">
        <w:rPr>
          <w:lang w:val="en-US"/>
        </w:rPr>
        <w:t>a polonins</w:t>
      </w:r>
      <w:r w:rsidR="00B16D6A">
        <w:rPr>
          <w:lang w:val="en-US"/>
        </w:rPr>
        <w:t xml:space="preserve">kigi gospodarstva  Gutsulschiny na </w:t>
      </w:r>
      <w:r w:rsidRPr="00AB26D6">
        <w:rPr>
          <w:lang w:val="en-US"/>
        </w:rPr>
        <w:t xml:space="preserve">pochatky XXI stolittya in Ukrainian. </w:t>
      </w:r>
      <w:r w:rsidRPr="00B16D6A">
        <w:rPr>
          <w:lang w:val="en-US"/>
        </w:rPr>
        <w:t>Visnyk Lviv. Univ. ser. Geogr. 39, 218–230.</w:t>
      </w:r>
    </w:p>
    <w:p w:rsidR="00AB26D6" w:rsidRPr="00AB26D6" w:rsidRDefault="00AB26D6" w:rsidP="00AB26D6">
      <w:pPr>
        <w:spacing w:line="264" w:lineRule="auto"/>
        <w:rPr>
          <w:lang w:val="de-DE"/>
        </w:rPr>
      </w:pPr>
      <w:r w:rsidRPr="00AB26D6">
        <w:rPr>
          <w:lang w:val="de-DE"/>
        </w:rPr>
        <w:t>Maciejowski, W., 2001. Zmiany uz˙ ytkowania ziemi i ich wpływ na funkcjonowanie s´ rodowiska przyrodniczego w zlewni górnej Wilszni (Beskid Niski) w okresie</w:t>
      </w:r>
    </w:p>
    <w:p w:rsidR="00AB26D6" w:rsidRPr="00AB26D6" w:rsidRDefault="00B16D6A" w:rsidP="00AB26D6">
      <w:pPr>
        <w:spacing w:line="264" w:lineRule="auto"/>
        <w:rPr>
          <w:lang w:val="en-US"/>
        </w:rPr>
      </w:pPr>
      <w:r>
        <w:rPr>
          <w:lang w:val="en-US"/>
        </w:rPr>
        <w:t xml:space="preserve">1920–2000 (in Polish). In: German, K., Balon, J. (Eds.), </w:t>
      </w:r>
      <w:r w:rsidR="00AB26D6" w:rsidRPr="00AB26D6">
        <w:rPr>
          <w:lang w:val="en-US"/>
        </w:rPr>
        <w:t>Przemiany</w:t>
      </w:r>
      <w:r>
        <w:rPr>
          <w:lang w:val="en-US"/>
        </w:rPr>
        <w:t xml:space="preserve"> S</w:t>
      </w:r>
      <w:r>
        <w:rPr>
          <w:rFonts w:cs="Times New Roman"/>
          <w:lang w:val="en-US"/>
        </w:rPr>
        <w:t>́</w:t>
      </w:r>
      <w:r>
        <w:rPr>
          <w:lang w:val="en-US"/>
        </w:rPr>
        <w:t xml:space="preserve">rodowiska </w:t>
      </w:r>
      <w:r w:rsidR="00AB26D6" w:rsidRPr="00AB26D6">
        <w:rPr>
          <w:lang w:val="en-US"/>
        </w:rPr>
        <w:t>Przyrodniczego Polski a Jego Funkcjonowanie. Instytut Geogra</w:t>
      </w:r>
      <w:r w:rsidR="00AB26D6" w:rsidRPr="00AB26D6">
        <w:rPr>
          <w:lang w:val="de-DE"/>
        </w:rPr>
        <w:t>ﬁ</w:t>
      </w:r>
      <w:r w:rsidR="00AB26D6" w:rsidRPr="00AB26D6">
        <w:rPr>
          <w:lang w:val="en-US"/>
        </w:rPr>
        <w:t>i i Gospodarki Przestrzennej Uniwersytetu Jagiellon´ skiego Kraków.</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Malahova, C., 2009. Analiz I otsinka suchasnogo stanu vedennya derjavnogo zeelnogo kadastru naselenyh punktiv na prykladi Lvivskoi oblasti in Ukrainian. Geod. Kartogr. I Aerofotoznimannya 72, 128–134.</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Mather, A.S., 1992. The forest transition. Area 24, 367–379.</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Mather, A.S., 1998. The forest transition: a theoretical basis. Area 30, 117–124.</w:t>
      </w:r>
    </w:p>
    <w:p w:rsidR="00B16D6A" w:rsidRDefault="00B16D6A" w:rsidP="00AB26D6">
      <w:pPr>
        <w:spacing w:line="264" w:lineRule="auto"/>
        <w:rPr>
          <w:lang w:val="en-US"/>
        </w:rPr>
      </w:pPr>
    </w:p>
    <w:p w:rsidR="00AB26D6" w:rsidRPr="00AB26D6" w:rsidRDefault="00AB26D6" w:rsidP="00AB26D6">
      <w:pPr>
        <w:spacing w:line="264" w:lineRule="auto"/>
        <w:rPr>
          <w:lang w:val="de-DE"/>
        </w:rPr>
      </w:pPr>
      <w:r w:rsidRPr="00AB26D6">
        <w:rPr>
          <w:lang w:val="en-US"/>
        </w:rPr>
        <w:t xml:space="preserve">Mather, A.S., 2007. Recent Asian forest transitions in relation to foresttransition theory. </w:t>
      </w:r>
      <w:r w:rsidRPr="00AB26D6">
        <w:rPr>
          <w:lang w:val="de-DE"/>
        </w:rPr>
        <w:t>Int. For. Rev. 9, 491–502.</w:t>
      </w:r>
    </w:p>
    <w:p w:rsidR="00B16D6A" w:rsidRDefault="00B16D6A" w:rsidP="00AB26D6">
      <w:pPr>
        <w:spacing w:line="264" w:lineRule="auto"/>
        <w:rPr>
          <w:lang w:val="en-US"/>
        </w:rPr>
      </w:pPr>
    </w:p>
    <w:p w:rsidR="00AB26D6" w:rsidRPr="00AB26D6" w:rsidRDefault="00B16D6A" w:rsidP="00AB26D6">
      <w:pPr>
        <w:spacing w:line="264" w:lineRule="auto"/>
        <w:rPr>
          <w:lang w:val="en-US"/>
        </w:rPr>
      </w:pPr>
      <w:r>
        <w:rPr>
          <w:lang w:val="en-US"/>
        </w:rPr>
        <w:t xml:space="preserve">McConnell, W.J., Keys, E., 2005. </w:t>
      </w:r>
      <w:r w:rsidR="00AB26D6" w:rsidRPr="00AB26D6">
        <w:rPr>
          <w:lang w:val="en-US"/>
        </w:rPr>
        <w:t>Meta-a</w:t>
      </w:r>
      <w:r>
        <w:rPr>
          <w:lang w:val="en-US"/>
        </w:rPr>
        <w:t xml:space="preserve">nalysis of agricultural change. </w:t>
      </w:r>
      <w:r w:rsidR="00AB26D6" w:rsidRPr="00AB26D6">
        <w:rPr>
          <w:lang w:val="en-US"/>
        </w:rPr>
        <w:t>In: Moran, E.F., Ostrom, E. (Eds.), Seeing the Forest and the Trees. Human–Environment Interactions in Forest Ecosyst</w:t>
      </w:r>
      <w:r>
        <w:rPr>
          <w:lang w:val="en-US"/>
        </w:rPr>
        <w:t xml:space="preserve">ems. MIT Press, Cambridge, pp. </w:t>
      </w:r>
      <w:r w:rsidR="00AB26D6" w:rsidRPr="00AB26D6">
        <w:rPr>
          <w:lang w:val="en-US"/>
        </w:rPr>
        <w:t>325–354.</w:t>
      </w:r>
    </w:p>
    <w:p w:rsidR="00B16D6A" w:rsidRDefault="00B16D6A" w:rsidP="00AB26D6">
      <w:pPr>
        <w:spacing w:line="264" w:lineRule="auto"/>
        <w:rPr>
          <w:lang w:val="en-US"/>
        </w:rPr>
      </w:pPr>
    </w:p>
    <w:p w:rsidR="00AB26D6" w:rsidRPr="00AB26D6" w:rsidRDefault="00AB26D6" w:rsidP="00AB26D6">
      <w:pPr>
        <w:spacing w:line="264" w:lineRule="auto"/>
        <w:rPr>
          <w:lang w:val="de-DE"/>
        </w:rPr>
      </w:pPr>
      <w:r w:rsidRPr="00AB26D6">
        <w:rPr>
          <w:lang w:val="en-US"/>
        </w:rPr>
        <w:t xml:space="preserve">Meyfroidt, P., Lambin, E.F., 2011. Global forest transition: prospects for an end to deforestation. </w:t>
      </w:r>
      <w:r w:rsidRPr="00AB26D6">
        <w:rPr>
          <w:lang w:val="de-DE"/>
        </w:rPr>
        <w:t>Annu. Rev. Environ. Resour. 36, 343–371.</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Meyfroidt, P., Rudel, T.K., Lambin, E.F., 2010. Forest transitions, trade, and the global displacement of land use. Proc. Natl. Acad. Sci. U. S. A. 107, 20917–20922.</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Mihai, B., Savulescu, I., Sandric, I., 2007. Change detection analysis (1986–2002) of vegetation cover in Romania. Mt. Res. Dev. 27, 250–258.</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Mihai, B., Savulescu, I., Sandric, I., Oprea, R., 2006. Application de la detection des changementsa l’etude de la dynamique de la vegetation des Monts de Bucegi Bucegi (Carpates Méridionales Roumanie). Télédetection 6, 215–231 (in French). Moj</w:t>
      </w:r>
      <w:r w:rsidR="00B16D6A">
        <w:rPr>
          <w:lang w:val="en-US"/>
        </w:rPr>
        <w:t>ses, M., Bezák, P., 2010. Paríz</w:t>
      </w:r>
      <w:r w:rsidR="00B16D6A">
        <w:rPr>
          <w:rFonts w:cs="Times New Roman"/>
          <w:lang w:val="en-US"/>
        </w:rPr>
        <w:t>̌</w:t>
      </w:r>
      <w:r w:rsidR="00B16D6A">
        <w:rPr>
          <w:lang w:val="en-US"/>
        </w:rPr>
        <w:t>ske Moc</w:t>
      </w:r>
      <w:r w:rsidR="00B16D6A">
        <w:rPr>
          <w:rFonts w:cs="Times New Roman"/>
          <w:lang w:val="en-US"/>
        </w:rPr>
        <w:t>̌</w:t>
      </w:r>
      <w:r w:rsidR="00B16D6A">
        <w:rPr>
          <w:lang w:val="en-US"/>
        </w:rPr>
        <w:t>iare. In: Bezák, P., Izakovic</w:t>
      </w:r>
      <w:r w:rsidR="00B16D6A">
        <w:rPr>
          <w:rFonts w:cs="Times New Roman"/>
          <w:lang w:val="en-US"/>
        </w:rPr>
        <w:t>̌</w:t>
      </w:r>
      <w:r w:rsidR="00B16D6A">
        <w:rPr>
          <w:lang w:val="en-US"/>
        </w:rPr>
        <w:t xml:space="preserve">ová, Z., Miklós, </w:t>
      </w:r>
      <w:r w:rsidRPr="00AB26D6">
        <w:rPr>
          <w:lang w:val="en-US"/>
        </w:rPr>
        <w:t>L. (Eds.), Reprezentatívne typy krajiny Slovenska (in Slovak). Ústav krajinnej ekológie Slovenskej Akademie Vied, Bratislava, p. p180.</w:t>
      </w:r>
    </w:p>
    <w:p w:rsidR="00B16D6A" w:rsidRDefault="00B16D6A" w:rsidP="00AB26D6">
      <w:pPr>
        <w:spacing w:line="264" w:lineRule="auto"/>
        <w:rPr>
          <w:lang w:val="en-US"/>
        </w:rPr>
      </w:pPr>
    </w:p>
    <w:p w:rsidR="00AB26D6" w:rsidRPr="00B16D6A" w:rsidRDefault="00B16D6A" w:rsidP="00AB26D6">
      <w:pPr>
        <w:spacing w:line="264" w:lineRule="auto"/>
        <w:rPr>
          <w:lang w:val="en-US"/>
        </w:rPr>
      </w:pPr>
      <w:r>
        <w:rPr>
          <w:lang w:val="en-US"/>
        </w:rPr>
        <w:t>Mojses, M., Boltiz</w:t>
      </w:r>
      <w:r>
        <w:rPr>
          <w:rFonts w:cs="Times New Roman"/>
          <w:lang w:val="en-US"/>
        </w:rPr>
        <w:t>̌</w:t>
      </w:r>
      <w:r>
        <w:rPr>
          <w:lang w:val="en-US"/>
        </w:rPr>
        <w:t>iar, M., 2011. Using spatial Metrics for assessment of the landscape structure changes of the Bes</w:t>
      </w:r>
      <w:r>
        <w:rPr>
          <w:rFonts w:cs="Times New Roman"/>
          <w:lang w:val="en-US"/>
        </w:rPr>
        <w:t>̌</w:t>
      </w:r>
      <w:r>
        <w:rPr>
          <w:lang w:val="en-US"/>
        </w:rPr>
        <w:t xml:space="preserve">a dry polder. </w:t>
      </w:r>
      <w:r w:rsidR="00AB26D6" w:rsidRPr="00B16D6A">
        <w:rPr>
          <w:lang w:val="en-US"/>
        </w:rPr>
        <w:t>Tájök</w:t>
      </w:r>
      <w:r>
        <w:rPr>
          <w:lang w:val="en-US"/>
        </w:rPr>
        <w:t xml:space="preserve">ológiai Lapok </w:t>
      </w:r>
      <w:r w:rsidR="00AB26D6" w:rsidRPr="00B16D6A">
        <w:rPr>
          <w:lang w:val="en-US"/>
        </w:rPr>
        <w:t>9, 415–428.</w:t>
      </w:r>
    </w:p>
    <w:p w:rsidR="00AB26D6" w:rsidRPr="00AB26D6" w:rsidRDefault="00B16D6A" w:rsidP="00AB26D6">
      <w:pPr>
        <w:spacing w:line="264" w:lineRule="auto"/>
        <w:rPr>
          <w:lang w:val="en-US"/>
        </w:rPr>
      </w:pPr>
      <w:r>
        <w:rPr>
          <w:lang w:val="en-US"/>
        </w:rPr>
        <w:t>Mojses, M., Petrovic</w:t>
      </w:r>
      <w:r>
        <w:rPr>
          <w:rFonts w:cs="Times New Roman"/>
          <w:lang w:val="en-US"/>
        </w:rPr>
        <w:t>̌</w:t>
      </w:r>
      <w:r w:rsidR="00AB26D6" w:rsidRPr="00AB26D6">
        <w:rPr>
          <w:lang w:val="en-US"/>
        </w:rPr>
        <w:t>, F., 2013. Land use changes of his</w:t>
      </w:r>
      <w:r>
        <w:rPr>
          <w:lang w:val="en-US"/>
        </w:rPr>
        <w:t>torical structures in the agri</w:t>
      </w:r>
      <w:r w:rsidR="00AB26D6" w:rsidRPr="00AB26D6">
        <w:rPr>
          <w:lang w:val="en-US"/>
        </w:rPr>
        <w:t>cultural land</w:t>
      </w:r>
      <w:r>
        <w:rPr>
          <w:lang w:val="en-US"/>
        </w:rPr>
        <w:t>scape at the local level – Hrin</w:t>
      </w:r>
      <w:r>
        <w:rPr>
          <w:rFonts w:cs="Times New Roman"/>
          <w:lang w:val="en-US"/>
        </w:rPr>
        <w:t>̌</w:t>
      </w:r>
      <w:r w:rsidR="00AB26D6" w:rsidRPr="00AB26D6">
        <w:rPr>
          <w:lang w:val="en-US"/>
        </w:rPr>
        <w:t xml:space="preserve"> ova case study. Ekológia. Int. J. Ecol. Probl. Biosph. 32, 1–12.</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Miklovoda, V., Gazuda, M., 2010. Agrarian land use in regions of th</w:t>
      </w:r>
      <w:r w:rsidR="00B16D6A">
        <w:rPr>
          <w:lang w:val="en-US"/>
        </w:rPr>
        <w:t xml:space="preserve">e Ukrainian Carpathians. Econ. Ind. </w:t>
      </w:r>
      <w:r w:rsidRPr="00AB26D6">
        <w:rPr>
          <w:lang w:val="en-US"/>
        </w:rPr>
        <w:t>49, 163–171.</w:t>
      </w:r>
    </w:p>
    <w:p w:rsidR="00B16D6A" w:rsidRDefault="00B16D6A" w:rsidP="00AB26D6">
      <w:pPr>
        <w:spacing w:line="264" w:lineRule="auto"/>
        <w:rPr>
          <w:lang w:val="en-US"/>
        </w:rPr>
      </w:pPr>
    </w:p>
    <w:p w:rsidR="00AB26D6" w:rsidRPr="00AB26D6" w:rsidRDefault="00AB26D6" w:rsidP="00AB26D6">
      <w:pPr>
        <w:spacing w:line="264" w:lineRule="auto"/>
        <w:rPr>
          <w:lang w:val="en-US"/>
        </w:rPr>
      </w:pPr>
      <w:r w:rsidRPr="00AB26D6">
        <w:rPr>
          <w:lang w:val="en-US"/>
        </w:rPr>
        <w:t>Monastyrskiy, V., 2010. Antropogenna transformac</w:t>
      </w:r>
      <w:r w:rsidR="00B16D6A">
        <w:rPr>
          <w:lang w:val="en-US"/>
        </w:rPr>
        <w:t>ia komponentnoi struktury land-</w:t>
      </w:r>
      <w:r w:rsidRPr="00AB26D6">
        <w:rPr>
          <w:lang w:val="en-US"/>
        </w:rPr>
        <w:t>shaftif Prybeskids</w:t>
      </w:r>
      <w:r w:rsidR="00B16D6A">
        <w:rPr>
          <w:lang w:val="en-US"/>
        </w:rPr>
        <w:t>kogo Peredkarpattya , Lviv (in</w:t>
      </w:r>
      <w:r w:rsidRPr="00AB26D6">
        <w:rPr>
          <w:lang w:val="en-US"/>
        </w:rPr>
        <w:t xml:space="preserve"> Ukrainan).</w:t>
      </w:r>
    </w:p>
    <w:p w:rsidR="00B16D6A" w:rsidRDefault="00B16D6A" w:rsidP="00AB26D6">
      <w:pPr>
        <w:spacing w:line="264" w:lineRule="auto"/>
        <w:rPr>
          <w:lang w:val="en-US"/>
        </w:rPr>
      </w:pPr>
    </w:p>
    <w:p w:rsidR="00AB26D6" w:rsidRPr="00AB26D6" w:rsidRDefault="00B16D6A" w:rsidP="00AB26D6">
      <w:pPr>
        <w:spacing w:line="264" w:lineRule="auto"/>
        <w:rPr>
          <w:lang w:val="de-DE"/>
        </w:rPr>
      </w:pPr>
      <w:r>
        <w:rPr>
          <w:lang w:val="en-US"/>
        </w:rPr>
        <w:t>Moyzeová, M., Izakovic</w:t>
      </w:r>
      <w:r>
        <w:rPr>
          <w:rFonts w:cs="Times New Roman"/>
          <w:lang w:val="en-US"/>
        </w:rPr>
        <w:t>̌</w:t>
      </w:r>
      <w:r w:rsidR="00AB26D6" w:rsidRPr="00AB26D6">
        <w:rPr>
          <w:lang w:val="en-US"/>
        </w:rPr>
        <w:t>o</w:t>
      </w:r>
      <w:r>
        <w:rPr>
          <w:lang w:val="en-US"/>
        </w:rPr>
        <w:t>vá, Z., 2010. Horné Ores</w:t>
      </w:r>
      <w:r>
        <w:rPr>
          <w:rFonts w:cs="Times New Roman"/>
          <w:lang w:val="en-US"/>
        </w:rPr>
        <w:t>̌</w:t>
      </w:r>
      <w:r w:rsidR="00AB26D6" w:rsidRPr="00AB26D6">
        <w:rPr>
          <w:lang w:val="en-US"/>
        </w:rPr>
        <w:t xml:space="preserve">any. </w:t>
      </w:r>
      <w:r w:rsidRPr="00B16D6A">
        <w:rPr>
          <w:lang w:val="de-DE"/>
        </w:rPr>
        <w:t>In: Bezák, P., Izakovic</w:t>
      </w:r>
      <w:r w:rsidRPr="00B16D6A">
        <w:rPr>
          <w:rFonts w:cs="Times New Roman"/>
          <w:lang w:val="de-DE"/>
        </w:rPr>
        <w:t>̌</w:t>
      </w:r>
      <w:r w:rsidR="00AB26D6" w:rsidRPr="00B16D6A">
        <w:rPr>
          <w:lang w:val="de-DE"/>
        </w:rPr>
        <w:t xml:space="preserve">ová, Z., Miklós, L., et al. </w:t>
      </w:r>
      <w:r w:rsidR="00AB26D6" w:rsidRPr="00AB26D6">
        <w:rPr>
          <w:lang w:val="de-DE"/>
        </w:rPr>
        <w:t>(Eds.), Reprezentatívne Typy Krajiny Slovenka. Ústav krajinnej ekológie Slovenskej Akademie Vied, Bratislava, p. 180 (in Slovak).</w:t>
      </w:r>
    </w:p>
    <w:p w:rsidR="00B16D6A" w:rsidRDefault="00B16D6A" w:rsidP="00AB26D6">
      <w:pPr>
        <w:spacing w:line="264" w:lineRule="auto"/>
        <w:rPr>
          <w:lang w:val="en-US"/>
        </w:rPr>
      </w:pPr>
    </w:p>
    <w:p w:rsidR="00AB26D6" w:rsidRPr="008D4ADD" w:rsidRDefault="00B16D6A" w:rsidP="00AB26D6">
      <w:pPr>
        <w:spacing w:line="264" w:lineRule="auto"/>
        <w:rPr>
          <w:lang w:val="en-US"/>
        </w:rPr>
      </w:pPr>
      <w:r>
        <w:rPr>
          <w:lang w:val="en-US"/>
        </w:rPr>
        <w:t>Muchová, Z., Petrovic</w:t>
      </w:r>
      <w:r>
        <w:rPr>
          <w:rFonts w:cs="Times New Roman"/>
          <w:lang w:val="en-US"/>
        </w:rPr>
        <w:t>̌</w:t>
      </w:r>
      <w:r w:rsidR="00AB26D6" w:rsidRPr="00AB26D6">
        <w:rPr>
          <w:lang w:val="en-US"/>
        </w:rPr>
        <w:t>, F., 2010. Changes in the landsc</w:t>
      </w:r>
      <w:r w:rsidR="008D4ADD">
        <w:rPr>
          <w:lang w:val="en-US"/>
        </w:rPr>
        <w:t xml:space="preserve">ape due to land consolidations. </w:t>
      </w:r>
      <w:r w:rsidR="00AB26D6" w:rsidRPr="00AB26D6">
        <w:rPr>
          <w:lang w:val="en-US"/>
        </w:rPr>
        <w:t xml:space="preserve">Ekológia. Int. J. Ecol. Probl. </w:t>
      </w:r>
      <w:r w:rsidR="00AB26D6" w:rsidRPr="008D4ADD">
        <w:rPr>
          <w:lang w:val="en-US"/>
        </w:rPr>
        <w:t>Biosph. 29, 140–157.</w:t>
      </w:r>
    </w:p>
    <w:p w:rsidR="008D4ADD" w:rsidRDefault="008D4ADD" w:rsidP="00AB26D6">
      <w:pPr>
        <w:spacing w:line="264" w:lineRule="auto"/>
        <w:rPr>
          <w:lang w:val="en-US"/>
        </w:rPr>
      </w:pPr>
    </w:p>
    <w:p w:rsidR="00AB26D6" w:rsidRPr="00AB26D6" w:rsidRDefault="00AB26D6" w:rsidP="00AB26D6">
      <w:pPr>
        <w:spacing w:line="264" w:lineRule="auto"/>
        <w:rPr>
          <w:lang w:val="de-DE"/>
        </w:rPr>
      </w:pPr>
      <w:r w:rsidRPr="008D4ADD">
        <w:rPr>
          <w:lang w:val="de-DE"/>
        </w:rPr>
        <w:t xml:space="preserve">Mulková, M., Popelka, P., Popelková, R., 2012. </w:t>
      </w:r>
      <w:r w:rsidRPr="00AB26D6">
        <w:rPr>
          <w:lang w:val="en-US"/>
        </w:rPr>
        <w:t xml:space="preserve">Landscape changes in the central part of the Karviná region from the </w:t>
      </w:r>
      <w:r w:rsidRPr="00AB26D6">
        <w:rPr>
          <w:lang w:val="de-DE"/>
        </w:rPr>
        <w:t>ﬁ</w:t>
      </w:r>
      <w:r w:rsidRPr="00AB26D6">
        <w:rPr>
          <w:lang w:val="en-US"/>
        </w:rPr>
        <w:t xml:space="preserve">rst half of the 19th century to the beginning of the 21st century. </w:t>
      </w:r>
      <w:r w:rsidRPr="00AB26D6">
        <w:rPr>
          <w:lang w:val="de-DE"/>
        </w:rPr>
        <w:t>Ekológia. Int. J. Ecol. Probl. Biosph. 31, 75–91.</w:t>
      </w:r>
    </w:p>
    <w:p w:rsidR="008D4ADD" w:rsidRDefault="008D4ADD" w:rsidP="00AB26D6">
      <w:pPr>
        <w:spacing w:line="264" w:lineRule="auto"/>
        <w:rPr>
          <w:lang w:val="de-DE"/>
        </w:rPr>
      </w:pPr>
    </w:p>
    <w:p w:rsidR="00AB26D6" w:rsidRPr="00AB26D6" w:rsidRDefault="00AB26D6" w:rsidP="00AB26D6">
      <w:pPr>
        <w:spacing w:line="264" w:lineRule="auto"/>
        <w:rPr>
          <w:lang w:val="en-US"/>
        </w:rPr>
      </w:pPr>
      <w:r w:rsidRPr="00AB26D6">
        <w:rPr>
          <w:lang w:val="de-DE"/>
        </w:rPr>
        <w:t xml:space="preserve">Müller, D., Leitão, P.J., Sikor, T., 2013. </w:t>
      </w:r>
      <w:r w:rsidRPr="00AB26D6">
        <w:rPr>
          <w:lang w:val="en-US"/>
        </w:rPr>
        <w:t>Comparing the determinants of cropland aban- donment in Albania and Romania using boosted regression trees. Agric. Syst. 117, 66–77.</w:t>
      </w:r>
    </w:p>
    <w:p w:rsidR="008D4ADD" w:rsidRDefault="008D4ADD" w:rsidP="00AB26D6">
      <w:pPr>
        <w:spacing w:line="264" w:lineRule="auto"/>
        <w:rPr>
          <w:lang w:val="en-US"/>
        </w:rPr>
      </w:pPr>
    </w:p>
    <w:p w:rsidR="00AB26D6" w:rsidRPr="00AB26D6" w:rsidRDefault="00AB26D6" w:rsidP="00AB26D6">
      <w:pPr>
        <w:spacing w:line="264" w:lineRule="auto"/>
        <w:rPr>
          <w:lang w:val="en-US"/>
        </w:rPr>
      </w:pPr>
      <w:r w:rsidRPr="008D4ADD">
        <w:rPr>
          <w:lang w:val="de-DE"/>
        </w:rPr>
        <w:t xml:space="preserve">Munteanu, C., Geitner, C., Scharr, K., 2008. </w:t>
      </w:r>
      <w:r w:rsidRPr="00AB26D6">
        <w:rPr>
          <w:lang w:val="en-US"/>
        </w:rPr>
        <w:t>Consequences of historical and modern landuse on cultural landscapes and</w:t>
      </w:r>
      <w:r w:rsidR="008D4ADD">
        <w:rPr>
          <w:lang w:val="en-US"/>
        </w:rPr>
        <w:t xml:space="preserve"> biodiversity of the Maramures¸</w:t>
      </w:r>
      <w:r w:rsidRPr="00AB26D6">
        <w:rPr>
          <w:lang w:val="en-US"/>
        </w:rPr>
        <w:t xml:space="preserve"> Mountains. In: Gaceu, L. (Ed.), Journal of EcoAgriTourism, Proceeding of the International Conference BIOATLAS 2008. Transilvania University o</w:t>
      </w:r>
      <w:r w:rsidR="008D4ADD">
        <w:rPr>
          <w:lang w:val="en-US"/>
        </w:rPr>
        <w:t xml:space="preserve">f Brasov, Romania, Brasov, pp. </w:t>
      </w:r>
      <w:r w:rsidRPr="00AB26D6">
        <w:rPr>
          <w:lang w:val="en-US"/>
        </w:rPr>
        <w:t>91–98.</w:t>
      </w:r>
    </w:p>
    <w:p w:rsidR="008D4ADD" w:rsidRDefault="008D4ADD" w:rsidP="00AB26D6">
      <w:pPr>
        <w:spacing w:line="264" w:lineRule="auto"/>
        <w:rPr>
          <w:lang w:val="en-US"/>
        </w:rPr>
      </w:pPr>
    </w:p>
    <w:p w:rsidR="00AB26D6" w:rsidRPr="008D4ADD" w:rsidRDefault="00AB26D6" w:rsidP="00AB26D6">
      <w:pPr>
        <w:spacing w:line="264" w:lineRule="auto"/>
        <w:rPr>
          <w:lang w:val="en-US"/>
        </w:rPr>
      </w:pPr>
      <w:r w:rsidRPr="00AB26D6">
        <w:rPr>
          <w:lang w:val="en-US"/>
        </w:rPr>
        <w:t>Nagy, D., 2008. A történeti felszínborítás térképezé</w:t>
      </w:r>
      <w:r w:rsidR="008D4ADD">
        <w:rPr>
          <w:lang w:val="en-US"/>
        </w:rPr>
        <w:t>se a Tisza-völgyben. In: Flach</w:t>
      </w:r>
      <w:r w:rsidRPr="00AB26D6">
        <w:rPr>
          <w:lang w:val="en-US"/>
        </w:rPr>
        <w:t xml:space="preserve">ner, Z., Kovács, A., Kelemen, É. (Eds.), A Történeti Felszínborítás Térképezése a Tiszavölgyben. </w:t>
      </w:r>
      <w:r w:rsidRPr="008D4ADD">
        <w:rPr>
          <w:lang w:val="en-US"/>
        </w:rPr>
        <w:t>Nagykör</w:t>
      </w:r>
      <w:r w:rsidR="008D4ADD" w:rsidRPr="008D4ADD">
        <w:rPr>
          <w:lang w:val="en-US"/>
        </w:rPr>
        <w:t>ü</w:t>
      </w:r>
      <w:r w:rsidRPr="008D4ADD">
        <w:rPr>
          <w:lang w:val="en-US"/>
        </w:rPr>
        <w:t xml:space="preserve"> -Eger-Budapest, Budapest, pp. 40–58 (in Hungarian).</w:t>
      </w:r>
    </w:p>
    <w:p w:rsidR="008D4ADD" w:rsidRDefault="008D4ADD" w:rsidP="00AB26D6">
      <w:pPr>
        <w:spacing w:line="264" w:lineRule="auto"/>
        <w:rPr>
          <w:lang w:val="en-US"/>
        </w:rPr>
      </w:pPr>
    </w:p>
    <w:p w:rsidR="008D4ADD" w:rsidRDefault="00AB26D6" w:rsidP="00AB26D6">
      <w:pPr>
        <w:spacing w:line="264" w:lineRule="auto"/>
        <w:rPr>
          <w:lang w:val="en-US"/>
        </w:rPr>
      </w:pPr>
      <w:r w:rsidRPr="00AB26D6">
        <w:rPr>
          <w:lang w:val="en-US"/>
        </w:rPr>
        <w:t>Niculita, C.M., Lupascu, A., Minea, I., 2008. Evolutia suprafetelor forestiere in ocoalelel silvice Ciurea si Podu Iloaiei intre anii 1894–2</w:t>
      </w:r>
      <w:r w:rsidR="008D4ADD">
        <w:rPr>
          <w:lang w:val="en-US"/>
        </w:rPr>
        <w:t xml:space="preserve">000. Lucr. Stiint. 51, 195–201 (in Romanian). </w:t>
      </w:r>
    </w:p>
    <w:p w:rsidR="008D4ADD" w:rsidRDefault="008D4ADD" w:rsidP="00AB26D6">
      <w:pPr>
        <w:spacing w:line="264" w:lineRule="auto"/>
        <w:rPr>
          <w:lang w:val="en-US"/>
        </w:rPr>
      </w:pPr>
    </w:p>
    <w:p w:rsidR="00AB26D6" w:rsidRPr="00AB26D6" w:rsidRDefault="00AB26D6" w:rsidP="00AB26D6">
      <w:pPr>
        <w:spacing w:line="264" w:lineRule="auto"/>
        <w:rPr>
          <w:lang w:val="en-US"/>
        </w:rPr>
      </w:pPr>
      <w:r w:rsidRPr="00AB26D6">
        <w:rPr>
          <w:lang w:val="en-US"/>
        </w:rPr>
        <w:t>Ojima, D.S., Galvin, K.A., Turner, B.L., 1994. The gl</w:t>
      </w:r>
      <w:r w:rsidR="008D4ADD">
        <w:rPr>
          <w:lang w:val="en-US"/>
        </w:rPr>
        <w:t xml:space="preserve">obal impact of land-use change. </w:t>
      </w:r>
      <w:r w:rsidRPr="00AB26D6">
        <w:rPr>
          <w:lang w:val="en-US"/>
        </w:rPr>
        <w:t>Bioscience 44, 300–304.</w:t>
      </w:r>
    </w:p>
    <w:p w:rsidR="008D4ADD" w:rsidRDefault="008D4ADD" w:rsidP="00AB26D6">
      <w:pPr>
        <w:spacing w:line="264" w:lineRule="auto"/>
        <w:rPr>
          <w:lang w:val="en-US"/>
        </w:rPr>
      </w:pPr>
    </w:p>
    <w:p w:rsidR="00AB26D6" w:rsidRPr="00AB26D6" w:rsidRDefault="008D4ADD" w:rsidP="00AB26D6">
      <w:pPr>
        <w:spacing w:line="264" w:lineRule="auto"/>
        <w:rPr>
          <w:lang w:val="en-US"/>
        </w:rPr>
      </w:pPr>
      <w:r>
        <w:rPr>
          <w:lang w:val="en-US"/>
        </w:rPr>
        <w:t>Olah, B., Boltiz</w:t>
      </w:r>
      <w:r w:rsidR="00AB26D6" w:rsidRPr="00AB26D6">
        <w:rPr>
          <w:lang w:val="en-US"/>
        </w:rPr>
        <w:t>iar, M., 2009. Land use ganges within the Slovak biosphere reserves’s zones. Ekológia. Int. J. Ecol. Probl. Biosph. 28, 127–142.</w:t>
      </w:r>
    </w:p>
    <w:p w:rsidR="008D4ADD" w:rsidRDefault="008D4ADD" w:rsidP="00AB26D6">
      <w:pPr>
        <w:spacing w:line="264" w:lineRule="auto"/>
        <w:rPr>
          <w:lang w:val="en-US"/>
        </w:rPr>
      </w:pPr>
    </w:p>
    <w:p w:rsidR="00AB26D6" w:rsidRPr="008D4ADD" w:rsidRDefault="00AB26D6" w:rsidP="00AB26D6">
      <w:pPr>
        <w:spacing w:line="264" w:lineRule="auto"/>
        <w:rPr>
          <w:lang w:val="en-US"/>
        </w:rPr>
      </w:pPr>
      <w:r w:rsidRPr="00AB26D6">
        <w:rPr>
          <w:lang w:val="en-US"/>
        </w:rPr>
        <w:t>Osta</w:t>
      </w:r>
      <w:r w:rsidRPr="00AB26D6">
        <w:rPr>
          <w:lang w:val="de-DE"/>
        </w:rPr>
        <w:t>ﬁ</w:t>
      </w:r>
      <w:r w:rsidR="008D4ADD">
        <w:rPr>
          <w:lang w:val="en-US"/>
        </w:rPr>
        <w:t>n, K., 2009. Zmiany granicy rolno-les</w:t>
      </w:r>
      <w:r w:rsidR="008D4ADD">
        <w:rPr>
          <w:rFonts w:cs="Times New Roman"/>
          <w:lang w:val="en-US"/>
        </w:rPr>
        <w:t>́</w:t>
      </w:r>
      <w:r w:rsidR="008D4ADD">
        <w:rPr>
          <w:lang w:val="en-US"/>
        </w:rPr>
        <w:t xml:space="preserve"> nej w s</w:t>
      </w:r>
      <w:r w:rsidR="008D4ADD">
        <w:rPr>
          <w:rFonts w:cs="Times New Roman"/>
          <w:lang w:val="en-US"/>
        </w:rPr>
        <w:t>́</w:t>
      </w:r>
      <w:r w:rsidR="008D4ADD">
        <w:rPr>
          <w:lang w:val="en-US"/>
        </w:rPr>
        <w:t xml:space="preserve"> rodkowej cze˛ s</w:t>
      </w:r>
      <w:r w:rsidR="008D4ADD">
        <w:rPr>
          <w:rFonts w:cs="Times New Roman"/>
          <w:lang w:val="en-US"/>
        </w:rPr>
        <w:t>́</w:t>
      </w:r>
      <w:r w:rsidR="008D4ADD">
        <w:rPr>
          <w:lang w:val="en-US"/>
        </w:rPr>
        <w:t xml:space="preserve"> c</w:t>
      </w:r>
      <w:r w:rsidR="008D4ADD">
        <w:rPr>
          <w:rFonts w:cs="Times New Roman"/>
          <w:lang w:val="en-US"/>
        </w:rPr>
        <w:t>́</w:t>
      </w:r>
      <w:r w:rsidR="008D4ADD">
        <w:rPr>
          <w:lang w:val="en-US"/>
        </w:rPr>
        <w:t xml:space="preserve"> Beskidu S</w:t>
      </w:r>
      <w:r w:rsidR="008D4ADD">
        <w:rPr>
          <w:rFonts w:cs="Times New Roman"/>
          <w:lang w:val="en-US"/>
        </w:rPr>
        <w:t>́</w:t>
      </w:r>
      <w:r w:rsidR="008D4ADD">
        <w:rPr>
          <w:lang w:val="en-US"/>
        </w:rPr>
        <w:t xml:space="preserve"> redniego od połowy XIX wieku do 2005 roku. Wydawnictwo Uniwersytetu Jagiellon</w:t>
      </w:r>
      <w:r w:rsidR="008D4ADD">
        <w:rPr>
          <w:rFonts w:cs="Times New Roman"/>
          <w:lang w:val="en-US"/>
        </w:rPr>
        <w:t>́</w:t>
      </w:r>
      <w:r w:rsidRPr="008D4ADD">
        <w:rPr>
          <w:lang w:val="en-US"/>
        </w:rPr>
        <w:t xml:space="preserve"> skiego Kraków, roku, Wydaw, UJ (in Polish).</w:t>
      </w:r>
    </w:p>
    <w:p w:rsidR="008D4ADD" w:rsidRDefault="008D4ADD" w:rsidP="00AB26D6">
      <w:pPr>
        <w:spacing w:line="264" w:lineRule="auto"/>
        <w:rPr>
          <w:lang w:val="en-US"/>
        </w:rPr>
      </w:pPr>
    </w:p>
    <w:p w:rsidR="00AB26D6" w:rsidRPr="00AB26D6" w:rsidRDefault="00AB26D6" w:rsidP="00AB26D6">
      <w:pPr>
        <w:spacing w:line="264" w:lineRule="auto"/>
        <w:rPr>
          <w:lang w:val="en-US"/>
        </w:rPr>
      </w:pPr>
      <w:r w:rsidRPr="00AB26D6">
        <w:rPr>
          <w:lang w:val="de-DE"/>
        </w:rPr>
        <w:t xml:space="preserve">Ostapowicz, K., Kozak, J., 2011. </w:t>
      </w:r>
      <w:r w:rsidRPr="00AB26D6">
        <w:rPr>
          <w:lang w:val="en-US"/>
        </w:rPr>
        <w:t>Assessment of land cover change in the Polish Carpathians over the last decades using Landsat data. In: Abstract Book of the 31st F EARSeL. Symposium in Prague Remote Sensing Geoinformation Not Only for Scienti</w:t>
      </w:r>
      <w:r w:rsidRPr="00AB26D6">
        <w:rPr>
          <w:lang w:val="de-DE"/>
        </w:rPr>
        <w:t>ﬁ</w:t>
      </w:r>
      <w:r w:rsidRPr="00AB26D6">
        <w:rPr>
          <w:lang w:val="en-US"/>
        </w:rPr>
        <w:t>c Cooperation, Prague, p. 53.</w:t>
      </w:r>
    </w:p>
    <w:p w:rsidR="008D4ADD" w:rsidRDefault="008D4ADD" w:rsidP="00AB26D6">
      <w:pPr>
        <w:spacing w:line="264" w:lineRule="auto"/>
        <w:rPr>
          <w:lang w:val="en-US"/>
        </w:rPr>
      </w:pPr>
    </w:p>
    <w:p w:rsidR="00AB26D6" w:rsidRPr="00AB26D6" w:rsidRDefault="00AB26D6" w:rsidP="00AB26D6">
      <w:pPr>
        <w:spacing w:line="264" w:lineRule="auto"/>
        <w:rPr>
          <w:lang w:val="en-US"/>
        </w:rPr>
      </w:pPr>
      <w:r w:rsidRPr="00AB26D6">
        <w:rPr>
          <w:lang w:val="en-US"/>
        </w:rPr>
        <w:t>Pandey, D., 1995. Forest resources assessment 1990: tropical forest plantation resources. In: FAO For. Pap. 128. FAO, Rome, pp. 90.</w:t>
      </w:r>
    </w:p>
    <w:p w:rsidR="008D4ADD" w:rsidRDefault="008D4ADD" w:rsidP="00AB26D6">
      <w:pPr>
        <w:spacing w:line="264" w:lineRule="auto"/>
        <w:rPr>
          <w:lang w:val="en-US"/>
        </w:rPr>
      </w:pPr>
    </w:p>
    <w:p w:rsidR="00AB26D6" w:rsidRPr="008D4ADD" w:rsidRDefault="00AB26D6" w:rsidP="00AB26D6">
      <w:pPr>
        <w:spacing w:line="264" w:lineRule="auto"/>
        <w:rPr>
          <w:lang w:val="en-US"/>
        </w:rPr>
      </w:pPr>
      <w:r w:rsidRPr="00AB26D6">
        <w:rPr>
          <w:lang w:val="en-US"/>
        </w:rPr>
        <w:t xml:space="preserve">Paracchini, M., Petersen, J., Hoogeveen, Y., 2008. High Nature Value Farmland in Europe: an estimate of the distribution patterns on the basis of land cover and biodiversity data, </w:t>
      </w:r>
      <w:r w:rsidR="008D4ADD">
        <w:rPr>
          <w:lang w:val="en-US"/>
        </w:rPr>
        <w:t>agrienv. jrc. ec. europa. eu/…</w:t>
      </w:r>
      <w:r w:rsidRPr="00AB26D6">
        <w:rPr>
          <w:lang w:val="en-US"/>
        </w:rPr>
        <w:t xml:space="preserve"> </w:t>
      </w:r>
      <w:r w:rsidRPr="008D4ADD">
        <w:rPr>
          <w:lang w:val="en-US"/>
        </w:rPr>
        <w:t>Luxemburg.</w:t>
      </w:r>
    </w:p>
    <w:p w:rsidR="008D4ADD" w:rsidRDefault="008D4ADD" w:rsidP="00AB26D6">
      <w:pPr>
        <w:spacing w:line="264" w:lineRule="auto"/>
        <w:rPr>
          <w:lang w:val="en-US"/>
        </w:rPr>
      </w:pPr>
    </w:p>
    <w:p w:rsidR="00AB26D6" w:rsidRPr="00AB26D6" w:rsidRDefault="00AB26D6" w:rsidP="00AB26D6">
      <w:pPr>
        <w:spacing w:line="264" w:lineRule="auto"/>
        <w:rPr>
          <w:lang w:val="en-US"/>
        </w:rPr>
      </w:pPr>
      <w:r w:rsidRPr="008D4ADD">
        <w:rPr>
          <w:lang w:val="en-US"/>
        </w:rPr>
        <w:t xml:space="preserve">Patru-Stupariu, I., 2011. Peisaj si gestiunea durabila a teritoriului. </w:t>
      </w:r>
      <w:r w:rsidRPr="00AB26D6">
        <w:rPr>
          <w:lang w:val="en-US"/>
        </w:rPr>
        <w:t>Aplicatii la culoarul transcarpatic Bran-Rucar-Dragoslavele, 2nd ed. University Press Bucharest, Bucharest (in Romanian).</w:t>
      </w:r>
    </w:p>
    <w:p w:rsidR="008D4ADD" w:rsidRDefault="008D4ADD" w:rsidP="00AB26D6">
      <w:pPr>
        <w:spacing w:line="264" w:lineRule="auto"/>
        <w:rPr>
          <w:lang w:val="en-US"/>
        </w:rPr>
      </w:pPr>
    </w:p>
    <w:p w:rsidR="00AB26D6" w:rsidRPr="00AB26D6" w:rsidRDefault="00AB26D6" w:rsidP="00AB26D6">
      <w:pPr>
        <w:spacing w:line="264" w:lineRule="auto"/>
        <w:rPr>
          <w:lang w:val="en-US"/>
        </w:rPr>
      </w:pPr>
      <w:r w:rsidRPr="00AB26D6">
        <w:rPr>
          <w:lang w:val="en-US"/>
        </w:rPr>
        <w:t>Patru-Stupariu, I., Stupariu, M.-S., Cuculici, R., Huzui, A.E., 2011. Understanding land- scape change using historical maps. J. Maps, 206–220.</w:t>
      </w:r>
    </w:p>
    <w:p w:rsidR="008D4ADD" w:rsidRDefault="008D4ADD" w:rsidP="00AB26D6">
      <w:pPr>
        <w:spacing w:line="264" w:lineRule="auto"/>
        <w:rPr>
          <w:lang w:val="en-US"/>
        </w:rPr>
      </w:pPr>
    </w:p>
    <w:p w:rsidR="00AB26D6" w:rsidRPr="00AB26D6" w:rsidRDefault="00AB26D6" w:rsidP="00AB26D6">
      <w:pPr>
        <w:spacing w:line="264" w:lineRule="auto"/>
        <w:rPr>
          <w:lang w:val="en-US"/>
        </w:rPr>
      </w:pPr>
      <w:r w:rsidRPr="00AB26D6">
        <w:rPr>
          <w:lang w:val="en-US"/>
        </w:rPr>
        <w:t xml:space="preserve">Perovych, D., Perovych, L., Ludchak, O., 2011. </w:t>
      </w:r>
      <w:r w:rsidRPr="008D4ADD">
        <w:rPr>
          <w:lang w:val="de-DE"/>
        </w:rPr>
        <w:t>Anali</w:t>
      </w:r>
      <w:r w:rsidR="008D4ADD" w:rsidRPr="008D4ADD">
        <w:rPr>
          <w:lang w:val="de-DE"/>
        </w:rPr>
        <w:t>z vykoristannya zemelnyh resur</w:t>
      </w:r>
      <w:r w:rsidRPr="008D4ADD">
        <w:rPr>
          <w:lang w:val="de-DE"/>
        </w:rPr>
        <w:t xml:space="preserve">siv Ivano-Frankivschiny. </w:t>
      </w:r>
      <w:r w:rsidRPr="00AB26D6">
        <w:rPr>
          <w:lang w:val="en-US"/>
        </w:rPr>
        <w:t>Suchasni dosyagnennya Geod. Nauk. ta vyrobnitstva 1, 214–217  (in Ukrainian).</w:t>
      </w:r>
    </w:p>
    <w:p w:rsidR="008D4ADD" w:rsidRDefault="008D4ADD" w:rsidP="00AB26D6">
      <w:pPr>
        <w:spacing w:line="264" w:lineRule="auto"/>
        <w:rPr>
          <w:lang w:val="en-US"/>
        </w:rPr>
      </w:pPr>
    </w:p>
    <w:p w:rsidR="00AB26D6" w:rsidRPr="00AB26D6" w:rsidRDefault="008D4ADD" w:rsidP="00AB26D6">
      <w:pPr>
        <w:spacing w:line="264" w:lineRule="auto"/>
        <w:rPr>
          <w:lang w:val="en-US"/>
        </w:rPr>
      </w:pPr>
      <w:r>
        <w:rPr>
          <w:lang w:val="en-US"/>
        </w:rPr>
        <w:t>Petrovic</w:t>
      </w:r>
      <w:r>
        <w:rPr>
          <w:rFonts w:cs="Times New Roman"/>
          <w:lang w:val="en-US"/>
        </w:rPr>
        <w:t>̌</w:t>
      </w:r>
      <w:r w:rsidR="00AB26D6" w:rsidRPr="00AB26D6">
        <w:rPr>
          <w:lang w:val="en-US"/>
        </w:rPr>
        <w:t xml:space="preserve">, F., 2006. The changes of the landscape with </w:t>
      </w:r>
      <w:r>
        <w:rPr>
          <w:lang w:val="en-US"/>
        </w:rPr>
        <w:t xml:space="preserve">dispersed settlement. Ekológia. </w:t>
      </w:r>
      <w:r w:rsidR="00AB26D6" w:rsidRPr="00AB26D6">
        <w:rPr>
          <w:lang w:val="en-US"/>
        </w:rPr>
        <w:t>Int. J. Ecol. Probl. Biosph. 25, 201–211.</w:t>
      </w:r>
    </w:p>
    <w:p w:rsidR="008D4ADD" w:rsidRDefault="008D4ADD" w:rsidP="00AB26D6">
      <w:pPr>
        <w:spacing w:line="264" w:lineRule="auto"/>
        <w:rPr>
          <w:lang w:val="en-US"/>
        </w:rPr>
      </w:pPr>
    </w:p>
    <w:p w:rsidR="00AB26D6" w:rsidRPr="00AB26D6" w:rsidRDefault="008D4ADD" w:rsidP="00AB26D6">
      <w:pPr>
        <w:spacing w:line="264" w:lineRule="auto"/>
        <w:rPr>
          <w:lang w:val="en-US"/>
        </w:rPr>
      </w:pPr>
      <w:r>
        <w:rPr>
          <w:lang w:val="en-US"/>
        </w:rPr>
        <w:t>Petrovic</w:t>
      </w:r>
      <w:r>
        <w:rPr>
          <w:rFonts w:cs="Times New Roman"/>
          <w:lang w:val="en-US"/>
        </w:rPr>
        <w:t>̌</w:t>
      </w:r>
      <w:r w:rsidR="00AB26D6" w:rsidRPr="00AB26D6">
        <w:rPr>
          <w:lang w:val="en-US"/>
        </w:rPr>
        <w:t>, F.</w:t>
      </w:r>
      <w:r>
        <w:rPr>
          <w:lang w:val="en-US"/>
        </w:rPr>
        <w:t>, Bezák, P., 2010. Novobanská s</w:t>
      </w:r>
      <w:r>
        <w:rPr>
          <w:rFonts w:cs="Times New Roman"/>
          <w:lang w:val="en-US"/>
        </w:rPr>
        <w:t>̌</w:t>
      </w:r>
      <w:r w:rsidR="00AB26D6" w:rsidRPr="00AB26D6">
        <w:rPr>
          <w:lang w:val="en-US"/>
        </w:rPr>
        <w:t>tálová o</w:t>
      </w:r>
      <w:r w:rsidR="00560AFC">
        <w:rPr>
          <w:lang w:val="en-US"/>
        </w:rPr>
        <w:t xml:space="preserve">blast’. </w:t>
      </w:r>
      <w:r w:rsidR="00560AFC" w:rsidRPr="00560AFC">
        <w:rPr>
          <w:lang w:val="de-DE"/>
        </w:rPr>
        <w:t>In: Bezák, P., Izakovic</w:t>
      </w:r>
      <w:r w:rsidR="00560AFC">
        <w:rPr>
          <w:rFonts w:cs="Times New Roman"/>
          <w:lang w:val="de-DE"/>
        </w:rPr>
        <w:t>̌</w:t>
      </w:r>
      <w:r w:rsidR="00AB26D6" w:rsidRPr="00560AFC">
        <w:rPr>
          <w:lang w:val="de-DE"/>
        </w:rPr>
        <w:t xml:space="preserve">ová, Z., Miklós, L., et al. </w:t>
      </w:r>
      <w:r w:rsidR="00AB26D6" w:rsidRPr="00AB26D6">
        <w:rPr>
          <w:lang w:val="en-US"/>
        </w:rPr>
        <w:t>(Eds.), Reprezentatívne typy krajiny Slovenska. Ústav krajinnej ekológie Slovenskej Akademie Vied, Bratislava, p. 180 (in Slovak).</w:t>
      </w:r>
    </w:p>
    <w:p w:rsidR="00560AFC" w:rsidRDefault="00560AFC" w:rsidP="00AB26D6">
      <w:pPr>
        <w:spacing w:line="264" w:lineRule="auto"/>
        <w:rPr>
          <w:lang w:val="en-US"/>
        </w:rPr>
      </w:pPr>
    </w:p>
    <w:p w:rsidR="00AB26D6" w:rsidRPr="00AB26D6" w:rsidRDefault="00560AFC" w:rsidP="00AB26D6">
      <w:pPr>
        <w:spacing w:line="264" w:lineRule="auto"/>
        <w:rPr>
          <w:lang w:val="en-US"/>
        </w:rPr>
      </w:pPr>
      <w:r>
        <w:rPr>
          <w:lang w:val="en-US"/>
        </w:rPr>
        <w:t>Petrovic</w:t>
      </w:r>
      <w:r>
        <w:rPr>
          <w:rFonts w:cs="Times New Roman"/>
          <w:lang w:val="en-US"/>
        </w:rPr>
        <w:t>̌</w:t>
      </w:r>
      <w:r>
        <w:rPr>
          <w:lang w:val="en-US"/>
        </w:rPr>
        <w:t>, F., Hres</w:t>
      </w:r>
      <w:r>
        <w:rPr>
          <w:rFonts w:cs="Times New Roman"/>
          <w:lang w:val="en-US"/>
        </w:rPr>
        <w:t>̌</w:t>
      </w:r>
      <w:r>
        <w:rPr>
          <w:lang w:val="en-US"/>
        </w:rPr>
        <w:t>ko, J., 2010. Vplyv vy´ stavby vodnej nádrz</w:t>
      </w:r>
      <w:r>
        <w:rPr>
          <w:rFonts w:cs="Times New Roman"/>
          <w:lang w:val="en-US"/>
        </w:rPr>
        <w:t>̌</w:t>
      </w:r>
      <w:r>
        <w:rPr>
          <w:lang w:val="en-US"/>
        </w:rPr>
        <w:t>e Domas</w:t>
      </w:r>
      <w:r>
        <w:rPr>
          <w:rFonts w:cs="Times New Roman"/>
          <w:lang w:val="en-US"/>
        </w:rPr>
        <w:t>̌</w:t>
      </w:r>
      <w:r>
        <w:rPr>
          <w:lang w:val="en-US"/>
        </w:rPr>
        <w:t>a na súc</w:t>
      </w:r>
      <w:r>
        <w:rPr>
          <w:rFonts w:cs="Times New Roman"/>
          <w:lang w:val="en-US"/>
        </w:rPr>
        <w:t>̌</w:t>
      </w:r>
      <w:r>
        <w:rPr>
          <w:lang w:val="en-US"/>
        </w:rPr>
        <w:t>asnú krajinnú s</w:t>
      </w:r>
      <w:r>
        <w:rPr>
          <w:rFonts w:cs="Times New Roman"/>
          <w:lang w:val="en-US"/>
        </w:rPr>
        <w:t>̌</w:t>
      </w:r>
      <w:r>
        <w:rPr>
          <w:lang w:val="en-US"/>
        </w:rPr>
        <w:t>truktúru (in Slovak). Z</w:t>
      </w:r>
      <w:r>
        <w:rPr>
          <w:rFonts w:cs="Times New Roman"/>
          <w:lang w:val="en-US"/>
        </w:rPr>
        <w:t>̌</w:t>
      </w:r>
      <w:r w:rsidR="00AB26D6" w:rsidRPr="00AB26D6">
        <w:rPr>
          <w:lang w:val="en-US"/>
        </w:rPr>
        <w:t>ivotné Prostr. 44, 182–186.</w:t>
      </w:r>
    </w:p>
    <w:p w:rsidR="00560AFC" w:rsidRDefault="00560AFC" w:rsidP="00AB26D6">
      <w:pPr>
        <w:spacing w:line="264" w:lineRule="auto"/>
        <w:rPr>
          <w:lang w:val="en-US"/>
        </w:rPr>
      </w:pPr>
      <w:r>
        <w:rPr>
          <w:lang w:val="en-US"/>
        </w:rPr>
        <w:t>Petrovic</w:t>
      </w:r>
      <w:r>
        <w:rPr>
          <w:rFonts w:cs="Times New Roman"/>
          <w:lang w:val="en-US"/>
        </w:rPr>
        <w:t>̌</w:t>
      </w:r>
      <w:r>
        <w:rPr>
          <w:lang w:val="en-US"/>
        </w:rPr>
        <w:t>, F., Muchová, Z., 2008. Vy</w:t>
      </w:r>
      <w:r>
        <w:rPr>
          <w:rFonts w:cs="Times New Roman"/>
          <w:lang w:val="en-US"/>
        </w:rPr>
        <w:t>́</w:t>
      </w:r>
      <w:r>
        <w:rPr>
          <w:lang w:val="en-US"/>
        </w:rPr>
        <w:t xml:space="preserve"> voj krajiny s rozpty</w:t>
      </w:r>
      <w:r>
        <w:rPr>
          <w:rFonts w:cs="Times New Roman"/>
          <w:lang w:val="en-US"/>
        </w:rPr>
        <w:t>́</w:t>
      </w:r>
      <w:r>
        <w:rPr>
          <w:lang w:val="en-US"/>
        </w:rPr>
        <w:t xml:space="preserve"> leny´ m osídlením na prík</w:t>
      </w:r>
      <w:r w:rsidR="00AB26D6" w:rsidRPr="00AB26D6">
        <w:rPr>
          <w:lang w:val="en-US"/>
        </w:rPr>
        <w:t xml:space="preserve">lade obce Horné Hámre [The landscape development in country with dispersed settlement (case study village Horné Hámre)]. </w:t>
      </w:r>
      <w:r w:rsidR="00AB26D6" w:rsidRPr="00560AFC">
        <w:rPr>
          <w:lang w:val="en-US"/>
        </w:rPr>
        <w:t>Geogr. Rev. 4, 3</w:t>
      </w:r>
      <w:r>
        <w:rPr>
          <w:lang w:val="en-US"/>
        </w:rPr>
        <w:t>50–363.</w:t>
      </w:r>
    </w:p>
    <w:p w:rsidR="00560AFC" w:rsidRDefault="00560AFC" w:rsidP="00AB26D6">
      <w:pPr>
        <w:spacing w:line="264" w:lineRule="auto"/>
        <w:rPr>
          <w:lang w:val="en-US"/>
        </w:rPr>
      </w:pPr>
    </w:p>
    <w:p w:rsidR="00AB26D6" w:rsidRPr="00560AFC" w:rsidRDefault="00AB26D6" w:rsidP="00AB26D6">
      <w:pPr>
        <w:spacing w:line="264" w:lineRule="auto"/>
        <w:rPr>
          <w:lang w:val="en-US"/>
        </w:rPr>
      </w:pPr>
      <w:r w:rsidRPr="00560AFC">
        <w:rPr>
          <w:lang w:val="en-US"/>
        </w:rPr>
        <w:t xml:space="preserve">Pietrzak, M., (in Polish) 2002. Geomorfologiczne skutki zmian uz˙ ytkowania </w:t>
      </w:r>
      <w:r w:rsidR="00560AFC" w:rsidRPr="00560AFC">
        <w:rPr>
          <w:lang w:val="en-US"/>
        </w:rPr>
        <w:t>ziemi na  Pogórzu  Wis´ nickim.</w:t>
      </w:r>
      <w:r w:rsidR="00560AFC">
        <w:rPr>
          <w:lang w:val="en-US"/>
        </w:rPr>
        <w:t xml:space="preserve"> Inst. Geogr. i Gospod. Przestrz. Uniw. Jagiellon</w:t>
      </w:r>
      <w:r w:rsidR="00560AFC">
        <w:rPr>
          <w:rFonts w:cs="Times New Roman"/>
          <w:lang w:val="en-US"/>
        </w:rPr>
        <w:t>́</w:t>
      </w:r>
      <w:r w:rsidRPr="00560AFC">
        <w:rPr>
          <w:lang w:val="en-US"/>
        </w:rPr>
        <w:t xml:space="preserve"> skiego, Kraków. Uniwersytetu Jagiellon´ skiego Krakow.</w:t>
      </w:r>
    </w:p>
    <w:p w:rsidR="00560AFC" w:rsidRDefault="00560AFC" w:rsidP="00AB26D6">
      <w:pPr>
        <w:spacing w:line="264" w:lineRule="auto"/>
        <w:rPr>
          <w:lang w:val="en-US"/>
        </w:rPr>
      </w:pPr>
    </w:p>
    <w:p w:rsidR="00AB26D6" w:rsidRPr="00AB26D6" w:rsidRDefault="00AB26D6" w:rsidP="00AB26D6">
      <w:pPr>
        <w:spacing w:line="264" w:lineRule="auto"/>
        <w:rPr>
          <w:lang w:val="en-US"/>
        </w:rPr>
      </w:pPr>
      <w:r w:rsidRPr="00560AFC">
        <w:rPr>
          <w:lang w:val="de-DE"/>
        </w:rPr>
        <w:t xml:space="preserve">Poteete, A.R., Ostrom, E., 2008. </w:t>
      </w:r>
      <w:r w:rsidRPr="00AB26D6">
        <w:rPr>
          <w:lang w:val="en-US"/>
        </w:rPr>
        <w:t>Fifteen years of empirical research on collective action in natural resource management: struggling to build large-N databases based on quali</w:t>
      </w:r>
      <w:r w:rsidR="00560AFC">
        <w:rPr>
          <w:lang w:val="en-US"/>
        </w:rPr>
        <w:t>tative research. World Dev. 36,</w:t>
      </w:r>
      <w:r w:rsidRPr="00AB26D6">
        <w:rPr>
          <w:lang w:val="en-US"/>
        </w:rPr>
        <w:t xml:space="preserve"> 176–195.</w:t>
      </w:r>
    </w:p>
    <w:p w:rsidR="00560AFC" w:rsidRDefault="00560AFC" w:rsidP="00AB26D6">
      <w:pPr>
        <w:spacing w:line="264" w:lineRule="auto"/>
        <w:rPr>
          <w:lang w:val="en-US"/>
        </w:rPr>
      </w:pPr>
    </w:p>
    <w:p w:rsidR="00AB26D6" w:rsidRPr="00AB26D6" w:rsidRDefault="00AB26D6" w:rsidP="00AB26D6">
      <w:pPr>
        <w:spacing w:line="264" w:lineRule="auto"/>
        <w:rPr>
          <w:lang w:val="de-DE"/>
        </w:rPr>
      </w:pPr>
      <w:r w:rsidRPr="00560AFC">
        <w:rPr>
          <w:lang w:val="de-DE"/>
        </w:rPr>
        <w:t xml:space="preserve">Prishchepov, A.V., Müller, D., Dubinin, M., Baumann, M., Radeloff, V.C., 2013. </w:t>
      </w:r>
      <w:r w:rsidRPr="00AB26D6">
        <w:rPr>
          <w:lang w:val="en-US"/>
        </w:rPr>
        <w:t xml:space="preserve">Deter- minants of agricultural land abandonment in post-Soviet European Russia. </w:t>
      </w:r>
      <w:r w:rsidRPr="00AB26D6">
        <w:rPr>
          <w:lang w:val="de-DE"/>
        </w:rPr>
        <w:t>Land Use Policy 30,  873–884.</w:t>
      </w:r>
    </w:p>
    <w:p w:rsidR="00560AFC" w:rsidRDefault="00560AFC" w:rsidP="00AB26D6">
      <w:pPr>
        <w:spacing w:line="264" w:lineRule="auto"/>
        <w:rPr>
          <w:lang w:val="de-DE"/>
        </w:rPr>
      </w:pPr>
    </w:p>
    <w:p w:rsidR="00AB26D6" w:rsidRPr="00AB26D6" w:rsidRDefault="00AB26D6" w:rsidP="00AB26D6">
      <w:pPr>
        <w:spacing w:line="264" w:lineRule="auto"/>
        <w:rPr>
          <w:lang w:val="en-US"/>
        </w:rPr>
      </w:pPr>
      <w:r w:rsidRPr="00AB26D6">
        <w:rPr>
          <w:lang w:val="de-DE"/>
        </w:rPr>
        <w:t xml:space="preserve">Prishchepov, A.V., Radeloff, V.C., Baumann, M., Kuemmerle, T., Müller, D., 2012. </w:t>
      </w:r>
      <w:r w:rsidRPr="00AB26D6">
        <w:rPr>
          <w:lang w:val="en-US"/>
        </w:rPr>
        <w:t>Effects of institutional changes on land use: agricultural land abandonment during the transition from state-command to market-driven economies in post- Soviet Eastern Europe. Environ. Res. Lett. 7, 024021.</w:t>
      </w:r>
    </w:p>
    <w:p w:rsidR="00560AFC" w:rsidRDefault="00560AFC" w:rsidP="00AB26D6">
      <w:pPr>
        <w:spacing w:line="264" w:lineRule="auto"/>
        <w:rPr>
          <w:lang w:val="en-US"/>
        </w:rPr>
      </w:pPr>
    </w:p>
    <w:p w:rsidR="00AB26D6" w:rsidRPr="00AB26D6" w:rsidRDefault="00AB26D6" w:rsidP="00AB26D6">
      <w:pPr>
        <w:spacing w:line="264" w:lineRule="auto"/>
        <w:rPr>
          <w:lang w:val="en-US"/>
        </w:rPr>
      </w:pPr>
      <w:r w:rsidRPr="00AB26D6">
        <w:rPr>
          <w:lang w:val="en-US"/>
        </w:rPr>
        <w:t>Puyravaud, J.P., 2003. Standardizing the calculation o</w:t>
      </w:r>
      <w:r w:rsidR="00560AFC">
        <w:rPr>
          <w:lang w:val="en-US"/>
        </w:rPr>
        <w:t>f the annual rate of deforesta</w:t>
      </w:r>
      <w:r w:rsidRPr="00AB26D6">
        <w:rPr>
          <w:lang w:val="en-US"/>
        </w:rPr>
        <w:t>tion. For. Ecol. Manage. 177, 593–596.</w:t>
      </w:r>
    </w:p>
    <w:p w:rsidR="00560AFC" w:rsidRDefault="00560AFC" w:rsidP="00AB26D6">
      <w:pPr>
        <w:spacing w:line="264" w:lineRule="auto"/>
        <w:rPr>
          <w:lang w:val="en-US"/>
        </w:rPr>
      </w:pPr>
    </w:p>
    <w:p w:rsidR="00AB26D6" w:rsidRPr="00AB26D6" w:rsidRDefault="00560AFC" w:rsidP="00AB26D6">
      <w:pPr>
        <w:spacing w:line="264" w:lineRule="auto"/>
        <w:rPr>
          <w:lang w:val="en-US"/>
        </w:rPr>
      </w:pPr>
      <w:r>
        <w:rPr>
          <w:lang w:val="en-US"/>
        </w:rPr>
        <w:t>Reiser, A., (MSc Thesis) 2006. Przemiany uz˙ ytkowania ziemi na tle przekształcen</w:t>
      </w:r>
      <w:r>
        <w:rPr>
          <w:rFonts w:cs="Times New Roman"/>
          <w:lang w:val="en-US"/>
        </w:rPr>
        <w:t>́</w:t>
      </w:r>
      <w:r w:rsidR="00AB26D6" w:rsidRPr="00AB26D6">
        <w:rPr>
          <w:lang w:val="en-US"/>
        </w:rPr>
        <w:t xml:space="preserve"> demogra</w:t>
      </w:r>
      <w:r w:rsidR="00AB26D6" w:rsidRPr="00AB26D6">
        <w:rPr>
          <w:lang w:val="de-DE"/>
        </w:rPr>
        <w:t>ﬁ</w:t>
      </w:r>
      <w:r w:rsidR="00AB26D6" w:rsidRPr="00AB26D6">
        <w:rPr>
          <w:lang w:val="en-US"/>
        </w:rPr>
        <w:t>cznych we wsi Han´ czowa w latach 1933–2003. Jagiellonian University (in Polish).</w:t>
      </w:r>
    </w:p>
    <w:p w:rsidR="00560AFC" w:rsidRDefault="00560AFC" w:rsidP="00AB26D6">
      <w:pPr>
        <w:spacing w:line="264" w:lineRule="auto"/>
        <w:rPr>
          <w:lang w:val="en-US"/>
        </w:rPr>
      </w:pPr>
    </w:p>
    <w:p w:rsidR="00AB26D6" w:rsidRPr="00AB26D6" w:rsidRDefault="00AB26D6" w:rsidP="00AB26D6">
      <w:pPr>
        <w:spacing w:line="264" w:lineRule="auto"/>
        <w:rPr>
          <w:lang w:val="en-US"/>
        </w:rPr>
      </w:pPr>
      <w:r w:rsidRPr="00AB26D6">
        <w:rPr>
          <w:lang w:val="en-US"/>
        </w:rPr>
        <w:t>Rudel, T.K., 2008. Meta-analyses of case studies: a method for studying regional and global environmental change. Global Environ. Change 18, 18–25.</w:t>
      </w:r>
    </w:p>
    <w:p w:rsidR="00560AFC" w:rsidRDefault="00560AFC" w:rsidP="00AB26D6">
      <w:pPr>
        <w:spacing w:line="264" w:lineRule="auto"/>
        <w:rPr>
          <w:lang w:val="en-US"/>
        </w:rPr>
      </w:pPr>
    </w:p>
    <w:p w:rsidR="00AB26D6" w:rsidRPr="00560AFC" w:rsidRDefault="00AB26D6" w:rsidP="00AB26D6">
      <w:pPr>
        <w:spacing w:line="264" w:lineRule="auto"/>
        <w:rPr>
          <w:lang w:val="en-US"/>
        </w:rPr>
      </w:pPr>
      <w:r w:rsidRPr="00AB26D6">
        <w:rPr>
          <w:lang w:val="en-US"/>
        </w:rPr>
        <w:t>Salvatori, V., Okarma, H., Ionescu, O., Dovhanych, Y</w:t>
      </w:r>
      <w:r w:rsidR="00560AFC">
        <w:rPr>
          <w:lang w:val="en-US"/>
        </w:rPr>
        <w:t>., Find, S., 2002. Hunting leg</w:t>
      </w:r>
      <w:r w:rsidRPr="00AB26D6">
        <w:rPr>
          <w:lang w:val="en-US"/>
        </w:rPr>
        <w:t xml:space="preserve">islation in the Carpathian Mountains: implications for the conservation and management of large carnivores. </w:t>
      </w:r>
      <w:r w:rsidRPr="00560AFC">
        <w:rPr>
          <w:lang w:val="en-US"/>
        </w:rPr>
        <w:t>Wildlife Biol. 8, 3–10.</w:t>
      </w:r>
    </w:p>
    <w:p w:rsidR="00560AFC" w:rsidRDefault="00560AFC" w:rsidP="00AB26D6">
      <w:pPr>
        <w:spacing w:line="264" w:lineRule="auto"/>
        <w:rPr>
          <w:lang w:val="en-US"/>
        </w:rPr>
      </w:pPr>
    </w:p>
    <w:p w:rsidR="00AB26D6" w:rsidRPr="00AB26D6" w:rsidRDefault="00AB26D6" w:rsidP="00AB26D6">
      <w:pPr>
        <w:spacing w:line="264" w:lineRule="auto"/>
        <w:rPr>
          <w:lang w:val="en-US"/>
        </w:rPr>
      </w:pPr>
      <w:r w:rsidRPr="00AB26D6">
        <w:rPr>
          <w:lang w:val="de-DE"/>
        </w:rPr>
        <w:t xml:space="preserve">Schiller, H., Miklós, D., Sass, J., 2010. </w:t>
      </w:r>
      <w:r w:rsidRPr="00AB26D6">
        <w:rPr>
          <w:lang w:val="en-US"/>
        </w:rPr>
        <w:t>The Danube River and its basin physical char- acteristics, Water Regime and Water Balance. In: Hydrological Processes of the Danube River Basin: Perspectives from the Danubian Countries.</w:t>
      </w:r>
    </w:p>
    <w:p w:rsidR="00560AFC" w:rsidRDefault="00560AFC" w:rsidP="00AB26D6">
      <w:pPr>
        <w:spacing w:line="264" w:lineRule="auto"/>
        <w:rPr>
          <w:lang w:val="en-US"/>
        </w:rPr>
      </w:pPr>
    </w:p>
    <w:p w:rsidR="00AB26D6" w:rsidRPr="00AB26D6" w:rsidRDefault="00AB26D6" w:rsidP="00AB26D6">
      <w:pPr>
        <w:spacing w:line="264" w:lineRule="auto"/>
        <w:rPr>
          <w:lang w:val="en-US"/>
        </w:rPr>
      </w:pPr>
      <w:r w:rsidRPr="00AB26D6">
        <w:rPr>
          <w:lang w:val="en-US"/>
        </w:rPr>
        <w:t>Schreiber, W., 2003. Analiza peisajelor geogra</w:t>
      </w:r>
      <w:r w:rsidRPr="00AB26D6">
        <w:rPr>
          <w:lang w:val="de-DE"/>
        </w:rPr>
        <w:t>ﬁ</w:t>
      </w:r>
      <w:r w:rsidRPr="00AB26D6">
        <w:rPr>
          <w:lang w:val="en-US"/>
        </w:rPr>
        <w:t>ce din</w:t>
      </w:r>
      <w:r w:rsidR="00560AFC">
        <w:rPr>
          <w:lang w:val="en-US"/>
        </w:rPr>
        <w:t xml:space="preserve"> partea de vest a Câmpiei Tran</w:t>
      </w:r>
      <w:r w:rsidRPr="00AB26D6">
        <w:rPr>
          <w:lang w:val="en-US"/>
        </w:rPr>
        <w:t>silvaniei. Presa Univ. Clujeana˘, Cluj Napoca (in Romanian).</w:t>
      </w:r>
    </w:p>
    <w:p w:rsidR="00AB26D6" w:rsidRPr="00AB26D6" w:rsidRDefault="00AB26D6" w:rsidP="00AB26D6">
      <w:pPr>
        <w:spacing w:line="264" w:lineRule="auto"/>
        <w:rPr>
          <w:lang w:val="en-US"/>
        </w:rPr>
      </w:pPr>
      <w:r w:rsidRPr="00AB26D6">
        <w:rPr>
          <w:lang w:val="en-US"/>
        </w:rPr>
        <w:t>Seto, K.C., Fragkias, M., Güneralp, B., Reilly, M.K., 2011. A meta-analysis of global urban land expansion. PLoS One 6, e23777.</w:t>
      </w:r>
    </w:p>
    <w:p w:rsidR="00560AFC" w:rsidRDefault="00560AFC" w:rsidP="00AB26D6">
      <w:pPr>
        <w:spacing w:line="264" w:lineRule="auto"/>
        <w:rPr>
          <w:lang w:val="en-US"/>
        </w:rPr>
      </w:pPr>
    </w:p>
    <w:p w:rsidR="00AB26D6" w:rsidRPr="00AB26D6" w:rsidRDefault="00AB26D6" w:rsidP="00AB26D6">
      <w:pPr>
        <w:spacing w:line="264" w:lineRule="auto"/>
        <w:rPr>
          <w:lang w:val="en-US"/>
        </w:rPr>
      </w:pPr>
      <w:r w:rsidRPr="00560AFC">
        <w:rPr>
          <w:lang w:val="de-DE"/>
        </w:rPr>
        <w:t xml:space="preserve">Shandra, O., Weisberg, P., Martazinova, V., 2013. </w:t>
      </w:r>
      <w:r w:rsidRPr="00AB26D6">
        <w:rPr>
          <w:lang w:val="en-US"/>
        </w:rPr>
        <w:t>In</w:t>
      </w:r>
      <w:r w:rsidRPr="00AB26D6">
        <w:rPr>
          <w:lang w:val="de-DE"/>
        </w:rPr>
        <w:t>ﬂ</w:t>
      </w:r>
      <w:r w:rsidRPr="00AB26D6">
        <w:rPr>
          <w:lang w:val="en-US"/>
        </w:rPr>
        <w:t>uences of climate and land use history on forest and timberline dynamics in the Carpathian mountains during the twentieth century. In: Kozak, J., Ostapowicz, K., Bytnerowicz, A., Wyz˙ ga, B. (Eds.), The Carpathians: Integrating Nature and Society Towards Sustainability. Springer, Berlin Heidelberg, pp. 209–223.</w:t>
      </w:r>
    </w:p>
    <w:p w:rsidR="00560AFC" w:rsidRDefault="00560AFC" w:rsidP="00AB26D6">
      <w:pPr>
        <w:spacing w:line="264" w:lineRule="auto"/>
        <w:rPr>
          <w:lang w:val="en-US"/>
        </w:rPr>
      </w:pPr>
    </w:p>
    <w:p w:rsidR="00AB26D6" w:rsidRPr="00AB26D6" w:rsidRDefault="00AB26D6" w:rsidP="00AB26D6">
      <w:pPr>
        <w:spacing w:line="264" w:lineRule="auto"/>
        <w:rPr>
          <w:lang w:val="en-US"/>
        </w:rPr>
      </w:pPr>
      <w:r w:rsidRPr="00AB26D6">
        <w:rPr>
          <w:lang w:val="en-US"/>
        </w:rPr>
        <w:t>Sitko, I., Troll, M., 2008. Timberline changes in relation to summer farming in the Western Chornohora Ukrainian Carpathians. Mt. Res. Dev. 28, 263–271.</w:t>
      </w:r>
    </w:p>
    <w:p w:rsidR="00560AFC" w:rsidRDefault="00560AFC" w:rsidP="00AB26D6">
      <w:pPr>
        <w:spacing w:line="264" w:lineRule="auto"/>
        <w:rPr>
          <w:lang w:val="en-US"/>
        </w:rPr>
      </w:pPr>
    </w:p>
    <w:p w:rsidR="00AB26D6" w:rsidRPr="00AB26D6" w:rsidRDefault="00560AFC" w:rsidP="00AB26D6">
      <w:pPr>
        <w:spacing w:line="264" w:lineRule="auto"/>
        <w:rPr>
          <w:lang w:val="de-DE"/>
        </w:rPr>
      </w:pPr>
      <w:r>
        <w:rPr>
          <w:lang w:val="en-US"/>
        </w:rPr>
        <w:t>Skokanová, H., Eremiás</w:t>
      </w:r>
      <w:r>
        <w:rPr>
          <w:rFonts w:cs="Times New Roman"/>
          <w:lang w:val="en-US"/>
        </w:rPr>
        <w:t>̌</w:t>
      </w:r>
      <w:r w:rsidR="00AB26D6" w:rsidRPr="00AB26D6">
        <w:rPr>
          <w:lang w:val="en-US"/>
        </w:rPr>
        <w:t xml:space="preserve">ová, R., 2012. Changes in the secondary landscape structure and the connection to ecological stability: the cases of two model areas in the Czech Republic. </w:t>
      </w:r>
      <w:r w:rsidR="00AB26D6" w:rsidRPr="00AB26D6">
        <w:rPr>
          <w:lang w:val="de-DE"/>
        </w:rPr>
        <w:t>Ekológia. Int. J. Ecol. Probl. Biosph. 31, 33–45.</w:t>
      </w:r>
    </w:p>
    <w:p w:rsidR="00560AFC" w:rsidRDefault="00560AFC" w:rsidP="00AB26D6">
      <w:pPr>
        <w:spacing w:line="264" w:lineRule="auto"/>
        <w:rPr>
          <w:lang w:val="de-DE"/>
        </w:rPr>
      </w:pPr>
    </w:p>
    <w:p w:rsidR="00AB26D6" w:rsidRPr="00560AFC" w:rsidRDefault="00560AFC" w:rsidP="00AB26D6">
      <w:pPr>
        <w:spacing w:line="264" w:lineRule="auto"/>
        <w:rPr>
          <w:lang w:val="en-US"/>
        </w:rPr>
      </w:pPr>
      <w:r>
        <w:rPr>
          <w:lang w:val="de-DE"/>
        </w:rPr>
        <w:t>Skokanová, H., Havlíc</w:t>
      </w:r>
      <w:r>
        <w:rPr>
          <w:rFonts w:cs="Times New Roman"/>
          <w:lang w:val="de-DE"/>
        </w:rPr>
        <w:t>̌</w:t>
      </w:r>
      <w:r>
        <w:rPr>
          <w:lang w:val="de-DE"/>
        </w:rPr>
        <w:t>ek, M., Borovec, R., Demek, J., Eremiás</w:t>
      </w:r>
      <w:r>
        <w:rPr>
          <w:rFonts w:cs="Times New Roman"/>
          <w:lang w:val="de-DE"/>
        </w:rPr>
        <w:t>̌</w:t>
      </w:r>
      <w:r>
        <w:rPr>
          <w:lang w:val="de-DE"/>
        </w:rPr>
        <w:t>ová, R., Chrudina, Z., Mackovc</w:t>
      </w:r>
      <w:r>
        <w:rPr>
          <w:rFonts w:cs="Times New Roman"/>
          <w:lang w:val="de-DE"/>
        </w:rPr>
        <w:t>̌</w:t>
      </w:r>
      <w:r>
        <w:rPr>
          <w:lang w:val="de-DE"/>
        </w:rPr>
        <w:t xml:space="preserve">in, P., Rysková, R., Slavík, P., Stránská, T., Svoboda, J., 2012. </w:t>
      </w:r>
      <w:r>
        <w:rPr>
          <w:lang w:val="en-US"/>
        </w:rPr>
        <w:t>Develop</w:t>
      </w:r>
      <w:r w:rsidR="00AB26D6" w:rsidRPr="00AB26D6">
        <w:rPr>
          <w:lang w:val="en-US"/>
        </w:rPr>
        <w:t xml:space="preserve">ment of land use and main land use change processes in the period 1836–2006. </w:t>
      </w:r>
      <w:r w:rsidR="00AB26D6" w:rsidRPr="00560AFC">
        <w:rPr>
          <w:lang w:val="en-US"/>
        </w:rPr>
        <w:t>J. Maps 8, 88–96.</w:t>
      </w:r>
    </w:p>
    <w:p w:rsidR="00AB26D6" w:rsidRPr="00560AFC" w:rsidRDefault="00AB26D6" w:rsidP="00AB26D6">
      <w:pPr>
        <w:spacing w:line="264" w:lineRule="auto"/>
        <w:rPr>
          <w:lang w:val="en-US"/>
        </w:rPr>
      </w:pPr>
    </w:p>
    <w:p w:rsidR="00AB26D6" w:rsidRPr="00AB26D6" w:rsidRDefault="00560AFC" w:rsidP="00AB26D6">
      <w:pPr>
        <w:spacing w:line="264" w:lineRule="auto"/>
        <w:rPr>
          <w:lang w:val="de-DE"/>
        </w:rPr>
      </w:pPr>
      <w:r w:rsidRPr="00560AFC">
        <w:rPr>
          <w:lang w:val="en-US"/>
        </w:rPr>
        <w:t xml:space="preserve">Skokanová, </w:t>
      </w:r>
      <w:r>
        <w:rPr>
          <w:lang w:val="en-US"/>
        </w:rPr>
        <w:t>H., Stránská, T., Havlíc</w:t>
      </w:r>
      <w:r>
        <w:rPr>
          <w:rFonts w:cs="Times New Roman"/>
          <w:lang w:val="en-US"/>
        </w:rPr>
        <w:t>̌</w:t>
      </w:r>
      <w:r>
        <w:rPr>
          <w:lang w:val="en-US"/>
        </w:rPr>
        <w:t>ek, M., Borovec, R., Eremiás</w:t>
      </w:r>
      <w:r>
        <w:rPr>
          <w:rFonts w:cs="Times New Roman"/>
          <w:lang w:val="en-US"/>
        </w:rPr>
        <w:t>̌</w:t>
      </w:r>
      <w:r>
        <w:rPr>
          <w:lang w:val="en-US"/>
        </w:rPr>
        <w:t xml:space="preserve">ová, R., Rysková, </w:t>
      </w:r>
      <w:r w:rsidR="00AB26D6" w:rsidRPr="00560AFC">
        <w:rPr>
          <w:lang w:val="en-US"/>
        </w:rPr>
        <w:t xml:space="preserve">R., Svoboda, J., 2009. </w:t>
      </w:r>
      <w:r w:rsidR="00AB26D6" w:rsidRPr="00AB26D6">
        <w:rPr>
          <w:lang w:val="en-US"/>
        </w:rPr>
        <w:t xml:space="preserve">Land use dynamics of the South Moravan region during last 170 years. </w:t>
      </w:r>
      <w:r w:rsidR="00AB26D6" w:rsidRPr="00AB26D6">
        <w:rPr>
          <w:lang w:val="de-DE"/>
        </w:rPr>
        <w:t>Geoscape 4,  58–65.</w:t>
      </w:r>
    </w:p>
    <w:p w:rsidR="00560AFC" w:rsidRDefault="00560AFC" w:rsidP="00AB26D6">
      <w:pPr>
        <w:spacing w:line="264" w:lineRule="auto"/>
        <w:rPr>
          <w:lang w:val="de-DE"/>
        </w:rPr>
      </w:pPr>
    </w:p>
    <w:p w:rsidR="00AB26D6" w:rsidRPr="00AB26D6" w:rsidRDefault="00AB26D6" w:rsidP="00AB26D6">
      <w:pPr>
        <w:spacing w:line="264" w:lineRule="auto"/>
        <w:rPr>
          <w:lang w:val="en-US"/>
        </w:rPr>
      </w:pPr>
      <w:r w:rsidRPr="00AB26D6">
        <w:rPr>
          <w:lang w:val="de-DE"/>
        </w:rPr>
        <w:t xml:space="preserve">Slivka, R., Savjuk, M., 2011. Zminy u strukturi zemlekoristuvannya na teritorii Boikivschiny u XX stolitti. </w:t>
      </w:r>
      <w:r w:rsidRPr="00AB26D6">
        <w:rPr>
          <w:lang w:val="en-US"/>
        </w:rPr>
        <w:t>Visnyk Prikarpatskogo Natsionalnogo Univ. Seriya Biol. 25, 31–34 (in Ukrainian).</w:t>
      </w:r>
    </w:p>
    <w:p w:rsidR="00560AFC" w:rsidRDefault="00560AFC" w:rsidP="00AB26D6">
      <w:pPr>
        <w:spacing w:line="264" w:lineRule="auto"/>
        <w:rPr>
          <w:lang w:val="en-US"/>
        </w:rPr>
      </w:pPr>
    </w:p>
    <w:p w:rsidR="00AB26D6" w:rsidRPr="00AB26D6" w:rsidRDefault="00AB26D6" w:rsidP="00AB26D6">
      <w:pPr>
        <w:spacing w:line="264" w:lineRule="auto"/>
        <w:rPr>
          <w:lang w:val="en-US"/>
        </w:rPr>
      </w:pPr>
      <w:r w:rsidRPr="00AB26D6">
        <w:rPr>
          <w:lang w:val="en-US"/>
        </w:rPr>
        <w:t>Smaliychuk, A., 2010. Doslidjennya suchasnoi dynamyki geoekosistem nyzkogir’ya Karpat u mejah Lvivskoi oblasti z vykoristannyam GIS tehnologiy. Fiz. Geogr. ta Geomorfol. 3, 83–91 (in Ukrainian).</w:t>
      </w:r>
    </w:p>
    <w:p w:rsidR="00560AFC" w:rsidRDefault="00560AFC" w:rsidP="00AB26D6">
      <w:pPr>
        <w:spacing w:line="264" w:lineRule="auto"/>
        <w:rPr>
          <w:lang w:val="en-US"/>
        </w:rPr>
      </w:pPr>
    </w:p>
    <w:p w:rsidR="00AB26D6" w:rsidRPr="00560AFC" w:rsidRDefault="00560AFC" w:rsidP="00AB26D6">
      <w:pPr>
        <w:spacing w:line="264" w:lineRule="auto"/>
        <w:rPr>
          <w:lang w:val="en-US"/>
        </w:rPr>
      </w:pPr>
      <w:r>
        <w:rPr>
          <w:lang w:val="en-US"/>
        </w:rPr>
        <w:t>S</w:t>
      </w:r>
      <w:r>
        <w:rPr>
          <w:rFonts w:cs="Times New Roman"/>
          <w:lang w:val="en-US"/>
        </w:rPr>
        <w:t>̌</w:t>
      </w:r>
      <w:r>
        <w:rPr>
          <w:lang w:val="en-US"/>
        </w:rPr>
        <w:t xml:space="preserve">pulerová, J., 2008. Land use changes in the Veselovianka river catchment in the </w:t>
      </w:r>
      <w:r w:rsidR="00AB26D6" w:rsidRPr="00AB26D6">
        <w:rPr>
          <w:lang w:val="en-US"/>
        </w:rPr>
        <w:t xml:space="preserve">Horná Orava region. Ekológia. Int. J. Ecol. </w:t>
      </w:r>
      <w:r w:rsidR="00AB26D6" w:rsidRPr="00AB26D6">
        <w:rPr>
          <w:lang w:val="de-DE"/>
        </w:rPr>
        <w:t>Probl. Biosph. 27, 326–337.</w:t>
      </w:r>
    </w:p>
    <w:p w:rsidR="00560AFC" w:rsidRDefault="00560AFC" w:rsidP="00AB26D6">
      <w:pPr>
        <w:spacing w:line="264" w:lineRule="auto"/>
        <w:rPr>
          <w:lang w:val="de-DE"/>
        </w:rPr>
      </w:pPr>
    </w:p>
    <w:p w:rsidR="00AB26D6" w:rsidRPr="00AB26D6" w:rsidRDefault="00560AFC" w:rsidP="00AB26D6">
      <w:pPr>
        <w:spacing w:line="264" w:lineRule="auto"/>
        <w:rPr>
          <w:lang w:val="de-DE"/>
        </w:rPr>
      </w:pPr>
      <w:r>
        <w:rPr>
          <w:lang w:val="de-DE"/>
        </w:rPr>
        <w:t>S</w:t>
      </w:r>
      <w:r>
        <w:rPr>
          <w:rFonts w:cs="Times New Roman"/>
          <w:lang w:val="de-DE"/>
        </w:rPr>
        <w:t>̌</w:t>
      </w:r>
      <w:r>
        <w:rPr>
          <w:lang w:val="de-DE"/>
        </w:rPr>
        <w:t>tefunková, D., Petrovic</w:t>
      </w:r>
      <w:r>
        <w:rPr>
          <w:rFonts w:cs="Times New Roman"/>
          <w:lang w:val="de-DE"/>
        </w:rPr>
        <w:t>̌</w:t>
      </w:r>
      <w:r w:rsidR="00AB26D6" w:rsidRPr="00AB26D6">
        <w:rPr>
          <w:lang w:val="de-DE"/>
        </w:rPr>
        <w:t xml:space="preserve">, </w:t>
      </w:r>
      <w:r>
        <w:rPr>
          <w:lang w:val="de-DE"/>
        </w:rPr>
        <w:t>F., 2011. Druhotná krajinná s</w:t>
      </w:r>
      <w:r>
        <w:rPr>
          <w:rFonts w:cs="Times New Roman"/>
          <w:lang w:val="de-DE"/>
        </w:rPr>
        <w:t>̌</w:t>
      </w:r>
      <w:r>
        <w:rPr>
          <w:lang w:val="de-DE"/>
        </w:rPr>
        <w:t>truktúra. In: S</w:t>
      </w:r>
      <w:r>
        <w:rPr>
          <w:rFonts w:cs="Times New Roman"/>
          <w:lang w:val="de-DE"/>
        </w:rPr>
        <w:t>̌</w:t>
      </w:r>
      <w:r w:rsidR="00AB26D6" w:rsidRPr="00AB26D6">
        <w:rPr>
          <w:lang w:val="de-DE"/>
        </w:rPr>
        <w:t>tefunková, D., Do</w:t>
      </w:r>
      <w:r>
        <w:rPr>
          <w:lang w:val="de-DE"/>
        </w:rPr>
        <w:t>brovodská, M., Kanka, R., Krnác</w:t>
      </w:r>
      <w:r>
        <w:rPr>
          <w:rFonts w:cs="Times New Roman"/>
          <w:lang w:val="de-DE"/>
        </w:rPr>
        <w:t>̌</w:t>
      </w:r>
      <w:r w:rsidR="00AB26D6" w:rsidRPr="00AB26D6">
        <w:rPr>
          <w:lang w:val="de-DE"/>
        </w:rPr>
        <w:t>ová, Z. (Eds.), Atra</w:t>
      </w:r>
      <w:r>
        <w:rPr>
          <w:lang w:val="de-DE"/>
        </w:rPr>
        <w:t xml:space="preserve">ktivita Malokarpatskej Krajiny s Dôrazom Na </w:t>
      </w:r>
      <w:r w:rsidR="00AB26D6" w:rsidRPr="00AB26D6">
        <w:rPr>
          <w:lang w:val="de-DE"/>
        </w:rPr>
        <w:t>Historick</w:t>
      </w:r>
      <w:r>
        <w:rPr>
          <w:lang w:val="de-DE"/>
        </w:rPr>
        <w:t>é S</w:t>
      </w:r>
      <w:r>
        <w:rPr>
          <w:rFonts w:cs="Times New Roman"/>
          <w:lang w:val="de-DE"/>
        </w:rPr>
        <w:t>̌</w:t>
      </w:r>
      <w:r>
        <w:rPr>
          <w:lang w:val="de-DE"/>
        </w:rPr>
        <w:t>truktúry Pol’nohospodárskej Krajiny a Bio</w:t>
      </w:r>
      <w:r w:rsidR="00AB26D6" w:rsidRPr="00AB26D6">
        <w:rPr>
          <w:lang w:val="de-DE"/>
        </w:rPr>
        <w:t>diverzitu (in Slovak). Ústav krajinnej ekológie Slovenskej Akademie Vied, Bratislava, pp. 20–37.</w:t>
      </w:r>
    </w:p>
    <w:p w:rsidR="00AB26D6" w:rsidRPr="00AB26D6" w:rsidRDefault="00C215E9" w:rsidP="00AB26D6">
      <w:pPr>
        <w:spacing w:line="264" w:lineRule="auto"/>
        <w:rPr>
          <w:lang w:val="de-DE"/>
        </w:rPr>
      </w:pPr>
      <w:r>
        <w:rPr>
          <w:lang w:val="de-DE"/>
        </w:rPr>
        <w:t xml:space="preserve">Stránská, T., 2008. Dynamika vy´ voje krajinné struktury okolí Dolních Kounic. </w:t>
      </w:r>
      <w:r w:rsidR="00AB26D6" w:rsidRPr="00AB26D6">
        <w:rPr>
          <w:lang w:val="de-DE"/>
        </w:rPr>
        <w:t>In: Herber, V. (Ed.), Fyzicskogeograﬁcky´  Sborník F 6. M</w:t>
      </w:r>
      <w:r>
        <w:rPr>
          <w:lang w:val="de-DE"/>
        </w:rPr>
        <w:t>asarykova univerzita Brno, pp. 263–268</w:t>
      </w:r>
      <w:r w:rsidR="00AB26D6" w:rsidRPr="00AB26D6">
        <w:rPr>
          <w:lang w:val="de-DE"/>
        </w:rPr>
        <w:t xml:space="preserve"> (in Czech).</w:t>
      </w:r>
    </w:p>
    <w:p w:rsidR="00C215E9" w:rsidRDefault="00C215E9" w:rsidP="00AB26D6">
      <w:pPr>
        <w:spacing w:line="264" w:lineRule="auto"/>
        <w:rPr>
          <w:lang w:val="de-DE"/>
        </w:rPr>
      </w:pPr>
    </w:p>
    <w:p w:rsidR="00AB26D6" w:rsidRPr="00AB26D6" w:rsidRDefault="00C215E9" w:rsidP="00AB26D6">
      <w:pPr>
        <w:spacing w:line="264" w:lineRule="auto"/>
        <w:rPr>
          <w:lang w:val="en-US"/>
        </w:rPr>
      </w:pPr>
      <w:r w:rsidRPr="00C215E9">
        <w:rPr>
          <w:lang w:val="en-US"/>
        </w:rPr>
        <w:t>S</w:t>
      </w:r>
      <w:r w:rsidRPr="00C215E9">
        <w:rPr>
          <w:rFonts w:cs="Times New Roman"/>
          <w:lang w:val="en-US"/>
        </w:rPr>
        <w:t>̌</w:t>
      </w:r>
      <w:r w:rsidR="00AB26D6" w:rsidRPr="00C215E9">
        <w:rPr>
          <w:lang w:val="en-US"/>
        </w:rPr>
        <w:t xml:space="preserve">tych, P., </w:t>
      </w:r>
      <w:r w:rsidR="00AB26D6" w:rsidRPr="00AB26D6">
        <w:rPr>
          <w:lang w:val="en-US"/>
        </w:rPr>
        <w:t>(PhD Thesis) 2007. Regional differentiation of long-term land-use changes</w:t>
      </w:r>
    </w:p>
    <w:p w:rsidR="00AB26D6" w:rsidRPr="00AB26D6" w:rsidRDefault="00AB26D6" w:rsidP="00AB26D6">
      <w:pPr>
        <w:spacing w:line="264" w:lineRule="auto"/>
        <w:rPr>
          <w:lang w:val="en-US"/>
        </w:rPr>
      </w:pPr>
      <w:r w:rsidRPr="00AB26D6">
        <w:rPr>
          <w:lang w:val="en-US"/>
        </w:rPr>
        <w:t>in the Czech Republic. Charles University in Prague.</w:t>
      </w:r>
    </w:p>
    <w:p w:rsidR="00C215E9" w:rsidRDefault="00C215E9" w:rsidP="00AB26D6">
      <w:pPr>
        <w:spacing w:line="264" w:lineRule="auto"/>
        <w:rPr>
          <w:lang w:val="en-US"/>
        </w:rPr>
      </w:pPr>
    </w:p>
    <w:p w:rsidR="00AB26D6" w:rsidRPr="00AB26D6" w:rsidRDefault="00C215E9" w:rsidP="00AB26D6">
      <w:pPr>
        <w:spacing w:line="264" w:lineRule="auto"/>
        <w:rPr>
          <w:lang w:val="en-US"/>
        </w:rPr>
      </w:pPr>
      <w:r>
        <w:rPr>
          <w:lang w:val="en-US"/>
        </w:rPr>
        <w:t>S</w:t>
      </w:r>
      <w:r>
        <w:rPr>
          <w:rFonts w:cs="Times New Roman"/>
          <w:lang w:val="en-US"/>
        </w:rPr>
        <w:t>̌</w:t>
      </w:r>
      <w:r>
        <w:rPr>
          <w:lang w:val="en-US"/>
        </w:rPr>
        <w:t>tych, P., Bic</w:t>
      </w:r>
      <w:r>
        <w:rPr>
          <w:rFonts w:cs="Times New Roman"/>
          <w:lang w:val="en-US"/>
        </w:rPr>
        <w:t>̌</w:t>
      </w:r>
      <w:r>
        <w:rPr>
          <w:lang w:val="en-US"/>
        </w:rPr>
        <w:t xml:space="preserve">ík, </w:t>
      </w:r>
      <w:r w:rsidR="00AB26D6" w:rsidRPr="00AB26D6">
        <w:rPr>
          <w:lang w:val="en-US"/>
        </w:rPr>
        <w:t>I.</w:t>
      </w:r>
      <w:r>
        <w:rPr>
          <w:lang w:val="en-US"/>
        </w:rPr>
        <w:t>, Stonác</w:t>
      </w:r>
      <w:r>
        <w:rPr>
          <w:rFonts w:cs="Times New Roman"/>
          <w:lang w:val="en-US"/>
        </w:rPr>
        <w:t>̌</w:t>
      </w:r>
      <w:r>
        <w:rPr>
          <w:lang w:val="en-US"/>
        </w:rPr>
        <w:t>ek, V., Bláha, J., 2012. Change of Land Use Patterns 1827–2005. In: Bic</w:t>
      </w:r>
      <w:r>
        <w:rPr>
          <w:rFonts w:cs="Times New Roman"/>
          <w:lang w:val="en-US"/>
        </w:rPr>
        <w:t>̌</w:t>
      </w:r>
      <w:r>
        <w:rPr>
          <w:lang w:val="en-US"/>
        </w:rPr>
        <w:t>ík, I., Himiyama, Y., Feranec, J., S</w:t>
      </w:r>
      <w:r>
        <w:rPr>
          <w:rFonts w:cs="Times New Roman"/>
          <w:lang w:val="en-US"/>
        </w:rPr>
        <w:t>̌</w:t>
      </w:r>
      <w:r>
        <w:rPr>
          <w:lang w:val="en-US"/>
        </w:rPr>
        <w:t xml:space="preserve">tych, P. (Eds.), </w:t>
      </w:r>
      <w:r w:rsidR="00AB26D6" w:rsidRPr="00AB26D6">
        <w:rPr>
          <w:lang w:val="en-US"/>
        </w:rPr>
        <w:t>Land Use/Cover Changes in Selected Regions in the World, vol. VII. IGU-LUCC, Prague, pp. 37–41.</w:t>
      </w:r>
    </w:p>
    <w:p w:rsidR="00C215E9" w:rsidRDefault="00C215E9" w:rsidP="00AB26D6">
      <w:pPr>
        <w:spacing w:line="264" w:lineRule="auto"/>
        <w:rPr>
          <w:lang w:val="en-US"/>
        </w:rPr>
      </w:pPr>
    </w:p>
    <w:p w:rsidR="00AB26D6" w:rsidRPr="00FB14EC" w:rsidRDefault="00AB26D6" w:rsidP="00AB26D6">
      <w:pPr>
        <w:spacing w:line="264" w:lineRule="auto"/>
        <w:rPr>
          <w:lang w:val="en-US"/>
        </w:rPr>
      </w:pPr>
      <w:r w:rsidRPr="00FB14EC">
        <w:rPr>
          <w:lang w:val="de-DE"/>
        </w:rPr>
        <w:t xml:space="preserve">Tirla, L., Matei, E., Vdulie, I., Cuculici, R., 2012. </w:t>
      </w:r>
      <w:r w:rsidRPr="00AB26D6">
        <w:rPr>
          <w:lang w:val="en-US"/>
        </w:rPr>
        <w:t>Analysis of the veg</w:t>
      </w:r>
      <w:r w:rsidR="00FB14EC">
        <w:rPr>
          <w:lang w:val="en-US"/>
        </w:rPr>
        <w:t>etation cover in the eastern C</w:t>
      </w:r>
      <w:r w:rsidR="00FB14EC">
        <w:rPr>
          <w:rFonts w:cs="Times New Roman"/>
          <w:lang w:val="en-US"/>
        </w:rPr>
        <w:t>ă</w:t>
      </w:r>
      <w:r w:rsidR="00FB14EC">
        <w:rPr>
          <w:lang w:val="en-US"/>
        </w:rPr>
        <w:t>p</w:t>
      </w:r>
      <w:r w:rsidR="00FB14EC">
        <w:rPr>
          <w:rFonts w:cs="Times New Roman"/>
          <w:lang w:val="en-US"/>
        </w:rPr>
        <w:t>ă</w:t>
      </w:r>
      <w:r w:rsidRPr="00AB26D6">
        <w:rPr>
          <w:lang w:val="en-US"/>
        </w:rPr>
        <w:t>tânii Mountains Southern Carpathi</w:t>
      </w:r>
      <w:r w:rsidR="00FB14EC">
        <w:rPr>
          <w:lang w:val="en-US"/>
        </w:rPr>
        <w:t>ans, Romania) between 1973–2005 using</w:t>
      </w:r>
      <w:r w:rsidRPr="00AB26D6">
        <w:rPr>
          <w:lang w:val="en-US"/>
        </w:rPr>
        <w:t xml:space="preserve"> remote </w:t>
      </w:r>
      <w:r w:rsidR="00FB14EC">
        <w:rPr>
          <w:lang w:val="en-US"/>
        </w:rPr>
        <w:t>sensing and GIS data. In: Boltiz</w:t>
      </w:r>
      <w:r w:rsidR="00FB14EC">
        <w:rPr>
          <w:rFonts w:cs="Times New Roman"/>
          <w:lang w:val="en-US"/>
        </w:rPr>
        <w:t>̌</w:t>
      </w:r>
      <w:r w:rsidR="00FB14EC">
        <w:rPr>
          <w:lang w:val="en-US"/>
        </w:rPr>
        <w:t>iar, M. (Ed.),</w:t>
      </w:r>
      <w:r w:rsidRPr="00AB26D6">
        <w:rPr>
          <w:lang w:val="en-US"/>
        </w:rPr>
        <w:t xml:space="preserve"> Con</w:t>
      </w:r>
      <w:r w:rsidR="00FB14EC">
        <w:rPr>
          <w:lang w:val="en-US"/>
        </w:rPr>
        <w:t>fer</w:t>
      </w:r>
      <w:r w:rsidRPr="00AB26D6">
        <w:rPr>
          <w:lang w:val="en-US"/>
        </w:rPr>
        <w:t>ence Abstracts of the 2nd Forum Carpaticum. From Data to Knowledge, from Knowledge to Action. Slovak Academ</w:t>
      </w:r>
      <w:r w:rsidR="00FB14EC">
        <w:rPr>
          <w:lang w:val="en-US"/>
        </w:rPr>
        <w:t>y of Sciences, Bratislava, p.</w:t>
      </w:r>
      <w:r w:rsidRPr="00AB26D6">
        <w:rPr>
          <w:lang w:val="en-US"/>
        </w:rPr>
        <w:t xml:space="preserve"> </w:t>
      </w:r>
      <w:r w:rsidRPr="00FB14EC">
        <w:rPr>
          <w:lang w:val="en-US"/>
        </w:rPr>
        <w:t>214.</w:t>
      </w:r>
    </w:p>
    <w:p w:rsidR="00FB14EC" w:rsidRDefault="00FB14EC" w:rsidP="00AB26D6">
      <w:pPr>
        <w:spacing w:line="264" w:lineRule="auto"/>
        <w:rPr>
          <w:lang w:val="en-US"/>
        </w:rPr>
      </w:pPr>
    </w:p>
    <w:p w:rsidR="00AB26D6" w:rsidRPr="00AB26D6" w:rsidRDefault="00AB26D6" w:rsidP="00AB26D6">
      <w:pPr>
        <w:spacing w:line="264" w:lineRule="auto"/>
        <w:rPr>
          <w:lang w:val="en-US"/>
        </w:rPr>
      </w:pPr>
      <w:r w:rsidRPr="00AB26D6">
        <w:rPr>
          <w:lang w:val="en-US"/>
        </w:rPr>
        <w:t>Turnock, D., 2002. Ecoregion-based conservation in the Carpathians and the land-use implications. Land Use Policy 19, 47–63.</w:t>
      </w:r>
    </w:p>
    <w:p w:rsidR="00FB14EC" w:rsidRDefault="00FB14EC" w:rsidP="00AB26D6">
      <w:pPr>
        <w:spacing w:line="264" w:lineRule="auto"/>
        <w:rPr>
          <w:lang w:val="en-US"/>
        </w:rPr>
      </w:pPr>
    </w:p>
    <w:p w:rsidR="00AB26D6" w:rsidRPr="00AB26D6" w:rsidRDefault="00AB26D6" w:rsidP="00AB26D6">
      <w:pPr>
        <w:spacing w:line="264" w:lineRule="auto"/>
        <w:rPr>
          <w:lang w:val="en-US"/>
        </w:rPr>
      </w:pPr>
      <w:r w:rsidRPr="00AB26D6">
        <w:rPr>
          <w:lang w:val="en-US"/>
        </w:rPr>
        <w:t>Vepryk, N., 2000. Silskogospodarske zemlekoristuvannya na Bukovyni v kinci 18–pochatku 20 stolittya ta yofo vplyv na lan</w:t>
      </w:r>
      <w:r w:rsidR="00FB14EC">
        <w:rPr>
          <w:lang w:val="en-US"/>
        </w:rPr>
        <w:t>dshaft. Nauk. Visnyk Chernivet</w:t>
      </w:r>
      <w:r w:rsidRPr="00AB26D6">
        <w:rPr>
          <w:lang w:val="en-US"/>
        </w:rPr>
        <w:t>skogo Univ. Ser. Geogr. 80, 117–120 (in Ukrainian).</w:t>
      </w:r>
    </w:p>
    <w:p w:rsidR="00FB14EC" w:rsidRDefault="00FB14EC" w:rsidP="00AB26D6">
      <w:pPr>
        <w:spacing w:line="264" w:lineRule="auto"/>
        <w:rPr>
          <w:lang w:val="en-US"/>
        </w:rPr>
      </w:pPr>
    </w:p>
    <w:p w:rsidR="00AB26D6" w:rsidRPr="00AB26D6" w:rsidRDefault="00AB26D6" w:rsidP="00AB26D6">
      <w:pPr>
        <w:spacing w:line="264" w:lineRule="auto"/>
        <w:rPr>
          <w:lang w:val="en-US"/>
        </w:rPr>
      </w:pPr>
      <w:r w:rsidRPr="00AB26D6">
        <w:rPr>
          <w:lang w:val="en-US"/>
        </w:rPr>
        <w:t>Vepryk, N., 2001. Istoryko-landshaftoznavchiy analiz lisogospodarskogo pryrodoko- rystuvannya (na prykladi Pivnichnoi Bukoviny u kinci 18–na pochatku 20 stolittya). Nauk. Visnyk Chernivetskogo Univ. Ser. Geogr. 120, 156–171 (in Ukrainian).</w:t>
      </w:r>
    </w:p>
    <w:p w:rsidR="00FB14EC" w:rsidRDefault="00FB14EC" w:rsidP="00AB26D6">
      <w:pPr>
        <w:spacing w:line="264" w:lineRule="auto"/>
        <w:rPr>
          <w:lang w:val="en-US"/>
        </w:rPr>
      </w:pPr>
    </w:p>
    <w:p w:rsidR="00AB26D6" w:rsidRPr="00AB26D6" w:rsidRDefault="00AB26D6" w:rsidP="00AB26D6">
      <w:pPr>
        <w:spacing w:line="264" w:lineRule="auto"/>
        <w:rPr>
          <w:lang w:val="en-US"/>
        </w:rPr>
      </w:pPr>
      <w:r w:rsidRPr="00AB26D6">
        <w:rPr>
          <w:lang w:val="en-US"/>
        </w:rPr>
        <w:t>Vepryk, N., 2002. Agrolandshafty i zemlerobstvo Pivnichnoi Bukoviny u kinci 18- na pochatky 20 stolittya. Nauk. Visnyk Chernivetskogo Univ. Ser. Geogr. 138, 135–149  (in Ukrainian).</w:t>
      </w:r>
    </w:p>
    <w:p w:rsidR="00FB14EC" w:rsidRDefault="00FB14EC" w:rsidP="00AB26D6">
      <w:pPr>
        <w:spacing w:line="264" w:lineRule="auto"/>
        <w:rPr>
          <w:lang w:val="en-US"/>
        </w:rPr>
      </w:pPr>
    </w:p>
    <w:p w:rsidR="00AB26D6" w:rsidRPr="00AB26D6" w:rsidRDefault="00AB26D6" w:rsidP="00AB26D6">
      <w:pPr>
        <w:spacing w:line="264" w:lineRule="auto"/>
        <w:rPr>
          <w:lang w:val="de-DE"/>
        </w:rPr>
      </w:pPr>
      <w:r w:rsidRPr="00FB14EC">
        <w:rPr>
          <w:lang w:val="de-DE"/>
        </w:rPr>
        <w:t xml:space="preserve">Verburg, P.H., Berkel, D.B., Doorn, A.M., Eupen, M., Heiligenberg, H.R.M., 2009. </w:t>
      </w:r>
      <w:r w:rsidRPr="00AB26D6">
        <w:rPr>
          <w:lang w:val="en-US"/>
        </w:rPr>
        <w:t xml:space="preserve">Trajec- tories of land use change in Europe: a model-based exploration of rural futures. </w:t>
      </w:r>
      <w:r w:rsidRPr="00AB26D6">
        <w:rPr>
          <w:lang w:val="de-DE"/>
        </w:rPr>
        <w:t>Landsc. Ecol. 25, 217–232.</w:t>
      </w:r>
    </w:p>
    <w:p w:rsidR="00FB14EC" w:rsidRDefault="00FB14EC" w:rsidP="00AB26D6">
      <w:pPr>
        <w:spacing w:line="264" w:lineRule="auto"/>
        <w:rPr>
          <w:lang w:val="de-DE"/>
        </w:rPr>
      </w:pPr>
    </w:p>
    <w:p w:rsidR="00AB26D6" w:rsidRPr="00AB26D6" w:rsidRDefault="00FB14EC" w:rsidP="00AB26D6">
      <w:pPr>
        <w:spacing w:line="264" w:lineRule="auto"/>
        <w:rPr>
          <w:lang w:val="de-DE"/>
        </w:rPr>
      </w:pPr>
      <w:r>
        <w:rPr>
          <w:lang w:val="de-DE"/>
        </w:rPr>
        <w:t xml:space="preserve">Warcholik, W., 2005. Rejestracja róz˙ nic w przebiegu granicy rolno-les´ nej </w:t>
      </w:r>
      <w:r w:rsidR="00AB26D6" w:rsidRPr="00AB26D6">
        <w:rPr>
          <w:lang w:val="de-DE"/>
        </w:rPr>
        <w:t>w Beskidzie Niskim na obszarze Polski i Słowacji (1933–1975) z wykorzystaniem GIS. Probl. Zagospododarowania</w:t>
      </w:r>
      <w:r>
        <w:rPr>
          <w:lang w:val="de-DE"/>
        </w:rPr>
        <w:t xml:space="preserve"> Ziem Górskich 51, 59–69 (in </w:t>
      </w:r>
      <w:r w:rsidR="00AB26D6" w:rsidRPr="00AB26D6">
        <w:rPr>
          <w:lang w:val="de-DE"/>
        </w:rPr>
        <w:t>Polish).</w:t>
      </w:r>
    </w:p>
    <w:p w:rsidR="00FB14EC" w:rsidRDefault="00FB14EC" w:rsidP="00AB26D6">
      <w:pPr>
        <w:spacing w:line="264" w:lineRule="auto"/>
        <w:rPr>
          <w:lang w:val="de-DE"/>
        </w:rPr>
      </w:pPr>
    </w:p>
    <w:p w:rsidR="00FB14EC" w:rsidRDefault="00FB14EC" w:rsidP="00AB26D6">
      <w:pPr>
        <w:spacing w:line="264" w:lineRule="auto"/>
        <w:rPr>
          <w:lang w:val="de-DE"/>
        </w:rPr>
      </w:pPr>
    </w:p>
    <w:p w:rsidR="00AB26D6" w:rsidRPr="00AB26D6" w:rsidRDefault="00AB26D6" w:rsidP="00AB26D6">
      <w:pPr>
        <w:spacing w:line="264" w:lineRule="auto"/>
        <w:rPr>
          <w:lang w:val="de-DE"/>
        </w:rPr>
      </w:pPr>
      <w:r w:rsidRPr="00AB26D6">
        <w:rPr>
          <w:lang w:val="de-DE"/>
        </w:rPr>
        <w:t>Wolski, J., 2001. Kierunki zmian krajobrazu okolic bies</w:t>
      </w:r>
      <w:r w:rsidR="00FB14EC">
        <w:rPr>
          <w:lang w:val="de-DE"/>
        </w:rPr>
        <w:t xml:space="preserve">zczadzkiej wsi Caryn´ skie. Pr. </w:t>
      </w:r>
      <w:r w:rsidRPr="00AB26D6">
        <w:rPr>
          <w:lang w:val="de-DE"/>
        </w:rPr>
        <w:t>Geogr. IGiPZ PAN 179, 149–167 (in Polish).</w:t>
      </w:r>
    </w:p>
    <w:p w:rsidR="00FB14EC" w:rsidRDefault="00FB14EC" w:rsidP="00AB26D6">
      <w:pPr>
        <w:spacing w:line="264" w:lineRule="auto"/>
        <w:rPr>
          <w:lang w:val="de-DE"/>
        </w:rPr>
      </w:pPr>
    </w:p>
    <w:p w:rsidR="00AB26D6" w:rsidRPr="00AB26D6" w:rsidRDefault="00FB14EC" w:rsidP="00AB26D6">
      <w:pPr>
        <w:spacing w:line="264" w:lineRule="auto"/>
        <w:rPr>
          <w:lang w:val="en-US"/>
        </w:rPr>
      </w:pPr>
      <w:r>
        <w:rPr>
          <w:lang w:val="de-DE"/>
        </w:rPr>
        <w:t>Wos</w:t>
      </w:r>
      <w:r>
        <w:rPr>
          <w:rFonts w:cs="Times New Roman"/>
          <w:lang w:val="de-DE"/>
        </w:rPr>
        <w:t>́</w:t>
      </w:r>
      <w:r w:rsidR="00AB26D6" w:rsidRPr="00AB26D6">
        <w:rPr>
          <w:lang w:val="de-DE"/>
        </w:rPr>
        <w:t xml:space="preserve"> , B., 2005. Zmiany pokrycia terenu w wybranych gminach Beskidów w drugiej połowie XX w</w:t>
      </w:r>
      <w:r>
        <w:rPr>
          <w:lang w:val="de-DE"/>
        </w:rPr>
        <w:t>. na podstawie analizy zdje˛ c</w:t>
      </w:r>
      <w:r>
        <w:rPr>
          <w:rFonts w:cs="Times New Roman"/>
          <w:lang w:val="de-DE"/>
        </w:rPr>
        <w:t>́</w:t>
      </w:r>
      <w:r w:rsidR="00AB26D6" w:rsidRPr="00AB26D6">
        <w:rPr>
          <w:lang w:val="de-DE"/>
        </w:rPr>
        <w:t xml:space="preserve"> lotniczych. </w:t>
      </w:r>
      <w:r>
        <w:rPr>
          <w:lang w:val="en-US"/>
        </w:rPr>
        <w:t>Teledetekcja S</w:t>
      </w:r>
      <w:r>
        <w:rPr>
          <w:rFonts w:cs="Times New Roman"/>
          <w:lang w:val="en-US"/>
        </w:rPr>
        <w:t>́</w:t>
      </w:r>
      <w:r>
        <w:rPr>
          <w:lang w:val="en-US"/>
        </w:rPr>
        <w:t xml:space="preserve"> rodowiska </w:t>
      </w:r>
      <w:r w:rsidR="00AB26D6" w:rsidRPr="00AB26D6">
        <w:rPr>
          <w:lang w:val="en-US"/>
        </w:rPr>
        <w:t>35, 1–114 (in Polish).</w:t>
      </w:r>
    </w:p>
    <w:p w:rsidR="00FB14EC" w:rsidRDefault="00FB14EC" w:rsidP="00AB26D6">
      <w:pPr>
        <w:spacing w:line="264" w:lineRule="auto"/>
        <w:rPr>
          <w:lang w:val="en-US"/>
        </w:rPr>
      </w:pPr>
    </w:p>
    <w:p w:rsidR="00AB26D6" w:rsidRPr="00AB26D6" w:rsidRDefault="00AB26D6" w:rsidP="00AB26D6">
      <w:pPr>
        <w:spacing w:line="264" w:lineRule="auto"/>
        <w:rPr>
          <w:lang w:val="de-DE"/>
        </w:rPr>
      </w:pPr>
      <w:r w:rsidRPr="00AB26D6">
        <w:rPr>
          <w:lang w:val="en-US"/>
        </w:rPr>
        <w:t xml:space="preserve">Yeo, I.-Y., Huang, C., 2013. Revisiting the forest transition theory with historical records and geospatial data: a case study from Mississippi (USA). </w:t>
      </w:r>
      <w:r w:rsidR="00FB14EC">
        <w:rPr>
          <w:lang w:val="de-DE"/>
        </w:rPr>
        <w:t>Land Use Policy 32,</w:t>
      </w:r>
      <w:r w:rsidRPr="00AB26D6">
        <w:rPr>
          <w:lang w:val="de-DE"/>
        </w:rPr>
        <w:t xml:space="preserve"> 1–13.</w:t>
      </w:r>
    </w:p>
    <w:p w:rsidR="00FB14EC" w:rsidRDefault="00FB14EC" w:rsidP="00AB26D6">
      <w:pPr>
        <w:spacing w:line="264" w:lineRule="auto"/>
        <w:rPr>
          <w:lang w:val="de-DE"/>
        </w:rPr>
      </w:pPr>
    </w:p>
    <w:p w:rsidR="00AE0C3E" w:rsidRDefault="00FB14EC" w:rsidP="00AB26D6">
      <w:pPr>
        <w:spacing w:line="264" w:lineRule="auto"/>
        <w:rPr>
          <w:lang w:val="de-DE"/>
        </w:rPr>
      </w:pPr>
      <w:r>
        <w:rPr>
          <w:lang w:val="de-DE"/>
        </w:rPr>
        <w:t>Zaus</w:t>
      </w:r>
      <w:r>
        <w:rPr>
          <w:rFonts w:cs="Times New Roman"/>
          <w:lang w:val="de-DE"/>
        </w:rPr>
        <w:t>̌</w:t>
      </w:r>
      <w:r>
        <w:rPr>
          <w:lang w:val="de-DE"/>
        </w:rPr>
        <w:t>ková, L’ ., Fejes</w:t>
      </w:r>
      <w:r>
        <w:rPr>
          <w:rFonts w:cs="Times New Roman"/>
          <w:lang w:val="de-DE"/>
        </w:rPr>
        <w:t>̌</w:t>
      </w:r>
      <w:r>
        <w:rPr>
          <w:lang w:val="de-DE"/>
        </w:rPr>
        <w:t xml:space="preserve">, J., Kysucká, K., 2011. Zmeny a pustnutie </w:t>
      </w:r>
      <w:r w:rsidR="00AB26D6" w:rsidRPr="00AB26D6">
        <w:rPr>
          <w:lang w:val="de-DE"/>
        </w:rPr>
        <w:t>pol’nohospodárskej krajiny v k.ú. Podhorie. Univerzita Mateja Bela, Banská Bystrica (in Slovak).</w:t>
      </w:r>
    </w:p>
    <w:p w:rsidR="002E1749" w:rsidRPr="00B90531" w:rsidRDefault="002E1749" w:rsidP="00AB26D6">
      <w:pPr>
        <w:spacing w:line="264" w:lineRule="auto"/>
        <w:rPr>
          <w:lang w:val="de-DE"/>
        </w:rPr>
      </w:pPr>
      <w:r w:rsidRPr="00B90531">
        <w:rPr>
          <w:lang w:val="de-DE"/>
        </w:rPr>
        <w:br w:type="page"/>
      </w:r>
    </w:p>
    <w:p w:rsidR="00BC106E" w:rsidRDefault="00AE0C3E" w:rsidP="00985271">
      <w:pPr>
        <w:spacing w:line="264" w:lineRule="auto"/>
      </w:pPr>
      <w:r>
        <w:rPr>
          <w:noProof/>
          <w:lang w:val="en-US"/>
        </w:rPr>
        <w:drawing>
          <wp:inline distT="0" distB="0" distL="0" distR="0" wp14:anchorId="1256736B">
            <wp:extent cx="4602822" cy="6592092"/>
            <wp:effectExtent l="0" t="0" r="762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21659" cy="6619071"/>
                    </a:xfrm>
                    <a:prstGeom prst="rect">
                      <a:avLst/>
                    </a:prstGeom>
                    <a:noFill/>
                  </pic:spPr>
                </pic:pic>
              </a:graphicData>
            </a:graphic>
          </wp:inline>
        </w:drawing>
      </w:r>
    </w:p>
    <w:p w:rsidR="00E67102" w:rsidRDefault="00E67102" w:rsidP="00985271">
      <w:pPr>
        <w:spacing w:line="264" w:lineRule="auto"/>
      </w:pPr>
    </w:p>
    <w:p w:rsidR="00AE0C3E" w:rsidRDefault="00AE0C3E" w:rsidP="00985271">
      <w:pPr>
        <w:spacing w:line="264" w:lineRule="auto"/>
      </w:pPr>
      <w:r w:rsidRPr="00AE0C3E">
        <w:t>Fig. 1. (a) Study area, including spatial extent of case studies (gray) and centroids for 102 case study locations (triangles). Country codes: AT: Austria, HU: Hungary, PL: Poland, CZ: Czech Republic, SK: Slovakia, UA: Ukraine, RO: Romania, MD: Moldova, HR: Serbia, SI: Slovenia. (b) Spatio-temporal distribution of 102 study locations (one location may include multiple case-studies).</w:t>
      </w:r>
    </w:p>
    <w:p w:rsidR="00AE0C3E" w:rsidRDefault="00AE0C3E" w:rsidP="00985271">
      <w:pPr>
        <w:spacing w:line="264" w:lineRule="auto"/>
        <w:sectPr w:rsidR="00AE0C3E">
          <w:pgSz w:w="11906" w:h="16838"/>
          <w:pgMar w:top="1417" w:right="1417" w:bottom="1134" w:left="1417" w:header="708" w:footer="708" w:gutter="0"/>
          <w:cols w:space="708"/>
          <w:docGrid w:linePitch="360"/>
        </w:sectPr>
      </w:pPr>
    </w:p>
    <w:p w:rsidR="00AE0C3E" w:rsidRDefault="00AE0C3E" w:rsidP="00985271">
      <w:pPr>
        <w:spacing w:line="264" w:lineRule="auto"/>
      </w:pPr>
      <w:r>
        <w:rPr>
          <w:noProof/>
          <w:lang w:val="en-US"/>
        </w:rPr>
        <w:drawing>
          <wp:inline distT="0" distB="0" distL="0" distR="0" wp14:anchorId="047F2ABA">
            <wp:extent cx="5431065" cy="4900773"/>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35810" cy="4905055"/>
                    </a:xfrm>
                    <a:prstGeom prst="rect">
                      <a:avLst/>
                    </a:prstGeom>
                    <a:noFill/>
                  </pic:spPr>
                </pic:pic>
              </a:graphicData>
            </a:graphic>
          </wp:inline>
        </w:drawing>
      </w:r>
    </w:p>
    <w:p w:rsidR="00E67102" w:rsidRDefault="00E67102" w:rsidP="00985271">
      <w:pPr>
        <w:spacing w:line="264" w:lineRule="auto"/>
      </w:pPr>
    </w:p>
    <w:p w:rsidR="00AE0C3E" w:rsidRDefault="00AE0C3E" w:rsidP="00985271">
      <w:pPr>
        <w:spacing w:line="264" w:lineRule="auto"/>
      </w:pPr>
      <w:r w:rsidRPr="00AE0C3E">
        <w:t>Fig. 2. Representativeness check of case studies biophysical characteristics for the country’s share of the study areas: comparison of (a) elevation and (b) slope. The gray line indicates the mean value for the country’s share of the study area. (c) Soil type distribution for the case studies in each country and for the region as a whole. Country codes: CZ: Czech Republic, HU: Hungary, PL: Poland, RO: Romania, SK: Slovakia, UA: Ukraine.</w:t>
      </w:r>
    </w:p>
    <w:p w:rsidR="00AE0C3E" w:rsidRDefault="00AE0C3E" w:rsidP="00985271">
      <w:pPr>
        <w:spacing w:line="264" w:lineRule="auto"/>
        <w:sectPr w:rsidR="00AE0C3E">
          <w:pgSz w:w="11906" w:h="16838"/>
          <w:pgMar w:top="1417" w:right="1417" w:bottom="1134" w:left="1417" w:header="708" w:footer="708" w:gutter="0"/>
          <w:cols w:space="708"/>
          <w:docGrid w:linePitch="360"/>
        </w:sectPr>
      </w:pPr>
    </w:p>
    <w:p w:rsidR="00AE0C3E" w:rsidRDefault="00AE0C3E" w:rsidP="00985271">
      <w:pPr>
        <w:spacing w:line="264" w:lineRule="auto"/>
      </w:pPr>
      <w:r>
        <w:rPr>
          <w:noProof/>
          <w:lang w:val="en-US"/>
        </w:rPr>
        <w:drawing>
          <wp:anchor distT="0" distB="0" distL="114300" distR="114300" simplePos="0" relativeHeight="251658240" behindDoc="1" locked="0" layoutInCell="1" allowOverlap="1">
            <wp:simplePos x="0" y="0"/>
            <wp:positionH relativeFrom="column">
              <wp:posOffset>2540</wp:posOffset>
            </wp:positionH>
            <wp:positionV relativeFrom="paragraph">
              <wp:posOffset>-124460</wp:posOffset>
            </wp:positionV>
            <wp:extent cx="5487035" cy="5145405"/>
            <wp:effectExtent l="0" t="0" r="0" b="0"/>
            <wp:wrapTight wrapText="bothSides">
              <wp:wrapPolygon edited="0">
                <wp:start x="0" y="0"/>
                <wp:lineTo x="0" y="21512"/>
                <wp:lineTo x="21523" y="21512"/>
                <wp:lineTo x="21523"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87035" cy="5145405"/>
                    </a:xfrm>
                    <a:prstGeom prst="rect">
                      <a:avLst/>
                    </a:prstGeom>
                    <a:noFill/>
                  </pic:spPr>
                </pic:pic>
              </a:graphicData>
            </a:graphic>
            <wp14:sizeRelH relativeFrom="page">
              <wp14:pctWidth>0</wp14:pctWidth>
            </wp14:sizeRelH>
            <wp14:sizeRelV relativeFrom="page">
              <wp14:pctHeight>0</wp14:pctHeight>
            </wp14:sizeRelV>
          </wp:anchor>
        </w:drawing>
      </w:r>
    </w:p>
    <w:p w:rsidR="00E67102" w:rsidRDefault="00E67102" w:rsidP="00AE0C3E"/>
    <w:p w:rsidR="00E67102" w:rsidRDefault="00E67102" w:rsidP="00AE0C3E"/>
    <w:p w:rsidR="00E67102" w:rsidRDefault="00E67102" w:rsidP="00AE0C3E"/>
    <w:p w:rsidR="00E67102" w:rsidRDefault="00E67102" w:rsidP="00AE0C3E"/>
    <w:p w:rsidR="00E67102" w:rsidRDefault="00E67102" w:rsidP="00AE0C3E"/>
    <w:p w:rsidR="00AE0C3E" w:rsidRDefault="00AE0C3E" w:rsidP="00AE0C3E">
      <w:r w:rsidRPr="00AE0C3E">
        <w:t>Fig. 3. Proportion of studies reporting decreasing (&lt;−0.1% annually), stable (−0.1% to 0.1% annually) and increasing (&gt;0.1% annually) cover for each time period for (a) forest and (c) agriculture and distribution of annual rates of change per time period for (b) forest and (d) agricultural cover. Country codes: CZ: Czech Republic, HU: Hungary, PL: Poland, RO: Romania, SK: Slovakia, UA: Ukraine.</w:t>
      </w:r>
    </w:p>
    <w:p w:rsidR="00AE0C3E" w:rsidRPr="00AE0C3E" w:rsidRDefault="00AE0C3E" w:rsidP="00AE0C3E"/>
    <w:p w:rsidR="00AE0C3E" w:rsidRDefault="00AE0C3E" w:rsidP="00985271">
      <w:pPr>
        <w:spacing w:line="264" w:lineRule="auto"/>
        <w:sectPr w:rsidR="00AE0C3E">
          <w:pgSz w:w="11906" w:h="16838"/>
          <w:pgMar w:top="1417" w:right="1417" w:bottom="1134" w:left="1417" w:header="708" w:footer="708" w:gutter="0"/>
          <w:cols w:space="708"/>
          <w:docGrid w:linePitch="360"/>
        </w:sectPr>
      </w:pPr>
    </w:p>
    <w:p w:rsidR="00AE0C3E" w:rsidRDefault="00AE0C3E" w:rsidP="00985271">
      <w:pPr>
        <w:spacing w:line="264" w:lineRule="auto"/>
      </w:pPr>
      <w:r>
        <w:rPr>
          <w:noProof/>
          <w:lang w:val="en-US"/>
        </w:rPr>
        <w:drawing>
          <wp:inline distT="0" distB="0" distL="0" distR="0" wp14:anchorId="6E0ABA12">
            <wp:extent cx="5720897" cy="6493267"/>
            <wp:effectExtent l="0" t="0" r="0" b="317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27615" cy="6500892"/>
                    </a:xfrm>
                    <a:prstGeom prst="rect">
                      <a:avLst/>
                    </a:prstGeom>
                    <a:noFill/>
                  </pic:spPr>
                </pic:pic>
              </a:graphicData>
            </a:graphic>
          </wp:inline>
        </w:drawing>
      </w:r>
    </w:p>
    <w:p w:rsidR="00E67102" w:rsidRDefault="00E67102" w:rsidP="00AE0C3E"/>
    <w:p w:rsidR="00AE0C3E" w:rsidRPr="00AE0C3E" w:rsidRDefault="00AE0C3E" w:rsidP="00AE0C3E">
      <w:r w:rsidRPr="00AE0C3E">
        <w:t>Fig. 4. Spatial and temporal distribution of forest change case studies. Annual rates of change are mapped for each case study and time period. Studies are represented by centroids. The size of the symbols indicate the amount of change, the colors indicate the direction of change (increase/stability/decrease). Shaded</w:t>
      </w:r>
      <w:r w:rsidR="00340290">
        <w:t xml:space="preserve"> colors indicate that annual </w:t>
      </w:r>
      <w:r w:rsidRPr="00AE0C3E">
        <w:t>rates are calculated for more than one time period. Country codes: CZ: Czech Republic, HU: Hungary, PL: Poland, RO: Romania, SK: Slovakia, UA: Ukraine.</w:t>
      </w:r>
    </w:p>
    <w:p w:rsidR="00AE0C3E" w:rsidRDefault="00AE0C3E" w:rsidP="00985271">
      <w:pPr>
        <w:spacing w:line="264" w:lineRule="auto"/>
        <w:sectPr w:rsidR="00AE0C3E">
          <w:pgSz w:w="11906" w:h="16838"/>
          <w:pgMar w:top="1417" w:right="1417" w:bottom="1134" w:left="1417" w:header="708" w:footer="708" w:gutter="0"/>
          <w:cols w:space="708"/>
          <w:docGrid w:linePitch="360"/>
        </w:sectPr>
      </w:pPr>
    </w:p>
    <w:p w:rsidR="00AE0C3E" w:rsidRDefault="00AE0C3E" w:rsidP="00985271">
      <w:pPr>
        <w:spacing w:line="264" w:lineRule="auto"/>
      </w:pPr>
      <w:r>
        <w:rPr>
          <w:noProof/>
          <w:lang w:val="en-US"/>
        </w:rPr>
        <w:drawing>
          <wp:inline distT="0" distB="0" distL="0" distR="0" wp14:anchorId="28FE8461">
            <wp:extent cx="5774076" cy="6546108"/>
            <wp:effectExtent l="0" t="0" r="0" b="762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81118" cy="6554092"/>
                    </a:xfrm>
                    <a:prstGeom prst="rect">
                      <a:avLst/>
                    </a:prstGeom>
                    <a:noFill/>
                  </pic:spPr>
                </pic:pic>
              </a:graphicData>
            </a:graphic>
          </wp:inline>
        </w:drawing>
      </w:r>
    </w:p>
    <w:p w:rsidR="00E67102" w:rsidRDefault="00E67102" w:rsidP="00985271">
      <w:pPr>
        <w:spacing w:line="264" w:lineRule="auto"/>
      </w:pPr>
    </w:p>
    <w:p w:rsidR="00AE0C3E" w:rsidRDefault="00340290" w:rsidP="00985271">
      <w:pPr>
        <w:spacing w:line="264" w:lineRule="auto"/>
      </w:pPr>
      <w:r>
        <w:t xml:space="preserve">Fig. 5. </w:t>
      </w:r>
      <w:r w:rsidR="00AE0C3E" w:rsidRPr="00AE0C3E">
        <w:t>Spatial and temporal distribution of agricultural change case studies. Annual rates of change are mapped for each case study and time period. Studies are represented  by centroids. The size of the symbols indicate the amount of change, the colors indicate the direction of change (increase/stability/decrease). Sh</w:t>
      </w:r>
      <w:r w:rsidR="00AE0C3E">
        <w:t xml:space="preserve">aded colors indicate that </w:t>
      </w:r>
      <w:r w:rsidR="00AE0C3E" w:rsidRPr="00AE0C3E">
        <w:t>annual rates are calculated for more than one time period. Country codes: CZ: Czech Republic, HU: Hungary, PL: Poland, RO: Romania, SK: Slovakia, UA: Ukraine.</w:t>
      </w:r>
    </w:p>
    <w:p w:rsidR="00AE0C3E" w:rsidRDefault="00AE0C3E" w:rsidP="00985271">
      <w:pPr>
        <w:spacing w:line="264" w:lineRule="auto"/>
        <w:sectPr w:rsidR="00AE0C3E">
          <w:pgSz w:w="11906" w:h="16838"/>
          <w:pgMar w:top="1417" w:right="1417" w:bottom="1134" w:left="1417" w:header="708" w:footer="708" w:gutter="0"/>
          <w:cols w:space="708"/>
          <w:docGrid w:linePitch="360"/>
        </w:sectPr>
      </w:pPr>
    </w:p>
    <w:p w:rsidR="00AE0C3E" w:rsidRDefault="00AE0C3E" w:rsidP="00985271">
      <w:pPr>
        <w:spacing w:line="264" w:lineRule="auto"/>
      </w:pPr>
      <w:r>
        <w:rPr>
          <w:noProof/>
          <w:lang w:val="en-US"/>
        </w:rPr>
        <w:drawing>
          <wp:inline distT="0" distB="0" distL="0" distR="0" wp14:anchorId="12C8511B">
            <wp:extent cx="5722705" cy="3672503"/>
            <wp:effectExtent l="0" t="0" r="0" b="444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5278" cy="3680572"/>
                    </a:xfrm>
                    <a:prstGeom prst="rect">
                      <a:avLst/>
                    </a:prstGeom>
                    <a:noFill/>
                  </pic:spPr>
                </pic:pic>
              </a:graphicData>
            </a:graphic>
          </wp:inline>
        </w:drawing>
      </w:r>
    </w:p>
    <w:p w:rsidR="00E67102" w:rsidRDefault="00E67102" w:rsidP="00985271">
      <w:pPr>
        <w:spacing w:line="264" w:lineRule="auto"/>
      </w:pPr>
    </w:p>
    <w:p w:rsidR="00AE0C3E" w:rsidRDefault="00AE0C3E" w:rsidP="00985271">
      <w:pPr>
        <w:spacing w:line="264" w:lineRule="auto"/>
      </w:pPr>
      <w:r w:rsidRPr="00AE0C3E">
        <w:t>Fig. 6. Main classes of land change drivers and the relative importance of drives for each land change process in the study area. The proportions are calculated based on the number of times a driver was deemed as important in inﬂuencing change.</w:t>
      </w:r>
    </w:p>
    <w:p w:rsidR="00AE0C3E" w:rsidRDefault="00AE0C3E" w:rsidP="00985271">
      <w:pPr>
        <w:spacing w:line="264" w:lineRule="auto"/>
        <w:sectPr w:rsidR="00AE0C3E">
          <w:pgSz w:w="11906" w:h="16838"/>
          <w:pgMar w:top="1417" w:right="1417" w:bottom="1134" w:left="1417" w:header="708" w:footer="708" w:gutter="0"/>
          <w:cols w:space="708"/>
          <w:docGrid w:linePitch="360"/>
        </w:sectPr>
      </w:pPr>
    </w:p>
    <w:p w:rsidR="00AE0C3E" w:rsidRDefault="004912B6" w:rsidP="004912B6">
      <w:pPr>
        <w:spacing w:line="264" w:lineRule="auto"/>
      </w:pPr>
      <w:r>
        <w:t>Table 1</w:t>
      </w:r>
      <w:r w:rsidR="00E67102">
        <w:t xml:space="preserve">. </w:t>
      </w:r>
      <w:r>
        <w:t>Time periods, their duration, the expected land changes and the number of studies that report land change for the speciﬁc period. The ﬁrst number (*) indicates that the annual rate of change has been calculated for only one period. The second number (**) indicates that the case-study spans at least two time periods, and the annual rate of change is calculated based only on land cover at the beginning and end of the considered time span.</w:t>
      </w:r>
    </w:p>
    <w:p w:rsidR="007C7A0B" w:rsidRPr="007C7A0B" w:rsidRDefault="007C7A0B" w:rsidP="007C7A0B">
      <w:pPr>
        <w:spacing w:line="264" w:lineRule="auto"/>
        <w:rPr>
          <w:lang w:val="en-US"/>
        </w:rPr>
      </w:pPr>
    </w:p>
    <w:tbl>
      <w:tblPr>
        <w:tblW w:w="0" w:type="auto"/>
        <w:tblInd w:w="720" w:type="dxa"/>
        <w:tblCellMar>
          <w:left w:w="0" w:type="dxa"/>
          <w:right w:w="0" w:type="dxa"/>
        </w:tblCellMar>
        <w:tblLook w:val="04A0" w:firstRow="1" w:lastRow="0" w:firstColumn="1" w:lastColumn="0" w:noHBand="0" w:noVBand="1"/>
      </w:tblPr>
      <w:tblGrid>
        <w:gridCol w:w="1601"/>
        <w:gridCol w:w="1140"/>
        <w:gridCol w:w="1000"/>
        <w:gridCol w:w="1645"/>
        <w:gridCol w:w="1024"/>
        <w:gridCol w:w="1446"/>
      </w:tblGrid>
      <w:tr w:rsidR="007C7A0B" w:rsidRPr="007C7A0B" w:rsidTr="007C7A0B">
        <w:trPr>
          <w:tblHeader/>
        </w:trPr>
        <w:tc>
          <w:tcPr>
            <w:tcW w:w="0" w:type="auto"/>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Time period</w:t>
            </w:r>
          </w:p>
        </w:tc>
        <w:tc>
          <w:tcPr>
            <w:tcW w:w="0" w:type="auto"/>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Duration</w:t>
            </w:r>
          </w:p>
        </w:tc>
        <w:tc>
          <w:tcPr>
            <w:tcW w:w="0" w:type="auto"/>
            <w:gridSpan w:val="2"/>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Expected land change process</w:t>
            </w:r>
          </w:p>
          <w:p w:rsidR="007C7A0B" w:rsidRPr="007C7A0B" w:rsidRDefault="005B511F" w:rsidP="007C7A0B">
            <w:pPr>
              <w:spacing w:line="264" w:lineRule="auto"/>
              <w:rPr>
                <w:sz w:val="20"/>
                <w:szCs w:val="20"/>
                <w:lang w:val="en-US"/>
              </w:rPr>
            </w:pPr>
            <w:r>
              <w:rPr>
                <w:sz w:val="20"/>
                <w:szCs w:val="20"/>
                <w:lang w:val="en-US"/>
              </w:rPr>
              <w:pict>
                <v:rect id="_x0000_i1025" style="width:0;height:.75pt" o:hralign="center" o:hrstd="t" o:hr="t" fillcolor="#a0a0a0" stroked="f"/>
              </w:pict>
            </w:r>
          </w:p>
        </w:tc>
        <w:tc>
          <w:tcPr>
            <w:tcW w:w="0" w:type="auto"/>
            <w:gridSpan w:val="2"/>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Number of case studies</w:t>
            </w:r>
          </w:p>
          <w:p w:rsidR="007C7A0B" w:rsidRPr="007C7A0B" w:rsidRDefault="005B511F" w:rsidP="007C7A0B">
            <w:pPr>
              <w:spacing w:line="264" w:lineRule="auto"/>
              <w:rPr>
                <w:sz w:val="20"/>
                <w:szCs w:val="20"/>
                <w:lang w:val="en-US"/>
              </w:rPr>
            </w:pPr>
            <w:r>
              <w:rPr>
                <w:sz w:val="20"/>
                <w:szCs w:val="20"/>
                <w:lang w:val="en-US"/>
              </w:rPr>
              <w:pict>
                <v:rect id="_x0000_i1026" style="width:0;height:.75pt" o:hralign="center" o:hrstd="t" o:hr="t" fillcolor="#a0a0a0" stroked="f"/>
              </w:pict>
            </w:r>
          </w:p>
        </w:tc>
      </w:tr>
      <w:tr w:rsidR="007C7A0B" w:rsidRPr="007C7A0B" w:rsidTr="007C7A0B">
        <w:trPr>
          <w:tblHeader/>
        </w:trPr>
        <w:tc>
          <w:tcPr>
            <w:tcW w:w="0" w:type="auto"/>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p>
        </w:tc>
        <w:tc>
          <w:tcPr>
            <w:tcW w:w="0" w:type="auto"/>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p>
        </w:tc>
        <w:tc>
          <w:tcPr>
            <w:tcW w:w="0" w:type="auto"/>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Forest</w:t>
            </w:r>
          </w:p>
        </w:tc>
        <w:tc>
          <w:tcPr>
            <w:tcW w:w="0" w:type="auto"/>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Agricultural</w:t>
            </w:r>
          </w:p>
        </w:tc>
        <w:tc>
          <w:tcPr>
            <w:tcW w:w="0" w:type="auto"/>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Forest (</w:t>
            </w:r>
            <w:r w:rsidRPr="007C7A0B">
              <w:rPr>
                <w:i/>
                <w:iCs/>
                <w:sz w:val="20"/>
                <w:szCs w:val="20"/>
                <w:lang w:val="en-US"/>
              </w:rPr>
              <w:t>n</w:t>
            </w:r>
            <w:r w:rsidRPr="007C7A0B">
              <w:rPr>
                <w:sz w:val="20"/>
                <w:szCs w:val="20"/>
                <w:lang w:val="en-US"/>
              </w:rPr>
              <w:t>)</w:t>
            </w:r>
          </w:p>
        </w:tc>
        <w:tc>
          <w:tcPr>
            <w:tcW w:w="0" w:type="auto"/>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Agriculture (</w:t>
            </w:r>
            <w:r w:rsidRPr="007C7A0B">
              <w:rPr>
                <w:i/>
                <w:iCs/>
                <w:sz w:val="20"/>
                <w:szCs w:val="20"/>
                <w:lang w:val="en-US"/>
              </w:rPr>
              <w:t>n</w:t>
            </w:r>
            <w:r w:rsidRPr="007C7A0B">
              <w:rPr>
                <w:sz w:val="20"/>
                <w:szCs w:val="20"/>
                <w:lang w:val="en-US"/>
              </w:rPr>
              <w:t>)</w:t>
            </w:r>
          </w:p>
        </w:tc>
      </w:tr>
      <w:tr w:rsidR="007C7A0B" w:rsidRPr="007C7A0B" w:rsidTr="007C7A0B">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K.u.K Monarchy</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1750–1914</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31*/51**</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24*/43**</w:t>
            </w:r>
          </w:p>
        </w:tc>
      </w:tr>
      <w:tr w:rsidR="007C7A0B" w:rsidRPr="007C7A0B" w:rsidTr="007C7A0B">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Interwar</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1914–1945</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29*/72**</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28*/46**</w:t>
            </w:r>
          </w:p>
        </w:tc>
      </w:tr>
      <w:tr w:rsidR="007C7A0B" w:rsidRPr="007C7A0B" w:rsidTr="007C7A0B">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Socialist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1945–1990</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46*/96**</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37*/63**</w:t>
            </w:r>
          </w:p>
        </w:tc>
      </w:tr>
      <w:tr w:rsidR="007C7A0B" w:rsidRPr="007C7A0B" w:rsidTr="007C7A0B">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Transition</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1990–2000</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46*/84**</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42*/68**</w:t>
            </w:r>
          </w:p>
        </w:tc>
      </w:tr>
      <w:tr w:rsidR="007C7A0B" w:rsidRPr="007C7A0B" w:rsidTr="007C7A0B">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EU accession</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2000–2012</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37*/60**</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26*/47**</w:t>
            </w:r>
          </w:p>
        </w:tc>
      </w:tr>
    </w:tbl>
    <w:p w:rsidR="004912B6" w:rsidRDefault="004912B6" w:rsidP="00985271">
      <w:pPr>
        <w:spacing w:line="264" w:lineRule="auto"/>
      </w:pPr>
    </w:p>
    <w:p w:rsidR="00E67102" w:rsidRDefault="00E67102">
      <w:pPr>
        <w:spacing w:after="200" w:line="276" w:lineRule="auto"/>
        <w:jc w:val="left"/>
      </w:pPr>
      <w:r>
        <w:br w:type="page"/>
      </w:r>
    </w:p>
    <w:p w:rsidR="00DF0BB9" w:rsidRDefault="00DF0BB9" w:rsidP="00DF0BB9">
      <w:pPr>
        <w:spacing w:line="264" w:lineRule="auto"/>
      </w:pPr>
      <w:r>
        <w:t>Table 2</w:t>
      </w:r>
      <w:r w:rsidR="00E67102">
        <w:t xml:space="preserve">. </w:t>
      </w:r>
      <w:r>
        <w:t>Comparison of expected and observed land changes for each time period and the mean annual rates of change, calculated for all the case studies for which change rates were not spanning more than one period (marked * in Table 1 For these calculations, only studies that report annual change for single periods were considered</w:t>
      </w:r>
      <w:r w:rsidR="00FB7404">
        <w:t>)</w:t>
      </w:r>
      <w:r>
        <w:t>.</w:t>
      </w:r>
    </w:p>
    <w:p w:rsidR="00DF0BB9" w:rsidRDefault="00DF0BB9" w:rsidP="00985271">
      <w:pPr>
        <w:spacing w:line="264" w:lineRule="auto"/>
      </w:pPr>
    </w:p>
    <w:tbl>
      <w:tblPr>
        <w:tblW w:w="0" w:type="auto"/>
        <w:tblInd w:w="720" w:type="dxa"/>
        <w:tblCellMar>
          <w:left w:w="0" w:type="dxa"/>
          <w:right w:w="0" w:type="dxa"/>
        </w:tblCellMar>
        <w:tblLook w:val="04A0" w:firstRow="1" w:lastRow="0" w:firstColumn="1" w:lastColumn="0" w:noHBand="0" w:noVBand="1"/>
      </w:tblPr>
      <w:tblGrid>
        <w:gridCol w:w="1601"/>
        <w:gridCol w:w="807"/>
        <w:gridCol w:w="1266"/>
        <w:gridCol w:w="971"/>
        <w:gridCol w:w="1491"/>
        <w:gridCol w:w="815"/>
        <w:gridCol w:w="1280"/>
      </w:tblGrid>
      <w:tr w:rsidR="007C7A0B" w:rsidRPr="007C7A0B" w:rsidTr="007C7A0B">
        <w:trPr>
          <w:tblHeader/>
        </w:trPr>
        <w:tc>
          <w:tcPr>
            <w:tcW w:w="0" w:type="auto"/>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Time period</w:t>
            </w:r>
          </w:p>
        </w:tc>
        <w:tc>
          <w:tcPr>
            <w:tcW w:w="0" w:type="auto"/>
            <w:gridSpan w:val="2"/>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Expected land changes</w:t>
            </w:r>
          </w:p>
          <w:p w:rsidR="007C7A0B" w:rsidRPr="007C7A0B" w:rsidRDefault="005B511F" w:rsidP="007C7A0B">
            <w:pPr>
              <w:spacing w:line="264" w:lineRule="auto"/>
              <w:rPr>
                <w:sz w:val="20"/>
                <w:szCs w:val="20"/>
                <w:lang w:val="en-US"/>
              </w:rPr>
            </w:pPr>
            <w:r>
              <w:rPr>
                <w:sz w:val="20"/>
                <w:szCs w:val="20"/>
                <w:lang w:val="en-US"/>
              </w:rPr>
              <w:pict>
                <v:rect id="_x0000_i1027" style="width:0;height:.75pt" o:hralign="center" o:hrstd="t" o:hr="t" fillcolor="#a0a0a0" stroked="f"/>
              </w:pict>
            </w:r>
          </w:p>
        </w:tc>
        <w:tc>
          <w:tcPr>
            <w:tcW w:w="0" w:type="auto"/>
            <w:gridSpan w:val="2"/>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Mean annual rate of change</w:t>
            </w:r>
          </w:p>
          <w:p w:rsidR="007C7A0B" w:rsidRPr="007C7A0B" w:rsidRDefault="005B511F" w:rsidP="007C7A0B">
            <w:pPr>
              <w:spacing w:line="264" w:lineRule="auto"/>
              <w:rPr>
                <w:sz w:val="20"/>
                <w:szCs w:val="20"/>
                <w:lang w:val="en-US"/>
              </w:rPr>
            </w:pPr>
            <w:r>
              <w:rPr>
                <w:sz w:val="20"/>
                <w:szCs w:val="20"/>
                <w:lang w:val="en-US"/>
              </w:rPr>
              <w:pict>
                <v:rect id="_x0000_i1028" style="width:0;height:.75pt" o:hralign="center" o:hrstd="t" o:hr="t" fillcolor="#a0a0a0" stroked="f"/>
              </w:pict>
            </w:r>
          </w:p>
        </w:tc>
        <w:tc>
          <w:tcPr>
            <w:tcW w:w="0" w:type="auto"/>
            <w:gridSpan w:val="2"/>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Observed land changes</w:t>
            </w:r>
          </w:p>
          <w:p w:rsidR="007C7A0B" w:rsidRPr="007C7A0B" w:rsidRDefault="005B511F" w:rsidP="007C7A0B">
            <w:pPr>
              <w:spacing w:line="264" w:lineRule="auto"/>
              <w:rPr>
                <w:sz w:val="20"/>
                <w:szCs w:val="20"/>
                <w:lang w:val="en-US"/>
              </w:rPr>
            </w:pPr>
            <w:r>
              <w:rPr>
                <w:sz w:val="20"/>
                <w:szCs w:val="20"/>
                <w:lang w:val="en-US"/>
              </w:rPr>
              <w:pict>
                <v:rect id="_x0000_i1029" style="width:0;height:.75pt" o:hralign="center" o:hrstd="t" o:hr="t" fillcolor="#a0a0a0" stroked="f"/>
              </w:pict>
            </w:r>
          </w:p>
        </w:tc>
      </w:tr>
      <w:tr w:rsidR="007C7A0B" w:rsidRPr="007C7A0B" w:rsidTr="007C7A0B">
        <w:trPr>
          <w:tblHeader/>
        </w:trPr>
        <w:tc>
          <w:tcPr>
            <w:tcW w:w="0" w:type="auto"/>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p>
        </w:tc>
        <w:tc>
          <w:tcPr>
            <w:tcW w:w="0" w:type="auto"/>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Forest</w:t>
            </w:r>
          </w:p>
        </w:tc>
        <w:tc>
          <w:tcPr>
            <w:tcW w:w="0" w:type="auto"/>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Agriculture</w:t>
            </w:r>
          </w:p>
        </w:tc>
        <w:tc>
          <w:tcPr>
            <w:tcW w:w="0" w:type="auto"/>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Forest</w:t>
            </w:r>
          </w:p>
        </w:tc>
        <w:tc>
          <w:tcPr>
            <w:tcW w:w="0" w:type="auto"/>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Agriculture</w:t>
            </w:r>
          </w:p>
        </w:tc>
        <w:tc>
          <w:tcPr>
            <w:tcW w:w="0" w:type="auto"/>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Forest</w:t>
            </w:r>
          </w:p>
        </w:tc>
        <w:tc>
          <w:tcPr>
            <w:tcW w:w="0" w:type="auto"/>
            <w:tcBorders>
              <w:top w:val="single" w:sz="6" w:space="0" w:color="F9FBFC"/>
              <w:left w:val="single" w:sz="6" w:space="0" w:color="F9FBFC"/>
              <w:bottom w:val="single" w:sz="6" w:space="0" w:color="F9FBFC"/>
              <w:right w:val="single" w:sz="6" w:space="0" w:color="F9FBFC"/>
            </w:tcBorders>
            <w:shd w:val="clear" w:color="auto" w:fill="F9FBFC"/>
            <w:tcMar>
              <w:top w:w="24" w:type="dxa"/>
              <w:left w:w="120" w:type="dxa"/>
              <w:bottom w:w="24" w:type="dxa"/>
              <w:right w:w="120" w:type="dxa"/>
            </w:tcMar>
            <w:vAlign w:val="bottom"/>
            <w:hideMark/>
          </w:tcPr>
          <w:p w:rsidR="007C7A0B" w:rsidRPr="007C7A0B" w:rsidRDefault="007C7A0B" w:rsidP="007C7A0B">
            <w:pPr>
              <w:spacing w:line="264" w:lineRule="auto"/>
              <w:rPr>
                <w:sz w:val="20"/>
                <w:szCs w:val="20"/>
                <w:lang w:val="en-US"/>
              </w:rPr>
            </w:pPr>
            <w:r w:rsidRPr="007C7A0B">
              <w:rPr>
                <w:sz w:val="20"/>
                <w:szCs w:val="20"/>
                <w:lang w:val="en-US"/>
              </w:rPr>
              <w:t>Agriculture</w:t>
            </w:r>
          </w:p>
        </w:tc>
      </w:tr>
      <w:tr w:rsidR="007C7A0B" w:rsidRPr="007C7A0B" w:rsidTr="007C7A0B">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K.u.K Monarchy</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0.08%</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0.12%</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0</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r>
      <w:tr w:rsidR="007C7A0B" w:rsidRPr="007C7A0B" w:rsidTr="007C7A0B">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Interwar</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0.35%</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−1.28%</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r>
      <w:tr w:rsidR="007C7A0B" w:rsidRPr="007C7A0B" w:rsidTr="007C7A0B">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Socialist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0.33%</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−0.54%</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r>
      <w:tr w:rsidR="007C7A0B" w:rsidRPr="007C7A0B" w:rsidTr="007C7A0B">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Transition</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1.07%</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−1.61%</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r>
      <w:tr w:rsidR="007C7A0B" w:rsidRPr="007C7A0B" w:rsidTr="007C7A0B">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EU accession</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0.89%</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−1.20%</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c>
          <w:tcPr>
            <w:tcW w:w="0" w:type="auto"/>
            <w:tcBorders>
              <w:top w:val="single" w:sz="6" w:space="0" w:color="ECF2F6"/>
              <w:left w:val="single" w:sz="6" w:space="0" w:color="ECF2F6"/>
              <w:bottom w:val="single" w:sz="6" w:space="0" w:color="ECF2F6"/>
              <w:right w:val="single" w:sz="6" w:space="0" w:color="ECF2F6"/>
            </w:tcBorders>
            <w:shd w:val="clear" w:color="auto" w:fill="FFFFFF"/>
            <w:tcMar>
              <w:top w:w="24" w:type="dxa"/>
              <w:left w:w="120" w:type="dxa"/>
              <w:bottom w:w="24" w:type="dxa"/>
              <w:right w:w="120" w:type="dxa"/>
            </w:tcMar>
            <w:hideMark/>
          </w:tcPr>
          <w:p w:rsidR="007C7A0B" w:rsidRPr="007C7A0B" w:rsidRDefault="007C7A0B" w:rsidP="007C7A0B">
            <w:pPr>
              <w:spacing w:line="264" w:lineRule="auto"/>
              <w:rPr>
                <w:sz w:val="20"/>
                <w:szCs w:val="20"/>
                <w:lang w:val="en-US"/>
              </w:rPr>
            </w:pPr>
            <w:r w:rsidRPr="007C7A0B">
              <w:rPr>
                <w:sz w:val="20"/>
                <w:szCs w:val="20"/>
                <w:lang w:val="en-US"/>
              </w:rPr>
              <w:t>−</w:t>
            </w:r>
          </w:p>
        </w:tc>
      </w:tr>
    </w:tbl>
    <w:p w:rsidR="007C7A0B" w:rsidRPr="000D0F5C" w:rsidRDefault="007C7A0B" w:rsidP="00985271">
      <w:pPr>
        <w:spacing w:line="264" w:lineRule="auto"/>
      </w:pPr>
    </w:p>
    <w:sectPr w:rsidR="007C7A0B" w:rsidRPr="000D0F5C">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16D6A" w:rsidRDefault="00B16D6A" w:rsidP="002E1749">
      <w:pPr>
        <w:spacing w:after="0"/>
      </w:pPr>
      <w:r>
        <w:separator/>
      </w:r>
    </w:p>
  </w:endnote>
  <w:endnote w:type="continuationSeparator" w:id="0">
    <w:p w:rsidR="00B16D6A" w:rsidRDefault="00B16D6A" w:rsidP="002E174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6D6A" w:rsidRDefault="00B16D6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66679059"/>
      <w:docPartObj>
        <w:docPartGallery w:val="Page Numbers (Bottom of Page)"/>
        <w:docPartUnique/>
      </w:docPartObj>
    </w:sdtPr>
    <w:sdtEndPr>
      <w:rPr>
        <w:noProof/>
      </w:rPr>
    </w:sdtEndPr>
    <w:sdtContent>
      <w:p w:rsidR="00B16D6A" w:rsidRDefault="00B16D6A">
        <w:pPr>
          <w:pStyle w:val="Footer"/>
          <w:jc w:val="center"/>
        </w:pPr>
        <w:r>
          <w:fldChar w:fldCharType="begin"/>
        </w:r>
        <w:r>
          <w:instrText xml:space="preserve"> PAGE   \* MERGEFORMAT </w:instrText>
        </w:r>
        <w:r>
          <w:fldChar w:fldCharType="separate"/>
        </w:r>
        <w:r w:rsidR="005B511F">
          <w:rPr>
            <w:noProof/>
          </w:rPr>
          <w:t>1</w:t>
        </w:r>
        <w:r>
          <w:rPr>
            <w:noProof/>
          </w:rPr>
          <w:fldChar w:fldCharType="end"/>
        </w:r>
      </w:p>
    </w:sdtContent>
  </w:sdt>
  <w:p w:rsidR="00B16D6A" w:rsidRDefault="00B16D6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6D6A" w:rsidRDefault="00B16D6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16D6A" w:rsidRDefault="00B16D6A" w:rsidP="002E1749">
      <w:pPr>
        <w:spacing w:after="0"/>
      </w:pPr>
      <w:r>
        <w:separator/>
      </w:r>
    </w:p>
  </w:footnote>
  <w:footnote w:type="continuationSeparator" w:id="0">
    <w:p w:rsidR="00B16D6A" w:rsidRDefault="00B16D6A" w:rsidP="002E1749">
      <w:pPr>
        <w:spacing w:after="0"/>
      </w:pPr>
      <w:r>
        <w:continuationSeparator/>
      </w:r>
    </w:p>
  </w:footnote>
  <w:footnote w:id="1">
    <w:p w:rsidR="00B16D6A" w:rsidRPr="002E1749" w:rsidRDefault="00B16D6A" w:rsidP="002E1749">
      <w:pPr>
        <w:pStyle w:val="FootnoteText"/>
      </w:pPr>
      <w:r>
        <w:rPr>
          <w:rStyle w:val="FootnoteReference"/>
        </w:rPr>
        <w:footnoteRef/>
      </w:r>
      <w:r>
        <w:t xml:space="preserve"> </w:t>
      </w:r>
      <w:r w:rsidR="00094DBC">
        <w:t>This text is a p</w:t>
      </w:r>
      <w:r w:rsidRPr="001027CF">
        <w:t>reprint</w:t>
      </w:r>
      <w:r>
        <w:t>.</w:t>
      </w:r>
      <w:r w:rsidRPr="001027CF">
        <w:t xml:space="preserve"> </w:t>
      </w:r>
      <w:r w:rsidR="00094DBC">
        <w:t>Please cite as</w:t>
      </w:r>
      <w:r>
        <w:t>:</w:t>
      </w:r>
      <w:r w:rsidRPr="001027CF">
        <w:t xml:space="preserve"> </w:t>
      </w:r>
      <w:r w:rsidR="003A4A5F">
        <w:t>Munteanu</w:t>
      </w:r>
      <w:r w:rsidR="00094DBC" w:rsidRPr="00094DBC">
        <w:t xml:space="preserve"> </w:t>
      </w:r>
      <w:r w:rsidR="00094DBC">
        <w:t>C.</w:t>
      </w:r>
      <w:r w:rsidR="003A4A5F">
        <w:t xml:space="preserve">, </w:t>
      </w:r>
      <w:r>
        <w:t>T</w:t>
      </w:r>
      <w:r w:rsidR="00094DBC">
        <w:t>.</w:t>
      </w:r>
      <w:r>
        <w:t xml:space="preserve"> Kuemmerle</w:t>
      </w:r>
      <w:r w:rsidR="003A4A5F">
        <w:t>,</w:t>
      </w:r>
      <w:r>
        <w:t xml:space="preserve"> M</w:t>
      </w:r>
      <w:r w:rsidR="00094DBC">
        <w:t>.</w:t>
      </w:r>
      <w:r>
        <w:t xml:space="preserve"> Boltiziar</w:t>
      </w:r>
      <w:r w:rsidR="003A4A5F">
        <w:t>,</w:t>
      </w:r>
      <w:r>
        <w:t xml:space="preserve"> V</w:t>
      </w:r>
      <w:r w:rsidR="00094DBC">
        <w:t>.</w:t>
      </w:r>
      <w:r>
        <w:t xml:space="preserve"> Butsic</w:t>
      </w:r>
      <w:r w:rsidR="003A4A5F">
        <w:t>,, U</w:t>
      </w:r>
      <w:r w:rsidR="00094DBC">
        <w:t>.</w:t>
      </w:r>
      <w:r w:rsidR="003A4A5F">
        <w:t xml:space="preserve"> Gimmi</w:t>
      </w:r>
      <w:r>
        <w:t xml:space="preserve">, </w:t>
      </w:r>
      <w:r w:rsidR="00094DBC">
        <w:t>L.</w:t>
      </w:r>
      <w:r w:rsidR="003A4A5F">
        <w:t xml:space="preserve"> Halada</w:t>
      </w:r>
      <w:r>
        <w:t>, D</w:t>
      </w:r>
      <w:r w:rsidR="00094DBC">
        <w:t>.</w:t>
      </w:r>
      <w:r>
        <w:t xml:space="preserve"> Kaim, G</w:t>
      </w:r>
      <w:r w:rsidR="00094DBC">
        <w:rPr>
          <w:rFonts w:cs="Times New Roman"/>
        </w:rPr>
        <w:t>.</w:t>
      </w:r>
      <w:r>
        <w:t xml:space="preserve"> Kir</w:t>
      </w:r>
      <w:r>
        <w:rPr>
          <w:rFonts w:cs="Times New Roman"/>
        </w:rPr>
        <w:t>á</w:t>
      </w:r>
      <w:r>
        <w:t xml:space="preserve">ly, </w:t>
      </w:r>
      <w:r>
        <w:rPr>
          <w:rFonts w:cs="Times New Roman"/>
        </w:rPr>
        <w:t>É</w:t>
      </w:r>
      <w:r w:rsidR="00094DBC">
        <w:t>.</w:t>
      </w:r>
      <w:r>
        <w:t xml:space="preserve"> Konkoly-Gyur</w:t>
      </w:r>
      <w:r w:rsidR="003A4A5F">
        <w:rPr>
          <w:rFonts w:cs="Times New Roman"/>
        </w:rPr>
        <w:t>ó</w:t>
      </w:r>
      <w:r>
        <w:t>,</w:t>
      </w:r>
      <w:r w:rsidR="003A4A5F">
        <w:t xml:space="preserve"> J</w:t>
      </w:r>
      <w:r w:rsidR="00094DBC">
        <w:t>.</w:t>
      </w:r>
      <w:r w:rsidR="003A4A5F">
        <w:t xml:space="preserve"> Kozak</w:t>
      </w:r>
      <w:r>
        <w:t>, J</w:t>
      </w:r>
      <w:r w:rsidR="00094DBC">
        <w:t>.</w:t>
      </w:r>
      <w:r>
        <w:t xml:space="preserve"> Lieskovsky</w:t>
      </w:r>
      <w:r>
        <w:rPr>
          <w:rFonts w:cs="Times New Roman"/>
        </w:rPr>
        <w:t>́</w:t>
      </w:r>
      <w:r>
        <w:t>, M</w:t>
      </w:r>
      <w:r w:rsidR="00094DBC">
        <w:t xml:space="preserve">. </w:t>
      </w:r>
      <w:r>
        <w:t>Mojses</w:t>
      </w:r>
      <w:r w:rsidR="003A4A5F">
        <w:t>, D</w:t>
      </w:r>
      <w:r w:rsidR="00094DBC">
        <w:t xml:space="preserve">. Müller, K. </w:t>
      </w:r>
      <w:r w:rsidR="003A4A5F">
        <w:t>Ostaﬁn</w:t>
      </w:r>
      <w:r>
        <w:t>, K</w:t>
      </w:r>
      <w:r w:rsidR="00094DBC">
        <w:t>.</w:t>
      </w:r>
      <w:r>
        <w:t xml:space="preserve"> Ostapowicza, O</w:t>
      </w:r>
      <w:r w:rsidR="00094DBC">
        <w:t>.</w:t>
      </w:r>
      <w:r>
        <w:t xml:space="preserve"> Shandra, </w:t>
      </w:r>
      <w:r w:rsidR="00094DBC">
        <w:t>P.</w:t>
      </w:r>
      <w:r>
        <w:t xml:space="preserve"> S</w:t>
      </w:r>
      <w:r>
        <w:rPr>
          <w:rFonts w:cs="Times New Roman"/>
        </w:rPr>
        <w:t>̌</w:t>
      </w:r>
      <w:r>
        <w:t>tych, S</w:t>
      </w:r>
      <w:r w:rsidR="00094DBC">
        <w:t>.</w:t>
      </w:r>
      <w:r>
        <w:t xml:space="preserve"> Walker,</w:t>
      </w:r>
      <w:r w:rsidR="003A4A5F">
        <w:t xml:space="preserve"> </w:t>
      </w:r>
      <w:r>
        <w:t>V</w:t>
      </w:r>
      <w:r w:rsidR="00094DBC">
        <w:t>.</w:t>
      </w:r>
      <w:r>
        <w:t xml:space="preserve"> C. Radeloff</w:t>
      </w:r>
      <w:r w:rsidRPr="001027CF">
        <w:t xml:space="preserve"> </w:t>
      </w:r>
      <w:r>
        <w:t xml:space="preserve">(2014): </w:t>
      </w:r>
      <w:r w:rsidRPr="005D78D5">
        <w:t>Forest and agricultural land cha</w:t>
      </w:r>
      <w:r>
        <w:t xml:space="preserve">nge in the Carpathian region </w:t>
      </w:r>
      <w:r w:rsidRPr="005D78D5">
        <w:t>A meta-analysis of long-term patterns and drivers of change</w:t>
      </w:r>
      <w:r w:rsidR="003A4A5F">
        <w:t xml:space="preserve">. </w:t>
      </w:r>
      <w:r w:rsidRPr="003A4A5F">
        <w:rPr>
          <w:u w:val="single"/>
        </w:rPr>
        <w:t>Land Use Policy</w:t>
      </w:r>
      <w:r>
        <w:t xml:space="preserve"> 38</w:t>
      </w:r>
      <w:r w:rsidRPr="00A53B88">
        <w:t>:</w:t>
      </w:r>
      <w:r w:rsidRPr="005D78D5">
        <w:t xml:space="preserve"> 685–697</w:t>
      </w:r>
      <w:r w:rsidR="003A4A5F">
        <w:t>.</w:t>
      </w:r>
      <w:r w:rsidR="00094DBC">
        <w:t xml:space="preserve"> The original publication is available at: http://dx.doi.org/</w:t>
      </w:r>
      <w:r w:rsidRPr="005D78D5">
        <w:t>10.1016/j.landusepol.2014.01.012</w:t>
      </w:r>
      <w:r w:rsidR="00716D36">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6D6A" w:rsidRDefault="005B511F">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42396422" o:spid="_x0000_s2050" type="#_x0000_t136" style="position:absolute;left:0;text-align:left;margin-left:0;margin-top:0;width:497.4pt;height:142.1pt;rotation:315;z-index:-251655168;mso-position-horizontal:center;mso-position-horizontal-relative:margin;mso-position-vertical:center;mso-position-vertical-relative:margin" o:allowincell="f" fillcolor="silver" stroked="f">
          <v:fill opacity=".5"/>
          <v:textpath style="font-family:&quot;Arial&quot;;font-size:1pt" string="prepri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6D6A" w:rsidRDefault="005B511F">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42396423" o:spid="_x0000_s2051" type="#_x0000_t136" style="position:absolute;left:0;text-align:left;margin-left:0;margin-top:0;width:497.4pt;height:142.1pt;rotation:315;z-index:-251653120;mso-position-horizontal:center;mso-position-horizontal-relative:margin;mso-position-vertical:center;mso-position-vertical-relative:margin" o:allowincell="f" fillcolor="silver" stroked="f">
          <v:fill opacity=".5"/>
          <v:textpath style="font-family:&quot;Arial&quot;;font-size:1pt" string="prepri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6D6A" w:rsidRDefault="005B511F">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42396421" o:spid="_x0000_s2049" type="#_x0000_t136" style="position:absolute;left:0;text-align:left;margin-left:0;margin-top:0;width:497.4pt;height:142.1pt;rotation:315;z-index:-251657216;mso-position-horizontal:center;mso-position-horizontal-relative:margin;mso-position-vertical:center;mso-position-vertical-relative:margin" o:allowincell="f" fillcolor="silver" stroked="f">
          <v:fill opacity=".5"/>
          <v:textpath style="font-family:&quot;Arial&quot;;font-size:1pt" string="prepri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75F3CB2"/>
    <w:multiLevelType w:val="hybridMultilevel"/>
    <w:tmpl w:val="B74EC546"/>
    <w:lvl w:ilvl="0" w:tplc="6304F27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7BAA0277"/>
    <w:multiLevelType w:val="hybridMultilevel"/>
    <w:tmpl w:val="131435CC"/>
    <w:lvl w:ilvl="0" w:tplc="0306739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B0599"/>
    <w:rsid w:val="00007CCD"/>
    <w:rsid w:val="0001635E"/>
    <w:rsid w:val="00094DBC"/>
    <w:rsid w:val="000D0F5C"/>
    <w:rsid w:val="001027CF"/>
    <w:rsid w:val="0014583F"/>
    <w:rsid w:val="001725CF"/>
    <w:rsid w:val="001B6CBA"/>
    <w:rsid w:val="001D3426"/>
    <w:rsid w:val="00256E15"/>
    <w:rsid w:val="002E1749"/>
    <w:rsid w:val="00340290"/>
    <w:rsid w:val="003A4A5F"/>
    <w:rsid w:val="003F3029"/>
    <w:rsid w:val="00433BF6"/>
    <w:rsid w:val="004912B6"/>
    <w:rsid w:val="004C41B1"/>
    <w:rsid w:val="00560081"/>
    <w:rsid w:val="00560AFC"/>
    <w:rsid w:val="00561A21"/>
    <w:rsid w:val="00592646"/>
    <w:rsid w:val="005971C0"/>
    <w:rsid w:val="005B511F"/>
    <w:rsid w:val="005D10B5"/>
    <w:rsid w:val="005D78D5"/>
    <w:rsid w:val="005D7F0E"/>
    <w:rsid w:val="0067246A"/>
    <w:rsid w:val="00711903"/>
    <w:rsid w:val="007164FF"/>
    <w:rsid w:val="00716D36"/>
    <w:rsid w:val="00791FA5"/>
    <w:rsid w:val="007C7A0B"/>
    <w:rsid w:val="00813FBB"/>
    <w:rsid w:val="00861A7B"/>
    <w:rsid w:val="008B7885"/>
    <w:rsid w:val="008D4ADD"/>
    <w:rsid w:val="00921881"/>
    <w:rsid w:val="00985271"/>
    <w:rsid w:val="009A4A3A"/>
    <w:rsid w:val="00A00031"/>
    <w:rsid w:val="00A03805"/>
    <w:rsid w:val="00A4008A"/>
    <w:rsid w:val="00A415CB"/>
    <w:rsid w:val="00A53B88"/>
    <w:rsid w:val="00A8456A"/>
    <w:rsid w:val="00AA2D48"/>
    <w:rsid w:val="00AB26D6"/>
    <w:rsid w:val="00AE0C3E"/>
    <w:rsid w:val="00AE2319"/>
    <w:rsid w:val="00B16D6A"/>
    <w:rsid w:val="00B90531"/>
    <w:rsid w:val="00BA6EF8"/>
    <w:rsid w:val="00BC106E"/>
    <w:rsid w:val="00BC4758"/>
    <w:rsid w:val="00C215E9"/>
    <w:rsid w:val="00C62FE8"/>
    <w:rsid w:val="00C93D18"/>
    <w:rsid w:val="00CB4177"/>
    <w:rsid w:val="00D6146C"/>
    <w:rsid w:val="00D76E2C"/>
    <w:rsid w:val="00D95AB2"/>
    <w:rsid w:val="00DB0599"/>
    <w:rsid w:val="00DF0BB9"/>
    <w:rsid w:val="00E67102"/>
    <w:rsid w:val="00E90458"/>
    <w:rsid w:val="00EC6438"/>
    <w:rsid w:val="00ED6834"/>
    <w:rsid w:val="00F16879"/>
    <w:rsid w:val="00F51704"/>
    <w:rsid w:val="00F635E8"/>
    <w:rsid w:val="00FB14EC"/>
    <w:rsid w:val="00FB7404"/>
    <w:rsid w:val="00FF71B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357917D8"/>
  <w15:docId w15:val="{0812ED04-07A7-41B0-AEA9-B044C0B762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D6834"/>
    <w:pPr>
      <w:spacing w:after="80" w:line="240" w:lineRule="auto"/>
      <w:jc w:val="both"/>
    </w:pPr>
    <w:rPr>
      <w:rFonts w:ascii="Times New Roman" w:hAnsi="Times New Roman"/>
      <w:sz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dnoteText">
    <w:name w:val="endnote text"/>
    <w:basedOn w:val="Normal"/>
    <w:link w:val="EndnoteTextChar"/>
    <w:uiPriority w:val="99"/>
    <w:semiHidden/>
    <w:unhideWhenUsed/>
    <w:rsid w:val="002E1749"/>
    <w:pPr>
      <w:spacing w:after="0"/>
    </w:pPr>
    <w:rPr>
      <w:sz w:val="20"/>
      <w:szCs w:val="20"/>
    </w:rPr>
  </w:style>
  <w:style w:type="character" w:customStyle="1" w:styleId="EndnoteTextChar">
    <w:name w:val="Endnote Text Char"/>
    <w:basedOn w:val="DefaultParagraphFont"/>
    <w:link w:val="EndnoteText"/>
    <w:uiPriority w:val="99"/>
    <w:semiHidden/>
    <w:rsid w:val="002E1749"/>
    <w:rPr>
      <w:rFonts w:ascii="Times New Roman" w:hAnsi="Times New Roman"/>
      <w:sz w:val="20"/>
      <w:szCs w:val="20"/>
      <w:lang w:val="en-GB"/>
    </w:rPr>
  </w:style>
  <w:style w:type="character" w:styleId="EndnoteReference">
    <w:name w:val="endnote reference"/>
    <w:basedOn w:val="DefaultParagraphFont"/>
    <w:uiPriority w:val="99"/>
    <w:semiHidden/>
    <w:unhideWhenUsed/>
    <w:rsid w:val="002E1749"/>
    <w:rPr>
      <w:vertAlign w:val="superscript"/>
    </w:rPr>
  </w:style>
  <w:style w:type="paragraph" w:styleId="FootnoteText">
    <w:name w:val="footnote text"/>
    <w:basedOn w:val="Normal"/>
    <w:link w:val="FootnoteTextChar"/>
    <w:uiPriority w:val="99"/>
    <w:unhideWhenUsed/>
    <w:rsid w:val="002E1749"/>
    <w:pPr>
      <w:spacing w:after="0"/>
    </w:pPr>
    <w:rPr>
      <w:sz w:val="20"/>
      <w:szCs w:val="20"/>
    </w:rPr>
  </w:style>
  <w:style w:type="character" w:customStyle="1" w:styleId="FootnoteTextChar">
    <w:name w:val="Footnote Text Char"/>
    <w:basedOn w:val="DefaultParagraphFont"/>
    <w:link w:val="FootnoteText"/>
    <w:uiPriority w:val="99"/>
    <w:rsid w:val="002E1749"/>
    <w:rPr>
      <w:rFonts w:ascii="Times New Roman" w:hAnsi="Times New Roman"/>
      <w:sz w:val="20"/>
      <w:szCs w:val="20"/>
      <w:lang w:val="en-GB"/>
    </w:rPr>
  </w:style>
  <w:style w:type="character" w:styleId="FootnoteReference">
    <w:name w:val="footnote reference"/>
    <w:basedOn w:val="DefaultParagraphFont"/>
    <w:uiPriority w:val="99"/>
    <w:semiHidden/>
    <w:unhideWhenUsed/>
    <w:rsid w:val="002E1749"/>
    <w:rPr>
      <w:vertAlign w:val="superscript"/>
    </w:rPr>
  </w:style>
  <w:style w:type="character" w:styleId="Hyperlink">
    <w:name w:val="Hyperlink"/>
    <w:basedOn w:val="DefaultParagraphFont"/>
    <w:uiPriority w:val="99"/>
    <w:unhideWhenUsed/>
    <w:rsid w:val="002E1749"/>
    <w:rPr>
      <w:color w:val="0000FF" w:themeColor="hyperlink"/>
      <w:u w:val="single"/>
    </w:rPr>
  </w:style>
  <w:style w:type="paragraph" w:styleId="ListParagraph">
    <w:name w:val="List Paragraph"/>
    <w:basedOn w:val="Normal"/>
    <w:uiPriority w:val="34"/>
    <w:qFormat/>
    <w:rsid w:val="00A53B88"/>
    <w:pPr>
      <w:ind w:left="720"/>
      <w:contextualSpacing/>
    </w:pPr>
  </w:style>
  <w:style w:type="paragraph" w:styleId="BalloonText">
    <w:name w:val="Balloon Text"/>
    <w:basedOn w:val="Normal"/>
    <w:link w:val="BalloonTextChar"/>
    <w:uiPriority w:val="99"/>
    <w:semiHidden/>
    <w:unhideWhenUsed/>
    <w:rsid w:val="00BC106E"/>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BC106E"/>
    <w:rPr>
      <w:rFonts w:ascii="Tahoma" w:hAnsi="Tahoma" w:cs="Tahoma"/>
      <w:sz w:val="16"/>
      <w:szCs w:val="16"/>
      <w:lang w:val="en-GB"/>
    </w:rPr>
  </w:style>
  <w:style w:type="paragraph" w:styleId="Header">
    <w:name w:val="header"/>
    <w:basedOn w:val="Normal"/>
    <w:link w:val="HeaderChar"/>
    <w:uiPriority w:val="99"/>
    <w:unhideWhenUsed/>
    <w:rsid w:val="00985271"/>
    <w:pPr>
      <w:tabs>
        <w:tab w:val="center" w:pos="4536"/>
        <w:tab w:val="right" w:pos="9072"/>
      </w:tabs>
      <w:spacing w:after="0"/>
    </w:pPr>
  </w:style>
  <w:style w:type="character" w:customStyle="1" w:styleId="HeaderChar">
    <w:name w:val="Header Char"/>
    <w:basedOn w:val="DefaultParagraphFont"/>
    <w:link w:val="Header"/>
    <w:uiPriority w:val="99"/>
    <w:rsid w:val="00985271"/>
    <w:rPr>
      <w:rFonts w:ascii="Times New Roman" w:hAnsi="Times New Roman"/>
      <w:sz w:val="24"/>
      <w:lang w:val="en-GB"/>
    </w:rPr>
  </w:style>
  <w:style w:type="paragraph" w:styleId="Footer">
    <w:name w:val="footer"/>
    <w:basedOn w:val="Normal"/>
    <w:link w:val="FooterChar"/>
    <w:uiPriority w:val="99"/>
    <w:unhideWhenUsed/>
    <w:rsid w:val="00985271"/>
    <w:pPr>
      <w:tabs>
        <w:tab w:val="center" w:pos="4536"/>
        <w:tab w:val="right" w:pos="9072"/>
      </w:tabs>
      <w:spacing w:after="0"/>
    </w:pPr>
  </w:style>
  <w:style w:type="character" w:customStyle="1" w:styleId="FooterChar">
    <w:name w:val="Footer Char"/>
    <w:basedOn w:val="DefaultParagraphFont"/>
    <w:link w:val="Footer"/>
    <w:uiPriority w:val="99"/>
    <w:rsid w:val="00985271"/>
    <w:rPr>
      <w:rFonts w:ascii="Times New Roman" w:hAnsi="Times New Roman"/>
      <w:sz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779353">
      <w:bodyDiv w:val="1"/>
      <w:marLeft w:val="0"/>
      <w:marRight w:val="0"/>
      <w:marTop w:val="0"/>
      <w:marBottom w:val="0"/>
      <w:divBdr>
        <w:top w:val="none" w:sz="0" w:space="0" w:color="auto"/>
        <w:left w:val="none" w:sz="0" w:space="0" w:color="auto"/>
        <w:bottom w:val="none" w:sz="0" w:space="0" w:color="auto"/>
        <w:right w:val="none" w:sz="0" w:space="0" w:color="auto"/>
      </w:divBdr>
      <w:divsChild>
        <w:div w:id="1307080696">
          <w:marLeft w:val="0"/>
          <w:marRight w:val="0"/>
          <w:marTop w:val="0"/>
          <w:marBottom w:val="0"/>
          <w:divBdr>
            <w:top w:val="none" w:sz="0" w:space="0" w:color="auto"/>
            <w:left w:val="none" w:sz="0" w:space="0" w:color="auto"/>
            <w:bottom w:val="none" w:sz="0" w:space="0" w:color="auto"/>
            <w:right w:val="none" w:sz="0" w:space="0" w:color="auto"/>
          </w:divBdr>
        </w:div>
      </w:divsChild>
    </w:div>
    <w:div w:id="161285891">
      <w:bodyDiv w:val="1"/>
      <w:marLeft w:val="0"/>
      <w:marRight w:val="0"/>
      <w:marTop w:val="0"/>
      <w:marBottom w:val="0"/>
      <w:divBdr>
        <w:top w:val="none" w:sz="0" w:space="0" w:color="auto"/>
        <w:left w:val="none" w:sz="0" w:space="0" w:color="auto"/>
        <w:bottom w:val="none" w:sz="0" w:space="0" w:color="auto"/>
        <w:right w:val="none" w:sz="0" w:space="0" w:color="auto"/>
      </w:divBdr>
      <w:divsChild>
        <w:div w:id="515314995">
          <w:marLeft w:val="0"/>
          <w:marRight w:val="0"/>
          <w:marTop w:val="0"/>
          <w:marBottom w:val="0"/>
          <w:divBdr>
            <w:top w:val="none" w:sz="0" w:space="0" w:color="auto"/>
            <w:left w:val="none" w:sz="0" w:space="0" w:color="auto"/>
            <w:bottom w:val="none" w:sz="0" w:space="0" w:color="auto"/>
            <w:right w:val="none" w:sz="0" w:space="0" w:color="auto"/>
          </w:divBdr>
        </w:div>
      </w:divsChild>
    </w:div>
    <w:div w:id="236939381">
      <w:bodyDiv w:val="1"/>
      <w:marLeft w:val="0"/>
      <w:marRight w:val="0"/>
      <w:marTop w:val="0"/>
      <w:marBottom w:val="0"/>
      <w:divBdr>
        <w:top w:val="none" w:sz="0" w:space="0" w:color="auto"/>
        <w:left w:val="none" w:sz="0" w:space="0" w:color="auto"/>
        <w:bottom w:val="none" w:sz="0" w:space="0" w:color="auto"/>
        <w:right w:val="none" w:sz="0" w:space="0" w:color="auto"/>
      </w:divBdr>
    </w:div>
    <w:div w:id="722801002">
      <w:bodyDiv w:val="1"/>
      <w:marLeft w:val="0"/>
      <w:marRight w:val="0"/>
      <w:marTop w:val="0"/>
      <w:marBottom w:val="0"/>
      <w:divBdr>
        <w:top w:val="none" w:sz="0" w:space="0" w:color="auto"/>
        <w:left w:val="none" w:sz="0" w:space="0" w:color="auto"/>
        <w:bottom w:val="none" w:sz="0" w:space="0" w:color="auto"/>
        <w:right w:val="none" w:sz="0" w:space="0" w:color="auto"/>
      </w:divBdr>
    </w:div>
    <w:div w:id="784273589">
      <w:bodyDiv w:val="1"/>
      <w:marLeft w:val="0"/>
      <w:marRight w:val="0"/>
      <w:marTop w:val="0"/>
      <w:marBottom w:val="0"/>
      <w:divBdr>
        <w:top w:val="none" w:sz="0" w:space="0" w:color="auto"/>
        <w:left w:val="none" w:sz="0" w:space="0" w:color="auto"/>
        <w:bottom w:val="none" w:sz="0" w:space="0" w:color="auto"/>
        <w:right w:val="none" w:sz="0" w:space="0" w:color="auto"/>
      </w:divBdr>
    </w:div>
    <w:div w:id="1113133746">
      <w:bodyDiv w:val="1"/>
      <w:marLeft w:val="0"/>
      <w:marRight w:val="0"/>
      <w:marTop w:val="0"/>
      <w:marBottom w:val="0"/>
      <w:divBdr>
        <w:top w:val="none" w:sz="0" w:space="0" w:color="auto"/>
        <w:left w:val="none" w:sz="0" w:space="0" w:color="auto"/>
        <w:bottom w:val="none" w:sz="0" w:space="0" w:color="auto"/>
        <w:right w:val="none" w:sz="0" w:space="0" w:color="auto"/>
      </w:divBdr>
    </w:div>
    <w:div w:id="1145510722">
      <w:bodyDiv w:val="1"/>
      <w:marLeft w:val="0"/>
      <w:marRight w:val="0"/>
      <w:marTop w:val="0"/>
      <w:marBottom w:val="0"/>
      <w:divBdr>
        <w:top w:val="none" w:sz="0" w:space="0" w:color="auto"/>
        <w:left w:val="none" w:sz="0" w:space="0" w:color="auto"/>
        <w:bottom w:val="none" w:sz="0" w:space="0" w:color="auto"/>
        <w:right w:val="none" w:sz="0" w:space="0" w:color="auto"/>
      </w:divBdr>
      <w:divsChild>
        <w:div w:id="2014256547">
          <w:marLeft w:val="0"/>
          <w:marRight w:val="0"/>
          <w:marTop w:val="0"/>
          <w:marBottom w:val="0"/>
          <w:divBdr>
            <w:top w:val="none" w:sz="0" w:space="0" w:color="auto"/>
            <w:left w:val="none" w:sz="0" w:space="0" w:color="auto"/>
            <w:bottom w:val="none" w:sz="0" w:space="0" w:color="auto"/>
            <w:right w:val="none" w:sz="0" w:space="0" w:color="auto"/>
          </w:divBdr>
        </w:div>
        <w:div w:id="801651237">
          <w:marLeft w:val="0"/>
          <w:marRight w:val="0"/>
          <w:marTop w:val="0"/>
          <w:marBottom w:val="0"/>
          <w:divBdr>
            <w:top w:val="none" w:sz="0" w:space="0" w:color="auto"/>
            <w:left w:val="none" w:sz="0" w:space="0" w:color="auto"/>
            <w:bottom w:val="none" w:sz="0" w:space="0" w:color="auto"/>
            <w:right w:val="none" w:sz="0" w:space="0" w:color="auto"/>
          </w:divBdr>
          <w:divsChild>
            <w:div w:id="177233327">
              <w:marLeft w:val="0"/>
              <w:marRight w:val="0"/>
              <w:marTop w:val="0"/>
              <w:marBottom w:val="0"/>
              <w:divBdr>
                <w:top w:val="none" w:sz="0" w:space="0" w:color="auto"/>
                <w:left w:val="none" w:sz="0" w:space="0" w:color="auto"/>
                <w:bottom w:val="none" w:sz="0" w:space="0" w:color="auto"/>
                <w:right w:val="none" w:sz="0" w:space="0" w:color="auto"/>
              </w:divBdr>
              <w:divsChild>
                <w:div w:id="1340960959">
                  <w:marLeft w:val="0"/>
                  <w:marRight w:val="0"/>
                  <w:marTop w:val="0"/>
                  <w:marBottom w:val="0"/>
                  <w:divBdr>
                    <w:top w:val="none" w:sz="0" w:space="0" w:color="auto"/>
                    <w:left w:val="none" w:sz="0" w:space="0" w:color="auto"/>
                    <w:bottom w:val="none" w:sz="0" w:space="0" w:color="auto"/>
                    <w:right w:val="none" w:sz="0" w:space="0" w:color="auto"/>
                  </w:divBdr>
                  <w:divsChild>
                    <w:div w:id="210313655">
                      <w:marLeft w:val="0"/>
                      <w:marRight w:val="0"/>
                      <w:marTop w:val="0"/>
                      <w:marBottom w:val="0"/>
                      <w:divBdr>
                        <w:top w:val="none" w:sz="0" w:space="0" w:color="auto"/>
                        <w:left w:val="none" w:sz="0" w:space="0" w:color="auto"/>
                        <w:bottom w:val="none" w:sz="0" w:space="0" w:color="auto"/>
                        <w:right w:val="none" w:sz="0" w:space="0" w:color="auto"/>
                      </w:divBdr>
                    </w:div>
                    <w:div w:id="58794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3524248">
          <w:marLeft w:val="0"/>
          <w:marRight w:val="0"/>
          <w:marTop w:val="0"/>
          <w:marBottom w:val="0"/>
          <w:divBdr>
            <w:top w:val="none" w:sz="0" w:space="0" w:color="auto"/>
            <w:left w:val="none" w:sz="0" w:space="0" w:color="auto"/>
            <w:bottom w:val="none" w:sz="0" w:space="0" w:color="auto"/>
            <w:right w:val="none" w:sz="0" w:space="0" w:color="auto"/>
          </w:divBdr>
          <w:divsChild>
            <w:div w:id="465322808">
              <w:marLeft w:val="0"/>
              <w:marRight w:val="0"/>
              <w:marTop w:val="0"/>
              <w:marBottom w:val="0"/>
              <w:divBdr>
                <w:top w:val="none" w:sz="0" w:space="0" w:color="auto"/>
                <w:left w:val="none" w:sz="0" w:space="0" w:color="auto"/>
                <w:bottom w:val="none" w:sz="0" w:space="0" w:color="auto"/>
                <w:right w:val="none" w:sz="0" w:space="0" w:color="auto"/>
              </w:divBdr>
              <w:divsChild>
                <w:div w:id="1229003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8722616">
          <w:marLeft w:val="0"/>
          <w:marRight w:val="0"/>
          <w:marTop w:val="0"/>
          <w:marBottom w:val="0"/>
          <w:divBdr>
            <w:top w:val="none" w:sz="0" w:space="0" w:color="auto"/>
            <w:left w:val="none" w:sz="0" w:space="0" w:color="auto"/>
            <w:bottom w:val="none" w:sz="0" w:space="0" w:color="auto"/>
            <w:right w:val="none" w:sz="0" w:space="0" w:color="auto"/>
          </w:divBdr>
          <w:divsChild>
            <w:div w:id="297301630">
              <w:marLeft w:val="0"/>
              <w:marRight w:val="0"/>
              <w:marTop w:val="0"/>
              <w:marBottom w:val="0"/>
              <w:divBdr>
                <w:top w:val="none" w:sz="0" w:space="0" w:color="auto"/>
                <w:left w:val="none" w:sz="0" w:space="0" w:color="auto"/>
                <w:bottom w:val="none" w:sz="0" w:space="0" w:color="auto"/>
                <w:right w:val="none" w:sz="0" w:space="0" w:color="auto"/>
              </w:divBdr>
              <w:divsChild>
                <w:div w:id="1305503473">
                  <w:marLeft w:val="0"/>
                  <w:marRight w:val="0"/>
                  <w:marTop w:val="0"/>
                  <w:marBottom w:val="0"/>
                  <w:divBdr>
                    <w:top w:val="none" w:sz="0" w:space="0" w:color="auto"/>
                    <w:left w:val="none" w:sz="0" w:space="0" w:color="auto"/>
                    <w:bottom w:val="none" w:sz="0" w:space="0" w:color="auto"/>
                    <w:right w:val="none" w:sz="0" w:space="0" w:color="auto"/>
                  </w:divBdr>
                </w:div>
                <w:div w:id="1386417107">
                  <w:marLeft w:val="0"/>
                  <w:marRight w:val="0"/>
                  <w:marTop w:val="0"/>
                  <w:marBottom w:val="0"/>
                  <w:divBdr>
                    <w:top w:val="none" w:sz="0" w:space="0" w:color="auto"/>
                    <w:left w:val="none" w:sz="0" w:space="0" w:color="auto"/>
                    <w:bottom w:val="none" w:sz="0" w:space="0" w:color="auto"/>
                    <w:right w:val="none" w:sz="0" w:space="0" w:color="auto"/>
                  </w:divBdr>
                </w:div>
                <w:div w:id="698169104">
                  <w:marLeft w:val="0"/>
                  <w:marRight w:val="0"/>
                  <w:marTop w:val="0"/>
                  <w:marBottom w:val="0"/>
                  <w:divBdr>
                    <w:top w:val="none" w:sz="0" w:space="0" w:color="auto"/>
                    <w:left w:val="none" w:sz="0" w:space="0" w:color="auto"/>
                    <w:bottom w:val="none" w:sz="0" w:space="0" w:color="auto"/>
                    <w:right w:val="none" w:sz="0" w:space="0" w:color="auto"/>
                  </w:divBdr>
                </w:div>
                <w:div w:id="2141914417">
                  <w:marLeft w:val="0"/>
                  <w:marRight w:val="0"/>
                  <w:marTop w:val="0"/>
                  <w:marBottom w:val="0"/>
                  <w:divBdr>
                    <w:top w:val="none" w:sz="0" w:space="0" w:color="auto"/>
                    <w:left w:val="none" w:sz="0" w:space="0" w:color="auto"/>
                    <w:bottom w:val="none" w:sz="0" w:space="0" w:color="auto"/>
                    <w:right w:val="none" w:sz="0" w:space="0" w:color="auto"/>
                  </w:divBdr>
                </w:div>
                <w:div w:id="889196149">
                  <w:marLeft w:val="0"/>
                  <w:marRight w:val="0"/>
                  <w:marTop w:val="0"/>
                  <w:marBottom w:val="0"/>
                  <w:divBdr>
                    <w:top w:val="none" w:sz="0" w:space="0" w:color="auto"/>
                    <w:left w:val="none" w:sz="0" w:space="0" w:color="auto"/>
                    <w:bottom w:val="none" w:sz="0" w:space="0" w:color="auto"/>
                    <w:right w:val="none" w:sz="0" w:space="0" w:color="auto"/>
                  </w:divBdr>
                </w:div>
                <w:div w:id="1016544252">
                  <w:marLeft w:val="0"/>
                  <w:marRight w:val="0"/>
                  <w:marTop w:val="0"/>
                  <w:marBottom w:val="0"/>
                  <w:divBdr>
                    <w:top w:val="none" w:sz="0" w:space="0" w:color="auto"/>
                    <w:left w:val="none" w:sz="0" w:space="0" w:color="auto"/>
                    <w:bottom w:val="none" w:sz="0" w:space="0" w:color="auto"/>
                    <w:right w:val="none" w:sz="0" w:space="0" w:color="auto"/>
                  </w:divBdr>
                </w:div>
                <w:div w:id="1573075772">
                  <w:marLeft w:val="0"/>
                  <w:marRight w:val="0"/>
                  <w:marTop w:val="0"/>
                  <w:marBottom w:val="0"/>
                  <w:divBdr>
                    <w:top w:val="none" w:sz="0" w:space="0" w:color="auto"/>
                    <w:left w:val="none" w:sz="0" w:space="0" w:color="auto"/>
                    <w:bottom w:val="none" w:sz="0" w:space="0" w:color="auto"/>
                    <w:right w:val="none" w:sz="0" w:space="0" w:color="auto"/>
                  </w:divBdr>
                </w:div>
                <w:div w:id="182520486">
                  <w:marLeft w:val="0"/>
                  <w:marRight w:val="0"/>
                  <w:marTop w:val="0"/>
                  <w:marBottom w:val="0"/>
                  <w:divBdr>
                    <w:top w:val="none" w:sz="0" w:space="0" w:color="auto"/>
                    <w:left w:val="none" w:sz="0" w:space="0" w:color="auto"/>
                    <w:bottom w:val="none" w:sz="0" w:space="0" w:color="auto"/>
                    <w:right w:val="none" w:sz="0" w:space="0" w:color="auto"/>
                  </w:divBdr>
                </w:div>
                <w:div w:id="497035754">
                  <w:marLeft w:val="0"/>
                  <w:marRight w:val="0"/>
                  <w:marTop w:val="0"/>
                  <w:marBottom w:val="0"/>
                  <w:divBdr>
                    <w:top w:val="none" w:sz="0" w:space="0" w:color="auto"/>
                    <w:left w:val="none" w:sz="0" w:space="0" w:color="auto"/>
                    <w:bottom w:val="none" w:sz="0" w:space="0" w:color="auto"/>
                    <w:right w:val="none" w:sz="0" w:space="0" w:color="auto"/>
                  </w:divBdr>
                </w:div>
                <w:div w:id="2106143281">
                  <w:marLeft w:val="0"/>
                  <w:marRight w:val="0"/>
                  <w:marTop w:val="0"/>
                  <w:marBottom w:val="0"/>
                  <w:divBdr>
                    <w:top w:val="none" w:sz="0" w:space="0" w:color="auto"/>
                    <w:left w:val="none" w:sz="0" w:space="0" w:color="auto"/>
                    <w:bottom w:val="none" w:sz="0" w:space="0" w:color="auto"/>
                    <w:right w:val="none" w:sz="0" w:space="0" w:color="auto"/>
                  </w:divBdr>
                </w:div>
                <w:div w:id="265965839">
                  <w:marLeft w:val="0"/>
                  <w:marRight w:val="0"/>
                  <w:marTop w:val="0"/>
                  <w:marBottom w:val="0"/>
                  <w:divBdr>
                    <w:top w:val="none" w:sz="0" w:space="0" w:color="auto"/>
                    <w:left w:val="none" w:sz="0" w:space="0" w:color="auto"/>
                    <w:bottom w:val="none" w:sz="0" w:space="0" w:color="auto"/>
                    <w:right w:val="none" w:sz="0" w:space="0" w:color="auto"/>
                  </w:divBdr>
                </w:div>
                <w:div w:id="976839821">
                  <w:marLeft w:val="0"/>
                  <w:marRight w:val="0"/>
                  <w:marTop w:val="0"/>
                  <w:marBottom w:val="0"/>
                  <w:divBdr>
                    <w:top w:val="none" w:sz="0" w:space="0" w:color="auto"/>
                    <w:left w:val="none" w:sz="0" w:space="0" w:color="auto"/>
                    <w:bottom w:val="none" w:sz="0" w:space="0" w:color="auto"/>
                    <w:right w:val="none" w:sz="0" w:space="0" w:color="auto"/>
                  </w:divBdr>
                </w:div>
                <w:div w:id="276647022">
                  <w:marLeft w:val="0"/>
                  <w:marRight w:val="0"/>
                  <w:marTop w:val="0"/>
                  <w:marBottom w:val="0"/>
                  <w:divBdr>
                    <w:top w:val="none" w:sz="0" w:space="0" w:color="auto"/>
                    <w:left w:val="none" w:sz="0" w:space="0" w:color="auto"/>
                    <w:bottom w:val="none" w:sz="0" w:space="0" w:color="auto"/>
                    <w:right w:val="none" w:sz="0" w:space="0" w:color="auto"/>
                  </w:divBdr>
                </w:div>
                <w:div w:id="1161389690">
                  <w:marLeft w:val="0"/>
                  <w:marRight w:val="0"/>
                  <w:marTop w:val="0"/>
                  <w:marBottom w:val="0"/>
                  <w:divBdr>
                    <w:top w:val="none" w:sz="0" w:space="0" w:color="auto"/>
                    <w:left w:val="none" w:sz="0" w:space="0" w:color="auto"/>
                    <w:bottom w:val="none" w:sz="0" w:space="0" w:color="auto"/>
                    <w:right w:val="none" w:sz="0" w:space="0" w:color="auto"/>
                  </w:divBdr>
                </w:div>
                <w:div w:id="1982925532">
                  <w:marLeft w:val="0"/>
                  <w:marRight w:val="0"/>
                  <w:marTop w:val="0"/>
                  <w:marBottom w:val="0"/>
                  <w:divBdr>
                    <w:top w:val="none" w:sz="0" w:space="0" w:color="auto"/>
                    <w:left w:val="none" w:sz="0" w:space="0" w:color="auto"/>
                    <w:bottom w:val="none" w:sz="0" w:space="0" w:color="auto"/>
                    <w:right w:val="none" w:sz="0" w:space="0" w:color="auto"/>
                  </w:divBdr>
                </w:div>
                <w:div w:id="325520646">
                  <w:marLeft w:val="0"/>
                  <w:marRight w:val="0"/>
                  <w:marTop w:val="0"/>
                  <w:marBottom w:val="0"/>
                  <w:divBdr>
                    <w:top w:val="none" w:sz="0" w:space="0" w:color="auto"/>
                    <w:left w:val="none" w:sz="0" w:space="0" w:color="auto"/>
                    <w:bottom w:val="none" w:sz="0" w:space="0" w:color="auto"/>
                    <w:right w:val="none" w:sz="0" w:space="0" w:color="auto"/>
                  </w:divBdr>
                </w:div>
                <w:div w:id="1026373995">
                  <w:marLeft w:val="0"/>
                  <w:marRight w:val="0"/>
                  <w:marTop w:val="0"/>
                  <w:marBottom w:val="0"/>
                  <w:divBdr>
                    <w:top w:val="none" w:sz="0" w:space="0" w:color="auto"/>
                    <w:left w:val="none" w:sz="0" w:space="0" w:color="auto"/>
                    <w:bottom w:val="none" w:sz="0" w:space="0" w:color="auto"/>
                    <w:right w:val="none" w:sz="0" w:space="0" w:color="auto"/>
                  </w:divBdr>
                </w:div>
                <w:div w:id="1483498372">
                  <w:marLeft w:val="0"/>
                  <w:marRight w:val="0"/>
                  <w:marTop w:val="0"/>
                  <w:marBottom w:val="0"/>
                  <w:divBdr>
                    <w:top w:val="none" w:sz="0" w:space="0" w:color="auto"/>
                    <w:left w:val="none" w:sz="0" w:space="0" w:color="auto"/>
                    <w:bottom w:val="none" w:sz="0" w:space="0" w:color="auto"/>
                    <w:right w:val="none" w:sz="0" w:space="0" w:color="auto"/>
                  </w:divBdr>
                </w:div>
                <w:div w:id="1539047738">
                  <w:marLeft w:val="0"/>
                  <w:marRight w:val="0"/>
                  <w:marTop w:val="0"/>
                  <w:marBottom w:val="0"/>
                  <w:divBdr>
                    <w:top w:val="none" w:sz="0" w:space="0" w:color="auto"/>
                    <w:left w:val="none" w:sz="0" w:space="0" w:color="auto"/>
                    <w:bottom w:val="none" w:sz="0" w:space="0" w:color="auto"/>
                    <w:right w:val="none" w:sz="0" w:space="0" w:color="auto"/>
                  </w:divBdr>
                </w:div>
                <w:div w:id="572591971">
                  <w:marLeft w:val="0"/>
                  <w:marRight w:val="0"/>
                  <w:marTop w:val="0"/>
                  <w:marBottom w:val="0"/>
                  <w:divBdr>
                    <w:top w:val="none" w:sz="0" w:space="0" w:color="auto"/>
                    <w:left w:val="none" w:sz="0" w:space="0" w:color="auto"/>
                    <w:bottom w:val="none" w:sz="0" w:space="0" w:color="auto"/>
                    <w:right w:val="none" w:sz="0" w:space="0" w:color="auto"/>
                  </w:divBdr>
                </w:div>
                <w:div w:id="1568031670">
                  <w:marLeft w:val="0"/>
                  <w:marRight w:val="0"/>
                  <w:marTop w:val="0"/>
                  <w:marBottom w:val="0"/>
                  <w:divBdr>
                    <w:top w:val="none" w:sz="0" w:space="0" w:color="auto"/>
                    <w:left w:val="none" w:sz="0" w:space="0" w:color="auto"/>
                    <w:bottom w:val="none" w:sz="0" w:space="0" w:color="auto"/>
                    <w:right w:val="none" w:sz="0" w:space="0" w:color="auto"/>
                  </w:divBdr>
                </w:div>
                <w:div w:id="1071194487">
                  <w:marLeft w:val="0"/>
                  <w:marRight w:val="0"/>
                  <w:marTop w:val="0"/>
                  <w:marBottom w:val="0"/>
                  <w:divBdr>
                    <w:top w:val="none" w:sz="0" w:space="0" w:color="auto"/>
                    <w:left w:val="none" w:sz="0" w:space="0" w:color="auto"/>
                    <w:bottom w:val="none" w:sz="0" w:space="0" w:color="auto"/>
                    <w:right w:val="none" w:sz="0" w:space="0" w:color="auto"/>
                  </w:divBdr>
                </w:div>
                <w:div w:id="1386223748">
                  <w:marLeft w:val="0"/>
                  <w:marRight w:val="0"/>
                  <w:marTop w:val="0"/>
                  <w:marBottom w:val="0"/>
                  <w:divBdr>
                    <w:top w:val="none" w:sz="0" w:space="0" w:color="auto"/>
                    <w:left w:val="none" w:sz="0" w:space="0" w:color="auto"/>
                    <w:bottom w:val="none" w:sz="0" w:space="0" w:color="auto"/>
                    <w:right w:val="none" w:sz="0" w:space="0" w:color="auto"/>
                  </w:divBdr>
                </w:div>
                <w:div w:id="34887710">
                  <w:marLeft w:val="0"/>
                  <w:marRight w:val="0"/>
                  <w:marTop w:val="0"/>
                  <w:marBottom w:val="0"/>
                  <w:divBdr>
                    <w:top w:val="none" w:sz="0" w:space="0" w:color="auto"/>
                    <w:left w:val="none" w:sz="0" w:space="0" w:color="auto"/>
                    <w:bottom w:val="none" w:sz="0" w:space="0" w:color="auto"/>
                    <w:right w:val="none" w:sz="0" w:space="0" w:color="auto"/>
                  </w:divBdr>
                </w:div>
                <w:div w:id="232276486">
                  <w:marLeft w:val="0"/>
                  <w:marRight w:val="0"/>
                  <w:marTop w:val="0"/>
                  <w:marBottom w:val="0"/>
                  <w:divBdr>
                    <w:top w:val="none" w:sz="0" w:space="0" w:color="auto"/>
                    <w:left w:val="none" w:sz="0" w:space="0" w:color="auto"/>
                    <w:bottom w:val="none" w:sz="0" w:space="0" w:color="auto"/>
                    <w:right w:val="none" w:sz="0" w:space="0" w:color="auto"/>
                  </w:divBdr>
                </w:div>
                <w:div w:id="1843005950">
                  <w:marLeft w:val="0"/>
                  <w:marRight w:val="0"/>
                  <w:marTop w:val="0"/>
                  <w:marBottom w:val="0"/>
                  <w:divBdr>
                    <w:top w:val="none" w:sz="0" w:space="0" w:color="auto"/>
                    <w:left w:val="none" w:sz="0" w:space="0" w:color="auto"/>
                    <w:bottom w:val="none" w:sz="0" w:space="0" w:color="auto"/>
                    <w:right w:val="none" w:sz="0" w:space="0" w:color="auto"/>
                  </w:divBdr>
                </w:div>
                <w:div w:id="1706565156">
                  <w:marLeft w:val="0"/>
                  <w:marRight w:val="0"/>
                  <w:marTop w:val="0"/>
                  <w:marBottom w:val="0"/>
                  <w:divBdr>
                    <w:top w:val="none" w:sz="0" w:space="0" w:color="auto"/>
                    <w:left w:val="none" w:sz="0" w:space="0" w:color="auto"/>
                    <w:bottom w:val="none" w:sz="0" w:space="0" w:color="auto"/>
                    <w:right w:val="none" w:sz="0" w:space="0" w:color="auto"/>
                  </w:divBdr>
                </w:div>
                <w:div w:id="1613434830">
                  <w:marLeft w:val="0"/>
                  <w:marRight w:val="0"/>
                  <w:marTop w:val="0"/>
                  <w:marBottom w:val="0"/>
                  <w:divBdr>
                    <w:top w:val="none" w:sz="0" w:space="0" w:color="auto"/>
                    <w:left w:val="none" w:sz="0" w:space="0" w:color="auto"/>
                    <w:bottom w:val="none" w:sz="0" w:space="0" w:color="auto"/>
                    <w:right w:val="none" w:sz="0" w:space="0" w:color="auto"/>
                  </w:divBdr>
                </w:div>
                <w:div w:id="1602253429">
                  <w:marLeft w:val="0"/>
                  <w:marRight w:val="0"/>
                  <w:marTop w:val="0"/>
                  <w:marBottom w:val="0"/>
                  <w:divBdr>
                    <w:top w:val="none" w:sz="0" w:space="0" w:color="auto"/>
                    <w:left w:val="none" w:sz="0" w:space="0" w:color="auto"/>
                    <w:bottom w:val="none" w:sz="0" w:space="0" w:color="auto"/>
                    <w:right w:val="none" w:sz="0" w:space="0" w:color="auto"/>
                  </w:divBdr>
                </w:div>
                <w:div w:id="480510211">
                  <w:marLeft w:val="0"/>
                  <w:marRight w:val="0"/>
                  <w:marTop w:val="0"/>
                  <w:marBottom w:val="0"/>
                  <w:divBdr>
                    <w:top w:val="none" w:sz="0" w:space="0" w:color="auto"/>
                    <w:left w:val="none" w:sz="0" w:space="0" w:color="auto"/>
                    <w:bottom w:val="none" w:sz="0" w:space="0" w:color="auto"/>
                    <w:right w:val="none" w:sz="0" w:space="0" w:color="auto"/>
                  </w:divBdr>
                </w:div>
                <w:div w:id="1374304857">
                  <w:marLeft w:val="0"/>
                  <w:marRight w:val="0"/>
                  <w:marTop w:val="0"/>
                  <w:marBottom w:val="0"/>
                  <w:divBdr>
                    <w:top w:val="none" w:sz="0" w:space="0" w:color="auto"/>
                    <w:left w:val="none" w:sz="0" w:space="0" w:color="auto"/>
                    <w:bottom w:val="none" w:sz="0" w:space="0" w:color="auto"/>
                    <w:right w:val="none" w:sz="0" w:space="0" w:color="auto"/>
                  </w:divBdr>
                </w:div>
                <w:div w:id="36124671">
                  <w:marLeft w:val="0"/>
                  <w:marRight w:val="0"/>
                  <w:marTop w:val="0"/>
                  <w:marBottom w:val="0"/>
                  <w:divBdr>
                    <w:top w:val="none" w:sz="0" w:space="0" w:color="auto"/>
                    <w:left w:val="none" w:sz="0" w:space="0" w:color="auto"/>
                    <w:bottom w:val="none" w:sz="0" w:space="0" w:color="auto"/>
                    <w:right w:val="none" w:sz="0" w:space="0" w:color="auto"/>
                  </w:divBdr>
                </w:div>
                <w:div w:id="1168449746">
                  <w:marLeft w:val="0"/>
                  <w:marRight w:val="0"/>
                  <w:marTop w:val="0"/>
                  <w:marBottom w:val="0"/>
                  <w:divBdr>
                    <w:top w:val="none" w:sz="0" w:space="0" w:color="auto"/>
                    <w:left w:val="none" w:sz="0" w:space="0" w:color="auto"/>
                    <w:bottom w:val="none" w:sz="0" w:space="0" w:color="auto"/>
                    <w:right w:val="none" w:sz="0" w:space="0" w:color="auto"/>
                  </w:divBdr>
                </w:div>
                <w:div w:id="716928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661766">
          <w:marLeft w:val="0"/>
          <w:marRight w:val="0"/>
          <w:marTop w:val="0"/>
          <w:marBottom w:val="0"/>
          <w:divBdr>
            <w:top w:val="none" w:sz="0" w:space="0" w:color="auto"/>
            <w:left w:val="none" w:sz="0" w:space="0" w:color="auto"/>
            <w:bottom w:val="none" w:sz="0" w:space="0" w:color="auto"/>
            <w:right w:val="none" w:sz="0" w:space="0" w:color="auto"/>
          </w:divBdr>
          <w:divsChild>
            <w:div w:id="1140196505">
              <w:marLeft w:val="0"/>
              <w:marRight w:val="0"/>
              <w:marTop w:val="0"/>
              <w:marBottom w:val="0"/>
              <w:divBdr>
                <w:top w:val="none" w:sz="0" w:space="0" w:color="auto"/>
                <w:left w:val="none" w:sz="0" w:space="0" w:color="auto"/>
                <w:bottom w:val="none" w:sz="0" w:space="0" w:color="auto"/>
                <w:right w:val="none" w:sz="0" w:space="0" w:color="auto"/>
              </w:divBdr>
              <w:divsChild>
                <w:div w:id="1205144589">
                  <w:marLeft w:val="0"/>
                  <w:marRight w:val="0"/>
                  <w:marTop w:val="0"/>
                  <w:marBottom w:val="0"/>
                  <w:divBdr>
                    <w:top w:val="none" w:sz="0" w:space="0" w:color="auto"/>
                    <w:left w:val="none" w:sz="0" w:space="0" w:color="auto"/>
                    <w:bottom w:val="none" w:sz="0" w:space="0" w:color="auto"/>
                    <w:right w:val="none" w:sz="0" w:space="0" w:color="auto"/>
                  </w:divBdr>
                </w:div>
                <w:div w:id="1582442312">
                  <w:marLeft w:val="0"/>
                  <w:marRight w:val="0"/>
                  <w:marTop w:val="0"/>
                  <w:marBottom w:val="0"/>
                  <w:divBdr>
                    <w:top w:val="none" w:sz="0" w:space="0" w:color="auto"/>
                    <w:left w:val="none" w:sz="0" w:space="0" w:color="auto"/>
                    <w:bottom w:val="none" w:sz="0" w:space="0" w:color="auto"/>
                    <w:right w:val="none" w:sz="0" w:space="0" w:color="auto"/>
                  </w:divBdr>
                </w:div>
                <w:div w:id="79836646">
                  <w:marLeft w:val="0"/>
                  <w:marRight w:val="0"/>
                  <w:marTop w:val="0"/>
                  <w:marBottom w:val="0"/>
                  <w:divBdr>
                    <w:top w:val="none" w:sz="0" w:space="0" w:color="auto"/>
                    <w:left w:val="none" w:sz="0" w:space="0" w:color="auto"/>
                    <w:bottom w:val="none" w:sz="0" w:space="0" w:color="auto"/>
                    <w:right w:val="none" w:sz="0" w:space="0" w:color="auto"/>
                  </w:divBdr>
                </w:div>
                <w:div w:id="1459646550">
                  <w:marLeft w:val="0"/>
                  <w:marRight w:val="0"/>
                  <w:marTop w:val="0"/>
                  <w:marBottom w:val="0"/>
                  <w:divBdr>
                    <w:top w:val="none" w:sz="0" w:space="0" w:color="auto"/>
                    <w:left w:val="none" w:sz="0" w:space="0" w:color="auto"/>
                    <w:bottom w:val="none" w:sz="0" w:space="0" w:color="auto"/>
                    <w:right w:val="none" w:sz="0" w:space="0" w:color="auto"/>
                  </w:divBdr>
                </w:div>
                <w:div w:id="1002245847">
                  <w:marLeft w:val="0"/>
                  <w:marRight w:val="0"/>
                  <w:marTop w:val="0"/>
                  <w:marBottom w:val="0"/>
                  <w:divBdr>
                    <w:top w:val="none" w:sz="0" w:space="0" w:color="auto"/>
                    <w:left w:val="none" w:sz="0" w:space="0" w:color="auto"/>
                    <w:bottom w:val="none" w:sz="0" w:space="0" w:color="auto"/>
                    <w:right w:val="none" w:sz="0" w:space="0" w:color="auto"/>
                  </w:divBdr>
                </w:div>
                <w:div w:id="1430812780">
                  <w:marLeft w:val="0"/>
                  <w:marRight w:val="0"/>
                  <w:marTop w:val="0"/>
                  <w:marBottom w:val="0"/>
                  <w:divBdr>
                    <w:top w:val="none" w:sz="0" w:space="0" w:color="auto"/>
                    <w:left w:val="none" w:sz="0" w:space="0" w:color="auto"/>
                    <w:bottom w:val="none" w:sz="0" w:space="0" w:color="auto"/>
                    <w:right w:val="none" w:sz="0" w:space="0" w:color="auto"/>
                  </w:divBdr>
                </w:div>
                <w:div w:id="1869490035">
                  <w:marLeft w:val="0"/>
                  <w:marRight w:val="0"/>
                  <w:marTop w:val="0"/>
                  <w:marBottom w:val="0"/>
                  <w:divBdr>
                    <w:top w:val="none" w:sz="0" w:space="0" w:color="auto"/>
                    <w:left w:val="none" w:sz="0" w:space="0" w:color="auto"/>
                    <w:bottom w:val="none" w:sz="0" w:space="0" w:color="auto"/>
                    <w:right w:val="none" w:sz="0" w:space="0" w:color="auto"/>
                  </w:divBdr>
                </w:div>
                <w:div w:id="2016882194">
                  <w:marLeft w:val="0"/>
                  <w:marRight w:val="0"/>
                  <w:marTop w:val="0"/>
                  <w:marBottom w:val="0"/>
                  <w:divBdr>
                    <w:top w:val="none" w:sz="0" w:space="0" w:color="auto"/>
                    <w:left w:val="none" w:sz="0" w:space="0" w:color="auto"/>
                    <w:bottom w:val="none" w:sz="0" w:space="0" w:color="auto"/>
                    <w:right w:val="none" w:sz="0" w:space="0" w:color="auto"/>
                  </w:divBdr>
                </w:div>
                <w:div w:id="86730707">
                  <w:marLeft w:val="0"/>
                  <w:marRight w:val="0"/>
                  <w:marTop w:val="0"/>
                  <w:marBottom w:val="0"/>
                  <w:divBdr>
                    <w:top w:val="none" w:sz="0" w:space="0" w:color="auto"/>
                    <w:left w:val="none" w:sz="0" w:space="0" w:color="auto"/>
                    <w:bottom w:val="none" w:sz="0" w:space="0" w:color="auto"/>
                    <w:right w:val="none" w:sz="0" w:space="0" w:color="auto"/>
                  </w:divBdr>
                </w:div>
                <w:div w:id="521821078">
                  <w:marLeft w:val="0"/>
                  <w:marRight w:val="0"/>
                  <w:marTop w:val="0"/>
                  <w:marBottom w:val="0"/>
                  <w:divBdr>
                    <w:top w:val="none" w:sz="0" w:space="0" w:color="auto"/>
                    <w:left w:val="none" w:sz="0" w:space="0" w:color="auto"/>
                    <w:bottom w:val="none" w:sz="0" w:space="0" w:color="auto"/>
                    <w:right w:val="none" w:sz="0" w:space="0" w:color="auto"/>
                  </w:divBdr>
                </w:div>
                <w:div w:id="842359500">
                  <w:marLeft w:val="0"/>
                  <w:marRight w:val="0"/>
                  <w:marTop w:val="0"/>
                  <w:marBottom w:val="0"/>
                  <w:divBdr>
                    <w:top w:val="none" w:sz="0" w:space="0" w:color="auto"/>
                    <w:left w:val="none" w:sz="0" w:space="0" w:color="auto"/>
                    <w:bottom w:val="none" w:sz="0" w:space="0" w:color="auto"/>
                    <w:right w:val="none" w:sz="0" w:space="0" w:color="auto"/>
                  </w:divBdr>
                </w:div>
                <w:div w:id="1566724863">
                  <w:marLeft w:val="0"/>
                  <w:marRight w:val="0"/>
                  <w:marTop w:val="0"/>
                  <w:marBottom w:val="0"/>
                  <w:divBdr>
                    <w:top w:val="none" w:sz="0" w:space="0" w:color="auto"/>
                    <w:left w:val="none" w:sz="0" w:space="0" w:color="auto"/>
                    <w:bottom w:val="none" w:sz="0" w:space="0" w:color="auto"/>
                    <w:right w:val="none" w:sz="0" w:space="0" w:color="auto"/>
                  </w:divBdr>
                </w:div>
                <w:div w:id="352271851">
                  <w:marLeft w:val="0"/>
                  <w:marRight w:val="0"/>
                  <w:marTop w:val="0"/>
                  <w:marBottom w:val="0"/>
                  <w:divBdr>
                    <w:top w:val="none" w:sz="0" w:space="0" w:color="auto"/>
                    <w:left w:val="none" w:sz="0" w:space="0" w:color="auto"/>
                    <w:bottom w:val="none" w:sz="0" w:space="0" w:color="auto"/>
                    <w:right w:val="none" w:sz="0" w:space="0" w:color="auto"/>
                  </w:divBdr>
                </w:div>
                <w:div w:id="201748243">
                  <w:marLeft w:val="0"/>
                  <w:marRight w:val="0"/>
                  <w:marTop w:val="0"/>
                  <w:marBottom w:val="0"/>
                  <w:divBdr>
                    <w:top w:val="none" w:sz="0" w:space="0" w:color="auto"/>
                    <w:left w:val="none" w:sz="0" w:space="0" w:color="auto"/>
                    <w:bottom w:val="none" w:sz="0" w:space="0" w:color="auto"/>
                    <w:right w:val="none" w:sz="0" w:space="0" w:color="auto"/>
                  </w:divBdr>
                </w:div>
                <w:div w:id="1241796652">
                  <w:marLeft w:val="0"/>
                  <w:marRight w:val="0"/>
                  <w:marTop w:val="0"/>
                  <w:marBottom w:val="0"/>
                  <w:divBdr>
                    <w:top w:val="none" w:sz="0" w:space="0" w:color="auto"/>
                    <w:left w:val="none" w:sz="0" w:space="0" w:color="auto"/>
                    <w:bottom w:val="none" w:sz="0" w:space="0" w:color="auto"/>
                    <w:right w:val="none" w:sz="0" w:space="0" w:color="auto"/>
                  </w:divBdr>
                </w:div>
                <w:div w:id="1342317641">
                  <w:marLeft w:val="0"/>
                  <w:marRight w:val="0"/>
                  <w:marTop w:val="0"/>
                  <w:marBottom w:val="0"/>
                  <w:divBdr>
                    <w:top w:val="none" w:sz="0" w:space="0" w:color="auto"/>
                    <w:left w:val="none" w:sz="0" w:space="0" w:color="auto"/>
                    <w:bottom w:val="none" w:sz="0" w:space="0" w:color="auto"/>
                    <w:right w:val="none" w:sz="0" w:space="0" w:color="auto"/>
                  </w:divBdr>
                </w:div>
                <w:div w:id="661547285">
                  <w:marLeft w:val="0"/>
                  <w:marRight w:val="0"/>
                  <w:marTop w:val="0"/>
                  <w:marBottom w:val="0"/>
                  <w:divBdr>
                    <w:top w:val="none" w:sz="0" w:space="0" w:color="auto"/>
                    <w:left w:val="none" w:sz="0" w:space="0" w:color="auto"/>
                    <w:bottom w:val="none" w:sz="0" w:space="0" w:color="auto"/>
                    <w:right w:val="none" w:sz="0" w:space="0" w:color="auto"/>
                  </w:divBdr>
                </w:div>
                <w:div w:id="2045253962">
                  <w:marLeft w:val="0"/>
                  <w:marRight w:val="0"/>
                  <w:marTop w:val="0"/>
                  <w:marBottom w:val="0"/>
                  <w:divBdr>
                    <w:top w:val="none" w:sz="0" w:space="0" w:color="auto"/>
                    <w:left w:val="none" w:sz="0" w:space="0" w:color="auto"/>
                    <w:bottom w:val="none" w:sz="0" w:space="0" w:color="auto"/>
                    <w:right w:val="none" w:sz="0" w:space="0" w:color="auto"/>
                  </w:divBdr>
                </w:div>
                <w:div w:id="824320245">
                  <w:marLeft w:val="0"/>
                  <w:marRight w:val="0"/>
                  <w:marTop w:val="0"/>
                  <w:marBottom w:val="0"/>
                  <w:divBdr>
                    <w:top w:val="none" w:sz="0" w:space="0" w:color="auto"/>
                    <w:left w:val="none" w:sz="0" w:space="0" w:color="auto"/>
                    <w:bottom w:val="none" w:sz="0" w:space="0" w:color="auto"/>
                    <w:right w:val="none" w:sz="0" w:space="0" w:color="auto"/>
                  </w:divBdr>
                </w:div>
                <w:div w:id="1706323860">
                  <w:marLeft w:val="0"/>
                  <w:marRight w:val="0"/>
                  <w:marTop w:val="0"/>
                  <w:marBottom w:val="0"/>
                  <w:divBdr>
                    <w:top w:val="none" w:sz="0" w:space="0" w:color="auto"/>
                    <w:left w:val="none" w:sz="0" w:space="0" w:color="auto"/>
                    <w:bottom w:val="none" w:sz="0" w:space="0" w:color="auto"/>
                    <w:right w:val="none" w:sz="0" w:space="0" w:color="auto"/>
                  </w:divBdr>
                </w:div>
                <w:div w:id="990674325">
                  <w:marLeft w:val="0"/>
                  <w:marRight w:val="0"/>
                  <w:marTop w:val="0"/>
                  <w:marBottom w:val="0"/>
                  <w:divBdr>
                    <w:top w:val="none" w:sz="0" w:space="0" w:color="auto"/>
                    <w:left w:val="none" w:sz="0" w:space="0" w:color="auto"/>
                    <w:bottom w:val="none" w:sz="0" w:space="0" w:color="auto"/>
                    <w:right w:val="none" w:sz="0" w:space="0" w:color="auto"/>
                  </w:divBdr>
                </w:div>
                <w:div w:id="1973711615">
                  <w:marLeft w:val="0"/>
                  <w:marRight w:val="0"/>
                  <w:marTop w:val="0"/>
                  <w:marBottom w:val="0"/>
                  <w:divBdr>
                    <w:top w:val="none" w:sz="0" w:space="0" w:color="auto"/>
                    <w:left w:val="none" w:sz="0" w:space="0" w:color="auto"/>
                    <w:bottom w:val="none" w:sz="0" w:space="0" w:color="auto"/>
                    <w:right w:val="none" w:sz="0" w:space="0" w:color="auto"/>
                  </w:divBdr>
                </w:div>
                <w:div w:id="1323310748">
                  <w:marLeft w:val="0"/>
                  <w:marRight w:val="0"/>
                  <w:marTop w:val="0"/>
                  <w:marBottom w:val="0"/>
                  <w:divBdr>
                    <w:top w:val="none" w:sz="0" w:space="0" w:color="auto"/>
                    <w:left w:val="none" w:sz="0" w:space="0" w:color="auto"/>
                    <w:bottom w:val="none" w:sz="0" w:space="0" w:color="auto"/>
                    <w:right w:val="none" w:sz="0" w:space="0" w:color="auto"/>
                  </w:divBdr>
                </w:div>
                <w:div w:id="1160777960">
                  <w:marLeft w:val="0"/>
                  <w:marRight w:val="0"/>
                  <w:marTop w:val="0"/>
                  <w:marBottom w:val="0"/>
                  <w:divBdr>
                    <w:top w:val="none" w:sz="0" w:space="0" w:color="auto"/>
                    <w:left w:val="none" w:sz="0" w:space="0" w:color="auto"/>
                    <w:bottom w:val="none" w:sz="0" w:space="0" w:color="auto"/>
                    <w:right w:val="none" w:sz="0" w:space="0" w:color="auto"/>
                  </w:divBdr>
                </w:div>
                <w:div w:id="678432291">
                  <w:marLeft w:val="0"/>
                  <w:marRight w:val="0"/>
                  <w:marTop w:val="0"/>
                  <w:marBottom w:val="0"/>
                  <w:divBdr>
                    <w:top w:val="none" w:sz="0" w:space="0" w:color="auto"/>
                    <w:left w:val="none" w:sz="0" w:space="0" w:color="auto"/>
                    <w:bottom w:val="none" w:sz="0" w:space="0" w:color="auto"/>
                    <w:right w:val="none" w:sz="0" w:space="0" w:color="auto"/>
                  </w:divBdr>
                </w:div>
                <w:div w:id="1438722089">
                  <w:marLeft w:val="0"/>
                  <w:marRight w:val="0"/>
                  <w:marTop w:val="0"/>
                  <w:marBottom w:val="0"/>
                  <w:divBdr>
                    <w:top w:val="none" w:sz="0" w:space="0" w:color="auto"/>
                    <w:left w:val="none" w:sz="0" w:space="0" w:color="auto"/>
                    <w:bottom w:val="none" w:sz="0" w:space="0" w:color="auto"/>
                    <w:right w:val="none" w:sz="0" w:space="0" w:color="auto"/>
                  </w:divBdr>
                </w:div>
                <w:div w:id="1053502267">
                  <w:marLeft w:val="0"/>
                  <w:marRight w:val="0"/>
                  <w:marTop w:val="0"/>
                  <w:marBottom w:val="0"/>
                  <w:divBdr>
                    <w:top w:val="none" w:sz="0" w:space="0" w:color="auto"/>
                    <w:left w:val="none" w:sz="0" w:space="0" w:color="auto"/>
                    <w:bottom w:val="none" w:sz="0" w:space="0" w:color="auto"/>
                    <w:right w:val="none" w:sz="0" w:space="0" w:color="auto"/>
                  </w:divBdr>
                </w:div>
                <w:div w:id="52433404">
                  <w:marLeft w:val="0"/>
                  <w:marRight w:val="0"/>
                  <w:marTop w:val="0"/>
                  <w:marBottom w:val="0"/>
                  <w:divBdr>
                    <w:top w:val="none" w:sz="0" w:space="0" w:color="auto"/>
                    <w:left w:val="none" w:sz="0" w:space="0" w:color="auto"/>
                    <w:bottom w:val="none" w:sz="0" w:space="0" w:color="auto"/>
                    <w:right w:val="none" w:sz="0" w:space="0" w:color="auto"/>
                  </w:divBdr>
                </w:div>
                <w:div w:id="2073649944">
                  <w:marLeft w:val="0"/>
                  <w:marRight w:val="0"/>
                  <w:marTop w:val="0"/>
                  <w:marBottom w:val="0"/>
                  <w:divBdr>
                    <w:top w:val="none" w:sz="0" w:space="0" w:color="auto"/>
                    <w:left w:val="none" w:sz="0" w:space="0" w:color="auto"/>
                    <w:bottom w:val="none" w:sz="0" w:space="0" w:color="auto"/>
                    <w:right w:val="none" w:sz="0" w:space="0" w:color="auto"/>
                  </w:divBdr>
                </w:div>
                <w:div w:id="910046561">
                  <w:marLeft w:val="0"/>
                  <w:marRight w:val="0"/>
                  <w:marTop w:val="0"/>
                  <w:marBottom w:val="0"/>
                  <w:divBdr>
                    <w:top w:val="none" w:sz="0" w:space="0" w:color="auto"/>
                    <w:left w:val="none" w:sz="0" w:space="0" w:color="auto"/>
                    <w:bottom w:val="none" w:sz="0" w:space="0" w:color="auto"/>
                    <w:right w:val="none" w:sz="0" w:space="0" w:color="auto"/>
                  </w:divBdr>
                </w:div>
                <w:div w:id="1457288522">
                  <w:marLeft w:val="0"/>
                  <w:marRight w:val="0"/>
                  <w:marTop w:val="0"/>
                  <w:marBottom w:val="0"/>
                  <w:divBdr>
                    <w:top w:val="none" w:sz="0" w:space="0" w:color="auto"/>
                    <w:left w:val="none" w:sz="0" w:space="0" w:color="auto"/>
                    <w:bottom w:val="none" w:sz="0" w:space="0" w:color="auto"/>
                    <w:right w:val="none" w:sz="0" w:space="0" w:color="auto"/>
                  </w:divBdr>
                </w:div>
                <w:div w:id="890308462">
                  <w:marLeft w:val="0"/>
                  <w:marRight w:val="0"/>
                  <w:marTop w:val="0"/>
                  <w:marBottom w:val="0"/>
                  <w:divBdr>
                    <w:top w:val="none" w:sz="0" w:space="0" w:color="auto"/>
                    <w:left w:val="none" w:sz="0" w:space="0" w:color="auto"/>
                    <w:bottom w:val="none" w:sz="0" w:space="0" w:color="auto"/>
                    <w:right w:val="none" w:sz="0" w:space="0" w:color="auto"/>
                  </w:divBdr>
                </w:div>
                <w:div w:id="452099644">
                  <w:marLeft w:val="0"/>
                  <w:marRight w:val="0"/>
                  <w:marTop w:val="0"/>
                  <w:marBottom w:val="0"/>
                  <w:divBdr>
                    <w:top w:val="none" w:sz="0" w:space="0" w:color="auto"/>
                    <w:left w:val="none" w:sz="0" w:space="0" w:color="auto"/>
                    <w:bottom w:val="none" w:sz="0" w:space="0" w:color="auto"/>
                    <w:right w:val="none" w:sz="0" w:space="0" w:color="auto"/>
                  </w:divBdr>
                </w:div>
                <w:div w:id="1608389357">
                  <w:marLeft w:val="0"/>
                  <w:marRight w:val="0"/>
                  <w:marTop w:val="0"/>
                  <w:marBottom w:val="0"/>
                  <w:divBdr>
                    <w:top w:val="none" w:sz="0" w:space="0" w:color="auto"/>
                    <w:left w:val="none" w:sz="0" w:space="0" w:color="auto"/>
                    <w:bottom w:val="none" w:sz="0" w:space="0" w:color="auto"/>
                    <w:right w:val="none" w:sz="0" w:space="0" w:color="auto"/>
                  </w:divBdr>
                </w:div>
                <w:div w:id="583106152">
                  <w:marLeft w:val="0"/>
                  <w:marRight w:val="0"/>
                  <w:marTop w:val="0"/>
                  <w:marBottom w:val="0"/>
                  <w:divBdr>
                    <w:top w:val="none" w:sz="0" w:space="0" w:color="auto"/>
                    <w:left w:val="none" w:sz="0" w:space="0" w:color="auto"/>
                    <w:bottom w:val="none" w:sz="0" w:space="0" w:color="auto"/>
                    <w:right w:val="none" w:sz="0" w:space="0" w:color="auto"/>
                  </w:divBdr>
                </w:div>
                <w:div w:id="88476793">
                  <w:marLeft w:val="0"/>
                  <w:marRight w:val="0"/>
                  <w:marTop w:val="0"/>
                  <w:marBottom w:val="0"/>
                  <w:divBdr>
                    <w:top w:val="none" w:sz="0" w:space="0" w:color="auto"/>
                    <w:left w:val="none" w:sz="0" w:space="0" w:color="auto"/>
                    <w:bottom w:val="none" w:sz="0" w:space="0" w:color="auto"/>
                    <w:right w:val="none" w:sz="0" w:space="0" w:color="auto"/>
                  </w:divBdr>
                </w:div>
                <w:div w:id="39136132">
                  <w:marLeft w:val="0"/>
                  <w:marRight w:val="0"/>
                  <w:marTop w:val="0"/>
                  <w:marBottom w:val="0"/>
                  <w:divBdr>
                    <w:top w:val="none" w:sz="0" w:space="0" w:color="auto"/>
                    <w:left w:val="none" w:sz="0" w:space="0" w:color="auto"/>
                    <w:bottom w:val="none" w:sz="0" w:space="0" w:color="auto"/>
                    <w:right w:val="none" w:sz="0" w:space="0" w:color="auto"/>
                  </w:divBdr>
                </w:div>
                <w:div w:id="26878838">
                  <w:marLeft w:val="0"/>
                  <w:marRight w:val="0"/>
                  <w:marTop w:val="0"/>
                  <w:marBottom w:val="0"/>
                  <w:divBdr>
                    <w:top w:val="none" w:sz="0" w:space="0" w:color="auto"/>
                    <w:left w:val="none" w:sz="0" w:space="0" w:color="auto"/>
                    <w:bottom w:val="none" w:sz="0" w:space="0" w:color="auto"/>
                    <w:right w:val="none" w:sz="0" w:space="0" w:color="auto"/>
                  </w:divBdr>
                </w:div>
                <w:div w:id="1712073431">
                  <w:marLeft w:val="0"/>
                  <w:marRight w:val="0"/>
                  <w:marTop w:val="0"/>
                  <w:marBottom w:val="0"/>
                  <w:divBdr>
                    <w:top w:val="none" w:sz="0" w:space="0" w:color="auto"/>
                    <w:left w:val="none" w:sz="0" w:space="0" w:color="auto"/>
                    <w:bottom w:val="none" w:sz="0" w:space="0" w:color="auto"/>
                    <w:right w:val="none" w:sz="0" w:space="0" w:color="auto"/>
                  </w:divBdr>
                </w:div>
                <w:div w:id="435833379">
                  <w:marLeft w:val="0"/>
                  <w:marRight w:val="0"/>
                  <w:marTop w:val="0"/>
                  <w:marBottom w:val="0"/>
                  <w:divBdr>
                    <w:top w:val="none" w:sz="0" w:space="0" w:color="auto"/>
                    <w:left w:val="none" w:sz="0" w:space="0" w:color="auto"/>
                    <w:bottom w:val="none" w:sz="0" w:space="0" w:color="auto"/>
                    <w:right w:val="none" w:sz="0" w:space="0" w:color="auto"/>
                  </w:divBdr>
                </w:div>
                <w:div w:id="1178349895">
                  <w:marLeft w:val="0"/>
                  <w:marRight w:val="0"/>
                  <w:marTop w:val="0"/>
                  <w:marBottom w:val="0"/>
                  <w:divBdr>
                    <w:top w:val="none" w:sz="0" w:space="0" w:color="auto"/>
                    <w:left w:val="none" w:sz="0" w:space="0" w:color="auto"/>
                    <w:bottom w:val="none" w:sz="0" w:space="0" w:color="auto"/>
                    <w:right w:val="none" w:sz="0" w:space="0" w:color="auto"/>
                  </w:divBdr>
                </w:div>
                <w:div w:id="141704960">
                  <w:marLeft w:val="0"/>
                  <w:marRight w:val="0"/>
                  <w:marTop w:val="0"/>
                  <w:marBottom w:val="0"/>
                  <w:divBdr>
                    <w:top w:val="none" w:sz="0" w:space="0" w:color="auto"/>
                    <w:left w:val="none" w:sz="0" w:space="0" w:color="auto"/>
                    <w:bottom w:val="none" w:sz="0" w:space="0" w:color="auto"/>
                    <w:right w:val="none" w:sz="0" w:space="0" w:color="auto"/>
                  </w:divBdr>
                </w:div>
                <w:div w:id="44567094">
                  <w:marLeft w:val="0"/>
                  <w:marRight w:val="0"/>
                  <w:marTop w:val="0"/>
                  <w:marBottom w:val="0"/>
                  <w:divBdr>
                    <w:top w:val="none" w:sz="0" w:space="0" w:color="auto"/>
                    <w:left w:val="none" w:sz="0" w:space="0" w:color="auto"/>
                    <w:bottom w:val="none" w:sz="0" w:space="0" w:color="auto"/>
                    <w:right w:val="none" w:sz="0" w:space="0" w:color="auto"/>
                  </w:divBdr>
                </w:div>
                <w:div w:id="1210455707">
                  <w:marLeft w:val="0"/>
                  <w:marRight w:val="0"/>
                  <w:marTop w:val="0"/>
                  <w:marBottom w:val="0"/>
                  <w:divBdr>
                    <w:top w:val="none" w:sz="0" w:space="0" w:color="auto"/>
                    <w:left w:val="none" w:sz="0" w:space="0" w:color="auto"/>
                    <w:bottom w:val="none" w:sz="0" w:space="0" w:color="auto"/>
                    <w:right w:val="none" w:sz="0" w:space="0" w:color="auto"/>
                  </w:divBdr>
                </w:div>
                <w:div w:id="1478453949">
                  <w:marLeft w:val="0"/>
                  <w:marRight w:val="0"/>
                  <w:marTop w:val="0"/>
                  <w:marBottom w:val="0"/>
                  <w:divBdr>
                    <w:top w:val="none" w:sz="0" w:space="0" w:color="auto"/>
                    <w:left w:val="none" w:sz="0" w:space="0" w:color="auto"/>
                    <w:bottom w:val="none" w:sz="0" w:space="0" w:color="auto"/>
                    <w:right w:val="none" w:sz="0" w:space="0" w:color="auto"/>
                  </w:divBdr>
                </w:div>
                <w:div w:id="1781410934">
                  <w:marLeft w:val="0"/>
                  <w:marRight w:val="0"/>
                  <w:marTop w:val="0"/>
                  <w:marBottom w:val="0"/>
                  <w:divBdr>
                    <w:top w:val="none" w:sz="0" w:space="0" w:color="auto"/>
                    <w:left w:val="none" w:sz="0" w:space="0" w:color="auto"/>
                    <w:bottom w:val="none" w:sz="0" w:space="0" w:color="auto"/>
                    <w:right w:val="none" w:sz="0" w:space="0" w:color="auto"/>
                  </w:divBdr>
                </w:div>
                <w:div w:id="1141575825">
                  <w:marLeft w:val="0"/>
                  <w:marRight w:val="0"/>
                  <w:marTop w:val="0"/>
                  <w:marBottom w:val="0"/>
                  <w:divBdr>
                    <w:top w:val="none" w:sz="0" w:space="0" w:color="auto"/>
                    <w:left w:val="none" w:sz="0" w:space="0" w:color="auto"/>
                    <w:bottom w:val="none" w:sz="0" w:space="0" w:color="auto"/>
                    <w:right w:val="none" w:sz="0" w:space="0" w:color="auto"/>
                  </w:divBdr>
                </w:div>
                <w:div w:id="538011659">
                  <w:marLeft w:val="0"/>
                  <w:marRight w:val="0"/>
                  <w:marTop w:val="0"/>
                  <w:marBottom w:val="0"/>
                  <w:divBdr>
                    <w:top w:val="none" w:sz="0" w:space="0" w:color="auto"/>
                    <w:left w:val="none" w:sz="0" w:space="0" w:color="auto"/>
                    <w:bottom w:val="none" w:sz="0" w:space="0" w:color="auto"/>
                    <w:right w:val="none" w:sz="0" w:space="0" w:color="auto"/>
                  </w:divBdr>
                </w:div>
                <w:div w:id="57629254">
                  <w:marLeft w:val="0"/>
                  <w:marRight w:val="0"/>
                  <w:marTop w:val="0"/>
                  <w:marBottom w:val="0"/>
                  <w:divBdr>
                    <w:top w:val="none" w:sz="0" w:space="0" w:color="auto"/>
                    <w:left w:val="none" w:sz="0" w:space="0" w:color="auto"/>
                    <w:bottom w:val="none" w:sz="0" w:space="0" w:color="auto"/>
                    <w:right w:val="none" w:sz="0" w:space="0" w:color="auto"/>
                  </w:divBdr>
                </w:div>
                <w:div w:id="1315646486">
                  <w:marLeft w:val="0"/>
                  <w:marRight w:val="0"/>
                  <w:marTop w:val="0"/>
                  <w:marBottom w:val="0"/>
                  <w:divBdr>
                    <w:top w:val="none" w:sz="0" w:space="0" w:color="auto"/>
                    <w:left w:val="none" w:sz="0" w:space="0" w:color="auto"/>
                    <w:bottom w:val="none" w:sz="0" w:space="0" w:color="auto"/>
                    <w:right w:val="none" w:sz="0" w:space="0" w:color="auto"/>
                  </w:divBdr>
                </w:div>
                <w:div w:id="1534616292">
                  <w:marLeft w:val="0"/>
                  <w:marRight w:val="0"/>
                  <w:marTop w:val="0"/>
                  <w:marBottom w:val="0"/>
                  <w:divBdr>
                    <w:top w:val="none" w:sz="0" w:space="0" w:color="auto"/>
                    <w:left w:val="none" w:sz="0" w:space="0" w:color="auto"/>
                    <w:bottom w:val="none" w:sz="0" w:space="0" w:color="auto"/>
                    <w:right w:val="none" w:sz="0" w:space="0" w:color="auto"/>
                  </w:divBdr>
                </w:div>
                <w:div w:id="1970356303">
                  <w:marLeft w:val="0"/>
                  <w:marRight w:val="0"/>
                  <w:marTop w:val="0"/>
                  <w:marBottom w:val="0"/>
                  <w:divBdr>
                    <w:top w:val="none" w:sz="0" w:space="0" w:color="auto"/>
                    <w:left w:val="none" w:sz="0" w:space="0" w:color="auto"/>
                    <w:bottom w:val="none" w:sz="0" w:space="0" w:color="auto"/>
                    <w:right w:val="none" w:sz="0" w:space="0" w:color="auto"/>
                  </w:divBdr>
                </w:div>
              </w:divsChild>
            </w:div>
            <w:div w:id="455291608">
              <w:marLeft w:val="0"/>
              <w:marRight w:val="0"/>
              <w:marTop w:val="0"/>
              <w:marBottom w:val="0"/>
              <w:divBdr>
                <w:top w:val="none" w:sz="0" w:space="0" w:color="auto"/>
                <w:left w:val="none" w:sz="0" w:space="0" w:color="auto"/>
                <w:bottom w:val="none" w:sz="0" w:space="0" w:color="auto"/>
                <w:right w:val="none" w:sz="0" w:space="0" w:color="auto"/>
              </w:divBdr>
              <w:divsChild>
                <w:div w:id="2055035228">
                  <w:marLeft w:val="0"/>
                  <w:marRight w:val="0"/>
                  <w:marTop w:val="0"/>
                  <w:marBottom w:val="0"/>
                  <w:divBdr>
                    <w:top w:val="none" w:sz="0" w:space="0" w:color="auto"/>
                    <w:left w:val="none" w:sz="0" w:space="0" w:color="auto"/>
                    <w:bottom w:val="none" w:sz="0" w:space="0" w:color="auto"/>
                    <w:right w:val="none" w:sz="0" w:space="0" w:color="auto"/>
                  </w:divBdr>
                </w:div>
                <w:div w:id="1001391851">
                  <w:marLeft w:val="0"/>
                  <w:marRight w:val="0"/>
                  <w:marTop w:val="0"/>
                  <w:marBottom w:val="0"/>
                  <w:divBdr>
                    <w:top w:val="none" w:sz="0" w:space="0" w:color="auto"/>
                    <w:left w:val="none" w:sz="0" w:space="0" w:color="auto"/>
                    <w:bottom w:val="none" w:sz="0" w:space="0" w:color="auto"/>
                    <w:right w:val="none" w:sz="0" w:space="0" w:color="auto"/>
                  </w:divBdr>
                </w:div>
                <w:div w:id="1782529646">
                  <w:marLeft w:val="0"/>
                  <w:marRight w:val="0"/>
                  <w:marTop w:val="0"/>
                  <w:marBottom w:val="0"/>
                  <w:divBdr>
                    <w:top w:val="none" w:sz="0" w:space="0" w:color="auto"/>
                    <w:left w:val="none" w:sz="0" w:space="0" w:color="auto"/>
                    <w:bottom w:val="none" w:sz="0" w:space="0" w:color="auto"/>
                    <w:right w:val="none" w:sz="0" w:space="0" w:color="auto"/>
                  </w:divBdr>
                </w:div>
                <w:div w:id="748381620">
                  <w:marLeft w:val="0"/>
                  <w:marRight w:val="0"/>
                  <w:marTop w:val="0"/>
                  <w:marBottom w:val="0"/>
                  <w:divBdr>
                    <w:top w:val="none" w:sz="0" w:space="0" w:color="auto"/>
                    <w:left w:val="none" w:sz="0" w:space="0" w:color="auto"/>
                    <w:bottom w:val="none" w:sz="0" w:space="0" w:color="auto"/>
                    <w:right w:val="none" w:sz="0" w:space="0" w:color="auto"/>
                  </w:divBdr>
                </w:div>
                <w:div w:id="1663270291">
                  <w:marLeft w:val="0"/>
                  <w:marRight w:val="0"/>
                  <w:marTop w:val="0"/>
                  <w:marBottom w:val="0"/>
                  <w:divBdr>
                    <w:top w:val="none" w:sz="0" w:space="0" w:color="auto"/>
                    <w:left w:val="none" w:sz="0" w:space="0" w:color="auto"/>
                    <w:bottom w:val="none" w:sz="0" w:space="0" w:color="auto"/>
                    <w:right w:val="none" w:sz="0" w:space="0" w:color="auto"/>
                  </w:divBdr>
                </w:div>
                <w:div w:id="565721110">
                  <w:marLeft w:val="0"/>
                  <w:marRight w:val="0"/>
                  <w:marTop w:val="0"/>
                  <w:marBottom w:val="0"/>
                  <w:divBdr>
                    <w:top w:val="none" w:sz="0" w:space="0" w:color="auto"/>
                    <w:left w:val="none" w:sz="0" w:space="0" w:color="auto"/>
                    <w:bottom w:val="none" w:sz="0" w:space="0" w:color="auto"/>
                    <w:right w:val="none" w:sz="0" w:space="0" w:color="auto"/>
                  </w:divBdr>
                </w:div>
                <w:div w:id="797916544">
                  <w:marLeft w:val="0"/>
                  <w:marRight w:val="0"/>
                  <w:marTop w:val="0"/>
                  <w:marBottom w:val="0"/>
                  <w:divBdr>
                    <w:top w:val="none" w:sz="0" w:space="0" w:color="auto"/>
                    <w:left w:val="none" w:sz="0" w:space="0" w:color="auto"/>
                    <w:bottom w:val="none" w:sz="0" w:space="0" w:color="auto"/>
                    <w:right w:val="none" w:sz="0" w:space="0" w:color="auto"/>
                  </w:divBdr>
                </w:div>
                <w:div w:id="1809862554">
                  <w:marLeft w:val="0"/>
                  <w:marRight w:val="0"/>
                  <w:marTop w:val="0"/>
                  <w:marBottom w:val="0"/>
                  <w:divBdr>
                    <w:top w:val="none" w:sz="0" w:space="0" w:color="auto"/>
                    <w:left w:val="none" w:sz="0" w:space="0" w:color="auto"/>
                    <w:bottom w:val="none" w:sz="0" w:space="0" w:color="auto"/>
                    <w:right w:val="none" w:sz="0" w:space="0" w:color="auto"/>
                  </w:divBdr>
                </w:div>
                <w:div w:id="1577544240">
                  <w:marLeft w:val="0"/>
                  <w:marRight w:val="0"/>
                  <w:marTop w:val="0"/>
                  <w:marBottom w:val="0"/>
                  <w:divBdr>
                    <w:top w:val="none" w:sz="0" w:space="0" w:color="auto"/>
                    <w:left w:val="none" w:sz="0" w:space="0" w:color="auto"/>
                    <w:bottom w:val="none" w:sz="0" w:space="0" w:color="auto"/>
                    <w:right w:val="none" w:sz="0" w:space="0" w:color="auto"/>
                  </w:divBdr>
                </w:div>
                <w:div w:id="1437554514">
                  <w:marLeft w:val="0"/>
                  <w:marRight w:val="0"/>
                  <w:marTop w:val="0"/>
                  <w:marBottom w:val="0"/>
                  <w:divBdr>
                    <w:top w:val="none" w:sz="0" w:space="0" w:color="auto"/>
                    <w:left w:val="none" w:sz="0" w:space="0" w:color="auto"/>
                    <w:bottom w:val="none" w:sz="0" w:space="0" w:color="auto"/>
                    <w:right w:val="none" w:sz="0" w:space="0" w:color="auto"/>
                  </w:divBdr>
                </w:div>
                <w:div w:id="2024740800">
                  <w:marLeft w:val="0"/>
                  <w:marRight w:val="0"/>
                  <w:marTop w:val="0"/>
                  <w:marBottom w:val="0"/>
                  <w:divBdr>
                    <w:top w:val="none" w:sz="0" w:space="0" w:color="auto"/>
                    <w:left w:val="none" w:sz="0" w:space="0" w:color="auto"/>
                    <w:bottom w:val="none" w:sz="0" w:space="0" w:color="auto"/>
                    <w:right w:val="none" w:sz="0" w:space="0" w:color="auto"/>
                  </w:divBdr>
                </w:div>
                <w:div w:id="646786798">
                  <w:marLeft w:val="0"/>
                  <w:marRight w:val="0"/>
                  <w:marTop w:val="0"/>
                  <w:marBottom w:val="0"/>
                  <w:divBdr>
                    <w:top w:val="none" w:sz="0" w:space="0" w:color="auto"/>
                    <w:left w:val="none" w:sz="0" w:space="0" w:color="auto"/>
                    <w:bottom w:val="none" w:sz="0" w:space="0" w:color="auto"/>
                    <w:right w:val="none" w:sz="0" w:space="0" w:color="auto"/>
                  </w:divBdr>
                </w:div>
                <w:div w:id="1993750819">
                  <w:marLeft w:val="0"/>
                  <w:marRight w:val="0"/>
                  <w:marTop w:val="0"/>
                  <w:marBottom w:val="0"/>
                  <w:divBdr>
                    <w:top w:val="none" w:sz="0" w:space="0" w:color="auto"/>
                    <w:left w:val="none" w:sz="0" w:space="0" w:color="auto"/>
                    <w:bottom w:val="none" w:sz="0" w:space="0" w:color="auto"/>
                    <w:right w:val="none" w:sz="0" w:space="0" w:color="auto"/>
                  </w:divBdr>
                </w:div>
                <w:div w:id="115297384">
                  <w:marLeft w:val="0"/>
                  <w:marRight w:val="0"/>
                  <w:marTop w:val="0"/>
                  <w:marBottom w:val="0"/>
                  <w:divBdr>
                    <w:top w:val="none" w:sz="0" w:space="0" w:color="auto"/>
                    <w:left w:val="none" w:sz="0" w:space="0" w:color="auto"/>
                    <w:bottom w:val="none" w:sz="0" w:space="0" w:color="auto"/>
                    <w:right w:val="none" w:sz="0" w:space="0" w:color="auto"/>
                  </w:divBdr>
                </w:div>
                <w:div w:id="1130785642">
                  <w:marLeft w:val="0"/>
                  <w:marRight w:val="0"/>
                  <w:marTop w:val="0"/>
                  <w:marBottom w:val="0"/>
                  <w:divBdr>
                    <w:top w:val="none" w:sz="0" w:space="0" w:color="auto"/>
                    <w:left w:val="none" w:sz="0" w:space="0" w:color="auto"/>
                    <w:bottom w:val="none" w:sz="0" w:space="0" w:color="auto"/>
                    <w:right w:val="none" w:sz="0" w:space="0" w:color="auto"/>
                  </w:divBdr>
                </w:div>
                <w:div w:id="1854034221">
                  <w:marLeft w:val="0"/>
                  <w:marRight w:val="0"/>
                  <w:marTop w:val="0"/>
                  <w:marBottom w:val="0"/>
                  <w:divBdr>
                    <w:top w:val="none" w:sz="0" w:space="0" w:color="auto"/>
                    <w:left w:val="none" w:sz="0" w:space="0" w:color="auto"/>
                    <w:bottom w:val="none" w:sz="0" w:space="0" w:color="auto"/>
                    <w:right w:val="none" w:sz="0" w:space="0" w:color="auto"/>
                  </w:divBdr>
                </w:div>
                <w:div w:id="1222792883">
                  <w:marLeft w:val="0"/>
                  <w:marRight w:val="0"/>
                  <w:marTop w:val="0"/>
                  <w:marBottom w:val="0"/>
                  <w:divBdr>
                    <w:top w:val="none" w:sz="0" w:space="0" w:color="auto"/>
                    <w:left w:val="none" w:sz="0" w:space="0" w:color="auto"/>
                    <w:bottom w:val="none" w:sz="0" w:space="0" w:color="auto"/>
                    <w:right w:val="none" w:sz="0" w:space="0" w:color="auto"/>
                  </w:divBdr>
                </w:div>
                <w:div w:id="720637464">
                  <w:marLeft w:val="0"/>
                  <w:marRight w:val="0"/>
                  <w:marTop w:val="0"/>
                  <w:marBottom w:val="0"/>
                  <w:divBdr>
                    <w:top w:val="none" w:sz="0" w:space="0" w:color="auto"/>
                    <w:left w:val="none" w:sz="0" w:space="0" w:color="auto"/>
                    <w:bottom w:val="none" w:sz="0" w:space="0" w:color="auto"/>
                    <w:right w:val="none" w:sz="0" w:space="0" w:color="auto"/>
                  </w:divBdr>
                </w:div>
                <w:div w:id="910507892">
                  <w:marLeft w:val="0"/>
                  <w:marRight w:val="0"/>
                  <w:marTop w:val="0"/>
                  <w:marBottom w:val="0"/>
                  <w:divBdr>
                    <w:top w:val="none" w:sz="0" w:space="0" w:color="auto"/>
                    <w:left w:val="none" w:sz="0" w:space="0" w:color="auto"/>
                    <w:bottom w:val="none" w:sz="0" w:space="0" w:color="auto"/>
                    <w:right w:val="none" w:sz="0" w:space="0" w:color="auto"/>
                  </w:divBdr>
                </w:div>
                <w:div w:id="1389723525">
                  <w:marLeft w:val="0"/>
                  <w:marRight w:val="0"/>
                  <w:marTop w:val="0"/>
                  <w:marBottom w:val="0"/>
                  <w:divBdr>
                    <w:top w:val="none" w:sz="0" w:space="0" w:color="auto"/>
                    <w:left w:val="none" w:sz="0" w:space="0" w:color="auto"/>
                    <w:bottom w:val="none" w:sz="0" w:space="0" w:color="auto"/>
                    <w:right w:val="none" w:sz="0" w:space="0" w:color="auto"/>
                  </w:divBdr>
                </w:div>
                <w:div w:id="839735477">
                  <w:marLeft w:val="0"/>
                  <w:marRight w:val="0"/>
                  <w:marTop w:val="0"/>
                  <w:marBottom w:val="0"/>
                  <w:divBdr>
                    <w:top w:val="none" w:sz="0" w:space="0" w:color="auto"/>
                    <w:left w:val="none" w:sz="0" w:space="0" w:color="auto"/>
                    <w:bottom w:val="none" w:sz="0" w:space="0" w:color="auto"/>
                    <w:right w:val="none" w:sz="0" w:space="0" w:color="auto"/>
                  </w:divBdr>
                </w:div>
                <w:div w:id="1050692035">
                  <w:marLeft w:val="0"/>
                  <w:marRight w:val="0"/>
                  <w:marTop w:val="0"/>
                  <w:marBottom w:val="0"/>
                  <w:divBdr>
                    <w:top w:val="none" w:sz="0" w:space="0" w:color="auto"/>
                    <w:left w:val="none" w:sz="0" w:space="0" w:color="auto"/>
                    <w:bottom w:val="none" w:sz="0" w:space="0" w:color="auto"/>
                    <w:right w:val="none" w:sz="0" w:space="0" w:color="auto"/>
                  </w:divBdr>
                </w:div>
                <w:div w:id="1671524914">
                  <w:marLeft w:val="0"/>
                  <w:marRight w:val="0"/>
                  <w:marTop w:val="0"/>
                  <w:marBottom w:val="0"/>
                  <w:divBdr>
                    <w:top w:val="none" w:sz="0" w:space="0" w:color="auto"/>
                    <w:left w:val="none" w:sz="0" w:space="0" w:color="auto"/>
                    <w:bottom w:val="none" w:sz="0" w:space="0" w:color="auto"/>
                    <w:right w:val="none" w:sz="0" w:space="0" w:color="auto"/>
                  </w:divBdr>
                </w:div>
                <w:div w:id="287396769">
                  <w:marLeft w:val="0"/>
                  <w:marRight w:val="0"/>
                  <w:marTop w:val="0"/>
                  <w:marBottom w:val="0"/>
                  <w:divBdr>
                    <w:top w:val="none" w:sz="0" w:space="0" w:color="auto"/>
                    <w:left w:val="none" w:sz="0" w:space="0" w:color="auto"/>
                    <w:bottom w:val="none" w:sz="0" w:space="0" w:color="auto"/>
                    <w:right w:val="none" w:sz="0" w:space="0" w:color="auto"/>
                  </w:divBdr>
                </w:div>
                <w:div w:id="2033994517">
                  <w:marLeft w:val="0"/>
                  <w:marRight w:val="0"/>
                  <w:marTop w:val="0"/>
                  <w:marBottom w:val="0"/>
                  <w:divBdr>
                    <w:top w:val="none" w:sz="0" w:space="0" w:color="auto"/>
                    <w:left w:val="none" w:sz="0" w:space="0" w:color="auto"/>
                    <w:bottom w:val="none" w:sz="0" w:space="0" w:color="auto"/>
                    <w:right w:val="none" w:sz="0" w:space="0" w:color="auto"/>
                  </w:divBdr>
                </w:div>
                <w:div w:id="284240514">
                  <w:marLeft w:val="0"/>
                  <w:marRight w:val="0"/>
                  <w:marTop w:val="0"/>
                  <w:marBottom w:val="0"/>
                  <w:divBdr>
                    <w:top w:val="none" w:sz="0" w:space="0" w:color="auto"/>
                    <w:left w:val="none" w:sz="0" w:space="0" w:color="auto"/>
                    <w:bottom w:val="none" w:sz="0" w:space="0" w:color="auto"/>
                    <w:right w:val="none" w:sz="0" w:space="0" w:color="auto"/>
                  </w:divBdr>
                </w:div>
                <w:div w:id="1586575303">
                  <w:marLeft w:val="0"/>
                  <w:marRight w:val="0"/>
                  <w:marTop w:val="0"/>
                  <w:marBottom w:val="0"/>
                  <w:divBdr>
                    <w:top w:val="none" w:sz="0" w:space="0" w:color="auto"/>
                    <w:left w:val="none" w:sz="0" w:space="0" w:color="auto"/>
                    <w:bottom w:val="none" w:sz="0" w:space="0" w:color="auto"/>
                    <w:right w:val="none" w:sz="0" w:space="0" w:color="auto"/>
                  </w:divBdr>
                </w:div>
                <w:div w:id="1788310533">
                  <w:marLeft w:val="0"/>
                  <w:marRight w:val="0"/>
                  <w:marTop w:val="0"/>
                  <w:marBottom w:val="0"/>
                  <w:divBdr>
                    <w:top w:val="none" w:sz="0" w:space="0" w:color="auto"/>
                    <w:left w:val="none" w:sz="0" w:space="0" w:color="auto"/>
                    <w:bottom w:val="none" w:sz="0" w:space="0" w:color="auto"/>
                    <w:right w:val="none" w:sz="0" w:space="0" w:color="auto"/>
                  </w:divBdr>
                </w:div>
                <w:div w:id="290482523">
                  <w:marLeft w:val="0"/>
                  <w:marRight w:val="0"/>
                  <w:marTop w:val="0"/>
                  <w:marBottom w:val="0"/>
                  <w:divBdr>
                    <w:top w:val="none" w:sz="0" w:space="0" w:color="auto"/>
                    <w:left w:val="none" w:sz="0" w:space="0" w:color="auto"/>
                    <w:bottom w:val="none" w:sz="0" w:space="0" w:color="auto"/>
                    <w:right w:val="none" w:sz="0" w:space="0" w:color="auto"/>
                  </w:divBdr>
                </w:div>
                <w:div w:id="1876845264">
                  <w:marLeft w:val="0"/>
                  <w:marRight w:val="0"/>
                  <w:marTop w:val="0"/>
                  <w:marBottom w:val="0"/>
                  <w:divBdr>
                    <w:top w:val="none" w:sz="0" w:space="0" w:color="auto"/>
                    <w:left w:val="none" w:sz="0" w:space="0" w:color="auto"/>
                    <w:bottom w:val="none" w:sz="0" w:space="0" w:color="auto"/>
                    <w:right w:val="none" w:sz="0" w:space="0" w:color="auto"/>
                  </w:divBdr>
                </w:div>
                <w:div w:id="1603147909">
                  <w:marLeft w:val="0"/>
                  <w:marRight w:val="0"/>
                  <w:marTop w:val="0"/>
                  <w:marBottom w:val="0"/>
                  <w:divBdr>
                    <w:top w:val="none" w:sz="0" w:space="0" w:color="auto"/>
                    <w:left w:val="none" w:sz="0" w:space="0" w:color="auto"/>
                    <w:bottom w:val="none" w:sz="0" w:space="0" w:color="auto"/>
                    <w:right w:val="none" w:sz="0" w:space="0" w:color="auto"/>
                  </w:divBdr>
                </w:div>
                <w:div w:id="658000633">
                  <w:marLeft w:val="0"/>
                  <w:marRight w:val="0"/>
                  <w:marTop w:val="0"/>
                  <w:marBottom w:val="0"/>
                  <w:divBdr>
                    <w:top w:val="none" w:sz="0" w:space="0" w:color="auto"/>
                    <w:left w:val="none" w:sz="0" w:space="0" w:color="auto"/>
                    <w:bottom w:val="none" w:sz="0" w:space="0" w:color="auto"/>
                    <w:right w:val="none" w:sz="0" w:space="0" w:color="auto"/>
                  </w:divBdr>
                </w:div>
                <w:div w:id="1274442036">
                  <w:marLeft w:val="0"/>
                  <w:marRight w:val="0"/>
                  <w:marTop w:val="0"/>
                  <w:marBottom w:val="0"/>
                  <w:divBdr>
                    <w:top w:val="none" w:sz="0" w:space="0" w:color="auto"/>
                    <w:left w:val="none" w:sz="0" w:space="0" w:color="auto"/>
                    <w:bottom w:val="none" w:sz="0" w:space="0" w:color="auto"/>
                    <w:right w:val="none" w:sz="0" w:space="0" w:color="auto"/>
                  </w:divBdr>
                </w:div>
                <w:div w:id="2093819964">
                  <w:marLeft w:val="0"/>
                  <w:marRight w:val="0"/>
                  <w:marTop w:val="0"/>
                  <w:marBottom w:val="0"/>
                  <w:divBdr>
                    <w:top w:val="none" w:sz="0" w:space="0" w:color="auto"/>
                    <w:left w:val="none" w:sz="0" w:space="0" w:color="auto"/>
                    <w:bottom w:val="none" w:sz="0" w:space="0" w:color="auto"/>
                    <w:right w:val="none" w:sz="0" w:space="0" w:color="auto"/>
                  </w:divBdr>
                </w:div>
                <w:div w:id="184027766">
                  <w:marLeft w:val="0"/>
                  <w:marRight w:val="0"/>
                  <w:marTop w:val="0"/>
                  <w:marBottom w:val="0"/>
                  <w:divBdr>
                    <w:top w:val="none" w:sz="0" w:space="0" w:color="auto"/>
                    <w:left w:val="none" w:sz="0" w:space="0" w:color="auto"/>
                    <w:bottom w:val="none" w:sz="0" w:space="0" w:color="auto"/>
                    <w:right w:val="none" w:sz="0" w:space="0" w:color="auto"/>
                  </w:divBdr>
                </w:div>
                <w:div w:id="1697076940">
                  <w:marLeft w:val="0"/>
                  <w:marRight w:val="0"/>
                  <w:marTop w:val="0"/>
                  <w:marBottom w:val="0"/>
                  <w:divBdr>
                    <w:top w:val="none" w:sz="0" w:space="0" w:color="auto"/>
                    <w:left w:val="none" w:sz="0" w:space="0" w:color="auto"/>
                    <w:bottom w:val="none" w:sz="0" w:space="0" w:color="auto"/>
                    <w:right w:val="none" w:sz="0" w:space="0" w:color="auto"/>
                  </w:divBdr>
                </w:div>
                <w:div w:id="1805002161">
                  <w:marLeft w:val="0"/>
                  <w:marRight w:val="0"/>
                  <w:marTop w:val="0"/>
                  <w:marBottom w:val="0"/>
                  <w:divBdr>
                    <w:top w:val="none" w:sz="0" w:space="0" w:color="auto"/>
                    <w:left w:val="none" w:sz="0" w:space="0" w:color="auto"/>
                    <w:bottom w:val="none" w:sz="0" w:space="0" w:color="auto"/>
                    <w:right w:val="none" w:sz="0" w:space="0" w:color="auto"/>
                  </w:divBdr>
                </w:div>
                <w:div w:id="480460768">
                  <w:marLeft w:val="0"/>
                  <w:marRight w:val="0"/>
                  <w:marTop w:val="0"/>
                  <w:marBottom w:val="0"/>
                  <w:divBdr>
                    <w:top w:val="none" w:sz="0" w:space="0" w:color="auto"/>
                    <w:left w:val="none" w:sz="0" w:space="0" w:color="auto"/>
                    <w:bottom w:val="none" w:sz="0" w:space="0" w:color="auto"/>
                    <w:right w:val="none" w:sz="0" w:space="0" w:color="auto"/>
                  </w:divBdr>
                </w:div>
                <w:div w:id="287668721">
                  <w:marLeft w:val="0"/>
                  <w:marRight w:val="0"/>
                  <w:marTop w:val="0"/>
                  <w:marBottom w:val="0"/>
                  <w:divBdr>
                    <w:top w:val="none" w:sz="0" w:space="0" w:color="auto"/>
                    <w:left w:val="none" w:sz="0" w:space="0" w:color="auto"/>
                    <w:bottom w:val="none" w:sz="0" w:space="0" w:color="auto"/>
                    <w:right w:val="none" w:sz="0" w:space="0" w:color="auto"/>
                  </w:divBdr>
                </w:div>
                <w:div w:id="1212307848">
                  <w:marLeft w:val="0"/>
                  <w:marRight w:val="0"/>
                  <w:marTop w:val="0"/>
                  <w:marBottom w:val="0"/>
                  <w:divBdr>
                    <w:top w:val="none" w:sz="0" w:space="0" w:color="auto"/>
                    <w:left w:val="none" w:sz="0" w:space="0" w:color="auto"/>
                    <w:bottom w:val="none" w:sz="0" w:space="0" w:color="auto"/>
                    <w:right w:val="none" w:sz="0" w:space="0" w:color="auto"/>
                  </w:divBdr>
                </w:div>
                <w:div w:id="1462385002">
                  <w:marLeft w:val="0"/>
                  <w:marRight w:val="0"/>
                  <w:marTop w:val="0"/>
                  <w:marBottom w:val="0"/>
                  <w:divBdr>
                    <w:top w:val="none" w:sz="0" w:space="0" w:color="auto"/>
                    <w:left w:val="none" w:sz="0" w:space="0" w:color="auto"/>
                    <w:bottom w:val="none" w:sz="0" w:space="0" w:color="auto"/>
                    <w:right w:val="none" w:sz="0" w:space="0" w:color="auto"/>
                  </w:divBdr>
                </w:div>
                <w:div w:id="54861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2364638">
          <w:marLeft w:val="0"/>
          <w:marRight w:val="0"/>
          <w:marTop w:val="0"/>
          <w:marBottom w:val="0"/>
          <w:divBdr>
            <w:top w:val="none" w:sz="0" w:space="0" w:color="auto"/>
            <w:left w:val="none" w:sz="0" w:space="0" w:color="auto"/>
            <w:bottom w:val="none" w:sz="0" w:space="0" w:color="auto"/>
            <w:right w:val="none" w:sz="0" w:space="0" w:color="auto"/>
          </w:divBdr>
          <w:divsChild>
            <w:div w:id="1594122283">
              <w:marLeft w:val="0"/>
              <w:marRight w:val="0"/>
              <w:marTop w:val="0"/>
              <w:marBottom w:val="0"/>
              <w:divBdr>
                <w:top w:val="none" w:sz="0" w:space="0" w:color="auto"/>
                <w:left w:val="none" w:sz="0" w:space="0" w:color="auto"/>
                <w:bottom w:val="none" w:sz="0" w:space="0" w:color="auto"/>
                <w:right w:val="none" w:sz="0" w:space="0" w:color="auto"/>
              </w:divBdr>
              <w:divsChild>
                <w:div w:id="1149326504">
                  <w:marLeft w:val="0"/>
                  <w:marRight w:val="0"/>
                  <w:marTop w:val="0"/>
                  <w:marBottom w:val="0"/>
                  <w:divBdr>
                    <w:top w:val="none" w:sz="0" w:space="0" w:color="auto"/>
                    <w:left w:val="none" w:sz="0" w:space="0" w:color="auto"/>
                    <w:bottom w:val="none" w:sz="0" w:space="0" w:color="auto"/>
                    <w:right w:val="none" w:sz="0" w:space="0" w:color="auto"/>
                  </w:divBdr>
                </w:div>
                <w:div w:id="1190411064">
                  <w:marLeft w:val="0"/>
                  <w:marRight w:val="0"/>
                  <w:marTop w:val="0"/>
                  <w:marBottom w:val="0"/>
                  <w:divBdr>
                    <w:top w:val="none" w:sz="0" w:space="0" w:color="auto"/>
                    <w:left w:val="none" w:sz="0" w:space="0" w:color="auto"/>
                    <w:bottom w:val="none" w:sz="0" w:space="0" w:color="auto"/>
                    <w:right w:val="none" w:sz="0" w:space="0" w:color="auto"/>
                  </w:divBdr>
                </w:div>
                <w:div w:id="1827162578">
                  <w:marLeft w:val="0"/>
                  <w:marRight w:val="0"/>
                  <w:marTop w:val="0"/>
                  <w:marBottom w:val="0"/>
                  <w:divBdr>
                    <w:top w:val="none" w:sz="0" w:space="0" w:color="auto"/>
                    <w:left w:val="none" w:sz="0" w:space="0" w:color="auto"/>
                    <w:bottom w:val="none" w:sz="0" w:space="0" w:color="auto"/>
                    <w:right w:val="none" w:sz="0" w:space="0" w:color="auto"/>
                  </w:divBdr>
                </w:div>
                <w:div w:id="730427150">
                  <w:marLeft w:val="0"/>
                  <w:marRight w:val="0"/>
                  <w:marTop w:val="0"/>
                  <w:marBottom w:val="0"/>
                  <w:divBdr>
                    <w:top w:val="none" w:sz="0" w:space="0" w:color="auto"/>
                    <w:left w:val="none" w:sz="0" w:space="0" w:color="auto"/>
                    <w:bottom w:val="none" w:sz="0" w:space="0" w:color="auto"/>
                    <w:right w:val="none" w:sz="0" w:space="0" w:color="auto"/>
                  </w:divBdr>
                </w:div>
                <w:div w:id="143393693">
                  <w:marLeft w:val="0"/>
                  <w:marRight w:val="0"/>
                  <w:marTop w:val="0"/>
                  <w:marBottom w:val="0"/>
                  <w:divBdr>
                    <w:top w:val="none" w:sz="0" w:space="0" w:color="auto"/>
                    <w:left w:val="none" w:sz="0" w:space="0" w:color="auto"/>
                    <w:bottom w:val="none" w:sz="0" w:space="0" w:color="auto"/>
                    <w:right w:val="none" w:sz="0" w:space="0" w:color="auto"/>
                  </w:divBdr>
                </w:div>
                <w:div w:id="972056745">
                  <w:marLeft w:val="0"/>
                  <w:marRight w:val="0"/>
                  <w:marTop w:val="0"/>
                  <w:marBottom w:val="0"/>
                  <w:divBdr>
                    <w:top w:val="none" w:sz="0" w:space="0" w:color="auto"/>
                    <w:left w:val="none" w:sz="0" w:space="0" w:color="auto"/>
                    <w:bottom w:val="none" w:sz="0" w:space="0" w:color="auto"/>
                    <w:right w:val="none" w:sz="0" w:space="0" w:color="auto"/>
                  </w:divBdr>
                </w:div>
                <w:div w:id="1374959058">
                  <w:marLeft w:val="0"/>
                  <w:marRight w:val="0"/>
                  <w:marTop w:val="0"/>
                  <w:marBottom w:val="0"/>
                  <w:divBdr>
                    <w:top w:val="none" w:sz="0" w:space="0" w:color="auto"/>
                    <w:left w:val="none" w:sz="0" w:space="0" w:color="auto"/>
                    <w:bottom w:val="none" w:sz="0" w:space="0" w:color="auto"/>
                    <w:right w:val="none" w:sz="0" w:space="0" w:color="auto"/>
                  </w:divBdr>
                </w:div>
                <w:div w:id="1072846444">
                  <w:marLeft w:val="0"/>
                  <w:marRight w:val="0"/>
                  <w:marTop w:val="0"/>
                  <w:marBottom w:val="0"/>
                  <w:divBdr>
                    <w:top w:val="none" w:sz="0" w:space="0" w:color="auto"/>
                    <w:left w:val="none" w:sz="0" w:space="0" w:color="auto"/>
                    <w:bottom w:val="none" w:sz="0" w:space="0" w:color="auto"/>
                    <w:right w:val="none" w:sz="0" w:space="0" w:color="auto"/>
                  </w:divBdr>
                </w:div>
                <w:div w:id="453712109">
                  <w:marLeft w:val="0"/>
                  <w:marRight w:val="0"/>
                  <w:marTop w:val="0"/>
                  <w:marBottom w:val="0"/>
                  <w:divBdr>
                    <w:top w:val="none" w:sz="0" w:space="0" w:color="auto"/>
                    <w:left w:val="none" w:sz="0" w:space="0" w:color="auto"/>
                    <w:bottom w:val="none" w:sz="0" w:space="0" w:color="auto"/>
                    <w:right w:val="none" w:sz="0" w:space="0" w:color="auto"/>
                  </w:divBdr>
                </w:div>
                <w:div w:id="1532112105">
                  <w:marLeft w:val="0"/>
                  <w:marRight w:val="0"/>
                  <w:marTop w:val="0"/>
                  <w:marBottom w:val="0"/>
                  <w:divBdr>
                    <w:top w:val="none" w:sz="0" w:space="0" w:color="auto"/>
                    <w:left w:val="none" w:sz="0" w:space="0" w:color="auto"/>
                    <w:bottom w:val="none" w:sz="0" w:space="0" w:color="auto"/>
                    <w:right w:val="none" w:sz="0" w:space="0" w:color="auto"/>
                  </w:divBdr>
                </w:div>
                <w:div w:id="1890920352">
                  <w:marLeft w:val="0"/>
                  <w:marRight w:val="0"/>
                  <w:marTop w:val="0"/>
                  <w:marBottom w:val="0"/>
                  <w:divBdr>
                    <w:top w:val="none" w:sz="0" w:space="0" w:color="auto"/>
                    <w:left w:val="none" w:sz="0" w:space="0" w:color="auto"/>
                    <w:bottom w:val="none" w:sz="0" w:space="0" w:color="auto"/>
                    <w:right w:val="none" w:sz="0" w:space="0" w:color="auto"/>
                  </w:divBdr>
                </w:div>
                <w:div w:id="983464876">
                  <w:marLeft w:val="0"/>
                  <w:marRight w:val="0"/>
                  <w:marTop w:val="0"/>
                  <w:marBottom w:val="0"/>
                  <w:divBdr>
                    <w:top w:val="none" w:sz="0" w:space="0" w:color="auto"/>
                    <w:left w:val="none" w:sz="0" w:space="0" w:color="auto"/>
                    <w:bottom w:val="none" w:sz="0" w:space="0" w:color="auto"/>
                    <w:right w:val="none" w:sz="0" w:space="0" w:color="auto"/>
                  </w:divBdr>
                </w:div>
                <w:div w:id="573054455">
                  <w:marLeft w:val="0"/>
                  <w:marRight w:val="0"/>
                  <w:marTop w:val="0"/>
                  <w:marBottom w:val="0"/>
                  <w:divBdr>
                    <w:top w:val="none" w:sz="0" w:space="0" w:color="auto"/>
                    <w:left w:val="none" w:sz="0" w:space="0" w:color="auto"/>
                    <w:bottom w:val="none" w:sz="0" w:space="0" w:color="auto"/>
                    <w:right w:val="none" w:sz="0" w:space="0" w:color="auto"/>
                  </w:divBdr>
                </w:div>
                <w:div w:id="501044709">
                  <w:marLeft w:val="0"/>
                  <w:marRight w:val="0"/>
                  <w:marTop w:val="0"/>
                  <w:marBottom w:val="0"/>
                  <w:divBdr>
                    <w:top w:val="none" w:sz="0" w:space="0" w:color="auto"/>
                    <w:left w:val="none" w:sz="0" w:space="0" w:color="auto"/>
                    <w:bottom w:val="none" w:sz="0" w:space="0" w:color="auto"/>
                    <w:right w:val="none" w:sz="0" w:space="0" w:color="auto"/>
                  </w:divBdr>
                </w:div>
                <w:div w:id="1398824845">
                  <w:marLeft w:val="0"/>
                  <w:marRight w:val="0"/>
                  <w:marTop w:val="0"/>
                  <w:marBottom w:val="0"/>
                  <w:divBdr>
                    <w:top w:val="none" w:sz="0" w:space="0" w:color="auto"/>
                    <w:left w:val="none" w:sz="0" w:space="0" w:color="auto"/>
                    <w:bottom w:val="none" w:sz="0" w:space="0" w:color="auto"/>
                    <w:right w:val="none" w:sz="0" w:space="0" w:color="auto"/>
                  </w:divBdr>
                </w:div>
                <w:div w:id="1085761181">
                  <w:marLeft w:val="0"/>
                  <w:marRight w:val="0"/>
                  <w:marTop w:val="0"/>
                  <w:marBottom w:val="0"/>
                  <w:divBdr>
                    <w:top w:val="none" w:sz="0" w:space="0" w:color="auto"/>
                    <w:left w:val="none" w:sz="0" w:space="0" w:color="auto"/>
                    <w:bottom w:val="none" w:sz="0" w:space="0" w:color="auto"/>
                    <w:right w:val="none" w:sz="0" w:space="0" w:color="auto"/>
                  </w:divBdr>
                </w:div>
                <w:div w:id="772746166">
                  <w:marLeft w:val="0"/>
                  <w:marRight w:val="0"/>
                  <w:marTop w:val="0"/>
                  <w:marBottom w:val="0"/>
                  <w:divBdr>
                    <w:top w:val="none" w:sz="0" w:space="0" w:color="auto"/>
                    <w:left w:val="none" w:sz="0" w:space="0" w:color="auto"/>
                    <w:bottom w:val="none" w:sz="0" w:space="0" w:color="auto"/>
                    <w:right w:val="none" w:sz="0" w:space="0" w:color="auto"/>
                  </w:divBdr>
                </w:div>
                <w:div w:id="1863979204">
                  <w:marLeft w:val="0"/>
                  <w:marRight w:val="0"/>
                  <w:marTop w:val="0"/>
                  <w:marBottom w:val="0"/>
                  <w:divBdr>
                    <w:top w:val="none" w:sz="0" w:space="0" w:color="auto"/>
                    <w:left w:val="none" w:sz="0" w:space="0" w:color="auto"/>
                    <w:bottom w:val="none" w:sz="0" w:space="0" w:color="auto"/>
                    <w:right w:val="none" w:sz="0" w:space="0" w:color="auto"/>
                  </w:divBdr>
                </w:div>
                <w:div w:id="1152330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027999">
      <w:bodyDiv w:val="1"/>
      <w:marLeft w:val="0"/>
      <w:marRight w:val="0"/>
      <w:marTop w:val="0"/>
      <w:marBottom w:val="0"/>
      <w:divBdr>
        <w:top w:val="none" w:sz="0" w:space="0" w:color="auto"/>
        <w:left w:val="none" w:sz="0" w:space="0" w:color="auto"/>
        <w:bottom w:val="none" w:sz="0" w:space="0" w:color="auto"/>
        <w:right w:val="none" w:sz="0" w:space="0" w:color="auto"/>
      </w:divBdr>
      <w:divsChild>
        <w:div w:id="2145542749">
          <w:marLeft w:val="0"/>
          <w:marRight w:val="0"/>
          <w:marTop w:val="0"/>
          <w:marBottom w:val="0"/>
          <w:divBdr>
            <w:top w:val="none" w:sz="0" w:space="0" w:color="auto"/>
            <w:left w:val="none" w:sz="0" w:space="0" w:color="auto"/>
            <w:bottom w:val="none" w:sz="0" w:space="0" w:color="auto"/>
            <w:right w:val="none" w:sz="0" w:space="0" w:color="auto"/>
          </w:divBdr>
        </w:div>
      </w:divsChild>
    </w:div>
    <w:div w:id="1393196925">
      <w:bodyDiv w:val="1"/>
      <w:marLeft w:val="0"/>
      <w:marRight w:val="0"/>
      <w:marTop w:val="0"/>
      <w:marBottom w:val="0"/>
      <w:divBdr>
        <w:top w:val="none" w:sz="0" w:space="0" w:color="auto"/>
        <w:left w:val="none" w:sz="0" w:space="0" w:color="auto"/>
        <w:bottom w:val="none" w:sz="0" w:space="0" w:color="auto"/>
        <w:right w:val="none" w:sz="0" w:space="0" w:color="auto"/>
      </w:divBdr>
    </w:div>
    <w:div w:id="1913269955">
      <w:bodyDiv w:val="1"/>
      <w:marLeft w:val="0"/>
      <w:marRight w:val="0"/>
      <w:marTop w:val="0"/>
      <w:marBottom w:val="0"/>
      <w:divBdr>
        <w:top w:val="none" w:sz="0" w:space="0" w:color="auto"/>
        <w:left w:val="none" w:sz="0" w:space="0" w:color="auto"/>
        <w:bottom w:val="none" w:sz="0" w:space="0" w:color="auto"/>
        <w:right w:val="none" w:sz="0" w:space="0" w:color="auto"/>
      </w:divBdr>
      <w:divsChild>
        <w:div w:id="15553867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footer" Target="footer1.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6E464-2109-4A7A-BDE3-C87E08CB76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35</Pages>
  <Words>10806</Words>
  <Characters>65593</Characters>
  <Application>Microsoft Office Word</Application>
  <DocSecurity>0</DocSecurity>
  <Lines>1041</Lines>
  <Paragraphs>222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Microsoft</Company>
  <LinksUpToDate>false</LinksUpToDate>
  <CharactersWithSpaces>76177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Trommler, Kathrin</dc:creator>
  <cp:lastModifiedBy>Trommler, Kathrin</cp:lastModifiedBy>
  <cp:revision>30</cp:revision>
  <dcterms:created xsi:type="dcterms:W3CDTF">2017-01-16T17:28:00Z</dcterms:created>
  <dcterms:modified xsi:type="dcterms:W3CDTF">2017-03-03T14:03:00Z</dcterms:modified>
</cp:coreProperties>
</file>