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C09AD" w14:textId="267D66A7" w:rsidR="00AB7182" w:rsidRPr="00AB7182" w:rsidRDefault="00C9589A" w:rsidP="00195498">
      <w:pPr>
        <w:spacing w:line="480" w:lineRule="auto"/>
        <w:rPr>
          <w:b/>
        </w:rPr>
      </w:pPr>
      <w:r>
        <w:rPr>
          <w:b/>
        </w:rPr>
        <w:t>M</w:t>
      </w:r>
      <w:r w:rsidR="004A4E24">
        <w:rPr>
          <w:b/>
        </w:rPr>
        <w:t xml:space="preserve">acroevolutionary </w:t>
      </w:r>
      <w:r>
        <w:rPr>
          <w:b/>
        </w:rPr>
        <w:t>constraints</w:t>
      </w:r>
      <w:r w:rsidR="004A4E24">
        <w:rPr>
          <w:b/>
        </w:rPr>
        <w:t xml:space="preserve"> </w:t>
      </w:r>
      <w:r>
        <w:rPr>
          <w:b/>
        </w:rPr>
        <w:t>to</w:t>
      </w:r>
      <w:r w:rsidR="004A4E24">
        <w:rPr>
          <w:b/>
        </w:rPr>
        <w:t xml:space="preserve"> </w:t>
      </w:r>
      <w:r w:rsidR="00C211C5">
        <w:rPr>
          <w:b/>
        </w:rPr>
        <w:t>toler</w:t>
      </w:r>
      <w:r w:rsidR="004A4E24">
        <w:rPr>
          <w:b/>
        </w:rPr>
        <w:t xml:space="preserve">ance: </w:t>
      </w:r>
      <w:r w:rsidR="00D85419">
        <w:rPr>
          <w:b/>
        </w:rPr>
        <w:t>trade-offs with drought tolerance and phenology, but not resistance.</w:t>
      </w:r>
    </w:p>
    <w:p w14:paraId="26EBFE20" w14:textId="77777777" w:rsidR="00AB7182" w:rsidRPr="00AB7182" w:rsidRDefault="00AB7182" w:rsidP="00195498">
      <w:pPr>
        <w:spacing w:line="480" w:lineRule="auto"/>
        <w:rPr>
          <w:b/>
        </w:rPr>
      </w:pPr>
    </w:p>
    <w:p w14:paraId="5A51CBDA" w14:textId="688E173D" w:rsidR="00931B33" w:rsidRPr="00195498" w:rsidRDefault="00931B33" w:rsidP="00195498">
      <w:pPr>
        <w:spacing w:line="480" w:lineRule="auto"/>
        <w:rPr>
          <w:vertAlign w:val="superscript"/>
        </w:rPr>
      </w:pPr>
      <w:r>
        <w:t>Ian S. Pearse</w:t>
      </w:r>
      <w:r w:rsidR="008343BA">
        <w:rPr>
          <w:vertAlign w:val="superscript"/>
        </w:rPr>
        <w:t>1,2</w:t>
      </w:r>
      <w:r w:rsidR="00452BC9">
        <w:rPr>
          <w:vertAlign w:val="superscript"/>
        </w:rPr>
        <w:t>,3</w:t>
      </w:r>
    </w:p>
    <w:p w14:paraId="7E056398" w14:textId="21799BE5" w:rsidR="00AB7182" w:rsidRPr="00195498" w:rsidRDefault="00931B33" w:rsidP="00195498">
      <w:pPr>
        <w:spacing w:line="480" w:lineRule="auto"/>
        <w:rPr>
          <w:vertAlign w:val="superscript"/>
        </w:rPr>
      </w:pPr>
      <w:r>
        <w:t xml:space="preserve">Jessica </w:t>
      </w:r>
      <w:r w:rsidR="00404CFF">
        <w:t>Aguilar</w:t>
      </w:r>
      <w:r w:rsidR="00404CFF">
        <w:rPr>
          <w:vertAlign w:val="superscript"/>
        </w:rPr>
        <w:t>1</w:t>
      </w:r>
    </w:p>
    <w:p w14:paraId="27228E99" w14:textId="044BD9B7" w:rsidR="005F5F42" w:rsidRPr="00195498" w:rsidRDefault="00AB7182" w:rsidP="00195498">
      <w:pPr>
        <w:spacing w:line="480" w:lineRule="auto"/>
        <w:rPr>
          <w:vertAlign w:val="superscript"/>
        </w:rPr>
      </w:pPr>
      <w:r>
        <w:t xml:space="preserve">John </w:t>
      </w:r>
      <w:r w:rsidR="00404CFF">
        <w:t>Schroder</w:t>
      </w:r>
      <w:r w:rsidR="00404CFF">
        <w:rPr>
          <w:vertAlign w:val="superscript"/>
        </w:rPr>
        <w:t>1</w:t>
      </w:r>
    </w:p>
    <w:p w14:paraId="73C547C4" w14:textId="33CD4F53" w:rsidR="00931B33" w:rsidRPr="008343BA" w:rsidRDefault="00AB7182" w:rsidP="00195498">
      <w:pPr>
        <w:spacing w:line="480" w:lineRule="auto"/>
        <w:rPr>
          <w:vertAlign w:val="superscript"/>
        </w:rPr>
      </w:pPr>
      <w:r>
        <w:t xml:space="preserve">Sharon Y. </w:t>
      </w:r>
      <w:r w:rsidR="00404CFF">
        <w:t>Strauss</w:t>
      </w:r>
      <w:r w:rsidR="00404CFF">
        <w:rPr>
          <w:vertAlign w:val="superscript"/>
        </w:rPr>
        <w:t>1</w:t>
      </w:r>
    </w:p>
    <w:p w14:paraId="725F0F47" w14:textId="77777777" w:rsidR="00AB7182" w:rsidRDefault="00AB7182" w:rsidP="00195498">
      <w:pPr>
        <w:spacing w:line="480" w:lineRule="auto"/>
      </w:pPr>
    </w:p>
    <w:p w14:paraId="40141AD2" w14:textId="77777777" w:rsidR="00404CFF" w:rsidRDefault="00404CFF" w:rsidP="00195498">
      <w:pPr>
        <w:pStyle w:val="ListParagraph"/>
        <w:numPr>
          <w:ilvl w:val="0"/>
          <w:numId w:val="2"/>
        </w:numPr>
        <w:spacing w:line="480" w:lineRule="auto"/>
      </w:pPr>
      <w:r>
        <w:t>UC Davis, Dept. Evolution and Ecology</w:t>
      </w:r>
    </w:p>
    <w:p w14:paraId="43DA1858" w14:textId="2FAD0D35" w:rsidR="00931B33" w:rsidRDefault="008343BA" w:rsidP="00195498">
      <w:pPr>
        <w:pStyle w:val="ListParagraph"/>
        <w:numPr>
          <w:ilvl w:val="0"/>
          <w:numId w:val="2"/>
        </w:numPr>
        <w:spacing w:line="480" w:lineRule="auto"/>
      </w:pPr>
      <w:r w:rsidRPr="00B7721A">
        <w:t>U</w:t>
      </w:r>
      <w:r w:rsidR="00B7721A" w:rsidRPr="00B7721A">
        <w:t>.</w:t>
      </w:r>
      <w:r w:rsidRPr="00B7721A">
        <w:t>S. Geological Survey, Ft. Collins Science Center, Ft</w:t>
      </w:r>
      <w:r w:rsidR="00B7721A" w:rsidRPr="00B7721A">
        <w:t>.</w:t>
      </w:r>
      <w:r w:rsidRPr="00B7721A">
        <w:t xml:space="preserve"> Collins</w:t>
      </w:r>
      <w:r>
        <w:t xml:space="preserve"> CO, USA</w:t>
      </w:r>
    </w:p>
    <w:p w14:paraId="348BB82F" w14:textId="373640E0" w:rsidR="00452BC9" w:rsidRDefault="00452BC9" w:rsidP="00195498">
      <w:pPr>
        <w:pStyle w:val="ListParagraph"/>
        <w:numPr>
          <w:ilvl w:val="0"/>
          <w:numId w:val="2"/>
        </w:numPr>
        <w:spacing w:line="480" w:lineRule="auto"/>
      </w:pPr>
      <w:r>
        <w:t xml:space="preserve">Corresponding Author:  </w:t>
      </w:r>
      <w:hyperlink r:id="rId12" w:history="1">
        <w:r w:rsidRPr="00AB69CA">
          <w:rPr>
            <w:rStyle w:val="Hyperlink"/>
          </w:rPr>
          <w:t>ipearse@usgs.gov</w:t>
        </w:r>
      </w:hyperlink>
      <w:r>
        <w:t>; 1-970-226-9145</w:t>
      </w:r>
    </w:p>
    <w:p w14:paraId="1D37F420" w14:textId="77777777" w:rsidR="008343BA" w:rsidRDefault="008343BA" w:rsidP="00195498">
      <w:pPr>
        <w:spacing w:line="480" w:lineRule="auto"/>
      </w:pPr>
    </w:p>
    <w:p w14:paraId="069D22BB" w14:textId="77777777" w:rsidR="00B751BD" w:rsidRPr="00AB7182" w:rsidRDefault="00B751BD" w:rsidP="00195498">
      <w:pPr>
        <w:spacing w:line="480" w:lineRule="auto"/>
        <w:rPr>
          <w:b/>
        </w:rPr>
      </w:pPr>
      <w:r w:rsidRPr="00AB7182">
        <w:rPr>
          <w:b/>
        </w:rPr>
        <w:t>ABSTRACT</w:t>
      </w:r>
    </w:p>
    <w:p w14:paraId="75AEFAAF" w14:textId="1E495CC2" w:rsidR="002E2873" w:rsidRDefault="00C211C5" w:rsidP="00FE7EBD">
      <w:pPr>
        <w:spacing w:line="480" w:lineRule="auto"/>
      </w:pPr>
      <w:r>
        <w:t>Plant t</w:t>
      </w:r>
      <w:r w:rsidR="003602D5">
        <w:t xml:space="preserve">olerance </w:t>
      </w:r>
      <w:r>
        <w:t xml:space="preserve">of </w:t>
      </w:r>
      <w:r w:rsidR="003602D5">
        <w:t>herbivor</w:t>
      </w:r>
      <w:r w:rsidR="00040125">
        <w:t>y</w:t>
      </w:r>
      <w:r>
        <w:t xml:space="preserve">, i.e., the ability to recover after damage, </w:t>
      </w:r>
      <w:r w:rsidR="003602D5">
        <w:t xml:space="preserve">is an important component of </w:t>
      </w:r>
      <w:r w:rsidR="00467DF4">
        <w:t xml:space="preserve">how </w:t>
      </w:r>
      <w:r w:rsidR="003602D5">
        <w:t>plant</w:t>
      </w:r>
      <w:r w:rsidR="00467DF4">
        <w:t xml:space="preserve">s </w:t>
      </w:r>
      <w:r w:rsidR="00040125">
        <w:t>cope with</w:t>
      </w:r>
      <w:r w:rsidR="002B6EC8">
        <w:t xml:space="preserve"> herbivores</w:t>
      </w:r>
      <w:r w:rsidR="0022589F">
        <w:t xml:space="preserve">.  Tolerance </w:t>
      </w:r>
      <w:r>
        <w:t xml:space="preserve">has </w:t>
      </w:r>
      <w:r w:rsidR="002B6EC8">
        <w:t xml:space="preserve">long </w:t>
      </w:r>
      <w:r>
        <w:t xml:space="preserve">been hypothesized to </w:t>
      </w:r>
      <w:r w:rsidR="002B6EC8">
        <w:t>be constrained</w:t>
      </w:r>
      <w:r w:rsidR="00DB7A68">
        <w:t xml:space="preserve"> evolutionarily</w:t>
      </w:r>
      <w:r w:rsidR="002B6EC8">
        <w:t xml:space="preserve"> by pl</w:t>
      </w:r>
      <w:r w:rsidR="00CB5268">
        <w:t xml:space="preserve">ant resistance to </w:t>
      </w:r>
      <w:r w:rsidR="00DB7A68">
        <w:t>herbivores</w:t>
      </w:r>
      <w:r w:rsidR="00CB5268">
        <w:t xml:space="preserve">, </w:t>
      </w:r>
      <w:r w:rsidR="00DB7A68">
        <w:t xml:space="preserve">traits that allow plants to cope with </w:t>
      </w:r>
      <w:r w:rsidR="00CB5268">
        <w:t xml:space="preserve">stressful growing conditions, </w:t>
      </w:r>
      <w:r w:rsidR="0022589F">
        <w:t xml:space="preserve">and </w:t>
      </w:r>
      <w:r w:rsidR="00DB7A68">
        <w:t xml:space="preserve">traits that influence the </w:t>
      </w:r>
      <w:r w:rsidR="002B6EC8">
        <w:t>timing of damage i</w:t>
      </w:r>
      <w:r w:rsidR="005C5CF8">
        <w:t>n relation to reproduction</w:t>
      </w:r>
      <w:r w:rsidR="003602D5">
        <w:t xml:space="preserve">. </w:t>
      </w:r>
      <w:r w:rsidR="00DB7A68">
        <w:t xml:space="preserve">Variation in tolerance and resistance can be caused by differences in the identity of the plant (e.g. genotype, species, clade) and by the context of the herbivore threat (e.g. identity of the herbivore, type of damage it causes, abiotic conditions in which the plant is growing).  </w:t>
      </w:r>
      <w:r w:rsidR="003602D5">
        <w:t xml:space="preserve">To date, </w:t>
      </w:r>
      <w:r>
        <w:t xml:space="preserve">the vast majority of studies have explored trade-offs </w:t>
      </w:r>
      <w:r w:rsidR="002B6EC8">
        <w:t xml:space="preserve">with tolerance </w:t>
      </w:r>
      <w:r>
        <w:t>within species</w:t>
      </w:r>
      <w:r w:rsidR="003602D5">
        <w:t xml:space="preserve">.  </w:t>
      </w:r>
      <w:r w:rsidR="002B6EC8">
        <w:t>Here, we test hypotheses of constraints on tolerance using comparative approaches in a clade of mustards</w:t>
      </w:r>
      <w:r w:rsidR="00DB7A68">
        <w:t xml:space="preserve">, emphasizing the </w:t>
      </w:r>
      <w:r w:rsidR="00DB7A68">
        <w:lastRenderedPageBreak/>
        <w:t>variety of contexts in which damage is realistically tolerated</w:t>
      </w:r>
      <w:r w:rsidR="002B6EC8">
        <w:t xml:space="preserve">. We </w:t>
      </w:r>
      <w:r w:rsidR="009F0B49">
        <w:t xml:space="preserve">estimated tolerance to </w:t>
      </w:r>
      <w:r w:rsidR="00A06BE4">
        <w:t>leaf damage</w:t>
      </w:r>
      <w:r w:rsidR="003602D5">
        <w:t xml:space="preserve">, tolerance to </w:t>
      </w:r>
      <w:r>
        <w:t>apical clipping at the bolting stage</w:t>
      </w:r>
      <w:r w:rsidR="005C5CF8">
        <w:t>--</w:t>
      </w:r>
      <w:r>
        <w:t xml:space="preserve"> simulating browsing</w:t>
      </w:r>
      <w:r w:rsidR="005C5CF8">
        <w:t>--,</w:t>
      </w:r>
      <w:r w:rsidR="003602D5">
        <w:t xml:space="preserve"> and resistance to </w:t>
      </w:r>
      <w:r w:rsidR="00467DF4">
        <w:t xml:space="preserve">a specialist and generalist </w:t>
      </w:r>
      <w:r w:rsidR="00040125">
        <w:t>l</w:t>
      </w:r>
      <w:r w:rsidR="003602D5">
        <w:t xml:space="preserve">epidopteran </w:t>
      </w:r>
      <w:r w:rsidR="003602D5" w:rsidRPr="00724EC4">
        <w:t xml:space="preserve">herbivore for </w:t>
      </w:r>
      <w:r w:rsidR="00724EC4" w:rsidRPr="00B17AC8">
        <w:rPr>
          <w:color w:val="222222"/>
          <w:shd w:val="clear" w:color="auto" w:fill="FFFFFF"/>
        </w:rPr>
        <w:t>a group of native mustards</w:t>
      </w:r>
      <w:r w:rsidR="002B6EC8" w:rsidRPr="00724EC4">
        <w:t>, grown in field</w:t>
      </w:r>
      <w:r w:rsidR="00454A9B" w:rsidRPr="00724EC4">
        <w:t xml:space="preserve"> s</w:t>
      </w:r>
      <w:r w:rsidR="002B6EC8" w:rsidRPr="00724EC4">
        <w:t xml:space="preserve">oils unique to </w:t>
      </w:r>
      <w:r w:rsidR="00D267F9" w:rsidRPr="00724EC4">
        <w:t xml:space="preserve">each </w:t>
      </w:r>
      <w:r w:rsidR="002B6EC8" w:rsidRPr="00724EC4">
        <w:t>population and in a com</w:t>
      </w:r>
      <w:r w:rsidR="002B6EC8">
        <w:t xml:space="preserve">mon </w:t>
      </w:r>
      <w:r w:rsidR="009C4F12">
        <w:t>potting</w:t>
      </w:r>
      <w:r w:rsidR="002B6EC8">
        <w:t xml:space="preserve"> soil</w:t>
      </w:r>
      <w:r w:rsidR="00D267F9">
        <w:t>.</w:t>
      </w:r>
      <w:r w:rsidR="003602D5">
        <w:t xml:space="preserve">  </w:t>
      </w:r>
      <w:r w:rsidR="005C5CF8">
        <w:t xml:space="preserve">Resistance to herbivores was soil dependent, while surprisingly, tolerance </w:t>
      </w:r>
      <w:r w:rsidR="00AD13D7">
        <w:t>was</w:t>
      </w:r>
      <w:r w:rsidR="005C5CF8">
        <w:t xml:space="preserve"> not.</w:t>
      </w:r>
      <w:r w:rsidR="00D267F9">
        <w:t xml:space="preserve"> </w:t>
      </w:r>
      <w:r w:rsidR="002B6EC8">
        <w:t>P</w:t>
      </w:r>
      <w:r w:rsidR="001E1A1D">
        <w:t>hylogenetic signal in resistance to specialist and generalist lep</w:t>
      </w:r>
      <w:r w:rsidR="00510254">
        <w:t>i</w:t>
      </w:r>
      <w:r w:rsidR="001E1A1D">
        <w:t>dopteran herbivores</w:t>
      </w:r>
      <w:r>
        <w:t xml:space="preserve"> </w:t>
      </w:r>
      <w:r w:rsidR="002B6EC8">
        <w:t>was present</w:t>
      </w:r>
      <w:r w:rsidR="005C5CF8">
        <w:t>, but only</w:t>
      </w:r>
      <w:r w:rsidR="002B6EC8">
        <w:t xml:space="preserve"> </w:t>
      </w:r>
      <w:r>
        <w:t>when plants were grown in field soils</w:t>
      </w:r>
      <w:r w:rsidR="005C5CF8">
        <w:t>.</w:t>
      </w:r>
      <w:r w:rsidR="001E1A1D">
        <w:t xml:space="preserve"> </w:t>
      </w:r>
      <w:r w:rsidR="005C5CF8">
        <w:t>Tolerance</w:t>
      </w:r>
      <w:r w:rsidR="002B6EC8">
        <w:t xml:space="preserve"> </w:t>
      </w:r>
      <w:r w:rsidR="00B71CF3">
        <w:t>had low</w:t>
      </w:r>
      <w:r w:rsidR="00DB7A68">
        <w:t xml:space="preserve"> phylogenetic signal</w:t>
      </w:r>
      <w:r w:rsidR="001E1A1D">
        <w:t xml:space="preserve">. </w:t>
      </w:r>
      <w:r w:rsidR="003602D5">
        <w:t xml:space="preserve">Tolerance to </w:t>
      </w:r>
      <w:r w:rsidR="001E1A1D">
        <w:t xml:space="preserve">leaf damage </w:t>
      </w:r>
      <w:r w:rsidR="003602D5">
        <w:t xml:space="preserve">was unrelated to tolerance to </w:t>
      </w:r>
      <w:r>
        <w:t>simulated browse</w:t>
      </w:r>
      <w:r w:rsidR="00FE7EBD">
        <w:t xml:space="preserve">. </w:t>
      </w:r>
      <w:r w:rsidR="00DA63C8">
        <w:t>We found no evidence for a resistance-tolerance trade</w:t>
      </w:r>
      <w:r w:rsidR="00EC4084">
        <w:t>-</w:t>
      </w:r>
      <w:r w:rsidR="00DA63C8">
        <w:t>off</w:t>
      </w:r>
      <w:r w:rsidR="00467DF4">
        <w:t>,</w:t>
      </w:r>
      <w:r w:rsidR="002B6EC8">
        <w:t xml:space="preserve"> and some evidence for a </w:t>
      </w:r>
      <w:r w:rsidR="005C5CF8">
        <w:t xml:space="preserve">soil-dependent </w:t>
      </w:r>
      <w:r w:rsidR="002B6EC8">
        <w:t>positive correlation between tolerance and resistance to both herbivores</w:t>
      </w:r>
      <w:r w:rsidR="00D267F9">
        <w:t>.</w:t>
      </w:r>
      <w:r w:rsidR="00FE7EBD">
        <w:t xml:space="preserve"> </w:t>
      </w:r>
      <w:r w:rsidR="005C5CF8">
        <w:t xml:space="preserve">Drought-tolerant </w:t>
      </w:r>
      <w:r w:rsidR="005C5CF8" w:rsidRPr="002E2873">
        <w:t>s</w:t>
      </w:r>
      <w:r w:rsidR="00467DF4" w:rsidRPr="002E2873">
        <w:t xml:space="preserve">pecies </w:t>
      </w:r>
      <w:r w:rsidR="00FC5309" w:rsidRPr="002E2873">
        <w:t xml:space="preserve">had </w:t>
      </w:r>
      <w:r w:rsidR="005C5CF8" w:rsidRPr="002E2873">
        <w:t xml:space="preserve">poorer </w:t>
      </w:r>
      <w:r w:rsidR="00FC5309" w:rsidRPr="002E2873">
        <w:t>ability to tolera</w:t>
      </w:r>
      <w:r w:rsidR="00A931EB" w:rsidRPr="002E2873">
        <w:t xml:space="preserve">te </w:t>
      </w:r>
      <w:r w:rsidR="005C5CF8" w:rsidRPr="002E2873">
        <w:t xml:space="preserve">browse </w:t>
      </w:r>
      <w:r w:rsidR="00A931EB" w:rsidRPr="002E2873">
        <w:t>damage</w:t>
      </w:r>
      <w:r w:rsidR="00D267F9" w:rsidRPr="002E2873">
        <w:t>,</w:t>
      </w:r>
      <w:r w:rsidR="005C5CF8" w:rsidRPr="002E2873">
        <w:t xml:space="preserve"> and earlier flowering species</w:t>
      </w:r>
      <w:r w:rsidR="00454A9B" w:rsidRPr="002E2873">
        <w:t xml:space="preserve"> </w:t>
      </w:r>
      <w:r w:rsidR="002E2873" w:rsidRPr="00CB3ACE">
        <w:rPr>
          <w:color w:val="222222"/>
          <w:shd w:val="clear" w:color="auto" w:fill="FFFFFF"/>
        </w:rPr>
        <w:t xml:space="preserve">tended to be less tolerant </w:t>
      </w:r>
      <w:r w:rsidR="005C5CF8" w:rsidRPr="002E2873">
        <w:t>to leaf damage</w:t>
      </w:r>
      <w:r w:rsidR="005C5CF8">
        <w:t xml:space="preserve">. </w:t>
      </w:r>
      <w:r w:rsidR="008A4946">
        <w:t xml:space="preserve">Our results suggest that tolerance trades off with traits that allow </w:t>
      </w:r>
      <w:r w:rsidR="00A64FCA">
        <w:t xml:space="preserve">mostly annual, monocarpic </w:t>
      </w:r>
      <w:r w:rsidR="008A4946" w:rsidRPr="00CB3ACE">
        <w:rPr>
          <w:i/>
        </w:rPr>
        <w:t>Streptanthus</w:t>
      </w:r>
      <w:r w:rsidR="008A4946">
        <w:t xml:space="preserve"> </w:t>
      </w:r>
      <w:r w:rsidR="00B73BEC">
        <w:t xml:space="preserve">(s.l.) </w:t>
      </w:r>
      <w:r w:rsidR="008A4946">
        <w:t>to persist in drought-prone conditions but is largely unrelated to resistance to herbivores.</w:t>
      </w:r>
      <w:r w:rsidR="008A4946" w:rsidRPr="008A4946">
        <w:t xml:space="preserve"> </w:t>
      </w:r>
      <w:r w:rsidR="008A4946">
        <w:t xml:space="preserve">Our study highlights a need for a new framework for tolerance to herbivory that explicitly acknowledges that the relationship </w:t>
      </w:r>
      <w:r w:rsidR="00B7721A">
        <w:t>among</w:t>
      </w:r>
      <w:r w:rsidR="008A4946">
        <w:t xml:space="preserve"> tolerance</w:t>
      </w:r>
      <w:r w:rsidR="00767735">
        <w:t>,</w:t>
      </w:r>
      <w:r w:rsidR="00716F5B">
        <w:t xml:space="preserve"> </w:t>
      </w:r>
      <w:r w:rsidR="008A4946">
        <w:t>resistance</w:t>
      </w:r>
      <w:r w:rsidR="00767735">
        <w:t>,</w:t>
      </w:r>
      <w:r w:rsidR="008A4946">
        <w:t xml:space="preserve"> </w:t>
      </w:r>
      <w:r w:rsidR="00767735">
        <w:t>and</w:t>
      </w:r>
      <w:r w:rsidR="00A64FCA">
        <w:t xml:space="preserve"> </w:t>
      </w:r>
      <w:r w:rsidR="008A4946">
        <w:t>traits that ameliorate abiotic stress.</w:t>
      </w:r>
    </w:p>
    <w:p w14:paraId="109D5EAD" w14:textId="77777777" w:rsidR="008A4946" w:rsidRDefault="008A4946" w:rsidP="00195498">
      <w:pPr>
        <w:spacing w:line="480" w:lineRule="auto"/>
      </w:pPr>
    </w:p>
    <w:p w14:paraId="612B83D3" w14:textId="258ABAFA" w:rsidR="009F0B49" w:rsidRDefault="00B654AC" w:rsidP="00195498">
      <w:pPr>
        <w:spacing w:line="480" w:lineRule="auto"/>
      </w:pPr>
      <w:r w:rsidRPr="00831E45">
        <w:rPr>
          <w:b/>
        </w:rPr>
        <w:t>KEYWORDS:</w:t>
      </w:r>
      <w:r>
        <w:t xml:space="preserve">  Herbivory, herbivore tolerance, drought tolerance, phenology, compensation, plant defense</w:t>
      </w:r>
    </w:p>
    <w:p w14:paraId="7F5DE9C1" w14:textId="77777777" w:rsidR="00831E45" w:rsidRDefault="00831E45" w:rsidP="00195498">
      <w:pPr>
        <w:spacing w:line="480" w:lineRule="auto"/>
      </w:pPr>
    </w:p>
    <w:p w14:paraId="3C3D2358" w14:textId="0B4FBB53" w:rsidR="00201196" w:rsidRPr="00CB5268" w:rsidRDefault="00DE6503" w:rsidP="00195498">
      <w:pPr>
        <w:spacing w:line="480" w:lineRule="auto"/>
        <w:rPr>
          <w:b/>
        </w:rPr>
      </w:pPr>
      <w:r w:rsidRPr="008343BA">
        <w:rPr>
          <w:b/>
        </w:rPr>
        <w:t>INTRODUCTION</w:t>
      </w:r>
    </w:p>
    <w:p w14:paraId="75AE8D08" w14:textId="482F7DCF" w:rsidR="005272C9" w:rsidRDefault="00A23E86" w:rsidP="00195498">
      <w:pPr>
        <w:spacing w:line="480" w:lineRule="auto"/>
      </w:pPr>
      <w:r>
        <w:lastRenderedPageBreak/>
        <w:t xml:space="preserve">The concepts of tolerance and </w:t>
      </w:r>
      <w:r w:rsidR="002A4138">
        <w:t xml:space="preserve">resistance </w:t>
      </w:r>
      <w:r>
        <w:t xml:space="preserve">form the cornerstones </w:t>
      </w:r>
      <w:r w:rsidR="00B044EE">
        <w:t xml:space="preserve">of </w:t>
      </w:r>
      <w:r>
        <w:t xml:space="preserve">theory </w:t>
      </w:r>
      <w:r w:rsidR="00B044EE">
        <w:t xml:space="preserve">on </w:t>
      </w:r>
      <w:r>
        <w:t xml:space="preserve">how plants allocate resources in the presence of herbivores </w:t>
      </w:r>
      <w:r w:rsidR="007F5C6A" w:rsidRPr="007F5C6A">
        <w:t>(Rhoades and Cates 1976, Strauss and Agrawal 1999, Stowe et al. 2000, Stamp 2003, Núñez-Farfán et al. 2007)</w:t>
      </w:r>
      <w:r>
        <w:t xml:space="preserve">.  </w:t>
      </w:r>
      <w:r w:rsidR="0003798C">
        <w:t xml:space="preserve">Tolerance has been defined as the ability of a plant to maintain </w:t>
      </w:r>
      <w:r w:rsidR="00A02DD5">
        <w:t xml:space="preserve">or even increase </w:t>
      </w:r>
      <w:r w:rsidR="0003798C">
        <w:t xml:space="preserve">fitness despite tissue losses due to herbivores, </w:t>
      </w:r>
      <w:r w:rsidR="00A02DD5">
        <w:t>and</w:t>
      </w:r>
      <w:r w:rsidR="0003798C">
        <w:t xml:space="preserve"> resistance is </w:t>
      </w:r>
      <w:r w:rsidR="00E726F4">
        <w:t xml:space="preserve">alternately </w:t>
      </w:r>
      <w:r w:rsidR="0003798C">
        <w:t xml:space="preserve">defined as the ability of a plant to reduce the damage caused by </w:t>
      </w:r>
      <w:r w:rsidR="00E726F4">
        <w:t xml:space="preserve">herbivores, </w:t>
      </w:r>
      <w:r w:rsidR="0003798C">
        <w:t xml:space="preserve">or </w:t>
      </w:r>
      <w:r w:rsidR="00E726F4">
        <w:t xml:space="preserve">the ability to reduce </w:t>
      </w:r>
      <w:r w:rsidR="0003798C">
        <w:t xml:space="preserve">growth </w:t>
      </w:r>
      <w:r w:rsidR="00E726F4">
        <w:t xml:space="preserve">of </w:t>
      </w:r>
      <w:r w:rsidR="0003798C">
        <w:t xml:space="preserve">its herbivores </w:t>
      </w:r>
      <w:r w:rsidR="000A342D" w:rsidRPr="000A342D">
        <w:t>(Strauss and Agrawal 1999, Stowe et al. 2000, Núñez-Farfán et al. 2007, Fornoni 2011)</w:t>
      </w:r>
      <w:r w:rsidR="0003798C">
        <w:t xml:space="preserve">. </w:t>
      </w:r>
      <w:r w:rsidR="00A76F47">
        <w:t>Over the past two decades</w:t>
      </w:r>
      <w:r w:rsidR="00E726F4">
        <w:t>,</w:t>
      </w:r>
      <w:r w:rsidR="00A76F47">
        <w:t xml:space="preserve"> studies have established better ways to define tolerance </w:t>
      </w:r>
      <w:r w:rsidR="007F5C6A" w:rsidRPr="007F5C6A">
        <w:t>(Strauss and Agrawal 1999, Simms 2000)</w:t>
      </w:r>
      <w:r w:rsidR="00A76F47">
        <w:t xml:space="preserve">, uncovered plant traits and genes that govern tolerance </w:t>
      </w:r>
      <w:r w:rsidR="007F5C6A" w:rsidRPr="007F5C6A">
        <w:t>(</w:t>
      </w:r>
      <w:r w:rsidR="00282035">
        <w:t xml:space="preserve">Weinig et al. 2003, </w:t>
      </w:r>
      <w:r w:rsidR="007F5C6A" w:rsidRPr="007F5C6A">
        <w:t>Schwachtje et al. 2006, Erb et al. 2009, Scholes and Paige 2011, Siddappaji et al. 2013</w:t>
      </w:r>
      <w:r w:rsidR="005B59F4">
        <w:t>, Scholes and Paige 2014</w:t>
      </w:r>
      <w:r w:rsidR="007F5C6A" w:rsidRPr="007F5C6A">
        <w:t>)</w:t>
      </w:r>
      <w:r w:rsidR="00A76F47">
        <w:t xml:space="preserve">, and posed eco-evolutionary hypotheses </w:t>
      </w:r>
      <w:r w:rsidR="00E726F4">
        <w:t xml:space="preserve">to </w:t>
      </w:r>
      <w:r w:rsidR="00A76F47">
        <w:t xml:space="preserve">predict which plants should tolerate herbivores and what evolutionary processes might drive those patterns </w:t>
      </w:r>
      <w:r w:rsidR="008A7F29" w:rsidRPr="008A7F29">
        <w:t xml:space="preserve">(Simms and Triplett 1994, </w:t>
      </w:r>
      <w:r w:rsidR="00E82E98">
        <w:t xml:space="preserve">Stowe 1998, </w:t>
      </w:r>
      <w:r w:rsidR="008A7F29" w:rsidRPr="008A7F29">
        <w:t>Tiffin et al. 1999, Stevens et al. 2007, Fornoni 2011)</w:t>
      </w:r>
      <w:r w:rsidR="00A76F47">
        <w:t xml:space="preserve">.  </w:t>
      </w:r>
      <w:r w:rsidR="00B044EE">
        <w:t xml:space="preserve"> </w:t>
      </w:r>
    </w:p>
    <w:p w14:paraId="7206E8D4" w14:textId="783B1586" w:rsidR="00A64FCA" w:rsidRDefault="005272C9" w:rsidP="00195498">
      <w:pPr>
        <w:spacing w:line="480" w:lineRule="auto"/>
      </w:pPr>
      <w:r w:rsidRPr="00E45E6F">
        <w:tab/>
      </w:r>
      <w:r w:rsidR="00405A11" w:rsidRPr="00E45E6F">
        <w:t>Eco-evolutionary studies have made significant headway in describing life history traits of plant</w:t>
      </w:r>
      <w:r w:rsidR="0022589F" w:rsidRPr="00E45E6F">
        <w:t>s</w:t>
      </w:r>
      <w:r w:rsidR="00405A11" w:rsidRPr="00E45E6F">
        <w:t xml:space="preserve"> </w:t>
      </w:r>
      <w:r w:rsidR="00E726F4" w:rsidRPr="00E45E6F">
        <w:t>posited to be</w:t>
      </w:r>
      <w:r w:rsidR="00C9589A" w:rsidRPr="00E45E6F">
        <w:t xml:space="preserve"> </w:t>
      </w:r>
      <w:r w:rsidR="00405A11" w:rsidRPr="00E45E6F">
        <w:t xml:space="preserve">associated with herbivore tolerance, primarily through the use of genetic correlations and selection experiments </w:t>
      </w:r>
      <w:r w:rsidR="00E45F03" w:rsidRPr="00E45E6F">
        <w:t xml:space="preserve">among genotypes </w:t>
      </w:r>
      <w:r w:rsidR="00405A11" w:rsidRPr="00E45E6F">
        <w:t xml:space="preserve">within plant species.  </w:t>
      </w:r>
      <w:r w:rsidR="00793269" w:rsidRPr="00E45E6F">
        <w:t xml:space="preserve"> </w:t>
      </w:r>
      <w:r w:rsidR="00405A11" w:rsidRPr="00E45E6F">
        <w:t xml:space="preserve">These studies have </w:t>
      </w:r>
      <w:r w:rsidR="00BD3108" w:rsidRPr="00E45E6F">
        <w:t xml:space="preserve">tested </w:t>
      </w:r>
      <w:r w:rsidR="00793269" w:rsidRPr="00E45E6F">
        <w:t xml:space="preserve">relationships between tolerance and </w:t>
      </w:r>
      <w:r w:rsidR="00BD3108" w:rsidRPr="00E45E6F">
        <w:t xml:space="preserve">plant traits that influence </w:t>
      </w:r>
      <w:r w:rsidR="00793269" w:rsidRPr="00E45E6F">
        <w:t xml:space="preserve">the timing of herbivory </w:t>
      </w:r>
      <w:r w:rsidR="000E7EB8" w:rsidRPr="00E45E6F">
        <w:t xml:space="preserve">(Juenger et al. 2000, Weinig et al. 2003, Lehndal and </w:t>
      </w:r>
      <w:r w:rsidR="00F9554C" w:rsidRPr="00E45E6F">
        <w:t>Å</w:t>
      </w:r>
      <w:r w:rsidR="000E7EB8" w:rsidRPr="00E45E6F">
        <w:t>gren 2015)</w:t>
      </w:r>
      <w:r w:rsidR="00793269" w:rsidRPr="00E45E6F">
        <w:t xml:space="preserve">, </w:t>
      </w:r>
      <w:r w:rsidR="00BD3108" w:rsidRPr="00E45E6F">
        <w:t xml:space="preserve">resistance </w:t>
      </w:r>
      <w:r w:rsidR="0008506C" w:rsidRPr="00E45E6F">
        <w:t>(</w:t>
      </w:r>
      <w:r w:rsidR="00E45E6F">
        <w:t xml:space="preserve">Leimu and Koricheva 2006, </w:t>
      </w:r>
      <w:r w:rsidR="0008506C" w:rsidRPr="00E45E6F">
        <w:t xml:space="preserve">Stevens et al. 2007, Fornoni 2011, Oduor et al. 2011), and </w:t>
      </w:r>
      <w:r w:rsidR="00BD3108" w:rsidRPr="00E45E6F">
        <w:t xml:space="preserve">growth / </w:t>
      </w:r>
      <w:r w:rsidR="0008506C" w:rsidRPr="00E45E6F">
        <w:t>resource</w:t>
      </w:r>
      <w:r w:rsidR="00BD3108" w:rsidRPr="00E45E6F">
        <w:t xml:space="preserve"> acquisition</w:t>
      </w:r>
      <w:r w:rsidR="0008506C" w:rsidRPr="00E45E6F">
        <w:t xml:space="preserve"> (</w:t>
      </w:r>
      <w:r w:rsidR="00BD3108" w:rsidRPr="00E45E6F">
        <w:t>Stevens et al. 2007, Oduor et al. 2011</w:t>
      </w:r>
      <w:r w:rsidR="0008506C" w:rsidRPr="00E45E6F">
        <w:t>)</w:t>
      </w:r>
      <w:r w:rsidR="00BD3108" w:rsidRPr="00E45E6F">
        <w:t>.</w:t>
      </w:r>
      <w:r w:rsidR="0008506C" w:rsidRPr="00E45E6F">
        <w:t xml:space="preserve">  </w:t>
      </w:r>
      <w:r w:rsidR="00E45E6F">
        <w:t xml:space="preserve">Taken together, studies of intraspecific relationships between tolerance, resistance, and other plant traits paint a complicated picture of the constraints to tolerance </w:t>
      </w:r>
      <w:r w:rsidR="00E45E6F">
        <w:lastRenderedPageBreak/>
        <w:t xml:space="preserve">because tolerance is related to plant traits in different ways in different plant species (Leimu </w:t>
      </w:r>
      <w:r w:rsidR="00724EC4">
        <w:t>and</w:t>
      </w:r>
      <w:r w:rsidR="00E45E6F">
        <w:t xml:space="preserve"> Koricheva 2006, N</w:t>
      </w:r>
      <w:r w:rsidR="000815BE">
        <w:t>ú</w:t>
      </w:r>
      <w:r w:rsidR="00E45E6F">
        <w:t>ñez-Farf</w:t>
      </w:r>
      <w:r w:rsidR="000815BE">
        <w:t>á</w:t>
      </w:r>
      <w:r w:rsidR="00E45E6F">
        <w:t xml:space="preserve">n et al 2007).  </w:t>
      </w:r>
    </w:p>
    <w:p w14:paraId="4D3029C7" w14:textId="0EC4CB24" w:rsidR="00972155" w:rsidRDefault="00A64FCA" w:rsidP="00B17AC8">
      <w:pPr>
        <w:spacing w:line="480" w:lineRule="auto"/>
        <w:ind w:firstLine="720"/>
      </w:pPr>
      <w:r>
        <w:t>In contrast to the bulk of studies</w:t>
      </w:r>
      <w:r w:rsidR="000815BE">
        <w:t>, many of the original evolutionary arguments proposing relationships between tolerance, resistance, and other plant traits were conceived of as macroevolutionary hypotheses that would account for differences in tolerance among plant species (Coley et al. 1985, van der Meijden et al. 1988), but which subsequently received attention primarily at the intraspecific level, probably due to better methods for modeling intraspecific than interspecific evolution at the time (e.g. Simms and Triplet 1994).   As a result, fewer</w:t>
      </w:r>
      <w:r w:rsidR="000815BE" w:rsidRPr="00E45E6F">
        <w:t xml:space="preserve"> </w:t>
      </w:r>
      <w:r w:rsidR="00793269" w:rsidRPr="00E45E6F">
        <w:t xml:space="preserve">studies have addressed variation in tolerance among species, </w:t>
      </w:r>
      <w:r w:rsidR="00DA7AB2">
        <w:t>and constraints to tolerance at the interspecific level (Coley et al 1985, v</w:t>
      </w:r>
      <w:r w:rsidR="00B34F83">
        <w:t>a</w:t>
      </w:r>
      <w:r w:rsidR="00DA7AB2">
        <w:t xml:space="preserve">n der Meijden et al 1988, Fine et al 2006, Agrawal and Fishbein 2008).  </w:t>
      </w:r>
      <w:r>
        <w:t>Below, we discuss hypothesized relationships between tolerance and plant traits and growing conditions</w:t>
      </w:r>
      <w:r w:rsidR="00B96A22">
        <w:t>, and the evidence supporting these hypotheses to date</w:t>
      </w:r>
      <w:r>
        <w:t>.</w:t>
      </w:r>
    </w:p>
    <w:p w14:paraId="596A7DED" w14:textId="22CF044F" w:rsidR="00A23E86" w:rsidRPr="00CE39CC" w:rsidRDefault="00CE39CC" w:rsidP="00195498">
      <w:pPr>
        <w:spacing w:line="480" w:lineRule="auto"/>
      </w:pPr>
      <w:r w:rsidRPr="00CE39CC">
        <w:rPr>
          <w:b/>
        </w:rPr>
        <w:t>1)</w:t>
      </w:r>
      <w:r>
        <w:rPr>
          <w:b/>
          <w:i/>
        </w:rPr>
        <w:t xml:space="preserve"> </w:t>
      </w:r>
      <w:r w:rsidRPr="00CE39CC">
        <w:rPr>
          <w:b/>
          <w:i/>
        </w:rPr>
        <w:t>Tolerance-resistance trade</w:t>
      </w:r>
      <w:r w:rsidR="00EC4084">
        <w:rPr>
          <w:b/>
          <w:i/>
        </w:rPr>
        <w:t>-</w:t>
      </w:r>
      <w:r w:rsidRPr="00CE39CC">
        <w:rPr>
          <w:b/>
          <w:i/>
        </w:rPr>
        <w:t>off</w:t>
      </w:r>
      <w:r w:rsidR="00A00E33">
        <w:rPr>
          <w:b/>
          <w:i/>
        </w:rPr>
        <w:t xml:space="preserve"> and plant defense syndromes</w:t>
      </w:r>
      <w:r>
        <w:t xml:space="preserve">.  </w:t>
      </w:r>
    </w:p>
    <w:p w14:paraId="3ED67034" w14:textId="2F52F46D" w:rsidR="007D723C" w:rsidRPr="00A35C03" w:rsidRDefault="00405733" w:rsidP="00B17AC8">
      <w:pPr>
        <w:spacing w:line="480" w:lineRule="auto"/>
      </w:pPr>
      <w:r>
        <w:t>Negative correlations (or trade</w:t>
      </w:r>
      <w:r w:rsidR="00EC4084">
        <w:t>-</w:t>
      </w:r>
      <w:r>
        <w:t>offs) between tolerance and resistance have been an expectat</w:t>
      </w:r>
      <w:r w:rsidR="00DD6A45">
        <w:t xml:space="preserve">ion of models of plant defense </w:t>
      </w:r>
      <w:r w:rsidR="00DD3C77" w:rsidRPr="00DD3C77">
        <w:t>(</w:t>
      </w:r>
      <w:r w:rsidR="00BD64B2">
        <w:t xml:space="preserve">Coley et al. 1985, van der Meijden et al. 1988, </w:t>
      </w:r>
      <w:r w:rsidR="00DD3C77" w:rsidRPr="00DD3C77">
        <w:t>Simms and Triplett 1994</w:t>
      </w:r>
      <w:r w:rsidR="00D22D7B">
        <w:t>, Fineblum and Rauscher 1995</w:t>
      </w:r>
      <w:r w:rsidR="00DD3C77" w:rsidRPr="00DD3C77">
        <w:t>)</w:t>
      </w:r>
      <w:r>
        <w:t xml:space="preserve">.  </w:t>
      </w:r>
      <w:r w:rsidR="00E45F03">
        <w:t xml:space="preserve">The logic underlying this prediction is that, if </w:t>
      </w:r>
      <w:r>
        <w:t xml:space="preserve">a plant resists </w:t>
      </w:r>
      <w:r w:rsidR="0083040F">
        <w:t xml:space="preserve">herbivory </w:t>
      </w:r>
      <w:r w:rsidR="00E45F03">
        <w:t>such</w:t>
      </w:r>
      <w:r>
        <w:t xml:space="preserve"> that </w:t>
      </w:r>
      <w:r w:rsidR="0083040F">
        <w:t xml:space="preserve">it does not receive </w:t>
      </w:r>
      <w:r>
        <w:t xml:space="preserve">damage, selection </w:t>
      </w:r>
      <w:r w:rsidR="008F3B9A">
        <w:t xml:space="preserve">should </w:t>
      </w:r>
      <w:r>
        <w:t xml:space="preserve">not </w:t>
      </w:r>
      <w:r w:rsidR="0083040F">
        <w:t xml:space="preserve">favor </w:t>
      </w:r>
      <w:r>
        <w:t>tolerance</w:t>
      </w:r>
      <w:r w:rsidR="00E45F03">
        <w:t xml:space="preserve"> of damage</w:t>
      </w:r>
      <w:r>
        <w:t xml:space="preserve">.  </w:t>
      </w:r>
      <w:r w:rsidR="00E45F03">
        <w:t>As a corollary</w:t>
      </w:r>
      <w:r>
        <w:t xml:space="preserve">, if plants tolerate </w:t>
      </w:r>
      <w:r w:rsidR="0083040F">
        <w:t xml:space="preserve">loss of tissue to </w:t>
      </w:r>
      <w:r w:rsidR="008F3B9A">
        <w:t xml:space="preserve">herbivores </w:t>
      </w:r>
      <w:r w:rsidR="00E45F03">
        <w:t xml:space="preserve">with minimal fitness loss, </w:t>
      </w:r>
      <w:r w:rsidR="0083040F">
        <w:t xml:space="preserve">then </w:t>
      </w:r>
      <w:r>
        <w:t xml:space="preserve">selection </w:t>
      </w:r>
      <w:r w:rsidR="008F3B9A">
        <w:t xml:space="preserve">should </w:t>
      </w:r>
      <w:r>
        <w:t xml:space="preserve">not favor </w:t>
      </w:r>
      <w:r w:rsidR="0083040F">
        <w:t>investment in resistance</w:t>
      </w:r>
      <w:r w:rsidR="008F3B9A">
        <w:t xml:space="preserve"> to herbivores</w:t>
      </w:r>
      <w:r>
        <w:t xml:space="preserve">.  </w:t>
      </w:r>
      <w:r w:rsidR="007266C9">
        <w:t xml:space="preserve">Thus, tolerance and resistance </w:t>
      </w:r>
      <w:r w:rsidR="00FE7EBD">
        <w:t>have been predicted</w:t>
      </w:r>
      <w:r w:rsidR="007266C9">
        <w:t xml:space="preserve"> to negatively covary </w:t>
      </w:r>
      <w:r w:rsidR="00E45F03">
        <w:t xml:space="preserve">if there are </w:t>
      </w:r>
      <w:r w:rsidR="0083040F">
        <w:t xml:space="preserve">fitness </w:t>
      </w:r>
      <w:r w:rsidR="007266C9">
        <w:t>cost</w:t>
      </w:r>
      <w:r w:rsidR="0083040F">
        <w:t>s</w:t>
      </w:r>
      <w:r w:rsidR="007266C9">
        <w:t xml:space="preserve"> </w:t>
      </w:r>
      <w:r w:rsidR="0083040F">
        <w:t xml:space="preserve">of </w:t>
      </w:r>
      <w:r w:rsidR="007266C9">
        <w:t xml:space="preserve">tolerance and </w:t>
      </w:r>
      <w:r w:rsidR="002A4138">
        <w:t>resistance</w:t>
      </w:r>
      <w:r w:rsidR="00012AB6">
        <w:t>; this prediction was developed based on macroevolutionary</w:t>
      </w:r>
      <w:r w:rsidR="00A5446F">
        <w:t>,</w:t>
      </w:r>
      <w:r w:rsidR="00012AB6">
        <w:t xml:space="preserve"> across-species trade-offs </w:t>
      </w:r>
      <w:r w:rsidR="00437B1E">
        <w:t xml:space="preserve">(van der Meijden et al </w:t>
      </w:r>
      <w:r w:rsidR="00437B1E">
        <w:lastRenderedPageBreak/>
        <w:t>1988</w:t>
      </w:r>
      <w:r w:rsidR="00012AB6">
        <w:t>)</w:t>
      </w:r>
      <w:r w:rsidR="007266C9">
        <w:t xml:space="preserve">.  </w:t>
      </w:r>
      <w:r w:rsidR="00912C51">
        <w:t xml:space="preserve">While this logic is impeccable in theory, in </w:t>
      </w:r>
      <w:r>
        <w:t xml:space="preserve">practice, the majority of studies that look for tolerance-resistance relationships </w:t>
      </w:r>
      <w:r w:rsidR="0017509C">
        <w:t xml:space="preserve">look for them </w:t>
      </w:r>
      <w:r w:rsidRPr="0017509C">
        <w:t>within</w:t>
      </w:r>
      <w:r w:rsidRPr="00CB3ACE">
        <w:rPr>
          <w:i/>
        </w:rPr>
        <w:t xml:space="preserve"> </w:t>
      </w:r>
      <w:r>
        <w:t>species</w:t>
      </w:r>
      <w:r w:rsidR="0017509C">
        <w:t>, and typically</w:t>
      </w:r>
      <w:r>
        <w:t xml:space="preserve"> find no relationship</w:t>
      </w:r>
      <w:r w:rsidR="008F3B9A">
        <w:t>, or even positive ones</w:t>
      </w:r>
      <w:r>
        <w:t xml:space="preserve"> </w:t>
      </w:r>
      <w:r w:rsidR="000A342D" w:rsidRPr="000A342D">
        <w:t>(Tiffin et al. 1999, Leimu and Koricheva 2006, Núñez-Farfán et al. 2007, Stevens et al. 2007, Carmona and Fornoni 2013</w:t>
      </w:r>
      <w:r w:rsidR="00EC4084">
        <w:t>)</w:t>
      </w:r>
      <w:r w:rsidR="000A342D">
        <w:t>.</w:t>
      </w:r>
      <w:r w:rsidR="00EC4084">
        <w:t xml:space="preserve"> </w:t>
      </w:r>
      <w:r w:rsidR="008B7C09">
        <w:t xml:space="preserve">A positive relationship between </w:t>
      </w:r>
      <w:r w:rsidR="002A4138">
        <w:t xml:space="preserve">resistance </w:t>
      </w:r>
      <w:r w:rsidR="008B7C09">
        <w:t xml:space="preserve">and tolerance </w:t>
      </w:r>
      <w:r w:rsidR="00793269">
        <w:t>might</w:t>
      </w:r>
      <w:r w:rsidR="008F3B9A">
        <w:t xml:space="preserve"> be </w:t>
      </w:r>
      <w:r w:rsidR="008B7C09">
        <w:t>expected for several reasons</w:t>
      </w:r>
      <w:r w:rsidR="00D76AB1">
        <w:t>, for example</w:t>
      </w:r>
      <w:r w:rsidR="008B7C09">
        <w:t xml:space="preserve">: because resource acquisition </w:t>
      </w:r>
      <w:r w:rsidR="00D76AB1">
        <w:t xml:space="preserve">processes </w:t>
      </w:r>
      <w:r w:rsidR="008B7C09">
        <w:t xml:space="preserve">change the ability to invest in </w:t>
      </w:r>
      <w:r w:rsidR="000E7EB8">
        <w:t xml:space="preserve">both </w:t>
      </w:r>
      <w:r w:rsidR="008B7C09">
        <w:t>tol</w:t>
      </w:r>
      <w:r w:rsidR="000B70AF">
        <w:t>erance and resistance</w:t>
      </w:r>
      <w:r w:rsidR="008B7C09">
        <w:t xml:space="preserve">, because costs of tolerance and resistance are mediated by factors other than internal resource allocation, and because plants that experience high herbivore pressure </w:t>
      </w:r>
      <w:r w:rsidR="00E45F03">
        <w:t xml:space="preserve">may </w:t>
      </w:r>
      <w:r w:rsidR="008B7C09">
        <w:t xml:space="preserve">benefit from both strategies </w:t>
      </w:r>
      <w:r w:rsidR="000B70AF" w:rsidRPr="00A35C03">
        <w:t>(Stowe et al. 2000, Fornoni et al. 2004, Núñez-Farfán et al. 2007, Krimmel and Pearse 2016)</w:t>
      </w:r>
      <w:r w:rsidR="0017509C">
        <w:t xml:space="preserve">. Moreover, within-species variation may not be great enough to test a hypothesis developed for differences in tolerance and resistance across species, for which the range in trait values is much greater. </w:t>
      </w:r>
    </w:p>
    <w:p w14:paraId="5973AC0B" w14:textId="0433238E" w:rsidR="008D0852" w:rsidRPr="00DA14A5" w:rsidRDefault="00A35C03" w:rsidP="002E64D9">
      <w:pPr>
        <w:spacing w:line="480" w:lineRule="auto"/>
      </w:pPr>
      <w:r w:rsidRPr="00A35C03">
        <w:rPr>
          <w:b/>
        </w:rPr>
        <w:t>2</w:t>
      </w:r>
      <w:r w:rsidRPr="00A35C03">
        <w:rPr>
          <w:b/>
          <w:i/>
        </w:rPr>
        <w:t>) Resource availability and tolerance</w:t>
      </w:r>
      <w:r w:rsidRPr="00A35C03">
        <w:t xml:space="preserve">.  </w:t>
      </w:r>
      <w:r w:rsidR="002E64D9">
        <w:t xml:space="preserve">Initial theories relating tolerance to resistance created explicit expectations about the relationship between tolerance and traits that allow a plant to </w:t>
      </w:r>
      <w:r w:rsidR="00B96A22">
        <w:t>grow in low resource habita</w:t>
      </w:r>
      <w:r w:rsidR="00790A60">
        <w:t xml:space="preserve">ts at the interspecific level. </w:t>
      </w:r>
      <w:r w:rsidR="002E64D9" w:rsidRPr="00A35C03">
        <w:t xml:space="preserve">The Resource Availability Hypothesis (RAH) predicts species living under low </w:t>
      </w:r>
      <w:r w:rsidR="002E64D9">
        <w:t>resources</w:t>
      </w:r>
      <w:r w:rsidR="002E64D9" w:rsidRPr="00A35C03">
        <w:t xml:space="preserve"> should have </w:t>
      </w:r>
      <w:r w:rsidR="003748F0">
        <w:t xml:space="preserve">high investment in </w:t>
      </w:r>
      <w:r w:rsidR="006D7295">
        <w:t>resistance traits</w:t>
      </w:r>
      <w:r w:rsidR="003748F0">
        <w:t xml:space="preserve">. Recent calls have been made to </w:t>
      </w:r>
      <w:r w:rsidR="008D0852">
        <w:t xml:space="preserve">more explicitly </w:t>
      </w:r>
      <w:r w:rsidR="003748F0">
        <w:t xml:space="preserve">include tolerance in this framework </w:t>
      </w:r>
      <w:r w:rsidR="00D63A21">
        <w:t>(Gianoli and Salgado-Luarte 2017)</w:t>
      </w:r>
      <w:r w:rsidR="003748F0">
        <w:t xml:space="preserve">. Under RAH, we predict </w:t>
      </w:r>
      <w:r w:rsidR="002E64D9" w:rsidRPr="00A35C03">
        <w:t>low tolerance</w:t>
      </w:r>
      <w:r w:rsidR="00D63A21">
        <w:t xml:space="preserve"> in low resource environments</w:t>
      </w:r>
      <w:r w:rsidR="003748F0">
        <w:t>, if there is</w:t>
      </w:r>
      <w:r w:rsidR="002E64D9" w:rsidRPr="00A35C03">
        <w:t xml:space="preserve"> </w:t>
      </w:r>
      <w:r w:rsidR="003748F0">
        <w:t xml:space="preserve">a trade-off between high levels of </w:t>
      </w:r>
      <w:r w:rsidR="006D7295">
        <w:t>resistance</w:t>
      </w:r>
      <w:r w:rsidR="003748F0">
        <w:t xml:space="preserve"> and </w:t>
      </w:r>
      <w:r w:rsidR="002E64D9" w:rsidRPr="00A35C03">
        <w:t>t</w:t>
      </w:r>
      <w:r w:rsidR="002E64D9">
        <w:t>o</w:t>
      </w:r>
      <w:r w:rsidR="002E64D9" w:rsidRPr="00A35C03">
        <w:t>leranc</w:t>
      </w:r>
      <w:r w:rsidR="002E64D9">
        <w:t>e</w:t>
      </w:r>
      <w:r w:rsidR="002E64D9" w:rsidRPr="00A35C03">
        <w:t xml:space="preserve"> </w:t>
      </w:r>
      <w:r w:rsidR="003748F0">
        <w:t>(Fine et</w:t>
      </w:r>
      <w:r w:rsidR="00D63A21">
        <w:t xml:space="preserve"> </w:t>
      </w:r>
      <w:r w:rsidR="003748F0">
        <w:t>al 2006</w:t>
      </w:r>
      <w:r w:rsidR="00D63A21">
        <w:t>; Gianoli and Salgado-Luarte 2017</w:t>
      </w:r>
      <w:r w:rsidR="003748F0">
        <w:t>)</w:t>
      </w:r>
      <w:r w:rsidR="00012AB6">
        <w:t xml:space="preserve">. </w:t>
      </w:r>
      <w:r w:rsidR="00736471">
        <w:t>For example, p</w:t>
      </w:r>
      <w:r w:rsidR="002E64D9" w:rsidRPr="00A35C03">
        <w:t>lants growing in stressful soils may have reduced ability to replace tissue lost to herbivores, and thus are predicted to have</w:t>
      </w:r>
      <w:r w:rsidR="002E64D9">
        <w:t xml:space="preserve"> high resistance and</w:t>
      </w:r>
      <w:r w:rsidR="002E64D9" w:rsidRPr="00A35C03">
        <w:t xml:space="preserve"> low tolerance (Fine et al 2006</w:t>
      </w:r>
      <w:r w:rsidR="00D63A21">
        <w:t>). I</w:t>
      </w:r>
      <w:r w:rsidR="003748F0">
        <w:t xml:space="preserve">ndeed, </w:t>
      </w:r>
      <w:r w:rsidR="00D63A21">
        <w:t>a recent study finds</w:t>
      </w:r>
      <w:r w:rsidR="003748F0">
        <w:t xml:space="preserve"> a strong relationship between relative growth rate</w:t>
      </w:r>
      <w:r w:rsidR="00D63A21">
        <w:t xml:space="preserve"> and</w:t>
      </w:r>
      <w:r w:rsidR="003748F0">
        <w:t xml:space="preserve"> </w:t>
      </w:r>
      <w:r w:rsidR="003748F0">
        <w:lastRenderedPageBreak/>
        <w:t>resource availabi</w:t>
      </w:r>
      <w:r w:rsidR="00D63A21">
        <w:t>l</w:t>
      </w:r>
      <w:r w:rsidR="003748F0">
        <w:t>ity</w:t>
      </w:r>
      <w:r w:rsidR="00D63A21">
        <w:t xml:space="preserve"> (negative),</w:t>
      </w:r>
      <w:r w:rsidR="003748F0">
        <w:t xml:space="preserve"> and </w:t>
      </w:r>
      <w:r w:rsidR="00D63A21">
        <w:t xml:space="preserve">relative growth rate and </w:t>
      </w:r>
      <w:r w:rsidR="003748F0">
        <w:t>tolerance</w:t>
      </w:r>
      <w:r w:rsidR="00D63A21">
        <w:t xml:space="preserve"> (positive)</w:t>
      </w:r>
      <w:r w:rsidR="003748F0">
        <w:t xml:space="preserve"> in tropical trees (</w:t>
      </w:r>
      <w:r w:rsidR="00D63A21">
        <w:t xml:space="preserve">Gianoli and Salgado-Luarte 2017). </w:t>
      </w:r>
      <w:r w:rsidR="0033603B">
        <w:t>Another prediction in relation to resources is that species living in limiting resource environments should allocate relative</w:t>
      </w:r>
      <w:r w:rsidR="00B7721A">
        <w:t>ly</w:t>
      </w:r>
      <w:r w:rsidR="0033603B">
        <w:t xml:space="preserve"> more resources to roots (Orians et al 2011); in turn, root allocation might help species tolerate damage and result in a positive relationship between tolerance and resource limitation mediated by root storage.  </w:t>
      </w:r>
      <w:r w:rsidR="00D63A21">
        <w:t>The RAH was developed, and has been largely tested, in the context of tropical tree communities with across-speci</w:t>
      </w:r>
      <w:r w:rsidR="00DA14A5">
        <w:t>es comparisons (Fine et al 2006,</w:t>
      </w:r>
      <w:r w:rsidR="00D63A21">
        <w:t xml:space="preserve"> Endara and Coley 2010, Gianoli and Salgado-Luarte 2017).</w:t>
      </w:r>
      <w:r w:rsidR="006A0AD4">
        <w:t xml:space="preserve"> That said, the mechanisms of </w:t>
      </w:r>
      <w:r w:rsidR="006A0AD4" w:rsidRPr="00DA14A5">
        <w:t xml:space="preserve">tolerance in trees is likely to differ greatly from those in </w:t>
      </w:r>
      <w:r w:rsidR="00DA14A5" w:rsidRPr="00DA14A5">
        <w:t>herbaceous species (Tiffin 2000,</w:t>
      </w:r>
      <w:r w:rsidR="006A0AD4" w:rsidRPr="00DA14A5">
        <w:t xml:space="preserve"> Haukioja and </w:t>
      </w:r>
      <w:r w:rsidR="00DA14A5" w:rsidRPr="00DA14A5">
        <w:t>Koricheva</w:t>
      </w:r>
      <w:r w:rsidR="006A0AD4" w:rsidRPr="00DA14A5">
        <w:t xml:space="preserve"> 2000</w:t>
      </w:r>
      <w:r w:rsidR="00DA14A5" w:rsidRPr="00DA14A5">
        <w:t>,</w:t>
      </w:r>
      <w:r w:rsidR="00EE280B" w:rsidRPr="00DA14A5">
        <w:t xml:space="preserve"> </w:t>
      </w:r>
      <w:r w:rsidR="00DA14A5" w:rsidRPr="00DA14A5">
        <w:t xml:space="preserve">Borowicz 2013, </w:t>
      </w:r>
      <w:r w:rsidR="00EE280B" w:rsidRPr="00DA14A5">
        <w:t>Massad 2013</w:t>
      </w:r>
      <w:r w:rsidR="006A0AD4" w:rsidRPr="00DA14A5">
        <w:t>).</w:t>
      </w:r>
    </w:p>
    <w:p w14:paraId="12083C2A" w14:textId="1C77CE58" w:rsidR="008D0852" w:rsidRDefault="008D0852" w:rsidP="00B96A22">
      <w:pPr>
        <w:spacing w:line="480" w:lineRule="auto"/>
      </w:pPr>
      <w:r w:rsidRPr="00DA14A5">
        <w:tab/>
        <w:t>Early theories that predicted</w:t>
      </w:r>
      <w:r>
        <w:t xml:space="preserve"> the role of environment on tolerance made compl</w:t>
      </w:r>
      <w:r w:rsidR="00B96A22">
        <w:t>e</w:t>
      </w:r>
      <w:r>
        <w:t xml:space="preserve">mentary predictions that plants of the same genotype (or with the same set of traits) who are exposed to environmental stress or resource limitation will be less tolerant of herbivory than those that </w:t>
      </w:r>
      <w:r w:rsidR="00B96A22">
        <w:t xml:space="preserve">grow </w:t>
      </w:r>
      <w:r>
        <w:t>in less stressful or resource rich environments (Maschinski et al. 1989).  Subsequent work demonstrated that stressful environments could actually result in greater tolerance for plants, in part because diverse additional stressors limited fitness often to a greater degree than damage (Hawkes and Sulliva</w:t>
      </w:r>
      <w:r w:rsidR="00661DBB">
        <w:t xml:space="preserve">n 2001, </w:t>
      </w:r>
      <w:r>
        <w:t>Wise and Abrahamson 2007).  A</w:t>
      </w:r>
      <w:r w:rsidRPr="00A35C03">
        <w:t>nother commonly limiting resource for plants is water availability</w:t>
      </w:r>
      <w:r w:rsidR="00B96A22">
        <w:t>, which might also mediate the ability of species to replace tissues lost to herbivores</w:t>
      </w:r>
      <w:r w:rsidRPr="00A35C03">
        <w:t xml:space="preserve">. A few studies have examined tolerance in relation to water as a limiting resource and the results have been mixed (Georgiadis et al. 1989, Nowatzki and Weiss </w:t>
      </w:r>
      <w:r w:rsidRPr="00A35C03">
        <w:lastRenderedPageBreak/>
        <w:t xml:space="preserve">1997, </w:t>
      </w:r>
      <w:r>
        <w:t xml:space="preserve">reviewed in </w:t>
      </w:r>
      <w:r w:rsidRPr="00A35C03">
        <w:t>Wise and Abrahamson 2007</w:t>
      </w:r>
      <w:r>
        <w:t>) and all have focused on within-species responses.</w:t>
      </w:r>
    </w:p>
    <w:p w14:paraId="2952186C" w14:textId="77777777" w:rsidR="00EF31C0" w:rsidRDefault="00EF31C0" w:rsidP="008D0852">
      <w:pPr>
        <w:spacing w:line="480" w:lineRule="auto"/>
      </w:pPr>
    </w:p>
    <w:p w14:paraId="70CCE4C9" w14:textId="3B33CA27" w:rsidR="004E0A82" w:rsidRDefault="005B0867" w:rsidP="004E0A82">
      <w:pPr>
        <w:spacing w:line="480" w:lineRule="auto"/>
      </w:pPr>
      <w:r w:rsidRPr="00030F65">
        <w:rPr>
          <w:b/>
        </w:rPr>
        <w:t>3)</w:t>
      </w:r>
      <w:r w:rsidRPr="00030F65">
        <w:rPr>
          <w:b/>
          <w:i/>
        </w:rPr>
        <w:t xml:space="preserve"> Tolerance-phenology relationship</w:t>
      </w:r>
      <w:r w:rsidR="005653BF" w:rsidRPr="00030F65">
        <w:rPr>
          <w:b/>
          <w:i/>
        </w:rPr>
        <w:t xml:space="preserve">  </w:t>
      </w:r>
      <w:r w:rsidR="00D849EC">
        <w:t xml:space="preserve"> </w:t>
      </w:r>
      <w:r w:rsidR="005C02C1">
        <w:t xml:space="preserve">Phenology-related traits have shown a close association to plant tolerance </w:t>
      </w:r>
      <w:r w:rsidR="00B96A22">
        <w:t xml:space="preserve">within species </w:t>
      </w:r>
      <w:r w:rsidR="005C02C1">
        <w:t xml:space="preserve">in several systems (Weinig et al 2003, </w:t>
      </w:r>
      <w:r w:rsidR="00E82E98">
        <w:t xml:space="preserve">Ehrlén </w:t>
      </w:r>
      <w:r w:rsidR="00724EC4">
        <w:t>and</w:t>
      </w:r>
      <w:r w:rsidR="00E82E98">
        <w:t xml:space="preserve"> Münzbergová 2009, </w:t>
      </w:r>
      <w:r w:rsidR="005C02C1">
        <w:t>Krimmel and Pearse 2015, Lehndal and Ågren 2015),</w:t>
      </w:r>
      <w:r w:rsidR="00E82E98">
        <w:t xml:space="preserve"> </w:t>
      </w:r>
      <w:r w:rsidR="005C02C1">
        <w:t>though the theories about the relationship between plant phenology and tolerance have not been as clearly formalized as those relating tolerance to resources or resistance</w:t>
      </w:r>
      <w:r w:rsidR="007F42EC">
        <w:t>.  A common prediction is</w:t>
      </w:r>
      <w:r w:rsidR="00221ED0">
        <w:t xml:space="preserve"> </w:t>
      </w:r>
      <w:r w:rsidR="004C664F">
        <w:t>that species that flower later</w:t>
      </w:r>
      <w:r w:rsidR="005C02C1">
        <w:t xml:space="preserve"> </w:t>
      </w:r>
      <w:r w:rsidR="004C664F">
        <w:t xml:space="preserve">relative to rosette formation or investment in vegetative growth have greater </w:t>
      </w:r>
      <w:r w:rsidR="005C02C1">
        <w:t>tolerance</w:t>
      </w:r>
      <w:r w:rsidR="007F42EC">
        <w:t xml:space="preserve"> in herbaceous species.</w:t>
      </w:r>
      <w:r w:rsidR="008D45B8">
        <w:t xml:space="preserve"> </w:t>
      </w:r>
      <w:r w:rsidR="004C664F">
        <w:t>T</w:t>
      </w:r>
      <w:r w:rsidR="005C02C1">
        <w:t xml:space="preserve">olerance may be </w:t>
      </w:r>
      <w:r w:rsidR="005C02C1" w:rsidRPr="004D7749">
        <w:t xml:space="preserve">constrained </w:t>
      </w:r>
      <w:r w:rsidR="005C02C1">
        <w:t>by early phenolog</w:t>
      </w:r>
      <w:r w:rsidR="004C664F">
        <w:t>y</w:t>
      </w:r>
      <w:r w:rsidR="005C02C1">
        <w:t xml:space="preserve"> because plants that flower and senesce early do not have time to </w:t>
      </w:r>
      <w:r w:rsidR="004C664F">
        <w:t>accumu</w:t>
      </w:r>
      <w:r w:rsidR="0033603B">
        <w:t>la</w:t>
      </w:r>
      <w:r w:rsidR="004C664F">
        <w:t xml:space="preserve">te resources allowing </w:t>
      </w:r>
      <w:r w:rsidR="005C02C1">
        <w:t>compensat</w:t>
      </w:r>
      <w:r w:rsidR="004C664F">
        <w:t>ion</w:t>
      </w:r>
      <w:r w:rsidR="005C02C1">
        <w:t xml:space="preserve"> for damage, whereas late-flowering plants </w:t>
      </w:r>
      <w:r w:rsidR="004C664F">
        <w:t xml:space="preserve">may </w:t>
      </w:r>
      <w:r w:rsidR="005C02C1">
        <w:t xml:space="preserve">have </w:t>
      </w:r>
      <w:r w:rsidR="0033603B">
        <w:t xml:space="preserve">such </w:t>
      </w:r>
      <w:r w:rsidR="005C02C1">
        <w:t xml:space="preserve">time.  In favor </w:t>
      </w:r>
      <w:r w:rsidR="004C664F">
        <w:t>of this</w:t>
      </w:r>
      <w:r w:rsidR="005C02C1">
        <w:t xml:space="preserve"> hypothesis, late-flowering, herbivore tolerant genotypes of </w:t>
      </w:r>
      <w:r w:rsidR="007F42EC">
        <w:t xml:space="preserve">annual </w:t>
      </w:r>
      <w:r w:rsidR="005C02C1" w:rsidRPr="007B5A2A">
        <w:rPr>
          <w:i/>
        </w:rPr>
        <w:t>Madia elegans</w:t>
      </w:r>
      <w:r w:rsidR="005C02C1">
        <w:t xml:space="preserve"> lost their herbivore tolerance when forced into an earlier phenology by an artificial bolting cue (Krimmel and Pearse 2015)</w:t>
      </w:r>
      <w:r w:rsidR="004E0A82">
        <w:t>, and later-flowering herbaceous annuals that receive early damage may have time to rebuild resources for tolerance (Trumble et al 1993</w:t>
      </w:r>
      <w:r w:rsidR="007F42EC">
        <w:t>)</w:t>
      </w:r>
      <w:r w:rsidR="005C02C1">
        <w:t xml:space="preserve">.  Second, early phenologies may cause </w:t>
      </w:r>
      <w:r w:rsidR="005C02C1" w:rsidRPr="004D7749">
        <w:t>relaxed selection</w:t>
      </w:r>
      <w:r w:rsidR="005C02C1">
        <w:t xml:space="preserve"> for tolerance because plants that reproduce and senesce early </w:t>
      </w:r>
      <w:r w:rsidR="004C664F">
        <w:t xml:space="preserve">may be </w:t>
      </w:r>
      <w:r w:rsidR="005C02C1">
        <w:t>more likely to escape herbivores altogether (e.g</w:t>
      </w:r>
      <w:r w:rsidR="005C02C1" w:rsidRPr="00F5764A">
        <w:t>. Bishop and Schemske 1998, Krimmel</w:t>
      </w:r>
      <w:r w:rsidR="005C02C1">
        <w:t xml:space="preserve"> and Pearse 2015).  </w:t>
      </w:r>
      <w:r w:rsidR="00221ED0">
        <w:t xml:space="preserve">Flowering phenology is not completely plastic, and studies that explore across-species patterns in flowering phenology often find phylogenetic signal (e.g. Anacker and Strauss 2014). Thus, relationships between phenology and tolerance </w:t>
      </w:r>
      <w:r w:rsidR="00221ED0">
        <w:lastRenderedPageBreak/>
        <w:t>may apply across- as well as within-species.</w:t>
      </w:r>
      <w:r w:rsidR="00221ED0" w:rsidRPr="00221ED0">
        <w:t xml:space="preserve"> </w:t>
      </w:r>
      <w:r w:rsidR="00221ED0">
        <w:t>To date, no across-species predictions have been made in light of phenological constraints to our knowledge.</w:t>
      </w:r>
    </w:p>
    <w:p w14:paraId="15CE8A40" w14:textId="447F5CDF" w:rsidR="005C02C1" w:rsidRDefault="005C02C1" w:rsidP="00AA6AB4">
      <w:pPr>
        <w:spacing w:line="480" w:lineRule="auto"/>
        <w:ind w:firstLine="720"/>
      </w:pPr>
      <w:r w:rsidRPr="00B7721A">
        <w:t>The effects of plant phenology</w:t>
      </w:r>
      <w:r>
        <w:t xml:space="preserve"> traits on tolerance largely m</w:t>
      </w:r>
      <w:r w:rsidR="00B7721A">
        <w:t>irror</w:t>
      </w:r>
      <w:r>
        <w:t xml:space="preserve"> the results of studies </w:t>
      </w:r>
      <w:r w:rsidR="007F42EC">
        <w:t xml:space="preserve">exploring the impact of </w:t>
      </w:r>
      <w:r>
        <w:t>the timing of damage</w:t>
      </w:r>
      <w:r w:rsidR="007F42EC">
        <w:t xml:space="preserve"> on tolerance</w:t>
      </w:r>
      <w:r>
        <w:t xml:space="preserve">, which </w:t>
      </w:r>
      <w:r w:rsidR="007F42EC">
        <w:t xml:space="preserve">again have primarily been within-species, and on herbaceous monocarpic species </w:t>
      </w:r>
      <w:r>
        <w:t xml:space="preserve">(Maschinski and Whitham 1989, Trumble et al. 1993, </w:t>
      </w:r>
      <w:r w:rsidRPr="00523C9A">
        <w:t>Lowenberg 1994</w:t>
      </w:r>
      <w:r>
        <w:t xml:space="preserve">, </w:t>
      </w:r>
      <w:r w:rsidRPr="00523C9A">
        <w:t xml:space="preserve">Del-Val </w:t>
      </w:r>
      <w:r>
        <w:t>and Crawley 2005, Akiyama and Å</w:t>
      </w:r>
      <w:r w:rsidRPr="00523C9A">
        <w:t>gren 2012</w:t>
      </w:r>
      <w:r>
        <w:t xml:space="preserve">, Hoque and Avila-Sakar 2015).  Typically, compensation or overcompensation for damage has </w:t>
      </w:r>
      <w:r w:rsidR="00A5446F">
        <w:t xml:space="preserve">been documented in short-lived </w:t>
      </w:r>
      <w:r>
        <w:t>monocarpic plants experiencing browse that rem</w:t>
      </w:r>
      <w:r w:rsidR="00A5446F">
        <w:t xml:space="preserve">oves apical dominance and that </w:t>
      </w:r>
      <w:r>
        <w:t xml:space="preserve">(over)compensate through increased inflorescence production from branching, e.g., </w:t>
      </w:r>
      <w:r w:rsidRPr="00972155">
        <w:rPr>
          <w:i/>
        </w:rPr>
        <w:t>Ipomopsis aggregata</w:t>
      </w:r>
      <w:r>
        <w:t xml:space="preserve"> </w:t>
      </w:r>
      <w:r w:rsidRPr="00B335AC">
        <w:t>(Paige and Whitham 1987)</w:t>
      </w:r>
      <w:r>
        <w:t xml:space="preserve">, </w:t>
      </w:r>
      <w:r w:rsidRPr="00972155">
        <w:rPr>
          <w:i/>
        </w:rPr>
        <w:t>Gentianella campestris</w:t>
      </w:r>
      <w:r>
        <w:t xml:space="preserve"> </w:t>
      </w:r>
      <w:r w:rsidRPr="00B335AC">
        <w:t>(Juenger et al. 2000)</w:t>
      </w:r>
      <w:r>
        <w:t xml:space="preserve">, </w:t>
      </w:r>
      <w:r w:rsidRPr="00972155">
        <w:rPr>
          <w:i/>
        </w:rPr>
        <w:t>Erysimum strictum</w:t>
      </w:r>
      <w:r>
        <w:t xml:space="preserve"> </w:t>
      </w:r>
      <w:r w:rsidRPr="00AC7863">
        <w:t>(Huhta et al. 2000)</w:t>
      </w:r>
      <w:r>
        <w:t xml:space="preserve">, </w:t>
      </w:r>
      <w:r w:rsidRPr="00972155">
        <w:rPr>
          <w:i/>
        </w:rPr>
        <w:t>Arabidopsis thaliana</w:t>
      </w:r>
      <w:r>
        <w:t xml:space="preserve"> </w:t>
      </w:r>
      <w:r w:rsidRPr="00AC7863">
        <w:t>(Weinig et al. 2003)</w:t>
      </w:r>
      <w:r>
        <w:t>;</w:t>
      </w:r>
      <w:r w:rsidRPr="00524229">
        <w:t xml:space="preserve"> </w:t>
      </w:r>
      <w:r w:rsidRPr="00AA6AB4">
        <w:rPr>
          <w:i/>
        </w:rPr>
        <w:t>Actinocephalus polyanthus</w:t>
      </w:r>
      <w:r>
        <w:t xml:space="preserve"> (Tito et al 2016).   In </w:t>
      </w:r>
      <w:r w:rsidR="004E0A82">
        <w:t xml:space="preserve">many of </w:t>
      </w:r>
      <w:r>
        <w:t>these cases, tolerance has been shown to increase when damage occurs early in the season and plants have time to regrow and/or accumulate more resources.</w:t>
      </w:r>
      <w:r w:rsidR="00392093">
        <w:t xml:space="preserve"> Again, across-</w:t>
      </w:r>
      <w:r w:rsidR="007F42EC">
        <w:t>species comparisons on the effects of timing of herbivory have not been conducted to our knowledge.</w:t>
      </w:r>
    </w:p>
    <w:p w14:paraId="53710C1A" w14:textId="77777777" w:rsidR="005C02C1" w:rsidRDefault="005C02C1" w:rsidP="005C02C1">
      <w:pPr>
        <w:spacing w:line="480" w:lineRule="auto"/>
        <w:ind w:firstLine="720"/>
      </w:pPr>
    </w:p>
    <w:p w14:paraId="78543A84" w14:textId="26BE8F00" w:rsidR="00D6756D" w:rsidRDefault="00E75DF5" w:rsidP="00523C9A">
      <w:pPr>
        <w:spacing w:line="480" w:lineRule="auto"/>
      </w:pPr>
      <w:r w:rsidRPr="00F169E6">
        <w:rPr>
          <w:b/>
        </w:rPr>
        <w:t>General approach</w:t>
      </w:r>
      <w:r>
        <w:rPr>
          <w:b/>
        </w:rPr>
        <w:t xml:space="preserve"> and predictions</w:t>
      </w:r>
      <w:r>
        <w:t xml:space="preserve">. </w:t>
      </w:r>
      <w:r w:rsidR="00EA13EB">
        <w:t>W</w:t>
      </w:r>
      <w:r w:rsidR="00D6756D">
        <w:t xml:space="preserve">e used </w:t>
      </w:r>
      <w:r w:rsidR="00A00E33">
        <w:t>a comparative framework</w:t>
      </w:r>
      <w:r w:rsidR="00D6756D">
        <w:t xml:space="preserve"> to</w:t>
      </w:r>
      <w:r w:rsidR="00A5446F">
        <w:t xml:space="preserve"> ask</w:t>
      </w:r>
      <w:r w:rsidR="00012AB6">
        <w:t>: Are tolerance and resistance</w:t>
      </w:r>
      <w:r w:rsidR="00B73BEC">
        <w:t xml:space="preserve"> </w:t>
      </w:r>
      <w:r w:rsidR="00012AB6">
        <w:t>conserved traits? Are there trade-offs between</w:t>
      </w:r>
      <w:r w:rsidR="00D6756D">
        <w:t xml:space="preserve"> tolerance and </w:t>
      </w:r>
      <w:r w:rsidR="00B73BEC">
        <w:t>resistance</w:t>
      </w:r>
      <w:r w:rsidR="00012AB6">
        <w:t xml:space="preserve">, tolerance and </w:t>
      </w:r>
      <w:r w:rsidR="00D6756D">
        <w:t>resource use traits</w:t>
      </w:r>
      <w:r w:rsidR="00661DBB">
        <w:t xml:space="preserve"> (drought adaptation / edaphic specialization)</w:t>
      </w:r>
      <w:r w:rsidR="00D6756D">
        <w:t>, and tolerance and phenology</w:t>
      </w:r>
      <w:r w:rsidR="00EA13EB">
        <w:t xml:space="preserve"> among 14 taxa in the </w:t>
      </w:r>
      <w:r w:rsidR="00EA13EB" w:rsidRPr="00661DBB">
        <w:rPr>
          <w:i/>
        </w:rPr>
        <w:t>Streptanthus</w:t>
      </w:r>
      <w:r w:rsidR="00EA13EB">
        <w:t xml:space="preserve"> (s.l.) clade (</w:t>
      </w:r>
      <w:r w:rsidR="000A695B">
        <w:t xml:space="preserve">hereafter </w:t>
      </w:r>
      <w:r w:rsidR="000A695B" w:rsidRPr="00661DBB">
        <w:rPr>
          <w:i/>
        </w:rPr>
        <w:t>Streptanthus</w:t>
      </w:r>
      <w:r w:rsidR="000A695B">
        <w:t>), which are annual or short-lived monocarpic herbaceous mustards (Brassicaceae)</w:t>
      </w:r>
      <w:r w:rsidR="00D6756D">
        <w:t xml:space="preserve">.  </w:t>
      </w:r>
      <w:r w:rsidR="00B73BEC">
        <w:t>To incorporate contextual variation</w:t>
      </w:r>
      <w:r w:rsidR="00D6756D">
        <w:t xml:space="preserve">, </w:t>
      </w:r>
      <w:r w:rsidR="00B73BEC">
        <w:t xml:space="preserve">and </w:t>
      </w:r>
      <w:r w:rsidR="006A0AD4">
        <w:t>effects on the detection of</w:t>
      </w:r>
      <w:r w:rsidR="00B73BEC">
        <w:t xml:space="preserve"> </w:t>
      </w:r>
      <w:r w:rsidR="00B73BEC">
        <w:lastRenderedPageBreak/>
        <w:t xml:space="preserve">macro-evolutionary trade-offs, </w:t>
      </w:r>
      <w:r w:rsidR="00D6756D">
        <w:t xml:space="preserve">we manipulated the type of damage tolerated, the type of herbivore resisted, and the soil condition </w:t>
      </w:r>
      <w:r w:rsidR="00EA13EB">
        <w:t>in which plants grew</w:t>
      </w:r>
      <w:r w:rsidR="00B73BEC">
        <w:t>.</w:t>
      </w:r>
      <w:r w:rsidR="00012AB6">
        <w:t xml:space="preserve"> </w:t>
      </w:r>
    </w:p>
    <w:p w14:paraId="4884E3A0" w14:textId="77777777" w:rsidR="008966CC" w:rsidRDefault="00D6756D" w:rsidP="00EA13EB">
      <w:pPr>
        <w:spacing w:line="480" w:lineRule="auto"/>
      </w:pPr>
      <w:r>
        <w:tab/>
      </w:r>
      <w:r w:rsidR="00EA13EB">
        <w:t xml:space="preserve">Based on the above hypotheses and existing mixed evidence for trade-offs, </w:t>
      </w:r>
    </w:p>
    <w:p w14:paraId="4096A1E8" w14:textId="6E4B3D13" w:rsidR="008966CC" w:rsidRDefault="00EA13EB" w:rsidP="00B17AC8">
      <w:pPr>
        <w:spacing w:line="480" w:lineRule="auto"/>
        <w:ind w:left="720"/>
      </w:pPr>
      <w:r>
        <w:t>(1) we had no</w:t>
      </w:r>
      <w:r w:rsidR="00E95A8A">
        <w:t xml:space="preserve"> strong</w:t>
      </w:r>
      <w:r>
        <w:t xml:space="preserve"> </w:t>
      </w:r>
      <w:r w:rsidRPr="00B12543">
        <w:rPr>
          <w:i/>
        </w:rPr>
        <w:t>a priori</w:t>
      </w:r>
      <w:r>
        <w:t xml:space="preserve"> prediction</w:t>
      </w:r>
      <w:r w:rsidR="00012AB6">
        <w:t>s</w:t>
      </w:r>
      <w:r>
        <w:t xml:space="preserve"> </w:t>
      </w:r>
      <w:r w:rsidR="00012AB6">
        <w:t>for</w:t>
      </w:r>
      <w:r>
        <w:t xml:space="preserve"> the relationship between tolerance and resistance among </w:t>
      </w:r>
      <w:r w:rsidRPr="00972155">
        <w:rPr>
          <w:i/>
        </w:rPr>
        <w:t>Streptanthus</w:t>
      </w:r>
      <w:r>
        <w:t xml:space="preserve"> taxa</w:t>
      </w:r>
      <w:r w:rsidR="008966CC">
        <w:t>,</w:t>
      </w:r>
      <w:r w:rsidR="00E95A8A">
        <w:t xml:space="preserve"> </w:t>
      </w:r>
    </w:p>
    <w:p w14:paraId="6FC831D8" w14:textId="53597D16" w:rsidR="008966CC" w:rsidRDefault="00EA13EB" w:rsidP="00B17AC8">
      <w:pPr>
        <w:spacing w:line="480" w:lineRule="auto"/>
        <w:ind w:left="720"/>
      </w:pPr>
      <w:r>
        <w:t xml:space="preserve">(2) under the Resource Availability Hypothesis (RAH; Coley et al 1985, Fine et al. 2006), taxa </w:t>
      </w:r>
      <w:r w:rsidR="00B73BEC">
        <w:t>from low resource environments --</w:t>
      </w:r>
      <w:r>
        <w:t xml:space="preserve"> originat</w:t>
      </w:r>
      <w:r w:rsidR="00B73BEC">
        <w:t>ing</w:t>
      </w:r>
      <w:r>
        <w:t xml:space="preserve"> from drought-prone environments, </w:t>
      </w:r>
      <w:r w:rsidR="00012AB6">
        <w:t>or</w:t>
      </w:r>
      <w:r>
        <w:t xml:space="preserve"> from stressful serpentine soils </w:t>
      </w:r>
      <w:r w:rsidR="00B73BEC">
        <w:t xml:space="preserve">-- </w:t>
      </w:r>
      <w:r>
        <w:t xml:space="preserve">should be less tolerant of herbivory; </w:t>
      </w:r>
      <w:r w:rsidR="00392093">
        <w:t>alternatively, increased root allocation associated with limiting resources might increase tolerance (Orians et al 2011)</w:t>
      </w:r>
      <w:r w:rsidR="00B7721A">
        <w:t>,</w:t>
      </w:r>
      <w:r w:rsidR="00392093">
        <w:t xml:space="preserve"> </w:t>
      </w:r>
    </w:p>
    <w:p w14:paraId="4150E27E" w14:textId="6E2D17D0" w:rsidR="00392093" w:rsidRDefault="00EA13EB" w:rsidP="00B17AC8">
      <w:pPr>
        <w:spacing w:line="480" w:lineRule="auto"/>
        <w:ind w:left="720"/>
      </w:pPr>
      <w:r>
        <w:t xml:space="preserve">(3) we predicted that </w:t>
      </w:r>
      <w:r w:rsidRPr="00BA2318">
        <w:rPr>
          <w:i/>
        </w:rPr>
        <w:t>Streptanthus</w:t>
      </w:r>
      <w:r>
        <w:t xml:space="preserve"> taxa that flower later in the season, with more time to invest in resources in the rosette stage, should be more tolerant of herbivory. </w:t>
      </w:r>
    </w:p>
    <w:p w14:paraId="51568A0C" w14:textId="168FDC0B" w:rsidR="00EA13EB" w:rsidRDefault="007C7597" w:rsidP="00EA13EB">
      <w:pPr>
        <w:spacing w:line="480" w:lineRule="auto"/>
      </w:pPr>
      <w:r>
        <w:t xml:space="preserve">We </w:t>
      </w:r>
      <w:r w:rsidR="00012AB6">
        <w:t xml:space="preserve">also </w:t>
      </w:r>
      <w:r w:rsidR="00661DBB">
        <w:t xml:space="preserve">asked if tolerance to browse was </w:t>
      </w:r>
      <w:r>
        <w:t xml:space="preserve">correlated </w:t>
      </w:r>
      <w:r w:rsidR="00661DBB">
        <w:t xml:space="preserve">with tolerance to folivory </w:t>
      </w:r>
      <w:r>
        <w:t xml:space="preserve">among </w:t>
      </w:r>
      <w:r w:rsidRPr="002A42C2">
        <w:rPr>
          <w:i/>
        </w:rPr>
        <w:t>Streptanthus</w:t>
      </w:r>
      <w:r>
        <w:t xml:space="preserve"> taxa (i.e</w:t>
      </w:r>
      <w:r w:rsidR="00767735">
        <w:t>.</w:t>
      </w:r>
      <w:r>
        <w:t xml:space="preserve"> whether ‘tolerance’ can be considered a simple functional trait of plants or whether it depends on the nature of the herbivore).  Additionally, we tested whether soil type (raw field soil from plant population collection sites or potting soil) influenced our measures of tolerance or resistance</w:t>
      </w:r>
      <w:r w:rsidR="00392093">
        <w:t>, or trade-offs</w:t>
      </w:r>
      <w:r>
        <w:t xml:space="preserve">.  </w:t>
      </w:r>
    </w:p>
    <w:p w14:paraId="06A83AFA" w14:textId="6824C01B" w:rsidR="00D6756D" w:rsidRDefault="00D6756D" w:rsidP="00523C9A">
      <w:pPr>
        <w:spacing w:line="480" w:lineRule="auto"/>
      </w:pPr>
    </w:p>
    <w:p w14:paraId="56BC3117" w14:textId="52694E39" w:rsidR="00E75DF5" w:rsidRPr="006576C4" w:rsidRDefault="00E75DF5" w:rsidP="00195498">
      <w:pPr>
        <w:spacing w:line="480" w:lineRule="auto"/>
        <w:rPr>
          <w:b/>
        </w:rPr>
      </w:pPr>
      <w:r w:rsidRPr="006576C4">
        <w:rPr>
          <w:b/>
        </w:rPr>
        <w:t>METHODS</w:t>
      </w:r>
    </w:p>
    <w:p w14:paraId="640AB087" w14:textId="77777777" w:rsidR="00AB7BDE" w:rsidRDefault="00AB7BDE" w:rsidP="00195498">
      <w:pPr>
        <w:spacing w:line="480" w:lineRule="auto"/>
        <w:rPr>
          <w:b/>
          <w:i/>
        </w:rPr>
      </w:pPr>
      <w:r w:rsidRPr="001E6DA0">
        <w:rPr>
          <w:b/>
        </w:rPr>
        <w:t>Streptanthus</w:t>
      </w:r>
      <w:r w:rsidRPr="001E6DA0">
        <w:rPr>
          <w:b/>
          <w:i/>
        </w:rPr>
        <w:t xml:space="preserve"> natural history</w:t>
      </w:r>
      <w:r w:rsidR="0007488D">
        <w:rPr>
          <w:b/>
          <w:i/>
        </w:rPr>
        <w:t xml:space="preserve"> with regard to herbivores</w:t>
      </w:r>
    </w:p>
    <w:p w14:paraId="7C0FE82D" w14:textId="351287DF" w:rsidR="00E75DF5" w:rsidRDefault="006576C4" w:rsidP="00195498">
      <w:pPr>
        <w:spacing w:line="480" w:lineRule="auto"/>
      </w:pPr>
      <w:r w:rsidRPr="007A7654">
        <w:rPr>
          <w:i/>
        </w:rPr>
        <w:t>Streptanthus</w:t>
      </w:r>
      <w:r>
        <w:t xml:space="preserve"> </w:t>
      </w:r>
      <w:r w:rsidR="00A00E33">
        <w:t>(s.l.), includ</w:t>
      </w:r>
      <w:r w:rsidR="00B73BEC">
        <w:t>e</w:t>
      </w:r>
      <w:r w:rsidR="00A00E33">
        <w:t xml:space="preserve"> </w:t>
      </w:r>
      <w:r>
        <w:t>several allied genera</w:t>
      </w:r>
      <w:r w:rsidR="0017509C">
        <w:t xml:space="preserve"> (</w:t>
      </w:r>
      <w:r w:rsidR="0017509C" w:rsidRPr="00B21D50">
        <w:rPr>
          <w:i/>
        </w:rPr>
        <w:t>Caulanthus, Guillenia, Streptanthella, Stanleya</w:t>
      </w:r>
      <w:r w:rsidR="0017509C">
        <w:t>)</w:t>
      </w:r>
      <w:r w:rsidR="00E75DF5">
        <w:t>,</w:t>
      </w:r>
      <w:r w:rsidR="008F0D28">
        <w:t xml:space="preserve"> </w:t>
      </w:r>
      <w:r w:rsidR="00B73BEC">
        <w:t xml:space="preserve">and </w:t>
      </w:r>
      <w:r>
        <w:t xml:space="preserve">form a monophyletic clade within </w:t>
      </w:r>
      <w:r w:rsidR="00B73BEC">
        <w:t>Brassicaceae</w:t>
      </w:r>
      <w:r w:rsidR="00AF6ECD">
        <w:t xml:space="preserve"> (Cacho et al 2014</w:t>
      </w:r>
      <w:r w:rsidR="008F0D28">
        <w:t>)</w:t>
      </w:r>
      <w:r>
        <w:t xml:space="preserve">.  </w:t>
      </w:r>
      <w:r>
        <w:lastRenderedPageBreak/>
        <w:t xml:space="preserve">Members of this clade have an affinity to harsh abiotic habitats </w:t>
      </w:r>
      <w:r w:rsidR="00B73BEC">
        <w:t xml:space="preserve">like desert and barren scree slopes, and that are edaphically diverse, including </w:t>
      </w:r>
      <w:r>
        <w:t xml:space="preserve">serpentine formations.  </w:t>
      </w:r>
      <w:r w:rsidR="007A7654">
        <w:t xml:space="preserve">Many </w:t>
      </w:r>
      <w:r w:rsidR="007A7654" w:rsidRPr="007A7654">
        <w:rPr>
          <w:i/>
        </w:rPr>
        <w:t>Streptanthus</w:t>
      </w:r>
      <w:r w:rsidR="007A7654">
        <w:t xml:space="preserve"> species are endemic to California, and the clade is </w:t>
      </w:r>
      <w:r w:rsidR="008F0D28">
        <w:t xml:space="preserve">largely </w:t>
      </w:r>
      <w:r w:rsidR="007A7654">
        <w:t xml:space="preserve">restricted to Western North America.  </w:t>
      </w:r>
      <w:r w:rsidR="00E75DF5">
        <w:t>Typical h</w:t>
      </w:r>
      <w:r>
        <w:t>erbivore damage includ</w:t>
      </w:r>
      <w:r w:rsidR="00E75DF5">
        <w:t>es</w:t>
      </w:r>
      <w:r>
        <w:t xml:space="preserve"> </w:t>
      </w:r>
      <w:r w:rsidR="00E75DF5">
        <w:t xml:space="preserve">apical </w:t>
      </w:r>
      <w:r>
        <w:t xml:space="preserve">browsing by deer and rabbits as well as </w:t>
      </w:r>
      <w:r w:rsidR="00E75DF5">
        <w:t xml:space="preserve">flower and fruit apical </w:t>
      </w:r>
      <w:r>
        <w:t>damage</w:t>
      </w:r>
      <w:r w:rsidR="00E75DF5">
        <w:t xml:space="preserve"> by p</w:t>
      </w:r>
      <w:r w:rsidR="0017509C">
        <w:t>ie</w:t>
      </w:r>
      <w:r w:rsidR="00A5446F">
        <w:t>rid caterpillars,</w:t>
      </w:r>
      <w:r w:rsidR="00E75DF5">
        <w:t xml:space="preserve"> and foliar damage</w:t>
      </w:r>
      <w:r>
        <w:t xml:space="preserve"> caused by specialist </w:t>
      </w:r>
      <w:r w:rsidR="00E75DF5">
        <w:t xml:space="preserve">pierid </w:t>
      </w:r>
      <w:r>
        <w:t>caterpillars</w:t>
      </w:r>
      <w:r w:rsidR="00E75DF5">
        <w:t xml:space="preserve"> and leaf beetles; these are </w:t>
      </w:r>
      <w:r>
        <w:t xml:space="preserve">commonly observed </w:t>
      </w:r>
      <w:r w:rsidR="008F0D28">
        <w:t>across many species in the clade</w:t>
      </w:r>
      <w:r w:rsidR="00E75DF5">
        <w:t>, often at high rates</w:t>
      </w:r>
      <w:r w:rsidR="002F7F5D">
        <w:t xml:space="preserve"> </w:t>
      </w:r>
      <w:r w:rsidR="002F7F5D" w:rsidRPr="002F7F5D">
        <w:t>(</w:t>
      </w:r>
      <w:r w:rsidR="00C75168">
        <w:t xml:space="preserve">e.g., Strauss and Cacho 2013, </w:t>
      </w:r>
      <w:r w:rsidR="002F7F5D" w:rsidRPr="002F7F5D">
        <w:t>Karban and Courtney 1987</w:t>
      </w:r>
      <w:r w:rsidR="000C2090">
        <w:t xml:space="preserve">, </w:t>
      </w:r>
      <w:r w:rsidR="0017509C">
        <w:t xml:space="preserve">Shapiro 1981; </w:t>
      </w:r>
      <w:r w:rsidR="000C2090">
        <w:t>Strauss pers. obs</w:t>
      </w:r>
      <w:r w:rsidR="002F7F5D" w:rsidRPr="002F7F5D">
        <w:t>)</w:t>
      </w:r>
      <w:r w:rsidR="007A7654">
        <w:t xml:space="preserve">.  </w:t>
      </w:r>
      <w:r w:rsidR="0080778E">
        <w:t xml:space="preserve">Resistance traits </w:t>
      </w:r>
      <w:r w:rsidR="00613FC3">
        <w:t xml:space="preserve">include </w:t>
      </w:r>
      <w:r w:rsidR="00095825">
        <w:t xml:space="preserve">diverse </w:t>
      </w:r>
      <w:r w:rsidR="00E75DF5">
        <w:t>glucosinolates</w:t>
      </w:r>
      <w:r w:rsidR="007A7654">
        <w:t xml:space="preserve"> </w:t>
      </w:r>
      <w:r w:rsidR="00FD3703" w:rsidRPr="00FD3703">
        <w:t>(Cacho et al. 2015)</w:t>
      </w:r>
      <w:r w:rsidR="00E75DF5">
        <w:t xml:space="preserve">, </w:t>
      </w:r>
      <w:r w:rsidR="00C75168">
        <w:t>metal accumulation and hyperaccumulation</w:t>
      </w:r>
      <w:r w:rsidR="000C2090">
        <w:t xml:space="preserve"> in tissues</w:t>
      </w:r>
      <w:r w:rsidR="00095825">
        <w:t xml:space="preserve"> of serpentine species</w:t>
      </w:r>
      <w:r w:rsidR="00C75168">
        <w:t xml:space="preserve">, especially in </w:t>
      </w:r>
      <w:r w:rsidR="007A7654">
        <w:t xml:space="preserve"> </w:t>
      </w:r>
      <w:r w:rsidR="007A7654" w:rsidRPr="00FD3703">
        <w:rPr>
          <w:i/>
        </w:rPr>
        <w:t>Streptanthus polygaloides</w:t>
      </w:r>
      <w:r w:rsidR="007A7654">
        <w:t xml:space="preserve">, </w:t>
      </w:r>
      <w:r w:rsidR="00FD3703" w:rsidRPr="00FD3703">
        <w:t>(Boyd et al. 1994)</w:t>
      </w:r>
      <w:r w:rsidR="00E75DF5">
        <w:t>, as well as</w:t>
      </w:r>
      <w:r w:rsidR="00095825">
        <w:t xml:space="preserve"> leaf</w:t>
      </w:r>
      <w:r w:rsidR="00E75DF5">
        <w:t xml:space="preserve"> trichomes</w:t>
      </w:r>
      <w:r w:rsidR="00754D78">
        <w:t xml:space="preserve">, </w:t>
      </w:r>
      <w:r w:rsidR="0017509C">
        <w:t>p</w:t>
      </w:r>
      <w:r w:rsidR="00754D78">
        <w:t xml:space="preserve">ierid egg mimicry </w:t>
      </w:r>
      <w:r w:rsidR="00754D78" w:rsidRPr="00754D78">
        <w:t>(Shapiro 1981)</w:t>
      </w:r>
      <w:r w:rsidR="00095825">
        <w:t>,</w:t>
      </w:r>
      <w:r w:rsidR="00E75DF5">
        <w:t xml:space="preserve"> and leaf crypsis </w:t>
      </w:r>
      <w:r w:rsidR="00754D78" w:rsidRPr="00754D78">
        <w:t>(Strauss and Cacho 2013)</w:t>
      </w:r>
      <w:r w:rsidR="00E75DF5">
        <w:t>.</w:t>
      </w:r>
      <w:r w:rsidR="00095825">
        <w:t xml:space="preserve"> The elaborated suite of defenses</w:t>
      </w:r>
      <w:r w:rsidR="008966CC">
        <w:t xml:space="preserve"> and the observation of </w:t>
      </w:r>
      <w:r w:rsidR="00095825">
        <w:t>high rates of herbivory suggest that herbivory has played a large role in the clade’s evolutionary history</w:t>
      </w:r>
      <w:r w:rsidR="008966CC">
        <w:t xml:space="preserve"> (Karban and Courtney 1987, Strauss and Cacho 2013)</w:t>
      </w:r>
      <w:r w:rsidR="00095825">
        <w:t xml:space="preserve">. </w:t>
      </w:r>
    </w:p>
    <w:p w14:paraId="213CBB32" w14:textId="61846B9C" w:rsidR="00AB7BDE" w:rsidRPr="00EC4084" w:rsidRDefault="007A7654" w:rsidP="00EC4084">
      <w:pPr>
        <w:spacing w:line="480" w:lineRule="auto"/>
        <w:rPr>
          <w:b/>
          <w:i/>
        </w:rPr>
      </w:pPr>
      <w:r>
        <w:t xml:space="preserve"> </w:t>
      </w:r>
      <w:r w:rsidR="00AB7BDE" w:rsidRPr="00EC4084">
        <w:rPr>
          <w:b/>
          <w:i/>
        </w:rPr>
        <w:t>Plant rearing</w:t>
      </w:r>
    </w:p>
    <w:p w14:paraId="2B60583E" w14:textId="7A2177A5" w:rsidR="00EC4084" w:rsidRPr="00B21D50" w:rsidRDefault="000A695B" w:rsidP="00B21D50">
      <w:pPr>
        <w:spacing w:line="480" w:lineRule="auto"/>
        <w:rPr>
          <w:color w:val="222222"/>
          <w:shd w:val="clear" w:color="auto" w:fill="FFFFFF"/>
        </w:rPr>
      </w:pPr>
      <w:r>
        <w:t>S</w:t>
      </w:r>
      <w:r w:rsidR="00C02BC8" w:rsidRPr="00EC4084">
        <w:t xml:space="preserve">eeds </w:t>
      </w:r>
      <w:r w:rsidR="001E6DA0" w:rsidRPr="00EC4084">
        <w:t xml:space="preserve">were </w:t>
      </w:r>
      <w:r w:rsidR="008F0D28" w:rsidRPr="00EC4084">
        <w:t xml:space="preserve">field </w:t>
      </w:r>
      <w:r w:rsidR="001E6DA0" w:rsidRPr="00EC4084">
        <w:t xml:space="preserve">collected </w:t>
      </w:r>
      <w:r w:rsidR="000C2090" w:rsidRPr="00EC4084">
        <w:t xml:space="preserve">by </w:t>
      </w:r>
      <w:r w:rsidR="001E6DA0" w:rsidRPr="00EC4084">
        <w:t xml:space="preserve">maternal plant from populations of 14 </w:t>
      </w:r>
      <w:r w:rsidR="001E6DA0" w:rsidRPr="00EC4084">
        <w:rPr>
          <w:i/>
        </w:rPr>
        <w:t>Streptanthus</w:t>
      </w:r>
      <w:r w:rsidR="001E6DA0" w:rsidRPr="00EC4084">
        <w:t xml:space="preserve"> taxa (species or ecotypes) </w:t>
      </w:r>
      <w:r w:rsidR="009C4F12" w:rsidRPr="00EC4084">
        <w:t>that spanned the clade</w:t>
      </w:r>
      <w:r w:rsidR="00FE7EBD" w:rsidRPr="00EC4084">
        <w:t xml:space="preserve"> (Table 1)</w:t>
      </w:r>
      <w:r w:rsidR="001E6DA0" w:rsidRPr="00EC4084">
        <w:t xml:space="preserve">.  </w:t>
      </w:r>
      <w:r w:rsidR="00EC4084" w:rsidRPr="00B21D50">
        <w:rPr>
          <w:i/>
          <w:color w:val="222222"/>
          <w:shd w:val="clear" w:color="auto" w:fill="FFFFFF"/>
        </w:rPr>
        <w:t>Streptanthus</w:t>
      </w:r>
      <w:r w:rsidR="00EC4084" w:rsidRPr="00B21D50">
        <w:rPr>
          <w:color w:val="222222"/>
          <w:shd w:val="clear" w:color="auto" w:fill="FFFFFF"/>
        </w:rPr>
        <w:t xml:space="preserve"> taxa include species and ecotypes associated with serpentine and non-serpentine soils (6 and 8 taxa, respectively, Table 1).</w:t>
      </w:r>
    </w:p>
    <w:p w14:paraId="1D4F3934" w14:textId="43DB0CAC" w:rsidR="00F4349A" w:rsidRDefault="001E6DA0">
      <w:pPr>
        <w:spacing w:line="480" w:lineRule="auto"/>
        <w:ind w:firstLine="720"/>
      </w:pPr>
      <w:r w:rsidRPr="00EC4084">
        <w:t>Seeds from each</w:t>
      </w:r>
      <w:r w:rsidR="008F0D28" w:rsidRPr="00EC4084">
        <w:t xml:space="preserve"> of five</w:t>
      </w:r>
      <w:r w:rsidRPr="00EC4084">
        <w:t xml:space="preserve"> maternal famil</w:t>
      </w:r>
      <w:r w:rsidR="008F0D28" w:rsidRPr="00EC4084">
        <w:t>ies</w:t>
      </w:r>
      <w:r w:rsidRPr="00EC4084">
        <w:t xml:space="preserve"> </w:t>
      </w:r>
      <w:r w:rsidR="000C2090" w:rsidRPr="00EC4084">
        <w:t xml:space="preserve">per taxon </w:t>
      </w:r>
      <w:r w:rsidRPr="00EC4084">
        <w:t xml:space="preserve">were germinated </w:t>
      </w:r>
      <w:r w:rsidR="00BE7597" w:rsidRPr="00EC4084">
        <w:t>on a mist bench at the UC Davis Orchard</w:t>
      </w:r>
      <w:r w:rsidR="00BE7597">
        <w:t xml:space="preserve"> Park greenhouse facility </w:t>
      </w:r>
      <w:r w:rsidR="0031268A">
        <w:t>starting on November 25</w:t>
      </w:r>
      <w:r>
        <w:t>, 2015 in planting trays</w:t>
      </w:r>
      <w:r w:rsidR="008F0D28">
        <w:t xml:space="preserve">. </w:t>
      </w:r>
      <w:r w:rsidR="005207F4">
        <w:t>When g</w:t>
      </w:r>
      <w:r w:rsidR="008F0D28">
        <w:t xml:space="preserve">erminants </w:t>
      </w:r>
      <w:r w:rsidR="005207F4">
        <w:t>reached the</w:t>
      </w:r>
      <w:r w:rsidR="008F0D28">
        <w:t xml:space="preserve"> cotyledon / first true lea</w:t>
      </w:r>
      <w:bookmarkStart w:id="0" w:name="_GoBack"/>
      <w:bookmarkEnd w:id="0"/>
      <w:r w:rsidR="008F0D28">
        <w:t>f stage</w:t>
      </w:r>
      <w:r w:rsidR="005207F4">
        <w:t>, they</w:t>
      </w:r>
      <w:r w:rsidR="00B7721A">
        <w:t xml:space="preserve"> were transplanted to C</w:t>
      </w:r>
      <w:r w:rsidR="008F0D28">
        <w:t>one</w:t>
      </w:r>
      <w:r w:rsidR="00B7721A">
        <w:t>-</w:t>
      </w:r>
      <w:r w:rsidR="008F0D28">
        <w:t>tainers (Stuewe &amp; Sons</w:t>
      </w:r>
      <w:r w:rsidR="00095825">
        <w:t>, St. Louis, MO</w:t>
      </w:r>
      <w:r w:rsidR="008F0D28">
        <w:t xml:space="preserve">)  in an outdoor lathe house </w:t>
      </w:r>
      <w:r w:rsidR="008F0D28">
        <w:lastRenderedPageBreak/>
        <w:t>at ambient temperature at the Orchard Park facility</w:t>
      </w:r>
      <w:r w:rsidR="008F0D28" w:rsidRPr="00BE7597">
        <w:t xml:space="preserve"> from </w:t>
      </w:r>
      <w:r w:rsidR="008F0D28">
        <w:t>Dec 28, 2015</w:t>
      </w:r>
      <w:r w:rsidR="008F0D28" w:rsidRPr="00BE7597">
        <w:t xml:space="preserve"> – </w:t>
      </w:r>
      <w:r w:rsidR="008F0D28">
        <w:t>Jan 21, 2015</w:t>
      </w:r>
      <w:r w:rsidR="008F0D28" w:rsidRPr="00BE7597">
        <w:t xml:space="preserve">.  </w:t>
      </w:r>
      <w:r w:rsidR="00F4349A" w:rsidRPr="0080186B">
        <w:t>Plants that did not germinate or died prior to January 20, 2016 were replaced</w:t>
      </w:r>
      <w:r w:rsidR="0080186B" w:rsidRPr="0080186B">
        <w:t xml:space="preserve"> with new </w:t>
      </w:r>
      <w:r w:rsidR="0080186B" w:rsidRPr="00B17AC8">
        <w:rPr>
          <w:color w:val="222222"/>
        </w:rPr>
        <w:t>germinants</w:t>
      </w:r>
      <w:r w:rsidR="00F4349A" w:rsidRPr="0080186B">
        <w:t>.</w:t>
      </w:r>
      <w:r w:rsidR="00F4349A">
        <w:t xml:space="preserve">  </w:t>
      </w:r>
      <w:r w:rsidR="008F0D28">
        <w:t xml:space="preserve">  </w:t>
      </w:r>
    </w:p>
    <w:p w14:paraId="0A04AC31" w14:textId="4E1CA343" w:rsidR="00EB2E2E" w:rsidRDefault="008F0D28" w:rsidP="00B21D50">
      <w:pPr>
        <w:spacing w:line="480" w:lineRule="auto"/>
        <w:ind w:firstLine="720"/>
      </w:pPr>
      <w:r>
        <w:t xml:space="preserve">Pots were filled with either native </w:t>
      </w:r>
      <w:r w:rsidRPr="00BE7597">
        <w:t xml:space="preserve">field soil </w:t>
      </w:r>
      <w:r w:rsidR="00FE3FF5">
        <w:t xml:space="preserve">from collection site of each </w:t>
      </w:r>
      <w:r w:rsidR="005207F4">
        <w:t xml:space="preserve">population </w:t>
      </w:r>
      <w:r w:rsidRPr="00BE7597">
        <w:t xml:space="preserve">or </w:t>
      </w:r>
      <w:r w:rsidR="00754D78">
        <w:t xml:space="preserve">a 1:1 mixture of </w:t>
      </w:r>
      <w:r w:rsidRPr="00BE7597">
        <w:t>UC Davis p</w:t>
      </w:r>
      <w:r w:rsidR="00754D78">
        <w:t xml:space="preserve">otting mix soil </w:t>
      </w:r>
      <w:r w:rsidR="0080186B">
        <w:t xml:space="preserve">[1 sand:1 Redwood sawdust:1 Peat] </w:t>
      </w:r>
      <w:r w:rsidR="00754D78">
        <w:t>and sand</w:t>
      </w:r>
      <w:r>
        <w:t xml:space="preserve">.  </w:t>
      </w:r>
      <w:r w:rsidR="00FE3FF5">
        <w:t>Thus, field soils were unique to species</w:t>
      </w:r>
      <w:r w:rsidR="005207F4">
        <w:t xml:space="preserve"> or popu</w:t>
      </w:r>
      <w:r w:rsidR="00C52675">
        <w:t>la</w:t>
      </w:r>
      <w:r w:rsidR="005207F4">
        <w:t>tions</w:t>
      </w:r>
      <w:r w:rsidR="00FE3FF5">
        <w:t xml:space="preserve">, but potting soil was a common growing environment across all species. </w:t>
      </w:r>
      <w:r w:rsidR="00F4349A">
        <w:t>We felt it was most biologically appropriate to measure tolerance under conditions in whi</w:t>
      </w:r>
      <w:r w:rsidR="00B12543">
        <w:t>c</w:t>
      </w:r>
      <w:r w:rsidR="00F4349A">
        <w:t xml:space="preserve">h </w:t>
      </w:r>
      <w:r w:rsidR="00B73BEC">
        <w:t xml:space="preserve">taxa </w:t>
      </w:r>
      <w:r w:rsidR="00F4349A">
        <w:t xml:space="preserve">evolved (field soils), but also felt that comparisons across species required some common environment (hence the sandy potting soil treatment). </w:t>
      </w:r>
      <w:r>
        <w:t>Because of a lack of germination of seeds of some taxa and logistical constraints in collecting field soil from some locations, sample sizes varied by species, and some taxa were excluded from certain studies/soil types (</w:t>
      </w:r>
      <w:r w:rsidR="005D5AEC">
        <w:t xml:space="preserve">Appendix 1, </w:t>
      </w:r>
      <w:r w:rsidR="00A931EB">
        <w:t>Supplementary</w:t>
      </w:r>
      <w:r w:rsidR="00FE7EBD">
        <w:t xml:space="preserve"> </w:t>
      </w:r>
      <w:r>
        <w:t xml:space="preserve">Table </w:t>
      </w:r>
      <w:r w:rsidR="00A931EB">
        <w:t>S</w:t>
      </w:r>
      <w:r>
        <w:t>1).</w:t>
      </w:r>
      <w:r w:rsidR="0077255A">
        <w:t xml:space="preserve"> </w:t>
      </w:r>
      <w:r w:rsidR="00935349">
        <w:t xml:space="preserve">We prioritized filling sampling design for the tolerance studies in potting soil, as this was </w:t>
      </w:r>
      <w:r w:rsidR="00F4349A">
        <w:t xml:space="preserve">a </w:t>
      </w:r>
      <w:r w:rsidR="00935349">
        <w:t xml:space="preserve">common soil for all taxa.  </w:t>
      </w:r>
      <w:r w:rsidR="00450E22">
        <w:t>P</w:t>
      </w:r>
      <w:r w:rsidR="0077255A">
        <w:t xml:space="preserve">lants were </w:t>
      </w:r>
      <w:r w:rsidR="00095825">
        <w:t>grown outside</w:t>
      </w:r>
      <w:r w:rsidR="00450E22">
        <w:t xml:space="preserve"> under ambient weather conditions</w:t>
      </w:r>
      <w:r w:rsidR="00095825">
        <w:t xml:space="preserve"> and </w:t>
      </w:r>
      <w:r w:rsidR="0077255A">
        <w:t>top-watered three times per week to achieve a watering rate of 105 mm precipitation / month</w:t>
      </w:r>
      <w:r w:rsidR="00746498">
        <w:t xml:space="preserve">.  The watering rate </w:t>
      </w:r>
      <w:r w:rsidR="00504885">
        <w:t xml:space="preserve">was </w:t>
      </w:r>
      <w:r w:rsidR="00746498">
        <w:t xml:space="preserve">equal to </w:t>
      </w:r>
      <w:r w:rsidR="00504885">
        <w:t xml:space="preserve">the mean growing season precipitation experienced by </w:t>
      </w:r>
      <w:r w:rsidR="00504885" w:rsidRPr="00BA2318">
        <w:rPr>
          <w:i/>
        </w:rPr>
        <w:t>Streptanthus</w:t>
      </w:r>
      <w:r w:rsidR="00504885">
        <w:t xml:space="preserve"> populations included in this study</w:t>
      </w:r>
      <w:r w:rsidR="0077255A">
        <w:t xml:space="preserve">.  During periods of high heat (extended maximum temperatures over 35 C), an additional watering was added.  Plants were not fertilized. </w:t>
      </w:r>
      <w:r w:rsidR="00095825">
        <w:t xml:space="preserve">Across </w:t>
      </w:r>
      <w:r w:rsidR="0077255A">
        <w:t xml:space="preserve">the </w:t>
      </w:r>
      <w:r w:rsidR="00450E22">
        <w:t xml:space="preserve">whole study of soil and resistance experimental treatments, </w:t>
      </w:r>
      <w:r w:rsidR="0077255A">
        <w:t>plants were arranged in a complete</w:t>
      </w:r>
      <w:r w:rsidR="00F4349A">
        <w:t>ly</w:t>
      </w:r>
      <w:r w:rsidR="0077255A">
        <w:t xml:space="preserve"> randomized design.  </w:t>
      </w:r>
      <w:r>
        <w:t>Germinants</w:t>
      </w:r>
      <w:r w:rsidR="00E30B67">
        <w:t xml:space="preserve"> </w:t>
      </w:r>
      <w:r w:rsidR="00225CB3">
        <w:t xml:space="preserve">of the five maternal families </w:t>
      </w:r>
      <w:r w:rsidR="00E30B67">
        <w:t xml:space="preserve">were assigned </w:t>
      </w:r>
      <w:r w:rsidR="00450E22">
        <w:t xml:space="preserve">at random </w:t>
      </w:r>
      <w:r w:rsidR="00E30B67">
        <w:t xml:space="preserve">to </w:t>
      </w:r>
      <w:r w:rsidR="00225CB3">
        <w:t>each of the</w:t>
      </w:r>
      <w:r w:rsidR="00E30B67">
        <w:t xml:space="preserve"> </w:t>
      </w:r>
      <w:r>
        <w:t xml:space="preserve">three experiments: </w:t>
      </w:r>
      <w:r w:rsidR="00F4349A">
        <w:t xml:space="preserve">clipping </w:t>
      </w:r>
      <w:r w:rsidR="00BE7597">
        <w:t>tolerance, fol</w:t>
      </w:r>
      <w:r w:rsidR="00E30B67">
        <w:t>ivor</w:t>
      </w:r>
      <w:r>
        <w:t>y</w:t>
      </w:r>
      <w:r w:rsidR="00E30B67">
        <w:t xml:space="preserve"> tolerance</w:t>
      </w:r>
      <w:r>
        <w:t xml:space="preserve"> and</w:t>
      </w:r>
      <w:r w:rsidR="00E30B67">
        <w:t xml:space="preserve"> resistance to herbivore</w:t>
      </w:r>
      <w:r>
        <w:t>s</w:t>
      </w:r>
      <w:r w:rsidR="00E30B67">
        <w:t xml:space="preserve">, </w:t>
      </w:r>
      <w:r>
        <w:t xml:space="preserve">and </w:t>
      </w:r>
      <w:r w:rsidR="00225CB3">
        <w:lastRenderedPageBreak/>
        <w:t xml:space="preserve">to </w:t>
      </w:r>
      <w:r w:rsidR="00E30B67">
        <w:t>one of two soil types (native field soil, potting soil)</w:t>
      </w:r>
      <w:r>
        <w:t xml:space="preserve">. </w:t>
      </w:r>
      <w:r w:rsidR="00D11104">
        <w:t xml:space="preserve">The general study design is outlined in </w:t>
      </w:r>
      <w:r w:rsidR="005D5AEC">
        <w:t xml:space="preserve">Appendix 1, </w:t>
      </w:r>
      <w:r w:rsidR="00D11104">
        <w:t>Supplementary Figure S</w:t>
      </w:r>
      <w:r w:rsidR="005D5AEC">
        <w:t>1</w:t>
      </w:r>
      <w:r w:rsidR="00D11104">
        <w:t xml:space="preserve">.  </w:t>
      </w:r>
    </w:p>
    <w:p w14:paraId="665F0274" w14:textId="38B37BF0" w:rsidR="00AB7BDE" w:rsidRPr="00457FDF" w:rsidRDefault="00B135B3" w:rsidP="00195498">
      <w:pPr>
        <w:spacing w:line="480" w:lineRule="auto"/>
        <w:rPr>
          <w:b/>
          <w:i/>
        </w:rPr>
      </w:pPr>
      <w:r>
        <w:rPr>
          <w:b/>
          <w:i/>
        </w:rPr>
        <w:t>Folivor</w:t>
      </w:r>
      <w:r w:rsidR="008A4A7A">
        <w:rPr>
          <w:b/>
          <w:i/>
        </w:rPr>
        <w:t>y</w:t>
      </w:r>
      <w:r w:rsidR="00BA2318">
        <w:rPr>
          <w:b/>
          <w:i/>
        </w:rPr>
        <w:t xml:space="preserve"> and </w:t>
      </w:r>
      <w:r w:rsidR="00F4349A">
        <w:rPr>
          <w:b/>
          <w:i/>
        </w:rPr>
        <w:t xml:space="preserve">clipping </w:t>
      </w:r>
      <w:r w:rsidR="00AB7BDE" w:rsidRPr="00457FDF">
        <w:rPr>
          <w:b/>
          <w:i/>
        </w:rPr>
        <w:t>tolerance experiment</w:t>
      </w:r>
      <w:r w:rsidR="00BA2318">
        <w:rPr>
          <w:b/>
          <w:i/>
        </w:rPr>
        <w:t>s</w:t>
      </w:r>
    </w:p>
    <w:p w14:paraId="65EE0BC8" w14:textId="68907A14" w:rsidR="0077255A" w:rsidRDefault="00EB2E2E" w:rsidP="00195498">
      <w:pPr>
        <w:spacing w:line="480" w:lineRule="auto"/>
      </w:pPr>
      <w:r>
        <w:t xml:space="preserve">On February </w:t>
      </w:r>
      <w:r w:rsidR="00972155">
        <w:t>16</w:t>
      </w:r>
      <w:r>
        <w:t xml:space="preserve">, plants had reached </w:t>
      </w:r>
      <w:r w:rsidR="0077255A">
        <w:t xml:space="preserve">a small </w:t>
      </w:r>
      <w:r>
        <w:t>rosette stage</w:t>
      </w:r>
      <w:r w:rsidR="00504885">
        <w:t xml:space="preserve"> (4-8 leaves)</w:t>
      </w:r>
      <w:r>
        <w:t xml:space="preserve">, and the folivore tolerance treatments were initiated.  </w:t>
      </w:r>
      <w:r w:rsidR="0077255A">
        <w:t>Because insect saliva often induces defenses in ways that scissors do not</w:t>
      </w:r>
      <w:r w:rsidR="00391334">
        <w:t xml:space="preserve"> </w:t>
      </w:r>
      <w:r w:rsidR="00391334" w:rsidRPr="00391334">
        <w:t>(Halitschke et al. 2003, Savchenko et al. 2013)</w:t>
      </w:r>
      <w:r w:rsidR="00391334">
        <w:t>,</w:t>
      </w:r>
      <w:r w:rsidR="0077255A">
        <w:t xml:space="preserve"> we initiated damage with larvae</w:t>
      </w:r>
      <w:r w:rsidR="00450E22">
        <w:t xml:space="preserve"> to stimulate any induced response by saliva</w:t>
      </w:r>
      <w:r w:rsidR="00B135B3">
        <w:t xml:space="preserve">, but then completed </w:t>
      </w:r>
      <w:r w:rsidR="00450E22">
        <w:t xml:space="preserve">controlled </w:t>
      </w:r>
      <w:r w:rsidR="00B135B3">
        <w:t xml:space="preserve">damage levels with scissors to </w:t>
      </w:r>
      <w:r w:rsidR="00450E22">
        <w:t xml:space="preserve">impose </w:t>
      </w:r>
      <w:r w:rsidR="00F4349A">
        <w:t>one of four levels</w:t>
      </w:r>
      <w:r w:rsidR="00767735">
        <w:t xml:space="preserve"> of damage</w:t>
      </w:r>
      <w:r w:rsidR="00F4349A">
        <w:t xml:space="preserve"> (12.5%, 25%, 50%, 75%) </w:t>
      </w:r>
      <w:r w:rsidR="00B135B3">
        <w:t>received by plants</w:t>
      </w:r>
      <w:r w:rsidR="00F4349A">
        <w:t>; another set of replicates served as no damage controls</w:t>
      </w:r>
      <w:r w:rsidR="0077255A">
        <w:t xml:space="preserve">. </w:t>
      </w:r>
      <w:r w:rsidR="00B135B3">
        <w:t xml:space="preserve">Initially, a </w:t>
      </w:r>
      <w:r>
        <w:t xml:space="preserve">mesh-covered clip cage </w:t>
      </w:r>
      <w:r w:rsidR="00B135B3">
        <w:t xml:space="preserve">containing one 2nd-3rd instar caterpillar of </w:t>
      </w:r>
      <w:r w:rsidR="00B135B3" w:rsidRPr="008A4A7A">
        <w:rPr>
          <w:i/>
        </w:rPr>
        <w:t>Pieris rapae</w:t>
      </w:r>
      <w:r w:rsidR="00B135B3">
        <w:t xml:space="preserve"> </w:t>
      </w:r>
      <w:r>
        <w:t xml:space="preserve">was placed on a fully expanded true leaf of each </w:t>
      </w:r>
      <w:r w:rsidR="00B135B3">
        <w:t xml:space="preserve">non-control plant. </w:t>
      </w:r>
      <w:r w:rsidR="00457FDF">
        <w:t xml:space="preserve"> Caterpillars were checked the following day, and the few caterpillars that had died or had not initiated feeding were replaced.  Caterpillars remained on leaves for three days and were then removed.  Damage to </w:t>
      </w:r>
      <w:r w:rsidR="00746498">
        <w:t xml:space="preserve">a </w:t>
      </w:r>
      <w:r w:rsidR="009C4F12">
        <w:t xml:space="preserve">plant </w:t>
      </w:r>
      <w:r w:rsidR="00457FDF">
        <w:t>was increased to the</w:t>
      </w:r>
      <w:r w:rsidR="00B135B3">
        <w:t xml:space="preserve"> specified</w:t>
      </w:r>
      <w:r w:rsidR="00457FDF">
        <w:t xml:space="preserve"> treatment levels by </w:t>
      </w:r>
      <w:r w:rsidR="0077255A">
        <w:t xml:space="preserve">additional </w:t>
      </w:r>
      <w:r w:rsidR="00457FDF">
        <w:t>clipping with scissors</w:t>
      </w:r>
      <w:r w:rsidR="00B135B3">
        <w:t xml:space="preserve"> and with use of calibrated leaf images indicating level of damage </w:t>
      </w:r>
      <w:r w:rsidR="00BA2318">
        <w:t xml:space="preserve">(0, 12.5%, 25%, 50%, 75%; </w:t>
      </w:r>
      <w:r w:rsidR="005D5AEC">
        <w:t xml:space="preserve">Appendix 1, </w:t>
      </w:r>
      <w:r w:rsidR="00E96DD3">
        <w:t>Supplemental figure S</w:t>
      </w:r>
      <w:r w:rsidR="005D5AEC">
        <w:t>2</w:t>
      </w:r>
      <w:r w:rsidR="00B135B3">
        <w:t xml:space="preserve">). </w:t>
      </w:r>
      <w:r w:rsidR="00457FDF">
        <w:t xml:space="preserve">The leaves damaged by </w:t>
      </w:r>
      <w:r w:rsidR="00457FDF" w:rsidRPr="0007488D">
        <w:rPr>
          <w:i/>
        </w:rPr>
        <w:t>P. rapae</w:t>
      </w:r>
      <w:r w:rsidR="00457FDF">
        <w:t xml:space="preserve"> caterpillars </w:t>
      </w:r>
      <w:r w:rsidR="00450E22">
        <w:t xml:space="preserve">were </w:t>
      </w:r>
      <w:r w:rsidR="00457FDF">
        <w:t xml:space="preserve">left </w:t>
      </w:r>
      <w:r w:rsidR="00450E22">
        <w:t xml:space="preserve">as is </w:t>
      </w:r>
      <w:r w:rsidR="00457FDF">
        <w:t xml:space="preserve">in order to allow </w:t>
      </w:r>
      <w:r w:rsidR="00B135B3">
        <w:t xml:space="preserve">plant </w:t>
      </w:r>
      <w:r w:rsidR="002A4138">
        <w:t xml:space="preserve">resistance </w:t>
      </w:r>
      <w:r w:rsidR="0077255A">
        <w:t>or tolerance respon</w:t>
      </w:r>
      <w:r w:rsidR="00B135B3">
        <w:t>s</w:t>
      </w:r>
      <w:r w:rsidR="0077255A">
        <w:t xml:space="preserve">es </w:t>
      </w:r>
      <w:r w:rsidR="00457FDF">
        <w:t xml:space="preserve">elicited by oral secretions from </w:t>
      </w:r>
      <w:r w:rsidR="0007488D" w:rsidRPr="0007488D">
        <w:rPr>
          <w:i/>
        </w:rPr>
        <w:t>P. rapae</w:t>
      </w:r>
      <w:r w:rsidR="00457FDF">
        <w:t xml:space="preserve"> feeding </w:t>
      </w:r>
      <w:r w:rsidR="00FD3703" w:rsidRPr="00FD3703">
        <w:t>(Savchenko et al. 2013)</w:t>
      </w:r>
      <w:r w:rsidR="00457FDF">
        <w:t xml:space="preserve">.  Damage treatments (caterpillar and clipping) were repeated on </w:t>
      </w:r>
      <w:r w:rsidR="00E96DD3">
        <w:t xml:space="preserve">March </w:t>
      </w:r>
      <w:r w:rsidR="00972155">
        <w:t>1</w:t>
      </w:r>
      <w:r w:rsidR="00B135B3">
        <w:t xml:space="preserve"> such that all leaves received damage</w:t>
      </w:r>
      <w:r w:rsidR="00457FDF">
        <w:t xml:space="preserve">.  </w:t>
      </w:r>
    </w:p>
    <w:p w14:paraId="7846EA38" w14:textId="2B120EFF" w:rsidR="00EB2E2E" w:rsidRDefault="0088710A" w:rsidP="00195498">
      <w:pPr>
        <w:spacing w:line="480" w:lineRule="auto"/>
      </w:pPr>
      <w:r>
        <w:tab/>
      </w:r>
      <w:r w:rsidR="0077255A">
        <w:t xml:space="preserve">In the </w:t>
      </w:r>
      <w:r w:rsidR="00F4349A">
        <w:t xml:space="preserve">clipping </w:t>
      </w:r>
      <w:r w:rsidR="0077255A">
        <w:t xml:space="preserve">experiment, </w:t>
      </w:r>
      <w:r w:rsidR="00F4349A">
        <w:t xml:space="preserve">browse </w:t>
      </w:r>
      <w:r w:rsidR="00457FDF">
        <w:t>damage was mimicked by clip</w:t>
      </w:r>
      <w:r w:rsidR="0007488D">
        <w:t xml:space="preserve">ping the bolting </w:t>
      </w:r>
      <w:r w:rsidR="009C4F12">
        <w:t xml:space="preserve">inflorescence </w:t>
      </w:r>
      <w:r w:rsidR="0007488D">
        <w:t>at 1 cm above the rosette leaves</w:t>
      </w:r>
      <w:r w:rsidR="00457FDF">
        <w:t xml:space="preserve"> when the </w:t>
      </w:r>
      <w:r w:rsidR="00767735">
        <w:t>inflorescence</w:t>
      </w:r>
      <w:r w:rsidR="00F4349A">
        <w:t xml:space="preserve"> </w:t>
      </w:r>
      <w:r w:rsidR="00457FDF">
        <w:t xml:space="preserve">had either reached a minimum height of 10 cm or initiated the formation </w:t>
      </w:r>
      <w:r w:rsidR="00746498">
        <w:t xml:space="preserve">of </w:t>
      </w:r>
      <w:r w:rsidR="00457FDF">
        <w:t>the first flower bud</w:t>
      </w:r>
      <w:r w:rsidR="0077255A">
        <w:t xml:space="preserve">. This is </w:t>
      </w:r>
      <w:r w:rsidR="00450E22">
        <w:t xml:space="preserve">the phenological </w:t>
      </w:r>
      <w:r w:rsidR="0077255A">
        <w:t xml:space="preserve">stage at which browsing typically happens in the </w:t>
      </w:r>
      <w:r w:rsidR="00767735">
        <w:t>field (</w:t>
      </w:r>
      <w:r w:rsidR="00450E22">
        <w:t>SYS per obs)</w:t>
      </w:r>
      <w:r w:rsidR="0077255A">
        <w:t xml:space="preserve">. </w:t>
      </w:r>
      <w:r w:rsidR="00F4349A">
        <w:lastRenderedPageBreak/>
        <w:t>B</w:t>
      </w:r>
      <w:r w:rsidR="00450E22">
        <w:t>ecause different species flowered at different times</w:t>
      </w:r>
      <w:r w:rsidR="00457FDF">
        <w:t>, the date of clipping</w:t>
      </w:r>
      <w:r w:rsidR="0077255A">
        <w:t>, but not plant stage,</w:t>
      </w:r>
      <w:r w:rsidR="00457FDF">
        <w:t xml:space="preserve"> varied among individuals</w:t>
      </w:r>
      <w:r w:rsidR="00F4349A">
        <w:t xml:space="preserve"> and taxa</w:t>
      </w:r>
      <w:r w:rsidR="00457FDF">
        <w:t xml:space="preserve">.  </w:t>
      </w:r>
    </w:p>
    <w:p w14:paraId="53945C21" w14:textId="18B4EEC2" w:rsidR="00444A14" w:rsidRDefault="00457FDF" w:rsidP="00195498">
      <w:pPr>
        <w:spacing w:line="480" w:lineRule="auto"/>
        <w:ind w:firstLine="720"/>
      </w:pPr>
      <w:r>
        <w:t xml:space="preserve">We monitored the size and reproduction </w:t>
      </w:r>
      <w:r w:rsidR="00444A14">
        <w:t xml:space="preserve">(number of flower buds, flowers, and fruit) </w:t>
      </w:r>
      <w:r>
        <w:t>of plants every two</w:t>
      </w:r>
      <w:r w:rsidR="00F50E76">
        <w:t xml:space="preserve"> weeks over the growing season </w:t>
      </w:r>
      <w:r>
        <w:t xml:space="preserve">until </w:t>
      </w:r>
      <w:r w:rsidR="00F50E76">
        <w:t xml:space="preserve">July 29, 2016.  We recorded the week of first flower directly from </w:t>
      </w:r>
      <w:r w:rsidR="00746498">
        <w:t xml:space="preserve">these </w:t>
      </w:r>
      <w:r w:rsidR="00F50E76">
        <w:t xml:space="preserve">surveys and estimated the day of first flower </w:t>
      </w:r>
      <w:r w:rsidR="00450E22">
        <w:t xml:space="preserve">by </w:t>
      </w:r>
      <w:r w:rsidR="0077255A">
        <w:t>extrapolat</w:t>
      </w:r>
      <w:r w:rsidR="00450E22">
        <w:t>ing</w:t>
      </w:r>
      <w:r w:rsidR="0077255A">
        <w:t xml:space="preserve"> from </w:t>
      </w:r>
      <w:r w:rsidR="00F50E76">
        <w:t xml:space="preserve">the number of flowers and buds present at the </w:t>
      </w:r>
      <w:r w:rsidR="00444A14">
        <w:t>survey</w:t>
      </w:r>
      <w:r w:rsidR="00F50E76">
        <w:t xml:space="preserve"> </w:t>
      </w:r>
      <w:r w:rsidR="00444A14">
        <w:t xml:space="preserve">date </w:t>
      </w:r>
      <w:r w:rsidR="00F50E76">
        <w:t xml:space="preserve">of first flower and the </w:t>
      </w:r>
      <w:r w:rsidR="00444A14">
        <w:t>survey date</w:t>
      </w:r>
      <w:r w:rsidR="00F50E76">
        <w:t xml:space="preserve"> prior</w:t>
      </w:r>
      <w:r w:rsidR="0077255A">
        <w:t>.</w:t>
      </w:r>
      <w:r w:rsidR="00444A14">
        <w:t xml:space="preserve"> </w:t>
      </w:r>
    </w:p>
    <w:p w14:paraId="13A79FAB" w14:textId="0DE143EA" w:rsidR="00450E22" w:rsidRDefault="00444A14" w:rsidP="00195498">
      <w:pPr>
        <w:spacing w:line="480" w:lineRule="auto"/>
      </w:pPr>
      <w:r>
        <w:tab/>
        <w:t>We collected and counted all fruit (siliques)</w:t>
      </w:r>
      <w:r w:rsidR="00450E22">
        <w:t xml:space="preserve"> </w:t>
      </w:r>
      <w:r>
        <w:t xml:space="preserve">as plants senesced and </w:t>
      </w:r>
      <w:r w:rsidR="0077255A">
        <w:t xml:space="preserve">used total </w:t>
      </w:r>
      <w:r>
        <w:t>fruit</w:t>
      </w:r>
      <w:r w:rsidR="0077255A">
        <w:t>s</w:t>
      </w:r>
      <w:r>
        <w:t xml:space="preserve"> as the fitness measurement for </w:t>
      </w:r>
      <w:r w:rsidR="00450E22">
        <w:t xml:space="preserve">these </w:t>
      </w:r>
      <w:r>
        <w:t xml:space="preserve">annual plants.  Three </w:t>
      </w:r>
      <w:r w:rsidRPr="005F1397">
        <w:rPr>
          <w:i/>
        </w:rPr>
        <w:t>Streptanthus</w:t>
      </w:r>
      <w:r>
        <w:t xml:space="preserve"> taxa (CRA, </w:t>
      </w:r>
      <w:r w:rsidR="00450E22">
        <w:t xml:space="preserve">and the two </w:t>
      </w:r>
      <w:r w:rsidR="00450E22" w:rsidRPr="00F169E6">
        <w:rPr>
          <w:i/>
        </w:rPr>
        <w:t>S. tortuosus</w:t>
      </w:r>
      <w:r w:rsidR="00450E22">
        <w:t xml:space="preserve"> populations, </w:t>
      </w:r>
      <w:r>
        <w:t xml:space="preserve">TORB, and TORW) </w:t>
      </w:r>
      <w:r w:rsidR="00450E22">
        <w:t xml:space="preserve">are biennial and form </w:t>
      </w:r>
      <w:r>
        <w:t>rosettes</w:t>
      </w:r>
      <w:r w:rsidR="00450E22">
        <w:t xml:space="preserve"> in the first year</w:t>
      </w:r>
      <w:r>
        <w:t xml:space="preserve">.  In these cases, </w:t>
      </w:r>
      <w:r w:rsidR="00C06F64">
        <w:t xml:space="preserve">we harvested plants on August 1-5, 2016, cleaned belowground tissues with water, dried tissues at 40 C, and weighed total biomass (belowground + aboveground) as </w:t>
      </w:r>
      <w:r w:rsidR="009C4F12">
        <w:t>a good</w:t>
      </w:r>
      <w:r w:rsidR="00C06F64">
        <w:t xml:space="preserve"> fitness proxy for </w:t>
      </w:r>
      <w:r w:rsidR="009C4F12">
        <w:t xml:space="preserve">short-lived </w:t>
      </w:r>
      <w:r w:rsidR="00C06F64">
        <w:t xml:space="preserve">perennial taxa.  </w:t>
      </w:r>
      <w:r w:rsidR="00450E22">
        <w:t>Because they did not bolt or flower in the experiment, f</w:t>
      </w:r>
      <w:r w:rsidR="00DD7114">
        <w:t xml:space="preserve">lowering phenology </w:t>
      </w:r>
      <w:r w:rsidR="00450E22">
        <w:t>a</w:t>
      </w:r>
      <w:r w:rsidR="00C02BC8">
        <w:t>n</w:t>
      </w:r>
      <w:r w:rsidR="00450E22">
        <w:t xml:space="preserve">d browse tolerance </w:t>
      </w:r>
      <w:r w:rsidR="00DD7114">
        <w:t xml:space="preserve">were not estimated for </w:t>
      </w:r>
      <w:r w:rsidR="00450E22">
        <w:t xml:space="preserve">these biennial </w:t>
      </w:r>
      <w:r w:rsidR="00DD7114">
        <w:t>taxa</w:t>
      </w:r>
      <w:r w:rsidR="00450E22">
        <w:t>.</w:t>
      </w:r>
    </w:p>
    <w:p w14:paraId="6579146E" w14:textId="2CFA1B24" w:rsidR="00887861" w:rsidRDefault="00887861" w:rsidP="00195498">
      <w:pPr>
        <w:spacing w:line="480" w:lineRule="auto"/>
      </w:pPr>
      <w:r w:rsidRPr="00F169E6">
        <w:rPr>
          <w:i/>
        </w:rPr>
        <w:t>Tolerance measures</w:t>
      </w:r>
      <w:r>
        <w:t xml:space="preserve">. We describe tolerance to folivory as the slope of regression of fitness (lifetime fruit set for annuals or total biomass for perennials) against percent leaf damage (0-75%).   Thus, more negative slopes indicate a lack of tolerance, and slopes greater than 0 indicate overcompensation across the range of damage treatments.  We also tested for overcompensation at intermediate levels of damage by testing the fit of a quadratic effect of damage on plant fitness to test for a non-linear relationship between damage and fitness.  We defined tolerance to apical damage mimicking browsing as the </w:t>
      </w:r>
      <w:r>
        <w:lastRenderedPageBreak/>
        <w:t>fitness ratio of clipped / control plants.  Thus</w:t>
      </w:r>
      <w:r w:rsidR="00B73BEC">
        <w:t>,</w:t>
      </w:r>
      <w:r>
        <w:t xml:space="preserve"> greater values indicate greater tolerance, and values greater than 1 indicate overcompensation.  </w:t>
      </w:r>
    </w:p>
    <w:p w14:paraId="1FE5A697" w14:textId="11EFEC81" w:rsidR="0088710A" w:rsidRPr="00B21D50" w:rsidRDefault="00AB7BDE" w:rsidP="00195498">
      <w:pPr>
        <w:spacing w:line="480" w:lineRule="auto"/>
        <w:rPr>
          <w:i/>
        </w:rPr>
      </w:pPr>
      <w:r w:rsidRPr="0088710A">
        <w:rPr>
          <w:b/>
          <w:i/>
        </w:rPr>
        <w:t>Herbivore resistance study</w:t>
      </w:r>
      <w:r w:rsidR="0088710A" w:rsidRPr="00B21D50">
        <w:rPr>
          <w:b/>
        </w:rPr>
        <w:t>.</w:t>
      </w:r>
      <w:r w:rsidR="0088710A">
        <w:t xml:space="preserve">  </w:t>
      </w:r>
    </w:p>
    <w:p w14:paraId="2FEF2A72" w14:textId="0AC7BA04" w:rsidR="00CA7F81" w:rsidRDefault="00CA7F81" w:rsidP="00195498">
      <w:pPr>
        <w:spacing w:line="480" w:lineRule="auto"/>
      </w:pPr>
      <w:r>
        <w:t xml:space="preserve">We </w:t>
      </w:r>
      <w:r w:rsidR="00887861">
        <w:t xml:space="preserve">measured </w:t>
      </w:r>
      <w:r>
        <w:t xml:space="preserve">herbivore resistance using no-choice feeding trials with specialist and generalist caterpillars. </w:t>
      </w:r>
      <w:r w:rsidR="00937CAD">
        <w:t>Native p</w:t>
      </w:r>
      <w:r w:rsidR="00450E22">
        <w:t xml:space="preserve">ierid </w:t>
      </w:r>
      <w:r w:rsidR="0071439E">
        <w:t xml:space="preserve">specialist </w:t>
      </w:r>
      <w:r w:rsidR="00450E22">
        <w:t xml:space="preserve">butterflies </w:t>
      </w:r>
      <w:r w:rsidR="00B73BEC">
        <w:t xml:space="preserve">have </w:t>
      </w:r>
      <w:r w:rsidR="00450E22">
        <w:t>proved intransigent even in large flight cages (SYS unpubl</w:t>
      </w:r>
      <w:r w:rsidR="00767735">
        <w:t>.</w:t>
      </w:r>
      <w:r w:rsidR="00450E22">
        <w:t xml:space="preserve"> data</w:t>
      </w:r>
      <w:r w:rsidR="00B73BEC">
        <w:t>); t</w:t>
      </w:r>
      <w:r w:rsidR="0071439E">
        <w:t xml:space="preserve">hus, we used </w:t>
      </w:r>
      <w:r w:rsidR="00B73BEC">
        <w:t xml:space="preserve">related </w:t>
      </w:r>
      <w:r w:rsidR="0071439E">
        <w:t>non-native</w:t>
      </w:r>
      <w:r w:rsidR="00B73BEC">
        <w:t xml:space="preserve"> specialist</w:t>
      </w:r>
      <w:r w:rsidR="0071439E">
        <w:t xml:space="preserve"> </w:t>
      </w:r>
      <w:r w:rsidR="0071439E">
        <w:rPr>
          <w:i/>
        </w:rPr>
        <w:t xml:space="preserve">Pieris </w:t>
      </w:r>
      <w:r w:rsidR="0071439E" w:rsidRPr="00B12543">
        <w:rPr>
          <w:i/>
        </w:rPr>
        <w:t>rapae</w:t>
      </w:r>
      <w:r w:rsidR="0071439E">
        <w:t xml:space="preserve"> and </w:t>
      </w:r>
      <w:r w:rsidR="00B73BEC">
        <w:t xml:space="preserve">generalist </w:t>
      </w:r>
      <w:r w:rsidR="0071439E" w:rsidRPr="00B12543">
        <w:rPr>
          <w:i/>
        </w:rPr>
        <w:t>Spodoptera exigua</w:t>
      </w:r>
      <w:r w:rsidR="0071439E">
        <w:t xml:space="preserve"> </w:t>
      </w:r>
      <w:r w:rsidR="00B73BEC">
        <w:t xml:space="preserve">moths </w:t>
      </w:r>
      <w:r w:rsidR="0071439E">
        <w:t>as herbivores</w:t>
      </w:r>
      <w:r w:rsidR="00B952CC">
        <w:t xml:space="preserve">. </w:t>
      </w:r>
      <w:r w:rsidR="00450E22" w:rsidRPr="00B12543">
        <w:rPr>
          <w:i/>
        </w:rPr>
        <w:t xml:space="preserve"> </w:t>
      </w:r>
      <w:r w:rsidR="00887861" w:rsidRPr="00B12543">
        <w:rPr>
          <w:i/>
        </w:rPr>
        <w:t>P. rapae</w:t>
      </w:r>
      <w:r w:rsidR="00887861">
        <w:t xml:space="preserve"> </w:t>
      </w:r>
      <w:r w:rsidR="00B12543">
        <w:t>and</w:t>
      </w:r>
      <w:r w:rsidR="0071439E">
        <w:t xml:space="preserve"> </w:t>
      </w:r>
      <w:r w:rsidR="0071439E" w:rsidRPr="009803FC">
        <w:rPr>
          <w:i/>
        </w:rPr>
        <w:t>S. exigua</w:t>
      </w:r>
      <w:r w:rsidR="0071439E">
        <w:t xml:space="preserve"> were obtained from </w:t>
      </w:r>
      <w:r w:rsidR="00B12543">
        <w:t>commercial</w:t>
      </w:r>
      <w:r w:rsidR="0071439E">
        <w:t xml:space="preserve"> colonies</w:t>
      </w:r>
      <w:r w:rsidR="00B12543">
        <w:t xml:space="preserve"> (Carolina Biological,</w:t>
      </w:r>
      <w:r w:rsidR="00B93D5E">
        <w:t xml:space="preserve"> </w:t>
      </w:r>
      <w:r w:rsidR="00FE7EBD">
        <w:t>Burlington, NC; Frontier</w:t>
      </w:r>
      <w:r w:rsidR="00B12543">
        <w:t xml:space="preserve"> Agricultural Sciences, Newark, DE, respectively)</w:t>
      </w:r>
      <w:r w:rsidR="0071439E">
        <w:t>.</w:t>
      </w:r>
      <w:r w:rsidR="00B12543">
        <w:t xml:space="preserve">  </w:t>
      </w:r>
      <w:r w:rsidR="0071439E">
        <w:t>C</w:t>
      </w:r>
      <w:r>
        <w:t xml:space="preserve">aterpillars </w:t>
      </w:r>
      <w:r w:rsidR="0071439E">
        <w:t xml:space="preserve">of both species </w:t>
      </w:r>
      <w:r>
        <w:t xml:space="preserve">were </w:t>
      </w:r>
      <w:r w:rsidR="00887861">
        <w:t>lab-</w:t>
      </w:r>
      <w:r>
        <w:t>maintained until 2</w:t>
      </w:r>
      <w:r w:rsidR="00B952CC" w:rsidRPr="00B21D50">
        <w:rPr>
          <w:vertAlign w:val="superscript"/>
        </w:rPr>
        <w:t>n</w:t>
      </w:r>
      <w:r w:rsidRPr="00B21D50">
        <w:rPr>
          <w:vertAlign w:val="superscript"/>
        </w:rPr>
        <w:t>d</w:t>
      </w:r>
      <w:r>
        <w:t xml:space="preserve"> –</w:t>
      </w:r>
      <w:r w:rsidR="00FE7EBD">
        <w:t>early</w:t>
      </w:r>
      <w:r>
        <w:t xml:space="preserve"> 3</w:t>
      </w:r>
      <w:r w:rsidRPr="00CA7F81">
        <w:rPr>
          <w:vertAlign w:val="superscript"/>
        </w:rPr>
        <w:t>rd</w:t>
      </w:r>
      <w:r>
        <w:t xml:space="preserve"> instars.  At that point</w:t>
      </w:r>
      <w:r w:rsidR="00887861">
        <w:t>,</w:t>
      </w:r>
      <w:r>
        <w:t xml:space="preserve"> caterpillars were </w:t>
      </w:r>
      <w:r w:rsidRPr="0074106C">
        <w:t>weighed for initial mass and placed on freshly cut fo</w:t>
      </w:r>
      <w:r w:rsidRPr="00C52675">
        <w:t>liage from an individual plant in a 5 cm deli cup</w:t>
      </w:r>
      <w:r w:rsidR="00417499" w:rsidRPr="00C52675">
        <w:t xml:space="preserve"> at 22 C with natural day length light cycle</w:t>
      </w:r>
      <w:r w:rsidRPr="00C52675">
        <w:t xml:space="preserve">.  </w:t>
      </w:r>
      <w:r w:rsidR="00746498">
        <w:t xml:space="preserve">Feeding trials on excised leaves may in some cases underestimate defense levels of plants that rely on defenses that are induced by herbivore feeding (Karban and Baldwin 1997).  </w:t>
      </w:r>
      <w:r w:rsidRPr="00C52675">
        <w:rPr>
          <w:i/>
        </w:rPr>
        <w:t>S. exigua</w:t>
      </w:r>
      <w:r w:rsidRPr="00C52675">
        <w:t xml:space="preserve"> feeding trials were initiated on March </w:t>
      </w:r>
      <w:r w:rsidR="00B12543" w:rsidRPr="00C52675">
        <w:t>8</w:t>
      </w:r>
      <w:r w:rsidRPr="00C52675">
        <w:t>,</w:t>
      </w:r>
      <w:r w:rsidRPr="0074106C">
        <w:t xml:space="preserve"> 2016, and </w:t>
      </w:r>
      <w:r w:rsidRPr="0074106C">
        <w:rPr>
          <w:i/>
        </w:rPr>
        <w:t>P. rapae</w:t>
      </w:r>
      <w:r w:rsidRPr="0074106C">
        <w:t xml:space="preserve"> feeding trials were initiated on </w:t>
      </w:r>
      <w:r w:rsidRPr="00C52675">
        <w:t xml:space="preserve">March </w:t>
      </w:r>
      <w:r w:rsidR="00B12543" w:rsidRPr="0074106C">
        <w:t>15</w:t>
      </w:r>
      <w:r w:rsidRPr="0074106C">
        <w:t>, 2016.  In both cases</w:t>
      </w:r>
      <w:r>
        <w:t xml:space="preserve">, feeding trials were ended after day three, and final </w:t>
      </w:r>
      <w:r w:rsidRPr="003E7158">
        <w:t xml:space="preserve">caterpillar mass was recorded.  </w:t>
      </w:r>
      <w:r w:rsidR="00392093">
        <w:t>Because larvae fed for the same period of time, r</w:t>
      </w:r>
      <w:r w:rsidRPr="003E7158">
        <w:t xml:space="preserve">elative growth rate </w:t>
      </w:r>
      <w:r w:rsidR="00C25A05">
        <w:t xml:space="preserve">(RGR) </w:t>
      </w:r>
      <w:r w:rsidRPr="003E7158">
        <w:t xml:space="preserve">was calculated as </w:t>
      </w:r>
      <w:r w:rsidR="00417499" w:rsidRPr="003E7158">
        <w:t>(</w:t>
      </w:r>
      <w:r w:rsidRPr="003E7158">
        <w:t>mass</w:t>
      </w:r>
      <w:r w:rsidRPr="003E7158">
        <w:rPr>
          <w:vertAlign w:val="subscript"/>
        </w:rPr>
        <w:t>final</w:t>
      </w:r>
      <w:r w:rsidR="00AF394B">
        <w:t>-</w:t>
      </w:r>
      <w:r w:rsidRPr="003E7158">
        <w:t>mass</w:t>
      </w:r>
      <w:r w:rsidRPr="003E7158">
        <w:rPr>
          <w:vertAlign w:val="subscript"/>
        </w:rPr>
        <w:t>initial</w:t>
      </w:r>
      <w:r w:rsidR="00417499" w:rsidRPr="00B21D50">
        <w:t>)</w:t>
      </w:r>
      <w:r w:rsidRPr="003E7158">
        <w:t>/mass</w:t>
      </w:r>
      <w:r w:rsidRPr="003E7158">
        <w:rPr>
          <w:vertAlign w:val="subscript"/>
        </w:rPr>
        <w:t>initial</w:t>
      </w:r>
      <w:r w:rsidRPr="003E7158">
        <w:t xml:space="preserve">, and resistance was </w:t>
      </w:r>
      <w:r w:rsidR="00FE7EBD">
        <w:t>considered</w:t>
      </w:r>
      <w:r w:rsidRPr="003E7158">
        <w:t xml:space="preserve"> 0-RGR.</w:t>
      </w:r>
      <w:r>
        <w:t xml:space="preserve">  </w:t>
      </w:r>
      <w:r w:rsidR="00D22D7B">
        <w:t xml:space="preserve">In this case, </w:t>
      </w:r>
      <w:r w:rsidR="00F91606">
        <w:t>RGR was equivalent to covariate methods of assessing caterpillar performance (Raubenheimer and Simson 1992) as growth rate (mass</w:t>
      </w:r>
      <w:r w:rsidR="00F91606" w:rsidRPr="00B21D50">
        <w:rPr>
          <w:vertAlign w:val="subscript"/>
        </w:rPr>
        <w:t>final</w:t>
      </w:r>
      <w:r w:rsidR="00F91606">
        <w:t>-mass</w:t>
      </w:r>
      <w:r w:rsidR="00F91606" w:rsidRPr="00B21D50">
        <w:rPr>
          <w:vertAlign w:val="subscript"/>
        </w:rPr>
        <w:t>initial</w:t>
      </w:r>
      <w:r w:rsidR="00F91606">
        <w:t>) was linearly related to mass</w:t>
      </w:r>
      <w:r w:rsidR="00F91606" w:rsidRPr="00B21D50">
        <w:rPr>
          <w:vertAlign w:val="subscript"/>
        </w:rPr>
        <w:t>initial</w:t>
      </w:r>
      <w:r w:rsidR="00F91606">
        <w:t xml:space="preserve">.  </w:t>
      </w:r>
    </w:p>
    <w:p w14:paraId="3BE43249" w14:textId="2C88C9C2" w:rsidR="00C9339A" w:rsidRDefault="00B73BEC" w:rsidP="003748F0">
      <w:pPr>
        <w:spacing w:line="480" w:lineRule="auto"/>
      </w:pPr>
      <w:r w:rsidRPr="00B21D50">
        <w:rPr>
          <w:b/>
          <w:i/>
        </w:rPr>
        <w:t xml:space="preserve">Resource availability: </w:t>
      </w:r>
      <w:r>
        <w:rPr>
          <w:b/>
          <w:i/>
        </w:rPr>
        <w:t>Serpentine soils</w:t>
      </w:r>
      <w:r>
        <w:t xml:space="preserve"> </w:t>
      </w:r>
      <w:r w:rsidRPr="00B21D50">
        <w:rPr>
          <w:b/>
          <w:i/>
        </w:rPr>
        <w:t>and drought</w:t>
      </w:r>
    </w:p>
    <w:p w14:paraId="6C1DF884" w14:textId="51F98E1A" w:rsidR="00B73BEC" w:rsidRDefault="00392093" w:rsidP="00195498">
      <w:pPr>
        <w:spacing w:line="480" w:lineRule="auto"/>
      </w:pPr>
      <w:r>
        <w:lastRenderedPageBreak/>
        <w:t>W</w:t>
      </w:r>
      <w:r w:rsidR="00B73BEC" w:rsidRPr="00B21D50">
        <w:t>e considered two different types of resource</w:t>
      </w:r>
      <w:r>
        <w:t xml:space="preserve"> limitation</w:t>
      </w:r>
      <w:r w:rsidR="00B73BEC" w:rsidRPr="003748F0">
        <w:t xml:space="preserve">: </w:t>
      </w:r>
      <w:r w:rsidR="00724EC4" w:rsidRPr="00B21D50">
        <w:t>serpentine soils</w:t>
      </w:r>
      <w:r w:rsidR="00724EC4" w:rsidRPr="003748F0">
        <w:t xml:space="preserve"> </w:t>
      </w:r>
      <w:r w:rsidR="00724EC4" w:rsidRPr="00B21D50">
        <w:t>and</w:t>
      </w:r>
      <w:r w:rsidR="00724EC4" w:rsidRPr="003748F0">
        <w:t xml:space="preserve"> </w:t>
      </w:r>
      <w:r w:rsidR="00B73BEC" w:rsidRPr="003748F0">
        <w:t>water availabil</w:t>
      </w:r>
      <w:r w:rsidR="00B73BEC">
        <w:t>ity</w:t>
      </w:r>
      <w:r w:rsidR="00B73BEC" w:rsidRPr="00B21D50">
        <w:t>.</w:t>
      </w:r>
      <w:r w:rsidR="00B73BEC">
        <w:rPr>
          <w:i/>
        </w:rPr>
        <w:t xml:space="preserve"> </w:t>
      </w:r>
      <w:r w:rsidR="00B73BEC">
        <w:t xml:space="preserve"> </w:t>
      </w:r>
      <w:r>
        <w:t>S</w:t>
      </w:r>
      <w:r w:rsidR="00B73BEC">
        <w:t xml:space="preserve">erpentine soils have long been considered stressful to plants, and serpentine-loving </w:t>
      </w:r>
      <w:r w:rsidR="00B73BEC" w:rsidRPr="00B21D50">
        <w:rPr>
          <w:i/>
        </w:rPr>
        <w:t>Streptanthus</w:t>
      </w:r>
      <w:r w:rsidR="00B73BEC">
        <w:t xml:space="preserve"> grow in soils that are significantly lower in P and Ca</w:t>
      </w:r>
      <w:r>
        <w:t xml:space="preserve">, but not N, </w:t>
      </w:r>
      <w:r w:rsidR="00B73BEC">
        <w:t>than nonserpentine soils of clade-mates (Cacho and Strauss 2014)</w:t>
      </w:r>
      <w:r>
        <w:t>.</w:t>
      </w:r>
      <w:r w:rsidR="00B73BEC">
        <w:t xml:space="preserve"> </w:t>
      </w:r>
    </w:p>
    <w:p w14:paraId="42488634" w14:textId="2743AB42" w:rsidR="000815EC" w:rsidRDefault="00724EC4" w:rsidP="00B21D50">
      <w:pPr>
        <w:spacing w:line="480" w:lineRule="auto"/>
      </w:pPr>
      <w:r>
        <w:tab/>
      </w:r>
      <w:r w:rsidR="00B21D50">
        <w:t xml:space="preserve">We estimated two aspects of water relations (precipitation environment and experimentally measured drought tolerance) to explore predicted trade-offs with tolerance. </w:t>
      </w:r>
      <w:r w:rsidR="00892B57">
        <w:t>F</w:t>
      </w:r>
      <w:r w:rsidR="00B73BEC">
        <w:t>irst, f</w:t>
      </w:r>
      <w:r w:rsidR="00892B57">
        <w:t xml:space="preserve">or each taxon, we </w:t>
      </w:r>
      <w:r w:rsidR="00B73BEC">
        <w:t xml:space="preserve">assessed water availability by </w:t>
      </w:r>
      <w:r w:rsidR="00892B57">
        <w:t>calculat</w:t>
      </w:r>
      <w:r w:rsidR="00B73BEC">
        <w:t>ing</w:t>
      </w:r>
      <w:r w:rsidR="00892B57">
        <w:t xml:space="preserve"> the 30-yr mean growing season precipitation at the collection sites using interpolated precipitation data from the PRISM weather database </w:t>
      </w:r>
      <w:r w:rsidR="00892B57" w:rsidRPr="00FD3703">
        <w:t>(PRISM Climate Group 2011)</w:t>
      </w:r>
      <w:r w:rsidR="00892B57">
        <w:t xml:space="preserve">.  </w:t>
      </w:r>
      <w:r w:rsidR="00B73BEC">
        <w:t>Second, i</w:t>
      </w:r>
      <w:r w:rsidR="00892B57">
        <w:t xml:space="preserve">n a separate, parallel </w:t>
      </w:r>
      <w:r w:rsidR="00972155">
        <w:t xml:space="preserve">experiment </w:t>
      </w:r>
      <w:r w:rsidR="00B73BEC">
        <w:t xml:space="preserve">with the same taxa and </w:t>
      </w:r>
      <w:r w:rsidR="00392093">
        <w:t xml:space="preserve">maternal </w:t>
      </w:r>
      <w:r w:rsidR="00B73BEC">
        <w:t xml:space="preserve">families </w:t>
      </w:r>
      <w:r w:rsidR="00972155">
        <w:t>(not reported here</w:t>
      </w:r>
      <w:r w:rsidR="00B73BEC">
        <w:t>; methods in Supplement</w:t>
      </w:r>
      <w:r w:rsidR="00972155">
        <w:t xml:space="preserve">), </w:t>
      </w:r>
      <w:r w:rsidR="003D5610">
        <w:t xml:space="preserve">we used </w:t>
      </w:r>
      <w:r w:rsidR="00B73BEC">
        <w:t xml:space="preserve">precipitation </w:t>
      </w:r>
      <w:r w:rsidR="003D5610">
        <w:t xml:space="preserve">data to </w:t>
      </w:r>
      <w:r w:rsidR="00B73BEC">
        <w:t>assess drought adaptation</w:t>
      </w:r>
      <w:r w:rsidR="00C7664F">
        <w:t>.  W</w:t>
      </w:r>
      <w:r w:rsidR="00B21D50">
        <w:t>e created</w:t>
      </w:r>
      <w:r w:rsidR="00B73BEC">
        <w:t xml:space="preserve"> </w:t>
      </w:r>
      <w:r w:rsidR="003D5610">
        <w:t>s</w:t>
      </w:r>
      <w:r w:rsidR="00892B57">
        <w:t xml:space="preserve">even </w:t>
      </w:r>
      <w:r w:rsidR="00892B57" w:rsidRPr="003E7158">
        <w:t>water</w:t>
      </w:r>
      <w:r w:rsidR="00B73BEC">
        <w:t>ing</w:t>
      </w:r>
      <w:r w:rsidR="00892B57" w:rsidRPr="003E7158">
        <w:t xml:space="preserve"> levels from </w:t>
      </w:r>
      <w:r w:rsidR="003E7158" w:rsidRPr="003E7158">
        <w:t xml:space="preserve">8 </w:t>
      </w:r>
      <w:r w:rsidR="00892B57" w:rsidRPr="003E7158">
        <w:t xml:space="preserve">to </w:t>
      </w:r>
      <w:r w:rsidR="003E7158" w:rsidRPr="003E7158">
        <w:t xml:space="preserve">238 </w:t>
      </w:r>
      <w:r w:rsidR="0074106C" w:rsidRPr="003E7158">
        <w:t>mm/month</w:t>
      </w:r>
      <w:r w:rsidR="00892B57" w:rsidRPr="003E7158">
        <w:t xml:space="preserve">, </w:t>
      </w:r>
      <w:r w:rsidR="003D5610" w:rsidRPr="003E7158">
        <w:t xml:space="preserve">which </w:t>
      </w:r>
      <w:r w:rsidR="00C7664F">
        <w:t xml:space="preserve">represented the range of precipitation levels experienced by </w:t>
      </w:r>
      <w:r w:rsidR="00C7664F" w:rsidRPr="00B17AC8">
        <w:rPr>
          <w:i/>
        </w:rPr>
        <w:t>Streptanthus</w:t>
      </w:r>
      <w:r w:rsidR="00C7664F">
        <w:t xml:space="preserve"> taxa.  Specifically, the lowest watering treatment was </w:t>
      </w:r>
      <w:r w:rsidR="00892B57" w:rsidRPr="003E7158">
        <w:t xml:space="preserve">half of the 30-year </w:t>
      </w:r>
      <w:r w:rsidR="003D5610" w:rsidRPr="003E7158">
        <w:t xml:space="preserve">mean </w:t>
      </w:r>
      <w:r w:rsidR="00C7664F">
        <w:t>precipitation</w:t>
      </w:r>
      <w:r w:rsidR="00C7664F" w:rsidRPr="003E7158">
        <w:t xml:space="preserve"> </w:t>
      </w:r>
      <w:r w:rsidR="003D5610" w:rsidRPr="003E7158">
        <w:t>level of the driest-adap</w:t>
      </w:r>
      <w:r w:rsidR="00892B57" w:rsidRPr="003E7158">
        <w:t>ted species</w:t>
      </w:r>
      <w:r w:rsidR="00C7664F">
        <w:t>, and the highest watering treatment was</w:t>
      </w:r>
      <w:r w:rsidR="00892B57" w:rsidRPr="003E7158">
        <w:t xml:space="preserve"> </w:t>
      </w:r>
      <w:r w:rsidR="00C7664F">
        <w:t xml:space="preserve">the 30-year </w:t>
      </w:r>
      <w:r w:rsidR="003E7158" w:rsidRPr="003E7158">
        <w:t xml:space="preserve">mean </w:t>
      </w:r>
      <w:r w:rsidR="00C7664F">
        <w:t xml:space="preserve">precipitation </w:t>
      </w:r>
      <w:r w:rsidR="003E7158" w:rsidRPr="003E7158">
        <w:t>+ 50 mm</w:t>
      </w:r>
      <w:r w:rsidR="00892B57" w:rsidRPr="003E7158">
        <w:t xml:space="preserve"> </w:t>
      </w:r>
      <w:r w:rsidR="00892B57">
        <w:t>of the wettest</w:t>
      </w:r>
      <w:r w:rsidR="00C7664F">
        <w:t>-adapted</w:t>
      </w:r>
      <w:r w:rsidR="00892B57">
        <w:t xml:space="preserve"> species.  </w:t>
      </w:r>
      <w:r w:rsidR="003D5610">
        <w:t>We</w:t>
      </w:r>
      <w:r w:rsidR="00892B57">
        <w:t xml:space="preserve"> estimated </w:t>
      </w:r>
      <w:r w:rsidR="00892B57" w:rsidRPr="00937CAD">
        <w:t xml:space="preserve">adaptation </w:t>
      </w:r>
      <w:r w:rsidR="003D5610" w:rsidRPr="00937CAD">
        <w:t xml:space="preserve">to precipitation </w:t>
      </w:r>
      <w:r w:rsidR="00892B57" w:rsidRPr="00937CAD">
        <w:t xml:space="preserve">as the </w:t>
      </w:r>
      <w:r w:rsidR="003D5610" w:rsidRPr="00937CAD">
        <w:t>water level</w:t>
      </w:r>
      <w:r w:rsidR="00892B57" w:rsidRPr="00937CAD">
        <w:t xml:space="preserve"> at which </w:t>
      </w:r>
      <w:r w:rsidR="00B21D50">
        <w:t>fruit</w:t>
      </w:r>
      <w:r w:rsidR="000A695B">
        <w:t xml:space="preserve"> production accumulated</w:t>
      </w:r>
      <w:r w:rsidR="00B73BEC">
        <w:t xml:space="preserve"> fastest</w:t>
      </w:r>
      <w:r w:rsidR="00C11FF2">
        <w:t xml:space="preserve"> [</w:t>
      </w:r>
      <w:r w:rsidR="00B73BEC">
        <w:t xml:space="preserve">curve inflection point of the relationship between </w:t>
      </w:r>
      <w:r w:rsidR="00C11FF2">
        <w:t>seed production (y)</w:t>
      </w:r>
      <w:r w:rsidR="00B73BEC">
        <w:t xml:space="preserve"> and watering level</w:t>
      </w:r>
      <w:r w:rsidR="00C11FF2">
        <w:t>(x)</w:t>
      </w:r>
      <w:r w:rsidR="00892B57" w:rsidRPr="00937CAD">
        <w:t xml:space="preserve"> for each taxon</w:t>
      </w:r>
      <w:r w:rsidR="00B73BEC">
        <w:t xml:space="preserve"> (P</w:t>
      </w:r>
      <w:r w:rsidR="00937CAD" w:rsidRPr="00937CAD">
        <w:t xml:space="preserve">earse et al. </w:t>
      </w:r>
      <w:r w:rsidR="009149A1">
        <w:t>in prep</w:t>
      </w:r>
      <w:r w:rsidR="00C7664F">
        <w:t>)</w:t>
      </w:r>
      <w:r w:rsidR="00B7721A">
        <w:t>]</w:t>
      </w:r>
      <w:r w:rsidR="006502D6" w:rsidRPr="00937CAD">
        <w:t>.</w:t>
      </w:r>
      <w:r w:rsidR="000815EC">
        <w:t xml:space="preserve"> </w:t>
      </w:r>
    </w:p>
    <w:p w14:paraId="490E2215" w14:textId="77777777" w:rsidR="00B21D50" w:rsidRDefault="00B21D50" w:rsidP="00B21D50">
      <w:pPr>
        <w:spacing w:line="480" w:lineRule="auto"/>
        <w:rPr>
          <w:b/>
          <w:i/>
        </w:rPr>
      </w:pPr>
      <w:r w:rsidRPr="00B21D50">
        <w:rPr>
          <w:b/>
          <w:i/>
        </w:rPr>
        <w:t>Phenology.</w:t>
      </w:r>
    </w:p>
    <w:p w14:paraId="3E3E4FBA" w14:textId="57AC7C32" w:rsidR="00B21D50" w:rsidRDefault="00B21D50" w:rsidP="00B21D50">
      <w:pPr>
        <w:spacing w:line="480" w:lineRule="auto"/>
      </w:pPr>
      <w:r>
        <w:t xml:space="preserve">We recorded the flowering phenology as day of first flower for all plants.  To determine the soil-sensitivity of phenology, we asked whether flowering phenology differed between </w:t>
      </w:r>
      <w:r w:rsidRPr="000815EC">
        <w:rPr>
          <w:i/>
        </w:rPr>
        <w:t>Streptanthus</w:t>
      </w:r>
      <w:r>
        <w:t xml:space="preserve"> species, soil types, and the interaction between taxa and soil type.  The best model (AICc) describing phenology included taxon (ranging by 84 days, </w:t>
      </w:r>
      <w:r>
        <w:lastRenderedPageBreak/>
        <w:t>ANOVA, F</w:t>
      </w:r>
      <w:r w:rsidRPr="000815EC">
        <w:rPr>
          <w:vertAlign w:val="subscript"/>
        </w:rPr>
        <w:t>10</w:t>
      </w:r>
      <w:r w:rsidR="00790A60" w:rsidRPr="000815EC">
        <w:rPr>
          <w:vertAlign w:val="subscript"/>
        </w:rPr>
        <w:t>, 347</w:t>
      </w:r>
      <w:r>
        <w:t>=</w:t>
      </w:r>
      <w:r w:rsidRPr="000815EC">
        <w:t>97.9</w:t>
      </w:r>
      <w:r>
        <w:t>, P&lt;0.0001) and soil type (ANOVA, F</w:t>
      </w:r>
      <w:r w:rsidRPr="000815EC">
        <w:rPr>
          <w:vertAlign w:val="subscript"/>
        </w:rPr>
        <w:t>1</w:t>
      </w:r>
      <w:r w:rsidR="00790A60" w:rsidRPr="000815EC">
        <w:rPr>
          <w:vertAlign w:val="subscript"/>
        </w:rPr>
        <w:t>, 347</w:t>
      </w:r>
      <w:r>
        <w:t>=</w:t>
      </w:r>
      <w:r w:rsidRPr="000815EC">
        <w:t xml:space="preserve"> 60.3</w:t>
      </w:r>
      <w:r>
        <w:t>, P&lt;0.0001), but not the interaction between the two.  Because the effect of soil on flowering phenology did not differ among taxa, we calculated the mean day of first flower across both soil types for analyses using phenology.</w:t>
      </w:r>
    </w:p>
    <w:p w14:paraId="77857313" w14:textId="77777777" w:rsidR="00B21D50" w:rsidRPr="007B5A2A" w:rsidRDefault="00B21D50" w:rsidP="00B21D50">
      <w:pPr>
        <w:spacing w:line="480" w:lineRule="auto"/>
        <w:rPr>
          <w:b/>
        </w:rPr>
      </w:pPr>
    </w:p>
    <w:p w14:paraId="1413E929" w14:textId="77777777" w:rsidR="00B21D50" w:rsidRDefault="00B21D50" w:rsidP="00B21D50">
      <w:pPr>
        <w:spacing w:line="480" w:lineRule="auto"/>
      </w:pPr>
    </w:p>
    <w:p w14:paraId="71B316DA" w14:textId="6BE4648C" w:rsidR="00AB7BDE" w:rsidRDefault="00AB7BDE" w:rsidP="00195498">
      <w:pPr>
        <w:spacing w:line="480" w:lineRule="auto"/>
        <w:rPr>
          <w:b/>
          <w:i/>
        </w:rPr>
      </w:pPr>
      <w:r w:rsidRPr="00DD7114">
        <w:rPr>
          <w:b/>
          <w:i/>
        </w:rPr>
        <w:t>Statistical analys</w:t>
      </w:r>
      <w:r w:rsidR="00892B57">
        <w:rPr>
          <w:b/>
          <w:i/>
        </w:rPr>
        <w:t>e</w:t>
      </w:r>
      <w:r w:rsidRPr="00DD7114">
        <w:rPr>
          <w:b/>
          <w:i/>
        </w:rPr>
        <w:t>s</w:t>
      </w:r>
    </w:p>
    <w:p w14:paraId="51440930" w14:textId="43E1E157" w:rsidR="00302E3E" w:rsidRPr="00C52675" w:rsidRDefault="003E7158" w:rsidP="00195498">
      <w:pPr>
        <w:spacing w:line="480" w:lineRule="auto"/>
        <w:rPr>
          <w:i/>
        </w:rPr>
      </w:pPr>
      <w:r>
        <w:rPr>
          <w:i/>
        </w:rPr>
        <w:t xml:space="preserve">Dependence of resistance and tolerance on soil </w:t>
      </w:r>
      <w:r w:rsidR="00A07E48">
        <w:rPr>
          <w:i/>
        </w:rPr>
        <w:t xml:space="preserve">and </w:t>
      </w:r>
      <w:r>
        <w:rPr>
          <w:i/>
        </w:rPr>
        <w:t>type of herbivore</w:t>
      </w:r>
    </w:p>
    <w:p w14:paraId="43A879C0" w14:textId="7DD3C75F" w:rsidR="00C52675" w:rsidRDefault="00C52675" w:rsidP="005B59F4">
      <w:pPr>
        <w:spacing w:line="480" w:lineRule="auto"/>
      </w:pPr>
      <w:r>
        <w:t>Prior to PGLS analysis, we ran a series of non-PGLS mixed models in order</w:t>
      </w:r>
      <w:r w:rsidR="005641B0">
        <w:t xml:space="preserve"> to</w:t>
      </w:r>
      <w:r w:rsidR="00D811AA">
        <w:t xml:space="preserve"> under</w:t>
      </w:r>
      <w:r w:rsidR="005641B0">
        <w:t>stand</w:t>
      </w:r>
      <w:r>
        <w:t xml:space="preserve"> the degree to which </w:t>
      </w:r>
      <w:r w:rsidR="00DD5D4F">
        <w:t xml:space="preserve">fitness </w:t>
      </w:r>
      <w:r>
        <w:t>and resistance depended on soil type</w:t>
      </w:r>
      <w:r w:rsidR="005B62D4">
        <w:t xml:space="preserve"> and taxon</w:t>
      </w:r>
      <w:r>
        <w:t xml:space="preserve">.  </w:t>
      </w:r>
      <w:r w:rsidR="00DD5D4F">
        <w:t xml:space="preserve">For resistance measures, resistance was predicted by the interactive effects of </w:t>
      </w:r>
      <w:r w:rsidR="00DD5D4F" w:rsidRPr="00937CAD">
        <w:rPr>
          <w:i/>
        </w:rPr>
        <w:t>Streptanthus</w:t>
      </w:r>
      <w:r w:rsidR="00DD5D4F">
        <w:t xml:space="preserve"> taxon, and soil type.  To assess variation in tolerance, fitness was predicted by the interactive effects of </w:t>
      </w:r>
      <w:r w:rsidR="00DD5D4F" w:rsidRPr="00481C16">
        <w:rPr>
          <w:i/>
        </w:rPr>
        <w:t>Streptanthus</w:t>
      </w:r>
      <w:r w:rsidR="00DD5D4F">
        <w:t xml:space="preserve"> taxon, damage level (</w:t>
      </w:r>
      <w:r w:rsidR="00B73BEC">
        <w:t xml:space="preserve">discrete </w:t>
      </w:r>
      <w:r w:rsidR="00DD5D4F">
        <w:t>damage/undamaged for browse; continuous measure of leaf damage for folivory), and soil type.  In an initial model, we included a quadratic effect of leaf damage to test for overcompensation or nonlinear effects of damage</w:t>
      </w:r>
      <w:r w:rsidR="00B73BEC">
        <w:t>, and interactions between soil environment and taxon</w:t>
      </w:r>
      <w:r w:rsidR="00DD5D4F">
        <w:t xml:space="preserve">.  </w:t>
      </w:r>
      <w:r w:rsidR="006243DD">
        <w:t xml:space="preserve">The best models using </w:t>
      </w:r>
      <w:r w:rsidR="00A07E48">
        <w:t xml:space="preserve">AICc </w:t>
      </w:r>
      <w:r w:rsidR="006243DD">
        <w:t xml:space="preserve">included </w:t>
      </w:r>
      <w:r w:rsidR="00A07E48">
        <w:t xml:space="preserve">the full model (including soil*taxon interaction) for resistance to both generalist and specialist </w:t>
      </w:r>
      <w:r w:rsidR="006243DD">
        <w:t>l</w:t>
      </w:r>
      <w:r w:rsidR="00A07E48">
        <w:t xml:space="preserve">epidopterans, but </w:t>
      </w:r>
      <w:r w:rsidR="006243DD">
        <w:t xml:space="preserve">did not include interactions with soil </w:t>
      </w:r>
      <w:r w:rsidR="00A07E48">
        <w:t xml:space="preserve">for </w:t>
      </w:r>
      <w:r w:rsidR="006243DD">
        <w:t xml:space="preserve">either </w:t>
      </w:r>
      <w:r w:rsidR="00A07E48">
        <w:t>measure of tolerance (clipping and leaf damage</w:t>
      </w:r>
      <w:r w:rsidR="00B73BEC">
        <w:t>; see Results</w:t>
      </w:r>
      <w:r w:rsidR="00A07E48">
        <w:t xml:space="preserve">). </w:t>
      </w:r>
      <w:r w:rsidR="00B73BEC">
        <w:t xml:space="preserve"> Thus, for resistance, we report results by soil type, while for tolerance, we use a </w:t>
      </w:r>
      <w:r w:rsidR="00790A60">
        <w:t>mean across</w:t>
      </w:r>
      <w:r w:rsidR="00B73BEC">
        <w:t xml:space="preserve"> both soils.</w:t>
      </w:r>
    </w:p>
    <w:p w14:paraId="0F62D66B" w14:textId="7AC552A7" w:rsidR="005B62D4" w:rsidRDefault="005B62D4" w:rsidP="005B59F4">
      <w:pPr>
        <w:spacing w:line="480" w:lineRule="auto"/>
      </w:pPr>
      <w:r>
        <w:rPr>
          <w:i/>
        </w:rPr>
        <w:t>General PGLS and phylogenetic signal methods</w:t>
      </w:r>
      <w:r>
        <w:t xml:space="preserve"> </w:t>
      </w:r>
    </w:p>
    <w:p w14:paraId="51A242BD" w14:textId="63F02D13" w:rsidR="005B59F4" w:rsidRDefault="005B62D4" w:rsidP="005B59F4">
      <w:pPr>
        <w:spacing w:line="480" w:lineRule="auto"/>
      </w:pPr>
      <w:r>
        <w:lastRenderedPageBreak/>
        <w:t xml:space="preserve">We used a recent Bayesian molecular phylogeny of </w:t>
      </w:r>
      <w:r w:rsidRPr="00937CAD">
        <w:rPr>
          <w:i/>
        </w:rPr>
        <w:t>Streptanthus</w:t>
      </w:r>
      <w:r>
        <w:t xml:space="preserve"> </w:t>
      </w:r>
      <w:r w:rsidRPr="00FD046E">
        <w:t>(Cacho et al. 2014)</w:t>
      </w:r>
      <w:r>
        <w:t xml:space="preserve"> to conduct phylogenetically explicit generalized least squares comparative analyses (PGLS) of tolerance, resistance, and related </w:t>
      </w:r>
      <w:r w:rsidRPr="00937CAD">
        <w:rPr>
          <w:i/>
        </w:rPr>
        <w:t>Streptanthus</w:t>
      </w:r>
      <w:r>
        <w:t xml:space="preserve"> traits (drought tolerance, precipitation environment, and whether soil type was serpentine).  Phylogeny was accounted for using a Brownian motion model of evolution.  Phylogenetic models were fit using R packages </w:t>
      </w:r>
      <w:r w:rsidRPr="00FD046E">
        <w:rPr>
          <w:i/>
        </w:rPr>
        <w:t>ape</w:t>
      </w:r>
      <w:r>
        <w:t xml:space="preserve"> and </w:t>
      </w:r>
      <w:r w:rsidRPr="00FD046E">
        <w:rPr>
          <w:i/>
        </w:rPr>
        <w:t>nlme</w:t>
      </w:r>
      <w:r>
        <w:t xml:space="preserve"> </w:t>
      </w:r>
      <w:r w:rsidRPr="00FD046E">
        <w:t>(Paradis et al. 2004, Pinheiro et al. 2009)</w:t>
      </w:r>
      <w:r>
        <w:t xml:space="preserve">.  </w:t>
      </w:r>
      <w:r w:rsidR="00DD5D4F">
        <w:t xml:space="preserve">Models did not deviate from GLS assumptions.  </w:t>
      </w:r>
      <w:r>
        <w:t xml:space="preserve">Phylogenetic signal was estimated as Blomberg’s K, a measure of phylogenetic autocorrelation </w:t>
      </w:r>
      <w:r w:rsidRPr="00FD046E">
        <w:t>(Blomberg et al. 2003)</w:t>
      </w:r>
      <w:r>
        <w:t xml:space="preserve">, and significance of K was estimated using a bootstrapping approach implemented </w:t>
      </w:r>
      <w:r w:rsidR="00C7664F">
        <w:t xml:space="preserve">in the </w:t>
      </w:r>
      <w:r>
        <w:t xml:space="preserve">R package </w:t>
      </w:r>
      <w:r w:rsidRPr="00FD046E">
        <w:rPr>
          <w:i/>
        </w:rPr>
        <w:t>phytools</w:t>
      </w:r>
      <w:r>
        <w:t xml:space="preserve"> </w:t>
      </w:r>
      <w:r w:rsidRPr="00FD046E">
        <w:t>(Revell 2012)</w:t>
      </w:r>
      <w:r>
        <w:t xml:space="preserve">.  </w:t>
      </w:r>
      <w:r w:rsidR="005B59F4">
        <w:t>O</w:t>
      </w:r>
      <w:r w:rsidR="00B71CF3">
        <w:t xml:space="preserve">ver-interpretation of Blomberg’s K should be avoided because of known statistical issues in assessing phylogenetic signal </w:t>
      </w:r>
      <w:r w:rsidR="005B59F4">
        <w:t xml:space="preserve">(Münkemüller et al. 2012). </w:t>
      </w:r>
    </w:p>
    <w:p w14:paraId="7ACD1F7B" w14:textId="0977AF52" w:rsidR="005B62D4" w:rsidRPr="00481C16" w:rsidRDefault="00B73BEC">
      <w:pPr>
        <w:spacing w:line="480" w:lineRule="auto"/>
        <w:rPr>
          <w:i/>
        </w:rPr>
      </w:pPr>
      <w:r>
        <w:rPr>
          <w:i/>
        </w:rPr>
        <w:t>Does</w:t>
      </w:r>
      <w:r w:rsidR="005B62D4" w:rsidRPr="00481C16">
        <w:rPr>
          <w:i/>
        </w:rPr>
        <w:t xml:space="preserve"> resistance or tolerance</w:t>
      </w:r>
      <w:r>
        <w:rPr>
          <w:i/>
        </w:rPr>
        <w:t xml:space="preserve"> vary with herbivore type</w:t>
      </w:r>
      <w:r w:rsidR="005B62D4" w:rsidRPr="00481C16">
        <w:rPr>
          <w:i/>
        </w:rPr>
        <w:t>?</w:t>
      </w:r>
    </w:p>
    <w:p w14:paraId="60577CE4" w14:textId="0ACD3C53" w:rsidR="00A07E48" w:rsidRDefault="00D811AA" w:rsidP="00B17AC8">
      <w:pPr>
        <w:spacing w:line="480" w:lineRule="auto"/>
      </w:pPr>
      <w:r>
        <w:t xml:space="preserve">We </w:t>
      </w:r>
      <w:r w:rsidR="00302E3E">
        <w:t>used phylogenetic least squares (</w:t>
      </w:r>
      <w:r w:rsidR="00A07E48">
        <w:t>PGLS</w:t>
      </w:r>
      <w:r w:rsidR="00302E3E">
        <w:t>) to explore the correlation between resistance to specialist and generalist lepidopteran herbivores</w:t>
      </w:r>
      <w:r w:rsidR="00A07E48">
        <w:t xml:space="preserve">.  In this case, we arbitrarily assigned resistance to the specialist herbivore as the dependent variable and resistance to the generalist herbivore as the explanatory variable.  We conducted this analysis </w:t>
      </w:r>
      <w:r w:rsidR="00B73BEC">
        <w:t xml:space="preserve">separately </w:t>
      </w:r>
      <w:r w:rsidR="00A07E48">
        <w:t>for plants grown in both soil types</w:t>
      </w:r>
      <w:r w:rsidR="00B73BEC">
        <w:t xml:space="preserve">, owing to dependency of resistance measures on soil type (see above). </w:t>
      </w:r>
    </w:p>
    <w:p w14:paraId="744EE576" w14:textId="0A1C0AEA" w:rsidR="00302E3E" w:rsidRPr="00FC24E3" w:rsidRDefault="00A07E48" w:rsidP="00B93D5E">
      <w:pPr>
        <w:spacing w:line="480" w:lineRule="auto"/>
        <w:ind w:firstLine="720"/>
      </w:pPr>
      <w:r>
        <w:t xml:space="preserve">We used phylogenetic least squares to assess whether tolerance to clipping (simulated browse) </w:t>
      </w:r>
      <w:r w:rsidR="00B73BEC">
        <w:t xml:space="preserve">was </w:t>
      </w:r>
      <w:r>
        <w:t xml:space="preserve">correlated with tolerance to leaf damage (folivores).  We arbitrarily assigned tolerance to leaf damage as the dependent variable and tolerance to clipping as the explanatory variable.  </w:t>
      </w:r>
    </w:p>
    <w:p w14:paraId="6E58B80E" w14:textId="7E4A8066" w:rsidR="00A07E48" w:rsidRDefault="00D811AA" w:rsidP="00195498">
      <w:pPr>
        <w:spacing w:line="480" w:lineRule="auto"/>
        <w:rPr>
          <w:i/>
        </w:rPr>
      </w:pPr>
      <w:r w:rsidRPr="00FC24E3">
        <w:rPr>
          <w:i/>
        </w:rPr>
        <w:t xml:space="preserve">Are there resistance –tolerance trade-offs? </w:t>
      </w:r>
    </w:p>
    <w:p w14:paraId="34789210" w14:textId="0D239262" w:rsidR="00790B37" w:rsidRDefault="00790B37" w:rsidP="00B17AC8">
      <w:pPr>
        <w:spacing w:line="480" w:lineRule="auto"/>
      </w:pPr>
      <w:r>
        <w:lastRenderedPageBreak/>
        <w:t xml:space="preserve">We used PGLS to assess </w:t>
      </w:r>
      <w:r w:rsidR="006243DD">
        <w:t>the</w:t>
      </w:r>
      <w:r>
        <w:t xml:space="preserve"> correlation between tolerance and resistance.  </w:t>
      </w:r>
      <w:r w:rsidR="00B73BEC">
        <w:t xml:space="preserve">Herbivore </w:t>
      </w:r>
      <w:r>
        <w:t>analys</w:t>
      </w:r>
      <w:r w:rsidR="00B73BEC">
        <w:t>e</w:t>
      </w:r>
      <w:r>
        <w:t>s (above) indicated that resistance</w:t>
      </w:r>
      <w:r w:rsidR="00B73BEC">
        <w:t xml:space="preserve"> was highly context dependent: it</w:t>
      </w:r>
      <w:r>
        <w:t xml:space="preserve"> varied by soil type and </w:t>
      </w:r>
      <w:r w:rsidR="00B73BEC">
        <w:t xml:space="preserve">by </w:t>
      </w:r>
      <w:r>
        <w:t>herbivore</w:t>
      </w:r>
      <w:r w:rsidR="00B73BEC">
        <w:t xml:space="preserve">. </w:t>
      </w:r>
      <w:r w:rsidR="00790A60">
        <w:t>Moreover</w:t>
      </w:r>
      <w:r w:rsidR="00B73BEC">
        <w:t>,</w:t>
      </w:r>
      <w:r>
        <w:t xml:space="preserve"> tolerance to leaf damage was </w:t>
      </w:r>
      <w:r w:rsidR="00B73BEC">
        <w:t xml:space="preserve">also </w:t>
      </w:r>
      <w:r>
        <w:t xml:space="preserve">not equivalent to tolerance of clipping; </w:t>
      </w:r>
      <w:r w:rsidR="006243DD">
        <w:t xml:space="preserve">thus, we required </w:t>
      </w:r>
      <w:r w:rsidR="00B73BEC">
        <w:t xml:space="preserve">8 different </w:t>
      </w:r>
      <w:r>
        <w:t xml:space="preserve">analyses </w:t>
      </w:r>
      <w:r w:rsidR="006243DD">
        <w:t xml:space="preserve">of </w:t>
      </w:r>
      <w:r>
        <w:t>the resistance-tolerance relationship</w:t>
      </w:r>
      <w:r w:rsidR="00B73BEC">
        <w:t>:</w:t>
      </w:r>
      <w:r>
        <w:t xml:space="preserve"> </w:t>
      </w:r>
      <w:r w:rsidR="00B73BEC">
        <w:t xml:space="preserve">resistance measured </w:t>
      </w:r>
      <w:r>
        <w:t xml:space="preserve">separately </w:t>
      </w:r>
      <w:r w:rsidR="006243DD">
        <w:t xml:space="preserve">by </w:t>
      </w:r>
      <w:r>
        <w:t xml:space="preserve">herbivore </w:t>
      </w:r>
      <w:r w:rsidR="00724EC4">
        <w:t xml:space="preserve">and </w:t>
      </w:r>
      <w:r>
        <w:t>soil type and tolerance to clipping</w:t>
      </w:r>
      <w:r w:rsidR="00B73BEC">
        <w:t xml:space="preserve"> and to </w:t>
      </w:r>
      <w:r>
        <w:t xml:space="preserve">folivory. </w:t>
      </w:r>
      <w:r w:rsidR="00B73BEC">
        <w:t>F</w:t>
      </w:r>
      <w:r>
        <w:t xml:space="preserve">or each PGLS model, tolerance was the dependent variable and resistance was the explanatory variable.  </w:t>
      </w:r>
    </w:p>
    <w:p w14:paraId="67262BB0" w14:textId="4E0BC93D" w:rsidR="00D811AA" w:rsidRDefault="00B73BEC" w:rsidP="00195498">
      <w:pPr>
        <w:spacing w:line="480" w:lineRule="auto"/>
        <w:rPr>
          <w:i/>
        </w:rPr>
      </w:pPr>
      <w:r>
        <w:rPr>
          <w:i/>
        </w:rPr>
        <w:t>Measuring r</w:t>
      </w:r>
      <w:r w:rsidR="00790B37">
        <w:rPr>
          <w:i/>
        </w:rPr>
        <w:t>elationship</w:t>
      </w:r>
      <w:r w:rsidR="00D811AA">
        <w:rPr>
          <w:i/>
        </w:rPr>
        <w:t xml:space="preserve"> </w:t>
      </w:r>
      <w:r w:rsidR="00790B37">
        <w:rPr>
          <w:i/>
        </w:rPr>
        <w:t xml:space="preserve">of tolerance </w:t>
      </w:r>
      <w:r w:rsidR="00D811AA">
        <w:rPr>
          <w:i/>
        </w:rPr>
        <w:t>with</w:t>
      </w:r>
      <w:r w:rsidR="006243DD">
        <w:rPr>
          <w:i/>
        </w:rPr>
        <w:t xml:space="preserve"> </w:t>
      </w:r>
      <w:r>
        <w:rPr>
          <w:i/>
        </w:rPr>
        <w:t xml:space="preserve">serpentine soil </w:t>
      </w:r>
      <w:r w:rsidR="006243DD">
        <w:rPr>
          <w:i/>
        </w:rPr>
        <w:t>specialization</w:t>
      </w:r>
      <w:r w:rsidR="007754C9">
        <w:rPr>
          <w:i/>
        </w:rPr>
        <w:t xml:space="preserve"> and </w:t>
      </w:r>
      <w:r>
        <w:rPr>
          <w:i/>
        </w:rPr>
        <w:t>water availability</w:t>
      </w:r>
    </w:p>
    <w:p w14:paraId="715B4B9D" w14:textId="59FC276F" w:rsidR="00B430F1" w:rsidRDefault="00B73BEC" w:rsidP="00195498">
      <w:pPr>
        <w:spacing w:line="480" w:lineRule="auto"/>
      </w:pPr>
      <w:r>
        <w:t>We compared tolerance to folivory and clipping between serpentine- vs nonserpentine-associated taxa using PGLS</w:t>
      </w:r>
      <w:r w:rsidR="00354F4A">
        <w:t xml:space="preserve"> with soil as </w:t>
      </w:r>
      <w:r w:rsidR="00C7664F">
        <w:t xml:space="preserve">a </w:t>
      </w:r>
      <w:r w:rsidR="00354F4A">
        <w:t>discrete variable.</w:t>
      </w:r>
      <w:r w:rsidR="00EE025F">
        <w:t xml:space="preserve">  </w:t>
      </w:r>
      <w:r w:rsidR="00790B37" w:rsidRPr="00FC24E3">
        <w:t xml:space="preserve">We used PGLS to assess </w:t>
      </w:r>
      <w:r w:rsidR="006243DD">
        <w:t>how</w:t>
      </w:r>
      <w:r w:rsidR="006243DD" w:rsidRPr="00FC24E3">
        <w:t xml:space="preserve"> </w:t>
      </w:r>
      <w:r w:rsidR="00FC24E3" w:rsidRPr="00937CAD">
        <w:rPr>
          <w:i/>
        </w:rPr>
        <w:t>Strept</w:t>
      </w:r>
      <w:r w:rsidR="00790B37" w:rsidRPr="00937CAD">
        <w:rPr>
          <w:i/>
        </w:rPr>
        <w:t>anthus</w:t>
      </w:r>
      <w:r w:rsidR="00790B37">
        <w:t xml:space="preserve"> species </w:t>
      </w:r>
      <w:r w:rsidR="006243DD">
        <w:t>tolerate herbivory in rela</w:t>
      </w:r>
      <w:r w:rsidR="00415FDD">
        <w:t>tion</w:t>
      </w:r>
      <w:r w:rsidR="006243DD">
        <w:t xml:space="preserve"> to </w:t>
      </w:r>
      <w:r w:rsidR="00B430F1">
        <w:t>annual precipitation at field</w:t>
      </w:r>
      <w:r w:rsidR="00FC24E3">
        <w:t xml:space="preserve"> sites, </w:t>
      </w:r>
      <w:r w:rsidR="00B430F1">
        <w:t>and drought adaptation measured as the</w:t>
      </w:r>
      <w:r w:rsidR="00415FDD">
        <w:t xml:space="preserve"> precipitation level at peak fitness</w:t>
      </w:r>
      <w:r w:rsidR="00B430F1">
        <w:t xml:space="preserve"> achieved in our parallel experiment.</w:t>
      </w:r>
    </w:p>
    <w:p w14:paraId="67B481AC" w14:textId="77777777" w:rsidR="00790A60" w:rsidRDefault="00B430F1" w:rsidP="00195498">
      <w:pPr>
        <w:spacing w:line="480" w:lineRule="auto"/>
        <w:rPr>
          <w:i/>
        </w:rPr>
      </w:pPr>
      <w:r w:rsidRPr="007754C9">
        <w:rPr>
          <w:i/>
        </w:rPr>
        <w:t>Tolerance and</w:t>
      </w:r>
      <w:r w:rsidR="00415FDD" w:rsidRPr="007754C9">
        <w:rPr>
          <w:i/>
        </w:rPr>
        <w:t xml:space="preserve"> flowering phenology</w:t>
      </w:r>
    </w:p>
    <w:p w14:paraId="29A05235" w14:textId="692F11F6" w:rsidR="00D811AA" w:rsidRDefault="00FC24E3" w:rsidP="00195498">
      <w:pPr>
        <w:spacing w:line="480" w:lineRule="auto"/>
      </w:pPr>
      <w:r>
        <w:t xml:space="preserve"> We used tolerance as the dependent variable and </w:t>
      </w:r>
      <w:r w:rsidR="00354F4A">
        <w:t>date of first flower</w:t>
      </w:r>
      <w:r w:rsidR="00790A60">
        <w:t xml:space="preserve"> in PGLS, as above. </w:t>
      </w:r>
      <w:r w:rsidR="00B430F1">
        <w:t>Because of intercorrelations between</w:t>
      </w:r>
      <w:r w:rsidR="00481C16">
        <w:t xml:space="preserve"> </w:t>
      </w:r>
      <w:r>
        <w:t xml:space="preserve">experimentally measured drought tolerance, </w:t>
      </w:r>
      <w:r w:rsidR="00B430F1">
        <w:t xml:space="preserve">annual </w:t>
      </w:r>
      <w:r>
        <w:t xml:space="preserve">precipitation </w:t>
      </w:r>
      <w:r w:rsidR="00B430F1">
        <w:t>at field site</w:t>
      </w:r>
      <w:r>
        <w:t>, and flowering phenology (see results)</w:t>
      </w:r>
      <w:r w:rsidR="00B430F1">
        <w:t>, we</w:t>
      </w:r>
      <w:r w:rsidR="007754C9">
        <w:t xml:space="preserve"> </w:t>
      </w:r>
      <w:r>
        <w:t>used AICc model selection</w:t>
      </w:r>
      <w:r w:rsidR="00EE025F">
        <w:t xml:space="preserve"> on a complete model using all three </w:t>
      </w:r>
      <w:r w:rsidR="003B0DF2">
        <w:t xml:space="preserve">drought </w:t>
      </w:r>
      <w:r w:rsidR="00EE025F">
        <w:t>variables</w:t>
      </w:r>
      <w:r w:rsidR="00B430F1">
        <w:t xml:space="preserve"> to identify the best predictor(s) of tolerance in light of water limitation</w:t>
      </w:r>
    </w:p>
    <w:p w14:paraId="375E8801" w14:textId="77777777" w:rsidR="00C35676" w:rsidRDefault="00C35676" w:rsidP="00195498">
      <w:pPr>
        <w:spacing w:line="480" w:lineRule="auto"/>
      </w:pPr>
    </w:p>
    <w:p w14:paraId="7E63BB0C" w14:textId="77777777" w:rsidR="000A39E8" w:rsidRDefault="000A39E8" w:rsidP="000A39E8">
      <w:pPr>
        <w:spacing w:line="480" w:lineRule="auto"/>
        <w:rPr>
          <w:b/>
        </w:rPr>
      </w:pPr>
      <w:r w:rsidRPr="00BA1D09">
        <w:rPr>
          <w:b/>
        </w:rPr>
        <w:t>RESULTS</w:t>
      </w:r>
    </w:p>
    <w:p w14:paraId="46DAE5E1" w14:textId="77777777" w:rsidR="00096B7F" w:rsidRPr="00096B7F" w:rsidRDefault="00096B7F" w:rsidP="00096B7F">
      <w:pPr>
        <w:spacing w:line="480" w:lineRule="auto"/>
        <w:rPr>
          <w:b/>
          <w:i/>
        </w:rPr>
      </w:pPr>
      <w:r w:rsidRPr="00481C16">
        <w:rPr>
          <w:b/>
          <w:i/>
        </w:rPr>
        <w:t>Tolerance to herbivory in Streptanthus</w:t>
      </w:r>
      <w:r w:rsidRPr="00096B7F">
        <w:rPr>
          <w:b/>
          <w:i/>
        </w:rPr>
        <w:t xml:space="preserve"> species</w:t>
      </w:r>
    </w:p>
    <w:p w14:paraId="56B1CD37" w14:textId="513335C2" w:rsidR="00096B7F" w:rsidRDefault="008A6BD3" w:rsidP="00096B7F">
      <w:pPr>
        <w:spacing w:line="480" w:lineRule="auto"/>
        <w:ind w:firstLine="720"/>
      </w:pPr>
      <w:r w:rsidRPr="00481C16">
        <w:lastRenderedPageBreak/>
        <w:t xml:space="preserve">Monocarpic herbaceous </w:t>
      </w:r>
      <w:r w:rsidR="00096B7F" w:rsidRPr="00BA1D09">
        <w:rPr>
          <w:i/>
        </w:rPr>
        <w:t>Streptanthus</w:t>
      </w:r>
      <w:r w:rsidR="00096B7F">
        <w:t xml:space="preserve"> taxa were</w:t>
      </w:r>
      <w:r w:rsidR="00354F4A">
        <w:t xml:space="preserve"> highly</w:t>
      </w:r>
      <w:r w:rsidR="00096B7F">
        <w:t xml:space="preserve"> tolerant of experimental herbivory.  Experimental leaf damage by </w:t>
      </w:r>
      <w:r w:rsidR="00096B7F" w:rsidRPr="00BA1D09">
        <w:rPr>
          <w:i/>
        </w:rPr>
        <w:t>P. rapae</w:t>
      </w:r>
      <w:r w:rsidR="00096B7F" w:rsidRPr="00152320">
        <w:t>+manual leaf cutting</w:t>
      </w:r>
      <w:r w:rsidR="00096B7F">
        <w:rPr>
          <w:i/>
        </w:rPr>
        <w:t xml:space="preserve"> </w:t>
      </w:r>
      <w:r w:rsidR="00096B7F">
        <w:t xml:space="preserve">to rosette and cauline leaves resulted in a </w:t>
      </w:r>
      <w:r w:rsidR="00354F4A">
        <w:t xml:space="preserve">significant, but small, </w:t>
      </w:r>
      <w:r w:rsidR="00096B7F">
        <w:t>decrease in fruit production (F</w:t>
      </w:r>
      <w:r w:rsidR="00096B7F">
        <w:rPr>
          <w:vertAlign w:val="subscript"/>
        </w:rPr>
        <w:t>1,473</w:t>
      </w:r>
      <w:r w:rsidR="00096B7F">
        <w:t xml:space="preserve"> = 4.2, P=0.041), </w:t>
      </w:r>
      <w:r w:rsidR="00354F4A">
        <w:t>with</w:t>
      </w:r>
      <w:r w:rsidR="00096B7F">
        <w:t xml:space="preserve"> highest amount of damage (75% leaf area removed) </w:t>
      </w:r>
      <w:r w:rsidR="00354F4A">
        <w:t xml:space="preserve">resulting in an average </w:t>
      </w:r>
      <w:r w:rsidR="00096B7F">
        <w:t>9.5% reduction in fruit set</w:t>
      </w:r>
      <w:r w:rsidR="00354F4A">
        <w:t xml:space="preserve">. </w:t>
      </w:r>
      <w:r w:rsidR="00096B7F">
        <w:t>We found no evidence for overcompensation at intermediate levels of leaf damage [the quadratic effect of damage amount was not significant (F</w:t>
      </w:r>
      <w:r w:rsidR="00096B7F">
        <w:rPr>
          <w:vertAlign w:val="subscript"/>
        </w:rPr>
        <w:t>1</w:t>
      </w:r>
      <w:r w:rsidR="00790A60">
        <w:rPr>
          <w:vertAlign w:val="subscript"/>
        </w:rPr>
        <w:t>, 473</w:t>
      </w:r>
      <w:r w:rsidR="00096B7F">
        <w:t xml:space="preserve"> = 1.1, P=0.29)].  Taxa were less tolerant of simulated browse, which resulted in a greater reduction in fruit set (an average 28% reduction in fruit set across taxa, F</w:t>
      </w:r>
      <w:r w:rsidR="00096B7F">
        <w:rPr>
          <w:vertAlign w:val="subscript"/>
        </w:rPr>
        <w:t>1</w:t>
      </w:r>
      <w:r w:rsidR="00790A60">
        <w:rPr>
          <w:vertAlign w:val="subscript"/>
        </w:rPr>
        <w:t>, 133</w:t>
      </w:r>
      <w:r w:rsidR="00096B7F">
        <w:t xml:space="preserve"> = 5.7, P=0.018).  </w:t>
      </w:r>
    </w:p>
    <w:p w14:paraId="5B56F3E7" w14:textId="77777777" w:rsidR="00354F4A" w:rsidRPr="000E3F1D" w:rsidRDefault="00354F4A" w:rsidP="00354F4A">
      <w:pPr>
        <w:spacing w:line="480" w:lineRule="auto"/>
        <w:rPr>
          <w:b/>
        </w:rPr>
      </w:pPr>
      <w:r w:rsidRPr="000E3F1D">
        <w:rPr>
          <w:b/>
          <w:i/>
        </w:rPr>
        <w:t>Phylogenetic signal in tolerance and resistance</w:t>
      </w:r>
      <w:r w:rsidRPr="000E3F1D">
        <w:rPr>
          <w:b/>
        </w:rPr>
        <w:t>.</w:t>
      </w:r>
    </w:p>
    <w:p w14:paraId="31D7D383" w14:textId="28B37D90" w:rsidR="00354F4A" w:rsidRDefault="00354F4A" w:rsidP="00354F4A">
      <w:pPr>
        <w:spacing w:line="480" w:lineRule="auto"/>
        <w:ind w:firstLine="720"/>
      </w:pPr>
      <w:r>
        <w:t xml:space="preserve">We mapped tolerance and resistance (as measured by negative growth rate of caterpillars) traits onto the </w:t>
      </w:r>
      <w:r w:rsidRPr="006D1999">
        <w:rPr>
          <w:i/>
        </w:rPr>
        <w:t>Streptanthus</w:t>
      </w:r>
      <w:r>
        <w:t xml:space="preserve"> phylogeny (Table 2, Fig. </w:t>
      </w:r>
      <w:r w:rsidR="00810C75">
        <w:t>1</w:t>
      </w:r>
      <w:r>
        <w:t xml:space="preserve">).  Resistance to both specialist and generalist herbivores had fairly high </w:t>
      </w:r>
      <w:r w:rsidR="00790A60">
        <w:t>K’s [</w:t>
      </w:r>
      <w:r w:rsidR="006C40D9">
        <w:t>K</w:t>
      </w:r>
      <w:r>
        <w:t>&gt;1 but were only margi</w:t>
      </w:r>
      <w:r w:rsidR="00A5446F">
        <w:t>nally significant (P=0.12, 0.07</w:t>
      </w:r>
      <w:r>
        <w:t xml:space="preserve"> respectively)</w:t>
      </w:r>
      <w:r w:rsidR="006C40D9">
        <w:t>]</w:t>
      </w:r>
      <w:r>
        <w:t xml:space="preserve">; marginal significance is likely </w:t>
      </w:r>
      <w:r w:rsidR="00790A60">
        <w:t>to reflect</w:t>
      </w:r>
      <w:r>
        <w:t xml:space="preserve"> low taxon sampling (n = 9-12 </w:t>
      </w:r>
      <w:r w:rsidRPr="008079D6">
        <w:rPr>
          <w:i/>
        </w:rPr>
        <w:t>Streptanthus</w:t>
      </w:r>
      <w:r>
        <w:t xml:space="preserve"> species for each trait).  In contrast, phylogenetic signal in tolerance</w:t>
      </w:r>
      <w:r w:rsidR="006C40D9">
        <w:t>s</w:t>
      </w:r>
      <w:r>
        <w:t xml:space="preserve"> were </w:t>
      </w:r>
      <w:r w:rsidRPr="00AA6AB4">
        <w:t>nonsignificant</w:t>
      </w:r>
      <w:r w:rsidR="008A6BD3" w:rsidRPr="00AA6AB4">
        <w:t>,</w:t>
      </w:r>
      <w:r w:rsidRPr="00AA6AB4">
        <w:t xml:space="preserve"> </w:t>
      </w:r>
      <w:r w:rsidR="00AA6AB4" w:rsidRPr="00AA6AB4">
        <w:t>with lower K</w:t>
      </w:r>
      <w:r w:rsidRPr="00AA6AB4">
        <w:t xml:space="preserve"> for</w:t>
      </w:r>
      <w:r>
        <w:t xml:space="preserve"> similar number of taxa</w:t>
      </w:r>
      <w:r w:rsidR="00AA6AB4">
        <w:t xml:space="preserve"> (Table 2)</w:t>
      </w:r>
      <w:r>
        <w:t>.</w:t>
      </w:r>
    </w:p>
    <w:p w14:paraId="76E57F92" w14:textId="3E08ADE1" w:rsidR="00C93177" w:rsidRPr="00481C16" w:rsidRDefault="00096B7F" w:rsidP="00195498">
      <w:pPr>
        <w:spacing w:line="480" w:lineRule="auto"/>
        <w:rPr>
          <w:b/>
        </w:rPr>
      </w:pPr>
      <w:r w:rsidRPr="00481C16">
        <w:rPr>
          <w:b/>
          <w:i/>
        </w:rPr>
        <w:t>Resistance to different herbivores</w:t>
      </w:r>
      <w:r w:rsidR="004A4E24" w:rsidRPr="00481C16">
        <w:rPr>
          <w:b/>
          <w:i/>
        </w:rPr>
        <w:t xml:space="preserve"> </w:t>
      </w:r>
    </w:p>
    <w:p w14:paraId="2DA33B05" w14:textId="4A6C7D34" w:rsidR="00076438" w:rsidRDefault="00115CCF" w:rsidP="00076438">
      <w:pPr>
        <w:spacing w:line="480" w:lineRule="auto"/>
      </w:pPr>
      <w:r>
        <w:t>Resistance</w:t>
      </w:r>
      <w:r w:rsidR="004265BE">
        <w:t xml:space="preserve"> to specialist </w:t>
      </w:r>
      <w:r w:rsidR="004265BE" w:rsidRPr="00152320">
        <w:rPr>
          <w:i/>
        </w:rPr>
        <w:t>P. rapae</w:t>
      </w:r>
      <w:r>
        <w:t xml:space="preserve"> was highly </w:t>
      </w:r>
      <w:r w:rsidR="004265BE">
        <w:t xml:space="preserve">positively </w:t>
      </w:r>
      <w:r>
        <w:t xml:space="preserve">correlated with resistance to </w:t>
      </w:r>
      <w:r w:rsidR="004265BE" w:rsidRPr="00152320">
        <w:rPr>
          <w:i/>
        </w:rPr>
        <w:t>S. exigua</w:t>
      </w:r>
      <w:r w:rsidR="004265BE">
        <w:rPr>
          <w:i/>
        </w:rPr>
        <w:t xml:space="preserve">, </w:t>
      </w:r>
      <w:r w:rsidR="004265BE" w:rsidRPr="00152320">
        <w:t>the</w:t>
      </w:r>
      <w:r>
        <w:t xml:space="preserve"> generalist herbivore, but only when plants were grown in native field soil (PGLS: field:  df=10</w:t>
      </w:r>
      <w:r w:rsidR="00790A60">
        <w:t>, t</w:t>
      </w:r>
      <w:r>
        <w:t>=5.6, P=0.0005, potting:  df=13, t=0.75, P=0.46</w:t>
      </w:r>
      <w:r w:rsidR="00A931EB">
        <w:t xml:space="preserve">, Fig. </w:t>
      </w:r>
      <w:r w:rsidR="00810C75">
        <w:t>2</w:t>
      </w:r>
      <w:r>
        <w:t>)</w:t>
      </w:r>
      <w:r w:rsidR="00415FDD">
        <w:t xml:space="preserve">; it also varied by </w:t>
      </w:r>
      <w:r w:rsidR="006C40D9">
        <w:t xml:space="preserve">herbivore </w:t>
      </w:r>
      <w:r w:rsidR="00415FDD">
        <w:t>species (F</w:t>
      </w:r>
      <w:r w:rsidR="00415FDD">
        <w:rPr>
          <w:vertAlign w:val="subscript"/>
        </w:rPr>
        <w:t>13,</w:t>
      </w:r>
      <w:r w:rsidR="00415FDD" w:rsidRPr="000A3BD1">
        <w:rPr>
          <w:vertAlign w:val="subscript"/>
        </w:rPr>
        <w:t xml:space="preserve"> </w:t>
      </w:r>
      <w:r w:rsidR="00415FDD">
        <w:rPr>
          <w:vertAlign w:val="subscript"/>
        </w:rPr>
        <w:t>186</w:t>
      </w:r>
      <w:r w:rsidR="00415FDD">
        <w:t xml:space="preserve"> = 43.4, P&lt; 0.0001; F</w:t>
      </w:r>
      <w:r w:rsidR="00415FDD">
        <w:rPr>
          <w:vertAlign w:val="subscript"/>
        </w:rPr>
        <w:t>12,</w:t>
      </w:r>
      <w:r w:rsidR="00415FDD" w:rsidRPr="000A3BD1">
        <w:rPr>
          <w:vertAlign w:val="subscript"/>
        </w:rPr>
        <w:t xml:space="preserve"> </w:t>
      </w:r>
      <w:r w:rsidR="00415FDD">
        <w:rPr>
          <w:vertAlign w:val="subscript"/>
        </w:rPr>
        <w:t>100</w:t>
      </w:r>
      <w:r w:rsidR="00415FDD">
        <w:t xml:space="preserve"> = 3.5, P=0.0003, </w:t>
      </w:r>
      <w:r w:rsidR="00415FDD">
        <w:lastRenderedPageBreak/>
        <w:t xml:space="preserve">respectively, Fig. </w:t>
      </w:r>
      <w:r w:rsidR="00810C75">
        <w:t>2</w:t>
      </w:r>
      <w:r w:rsidR="00415FDD">
        <w:t xml:space="preserve">).  </w:t>
      </w:r>
      <w:r w:rsidR="00D811AA">
        <w:t xml:space="preserve">Thus, in exploring trade-offs between tolerance and resistance, we </w:t>
      </w:r>
      <w:r w:rsidR="001B51F3">
        <w:t>considered</w:t>
      </w:r>
      <w:r w:rsidR="00D8751E">
        <w:t xml:space="preserve"> </w:t>
      </w:r>
      <w:r w:rsidR="00D811AA">
        <w:t>both soil and herbivore type separately</w:t>
      </w:r>
      <w:r w:rsidR="00CA377F">
        <w:t xml:space="preserve"> </w:t>
      </w:r>
      <w:r w:rsidR="00076438">
        <w:t xml:space="preserve">(see methods, Table 3).  </w:t>
      </w:r>
    </w:p>
    <w:p w14:paraId="63A2A910" w14:textId="7C22ABA9" w:rsidR="00354F4A" w:rsidRDefault="00354F4A" w:rsidP="00076438">
      <w:pPr>
        <w:spacing w:line="480" w:lineRule="auto"/>
      </w:pPr>
      <w:r>
        <w:rPr>
          <w:b/>
          <w:i/>
        </w:rPr>
        <w:t>Tolerance to different damage</w:t>
      </w:r>
    </w:p>
    <w:p w14:paraId="1945631C" w14:textId="272CD726" w:rsidR="00096B7F" w:rsidRDefault="00096B7F" w:rsidP="00096B7F">
      <w:pPr>
        <w:spacing w:line="480" w:lineRule="auto"/>
      </w:pPr>
      <w:r>
        <w:t xml:space="preserve"> </w:t>
      </w:r>
      <w:r>
        <w:tab/>
        <w:t>In contrast</w:t>
      </w:r>
      <w:r w:rsidR="00354F4A">
        <w:t xml:space="preserve"> to</w:t>
      </w:r>
      <w:r>
        <w:t xml:space="preserve"> the environmental dependence of resistance above, tolerance was, surprisingly, not as dependent on soil type </w:t>
      </w:r>
      <w:r w:rsidR="00354F4A">
        <w:t xml:space="preserve">for any type of damage </w:t>
      </w:r>
      <w:r>
        <w:t>(tolerance to leaf damage: F</w:t>
      </w:r>
      <w:r>
        <w:rPr>
          <w:vertAlign w:val="subscript"/>
        </w:rPr>
        <w:t>1,</w:t>
      </w:r>
      <w:r w:rsidRPr="000A3BD1">
        <w:rPr>
          <w:vertAlign w:val="subscript"/>
        </w:rPr>
        <w:t xml:space="preserve"> </w:t>
      </w:r>
      <w:r>
        <w:rPr>
          <w:vertAlign w:val="subscript"/>
        </w:rPr>
        <w:t>471</w:t>
      </w:r>
      <w:r>
        <w:t xml:space="preserve"> = 1.0, P=0.31); tolerance to simulated browsing (F</w:t>
      </w:r>
      <w:r>
        <w:rPr>
          <w:vertAlign w:val="subscript"/>
        </w:rPr>
        <w:t>1</w:t>
      </w:r>
      <w:r w:rsidR="00790A60">
        <w:rPr>
          <w:vertAlign w:val="subscript"/>
        </w:rPr>
        <w:t>, 132</w:t>
      </w:r>
      <w:r>
        <w:t xml:space="preserve"> = 0.4, P=0.83)</w:t>
      </w:r>
      <w:r w:rsidR="00354F4A">
        <w:t>; however, t</w:t>
      </w:r>
      <w:r w:rsidRPr="00DD3AFA">
        <w:t>olerance to</w:t>
      </w:r>
      <w:r>
        <w:t xml:space="preserve"> simulated browsing</w:t>
      </w:r>
      <w:r w:rsidRPr="00DD3AFA">
        <w:t xml:space="preserve"> was u</w:t>
      </w:r>
      <w:r>
        <w:t xml:space="preserve">nrelated to tolerance to experimental folivory (PGLS: df=12, t=1.0, P=0.33).  </w:t>
      </w:r>
    </w:p>
    <w:p w14:paraId="2AB1121A" w14:textId="18BEEC43" w:rsidR="000148C4" w:rsidRDefault="00DD3AFA" w:rsidP="00195498">
      <w:pPr>
        <w:spacing w:line="480" w:lineRule="auto"/>
        <w:rPr>
          <w:i/>
        </w:rPr>
      </w:pPr>
      <w:r>
        <w:rPr>
          <w:b/>
          <w:i/>
        </w:rPr>
        <w:t xml:space="preserve">No evidence for a </w:t>
      </w:r>
      <w:r w:rsidRPr="00DD3AFA">
        <w:rPr>
          <w:b/>
          <w:i/>
        </w:rPr>
        <w:t>resistance-tolerance trade</w:t>
      </w:r>
      <w:r w:rsidR="00EC4084">
        <w:rPr>
          <w:b/>
          <w:i/>
        </w:rPr>
        <w:t>-</w:t>
      </w:r>
      <w:r w:rsidRPr="00DD3AFA">
        <w:rPr>
          <w:b/>
          <w:i/>
        </w:rPr>
        <w:t>off</w:t>
      </w:r>
      <w:r w:rsidRPr="00DD3AFA" w:rsidDel="00DD3AFA">
        <w:rPr>
          <w:i/>
        </w:rPr>
        <w:t xml:space="preserve"> </w:t>
      </w:r>
      <w:r w:rsidR="000148C4">
        <w:rPr>
          <w:i/>
        </w:rPr>
        <w:t xml:space="preserve"> </w:t>
      </w:r>
    </w:p>
    <w:p w14:paraId="1E667101" w14:textId="0DBE5C90" w:rsidR="00B0579A" w:rsidRDefault="00F03DD6" w:rsidP="00195498">
      <w:pPr>
        <w:spacing w:line="480" w:lineRule="auto"/>
      </w:pPr>
      <w:r w:rsidRPr="00DD3AFA">
        <w:t>We found no evidence for a trade</w:t>
      </w:r>
      <w:r w:rsidR="00EC4084">
        <w:t>-</w:t>
      </w:r>
      <w:r w:rsidRPr="00DD3AFA">
        <w:t xml:space="preserve">off between </w:t>
      </w:r>
      <w:r w:rsidR="006C40D9">
        <w:t xml:space="preserve">any </w:t>
      </w:r>
      <w:r w:rsidRPr="00DD3AFA">
        <w:t xml:space="preserve">herbivore resistance and tolerance, and some evidence suggesting </w:t>
      </w:r>
      <w:r w:rsidR="00036613" w:rsidRPr="00DD3AFA">
        <w:t>a positive relationship</w:t>
      </w:r>
      <w:r w:rsidRPr="00DD3AFA">
        <w:t xml:space="preserve"> between resistance and tolerance</w:t>
      </w:r>
      <w:r w:rsidR="00BB1D43" w:rsidRPr="00DD3AFA">
        <w:t xml:space="preserve"> </w:t>
      </w:r>
      <w:r w:rsidR="00A171CC" w:rsidRPr="00DD3AFA">
        <w:t xml:space="preserve">in </w:t>
      </w:r>
      <w:r w:rsidR="00A171CC" w:rsidRPr="00DD3AFA">
        <w:rPr>
          <w:i/>
        </w:rPr>
        <w:t>Streptanthus</w:t>
      </w:r>
      <w:r w:rsidR="00A171CC" w:rsidRPr="00DD3AFA">
        <w:t xml:space="preserve"> species </w:t>
      </w:r>
      <w:r w:rsidR="00BB1D43" w:rsidRPr="00DD3AFA">
        <w:t>(</w:t>
      </w:r>
      <w:r w:rsidR="00AB7BDE" w:rsidRPr="00DD3AFA">
        <w:t>Fig.</w:t>
      </w:r>
      <w:r w:rsidR="00A931EB">
        <w:t xml:space="preserve"> 3</w:t>
      </w:r>
      <w:r w:rsidR="00BB1D43" w:rsidRPr="00DD3AFA">
        <w:t>)</w:t>
      </w:r>
      <w:r w:rsidRPr="00DD3AFA">
        <w:t xml:space="preserve">.  </w:t>
      </w:r>
      <w:r w:rsidR="00FC7F81">
        <w:t>These relationships were dependent on all factors: type of tolerance, type of resistance and the soil environment in which they were assessed</w:t>
      </w:r>
      <w:r w:rsidR="00B0579A">
        <w:t xml:space="preserve"> (see </w:t>
      </w:r>
      <w:r w:rsidR="00B0579A" w:rsidRPr="00A8360A">
        <w:t>Methods</w:t>
      </w:r>
      <w:r w:rsidR="00B0579A">
        <w:t xml:space="preserve">).  As a result, we report the relationship between resistance and tolerance in the eight cases of each combination of tolerance type (folivore / clipping), resistance type (to a specialist / generalist </w:t>
      </w:r>
      <w:r w:rsidR="00040125">
        <w:t>l</w:t>
      </w:r>
      <w:r w:rsidR="00B0579A">
        <w:t xml:space="preserve">epidopteran), and resistance environment (field soil / </w:t>
      </w:r>
      <w:r w:rsidR="009C4F12">
        <w:t xml:space="preserve">potting </w:t>
      </w:r>
      <w:r w:rsidR="00B0579A">
        <w:t xml:space="preserve">soil).  </w:t>
      </w:r>
    </w:p>
    <w:p w14:paraId="350C248B" w14:textId="3F0C2003" w:rsidR="003B0DF2" w:rsidRDefault="000148C4" w:rsidP="00195498">
      <w:pPr>
        <w:spacing w:line="480" w:lineRule="auto"/>
      </w:pPr>
      <w:r>
        <w:rPr>
          <w:i/>
        </w:rPr>
        <w:t>Tolerance to experimental folivory.</w:t>
      </w:r>
      <w:r w:rsidR="00096B7F">
        <w:t xml:space="preserve">  </w:t>
      </w:r>
      <w:r w:rsidR="00076438" w:rsidRPr="00754D78">
        <w:t>When plants were grown in their native field soils</w:t>
      </w:r>
      <w:r w:rsidR="00076438">
        <w:t>,</w:t>
      </w:r>
      <w:r w:rsidR="00076438" w:rsidRPr="00DD3AFA">
        <w:t xml:space="preserve"> </w:t>
      </w:r>
      <w:r w:rsidR="00076438">
        <w:t>w</w:t>
      </w:r>
      <w:r w:rsidR="00076438" w:rsidRPr="00DD3AFA">
        <w:t>e observe</w:t>
      </w:r>
      <w:r>
        <w:t>d</w:t>
      </w:r>
      <w:r w:rsidR="00076438" w:rsidRPr="00DD3AFA">
        <w:t xml:space="preserve"> a positive relationship between resistance to a generalist herbivore</w:t>
      </w:r>
      <w:r w:rsidR="003B0DF2">
        <w:t xml:space="preserve"> (</w:t>
      </w:r>
      <w:r w:rsidR="003B0DF2" w:rsidRPr="00DD3AFA">
        <w:rPr>
          <w:i/>
        </w:rPr>
        <w:t>S. exigua</w:t>
      </w:r>
      <w:r w:rsidR="003B0DF2">
        <w:rPr>
          <w:i/>
        </w:rPr>
        <w:t>)</w:t>
      </w:r>
      <w:r w:rsidR="00076438" w:rsidRPr="00DD3AFA">
        <w:t xml:space="preserve"> and tolerance to </w:t>
      </w:r>
      <w:r w:rsidR="003B0DF2">
        <w:t xml:space="preserve">experimental </w:t>
      </w:r>
      <w:r>
        <w:t>folivory</w:t>
      </w:r>
      <w:r w:rsidR="003B0DF2">
        <w:t xml:space="preserve"> (using specialist </w:t>
      </w:r>
      <w:r w:rsidR="003B0DF2" w:rsidRPr="007754C9">
        <w:rPr>
          <w:i/>
        </w:rPr>
        <w:t>P. rapae</w:t>
      </w:r>
      <w:r w:rsidR="003B0DF2">
        <w:t xml:space="preserve"> and clipping)</w:t>
      </w:r>
      <w:r w:rsidR="001A52DC">
        <w:t xml:space="preserve"> </w:t>
      </w:r>
      <w:r w:rsidR="00076438" w:rsidRPr="00DD3AFA">
        <w:t>(field soi</w:t>
      </w:r>
      <w:r w:rsidR="00A931EB">
        <w:t>l:  df=9, t=5.1, P=0.0015, Fig 3</w:t>
      </w:r>
      <w:r w:rsidR="00353CD1">
        <w:t>c</w:t>
      </w:r>
      <w:r w:rsidR="00076438" w:rsidRPr="00DD3AFA">
        <w:t>)</w:t>
      </w:r>
      <w:r w:rsidR="003B0DF2">
        <w:t>; we found</w:t>
      </w:r>
      <w:r w:rsidR="00076438" w:rsidRPr="00DD3AFA">
        <w:t xml:space="preserve"> a similar, marginally significant positive </w:t>
      </w:r>
      <w:r w:rsidR="00076438" w:rsidRPr="00724EC4">
        <w:t xml:space="preserve">relationship with </w:t>
      </w:r>
      <w:r w:rsidR="00724EC4" w:rsidRPr="00B17AC8">
        <w:rPr>
          <w:color w:val="222222"/>
          <w:shd w:val="clear" w:color="auto" w:fill="FFFFFF"/>
        </w:rPr>
        <w:t>resistance to a specialist herbivore</w:t>
      </w:r>
      <w:r w:rsidR="00724EC4" w:rsidRPr="00724EC4" w:rsidDel="00724EC4">
        <w:t xml:space="preserve"> </w:t>
      </w:r>
      <w:r w:rsidR="00076438" w:rsidRPr="00724EC4">
        <w:t>and tolerance</w:t>
      </w:r>
      <w:r w:rsidR="00076438" w:rsidRPr="00DD3AFA">
        <w:t xml:space="preserve"> to </w:t>
      </w:r>
      <w:r w:rsidR="001A52DC">
        <w:t xml:space="preserve">specialist </w:t>
      </w:r>
      <w:r>
        <w:t>folivory</w:t>
      </w:r>
      <w:r w:rsidR="00790A60">
        <w:t xml:space="preserve"> </w:t>
      </w:r>
      <w:r w:rsidR="00076438" w:rsidRPr="00DD3AFA">
        <w:t>(</w:t>
      </w:r>
      <w:r w:rsidR="00076438" w:rsidRPr="00DD3AFA">
        <w:rPr>
          <w:i/>
        </w:rPr>
        <w:t>P. rapae</w:t>
      </w:r>
      <w:r w:rsidR="00076438" w:rsidRPr="00DD3AFA">
        <w:t xml:space="preserve"> field so</w:t>
      </w:r>
      <w:r w:rsidR="00A931EB">
        <w:t>il: df=8, t=1.97, P=0.10, Fig. 3</w:t>
      </w:r>
      <w:r w:rsidR="00353CD1">
        <w:t>a</w:t>
      </w:r>
      <w:r w:rsidR="00E95F6A">
        <w:t>)</w:t>
      </w:r>
      <w:r w:rsidR="00076438">
        <w:t xml:space="preserve">. </w:t>
      </w:r>
      <w:r w:rsidR="00E95F6A">
        <w:t xml:space="preserve"> The positive relationship </w:t>
      </w:r>
      <w:r w:rsidR="00E95F6A">
        <w:lastRenderedPageBreak/>
        <w:t>was partially based on a</w:t>
      </w:r>
      <w:r w:rsidR="006C40D9">
        <w:t xml:space="preserve"> single</w:t>
      </w:r>
      <w:r w:rsidR="003B0DF2">
        <w:t xml:space="preserve"> host</w:t>
      </w:r>
      <w:r w:rsidR="006C40D9">
        <w:t xml:space="preserve"> species </w:t>
      </w:r>
      <w:r w:rsidR="00E95F6A">
        <w:t>(</w:t>
      </w:r>
      <w:r w:rsidR="006C40D9" w:rsidRPr="00481C16">
        <w:rPr>
          <w:i/>
        </w:rPr>
        <w:t>Guillenia</w:t>
      </w:r>
      <w:r w:rsidR="003B0DF2">
        <w:rPr>
          <w:i/>
        </w:rPr>
        <w:t xml:space="preserve"> lasiophylla</w:t>
      </w:r>
      <w:r w:rsidR="006C40D9">
        <w:t xml:space="preserve">, </w:t>
      </w:r>
      <w:r w:rsidR="00E95F6A">
        <w:t>GUI)</w:t>
      </w:r>
      <w:r w:rsidR="003B0DF2">
        <w:t>. Removal of GUI</w:t>
      </w:r>
      <w:r w:rsidR="00790A60">
        <w:t xml:space="preserve"> </w:t>
      </w:r>
      <w:r w:rsidR="00AA6AB4">
        <w:t>did not alter the sign of the relationship, but did remove its significance</w:t>
      </w:r>
      <w:r w:rsidR="003B0DF2">
        <w:t>.</w:t>
      </w:r>
      <w:r w:rsidR="00E95F6A">
        <w:t xml:space="preserve"> </w:t>
      </w:r>
      <w:r w:rsidR="006C40D9">
        <w:t>GUI</w:t>
      </w:r>
      <w:r w:rsidR="00E95F6A">
        <w:t xml:space="preserve"> was both highly susceptible to and intolerant of folivory. </w:t>
      </w:r>
    </w:p>
    <w:p w14:paraId="38E67613" w14:textId="07B13611" w:rsidR="000148C4" w:rsidRDefault="00FC7F81" w:rsidP="00195498">
      <w:pPr>
        <w:spacing w:line="480" w:lineRule="auto"/>
      </w:pPr>
      <w:r>
        <w:t>In potting soil, w</w:t>
      </w:r>
      <w:r w:rsidR="000148C4" w:rsidRPr="00DD3AFA">
        <w:t>e observed no relationship between tolerance to folivory and resistance to either caterpillar (S</w:t>
      </w:r>
      <w:r w:rsidR="000148C4" w:rsidRPr="00DD3AFA">
        <w:rPr>
          <w:i/>
        </w:rPr>
        <w:t>. exigua</w:t>
      </w:r>
      <w:r w:rsidR="000148C4" w:rsidRPr="00DD3AFA">
        <w:t xml:space="preserve"> pot</w:t>
      </w:r>
      <w:r w:rsidR="00790A60">
        <w:t>ting soil df=9, t=0.01, P=0.99;</w:t>
      </w:r>
      <w:r w:rsidR="000148C4" w:rsidRPr="00DD3AFA">
        <w:t xml:space="preserve"> </w:t>
      </w:r>
      <w:r w:rsidR="000148C4" w:rsidRPr="00DD3AFA">
        <w:rPr>
          <w:i/>
        </w:rPr>
        <w:t>P. rapae</w:t>
      </w:r>
      <w:r w:rsidR="000148C4" w:rsidRPr="00DD3AFA">
        <w:t xml:space="preserve"> potting so</w:t>
      </w:r>
      <w:r w:rsidR="00A931EB">
        <w:t>il; df=9, t=0.53, P=0.61, Fig. 3</w:t>
      </w:r>
      <w:r w:rsidR="00353CD1">
        <w:t>d</w:t>
      </w:r>
      <w:r w:rsidR="00790A60">
        <w:t>, b</w:t>
      </w:r>
      <w:r w:rsidR="00790A60" w:rsidRPr="00DD3AFA">
        <w:t>)</w:t>
      </w:r>
      <w:r w:rsidR="00790A60">
        <w:t>,</w:t>
      </w:r>
      <w:r w:rsidR="006F4B40">
        <w:t xml:space="preserve"> suggesting that the soil context in which constraints are measured is critical.</w:t>
      </w:r>
    </w:p>
    <w:p w14:paraId="41859843" w14:textId="360109BA" w:rsidR="00480FB4" w:rsidRDefault="00096B7F" w:rsidP="00195498">
      <w:pPr>
        <w:spacing w:line="480" w:lineRule="auto"/>
      </w:pPr>
      <w:r>
        <w:rPr>
          <w:i/>
        </w:rPr>
        <w:t>T</w:t>
      </w:r>
      <w:r w:rsidRPr="00B0579A">
        <w:rPr>
          <w:i/>
        </w:rPr>
        <w:t xml:space="preserve">olerance </w:t>
      </w:r>
      <w:r>
        <w:rPr>
          <w:i/>
        </w:rPr>
        <w:t>to s</w:t>
      </w:r>
      <w:r w:rsidR="000148C4" w:rsidRPr="00B0579A">
        <w:rPr>
          <w:i/>
        </w:rPr>
        <w:t>imulated browse</w:t>
      </w:r>
      <w:r>
        <w:rPr>
          <w:i/>
        </w:rPr>
        <w:t xml:space="preserve">.  </w:t>
      </w:r>
      <w:r w:rsidR="000148C4">
        <w:t xml:space="preserve">In field soils, </w:t>
      </w:r>
      <w:r w:rsidR="000148C4" w:rsidRPr="00DD3AFA">
        <w:t xml:space="preserve">we observed no relationship between </w:t>
      </w:r>
      <w:r w:rsidR="000148C4">
        <w:t xml:space="preserve">simulated </w:t>
      </w:r>
      <w:r w:rsidR="000148C4" w:rsidRPr="00DD3AFA">
        <w:t xml:space="preserve">browse tolerance and resistance to either caterpillar (PGLS: </w:t>
      </w:r>
      <w:r w:rsidR="000148C4" w:rsidRPr="00DD3AFA">
        <w:rPr>
          <w:i/>
        </w:rPr>
        <w:t>S. exigua</w:t>
      </w:r>
      <w:r w:rsidR="000148C4" w:rsidRPr="00DD3AFA">
        <w:t>: df=9, t=</w:t>
      </w:r>
      <w:r w:rsidR="000148C4">
        <w:t xml:space="preserve"> </w:t>
      </w:r>
      <w:r w:rsidR="000148C4" w:rsidRPr="00DD3AFA">
        <w:t xml:space="preserve">-0.54, P=0.61, </w:t>
      </w:r>
      <w:r w:rsidR="000148C4" w:rsidRPr="00DD3AFA">
        <w:rPr>
          <w:i/>
        </w:rPr>
        <w:t>P. rapae</w:t>
      </w:r>
      <w:r w:rsidR="000148C4" w:rsidRPr="00DD3AFA">
        <w:t>: df=8, t=1.0, P=0.35</w:t>
      </w:r>
      <w:r w:rsidR="00A931EB">
        <w:t xml:space="preserve">, Fig. </w:t>
      </w:r>
      <w:r w:rsidR="00C7664F">
        <w:t>4</w:t>
      </w:r>
      <w:r w:rsidR="00353CD1">
        <w:t>c</w:t>
      </w:r>
      <w:r w:rsidR="00790A60">
        <w:t>, a</w:t>
      </w:r>
      <w:r w:rsidR="000148C4" w:rsidRPr="00DD3AFA">
        <w:t>)</w:t>
      </w:r>
      <w:r w:rsidR="000148C4">
        <w:t>.</w:t>
      </w:r>
      <w:r w:rsidR="00480FB4">
        <w:t xml:space="preserve"> </w:t>
      </w:r>
      <w:r w:rsidR="000148C4">
        <w:t xml:space="preserve">In </w:t>
      </w:r>
      <w:r w:rsidR="000B6D3D" w:rsidRPr="00754D78">
        <w:t xml:space="preserve">potting soil, </w:t>
      </w:r>
      <w:r w:rsidR="00036613" w:rsidRPr="00754D78">
        <w:t xml:space="preserve">there was a </w:t>
      </w:r>
      <w:r w:rsidR="00B94AE7" w:rsidRPr="00754D78">
        <w:t>positive relationship between browse tolerance and resistance to a specialist caterpillar (</w:t>
      </w:r>
      <w:r w:rsidR="00B94AE7" w:rsidRPr="00754D78">
        <w:rPr>
          <w:i/>
        </w:rPr>
        <w:t>P. rapae</w:t>
      </w:r>
      <w:r w:rsidR="00B94AE7" w:rsidRPr="00754D78">
        <w:t>) (</w:t>
      </w:r>
      <w:r w:rsidR="00A171CC" w:rsidRPr="00754D78">
        <w:t>PGLS: df=9, t=8.4, P=0.0001</w:t>
      </w:r>
      <w:r w:rsidR="00A931EB">
        <w:t xml:space="preserve">, Fig. </w:t>
      </w:r>
      <w:r w:rsidR="00C7664F">
        <w:t>4</w:t>
      </w:r>
      <w:r w:rsidR="00353CD1">
        <w:t>b</w:t>
      </w:r>
      <w:r w:rsidR="00B94AE7" w:rsidRPr="00754D78">
        <w:t>)</w:t>
      </w:r>
      <w:r w:rsidR="00036613" w:rsidRPr="00754D78">
        <w:t xml:space="preserve">, </w:t>
      </w:r>
      <w:r w:rsidR="00076438">
        <w:t xml:space="preserve">and </w:t>
      </w:r>
      <w:r w:rsidR="000148C4">
        <w:t>no</w:t>
      </w:r>
      <w:r w:rsidR="00076438">
        <w:t xml:space="preserve"> relationship between browse tolerance and resistance to the</w:t>
      </w:r>
      <w:r w:rsidR="00036613" w:rsidRPr="00754D78">
        <w:t xml:space="preserve"> generalist (</w:t>
      </w:r>
      <w:r w:rsidR="00036613" w:rsidRPr="00754D78">
        <w:rPr>
          <w:i/>
        </w:rPr>
        <w:t>S. exigua</w:t>
      </w:r>
      <w:r w:rsidR="00036613" w:rsidRPr="00754D78">
        <w:t>) (PGLS: df=9, t=1.14, P=0.29</w:t>
      </w:r>
      <w:r w:rsidR="00A931EB">
        <w:t xml:space="preserve">, Fig </w:t>
      </w:r>
      <w:r w:rsidR="00C7664F">
        <w:t>4</w:t>
      </w:r>
      <w:r w:rsidR="00353CD1">
        <w:t>d</w:t>
      </w:r>
      <w:r w:rsidR="00036613" w:rsidRPr="00754D78">
        <w:t>).</w:t>
      </w:r>
      <w:r w:rsidR="00480FB4">
        <w:t xml:space="preserve"> </w:t>
      </w:r>
    </w:p>
    <w:p w14:paraId="5E9ACD05" w14:textId="15167533" w:rsidR="00B94AE7" w:rsidRDefault="00480FB4" w:rsidP="00195498">
      <w:pPr>
        <w:spacing w:line="480" w:lineRule="auto"/>
      </w:pPr>
      <w:r>
        <w:tab/>
      </w:r>
      <w:r w:rsidR="006F4B40">
        <w:t>In summary, we find no evidence for tolerance-r</w:t>
      </w:r>
      <w:r w:rsidR="00FF0001">
        <w:t>e</w:t>
      </w:r>
      <w:r w:rsidR="006F4B40">
        <w:t>si</w:t>
      </w:r>
      <w:r w:rsidR="00FF0001">
        <w:t>s</w:t>
      </w:r>
      <w:r w:rsidR="006F4B40">
        <w:t xml:space="preserve">tance trade-offs, and </w:t>
      </w:r>
      <w:r w:rsidR="006C40D9">
        <w:t xml:space="preserve">weak </w:t>
      </w:r>
      <w:r w:rsidR="006F4B40">
        <w:t xml:space="preserve">evidence for </w:t>
      </w:r>
      <w:r w:rsidR="006C40D9">
        <w:t xml:space="preserve">a </w:t>
      </w:r>
      <w:r w:rsidR="006F4B40">
        <w:t xml:space="preserve">positive relationship. </w:t>
      </w:r>
    </w:p>
    <w:p w14:paraId="7B67FDE5" w14:textId="7BA74FFF" w:rsidR="00DE6503" w:rsidRDefault="00D166D9" w:rsidP="00195498">
      <w:pPr>
        <w:spacing w:line="480" w:lineRule="auto"/>
        <w:rPr>
          <w:b/>
          <w:i/>
        </w:rPr>
      </w:pPr>
      <w:r>
        <w:rPr>
          <w:b/>
          <w:i/>
        </w:rPr>
        <w:t>Tolerance</w:t>
      </w:r>
      <w:r w:rsidR="00A06BE4">
        <w:rPr>
          <w:b/>
          <w:i/>
        </w:rPr>
        <w:t>, drought adaptation</w:t>
      </w:r>
      <w:r w:rsidR="008732BA">
        <w:rPr>
          <w:b/>
          <w:i/>
        </w:rPr>
        <w:t xml:space="preserve">, </w:t>
      </w:r>
      <w:r w:rsidR="006F4B40">
        <w:rPr>
          <w:b/>
          <w:i/>
        </w:rPr>
        <w:t>and phenology</w:t>
      </w:r>
    </w:p>
    <w:p w14:paraId="455270D8" w14:textId="63C335B3" w:rsidR="006C40D9" w:rsidRDefault="00096B7F" w:rsidP="00481C16">
      <w:pPr>
        <w:spacing w:line="480" w:lineRule="auto"/>
      </w:pPr>
      <w:r w:rsidRPr="00481C16">
        <w:rPr>
          <w:i/>
        </w:rPr>
        <w:t>Tolerance-drought.</w:t>
      </w:r>
      <w:r>
        <w:t xml:space="preserve">  </w:t>
      </w:r>
      <w:r w:rsidR="009C72AA">
        <w:t xml:space="preserve">We </w:t>
      </w:r>
      <w:r w:rsidR="002A5CCE">
        <w:t xml:space="preserve">found </w:t>
      </w:r>
      <w:r w:rsidR="00CA377F">
        <w:t xml:space="preserve">some </w:t>
      </w:r>
      <w:r w:rsidR="002A5CCE">
        <w:t xml:space="preserve">support for </w:t>
      </w:r>
      <w:r w:rsidR="001A52DC">
        <w:t xml:space="preserve">trade-offs in </w:t>
      </w:r>
      <w:r w:rsidR="002A5CCE">
        <w:t>tolerance</w:t>
      </w:r>
      <w:r w:rsidR="006F4B40">
        <w:t xml:space="preserve"> to folivory</w:t>
      </w:r>
      <w:r w:rsidR="001A52DC">
        <w:t xml:space="preserve"> with drought: </w:t>
      </w:r>
      <w:r w:rsidR="002A5CCE">
        <w:t xml:space="preserve"> </w:t>
      </w:r>
      <w:r w:rsidR="002A5CCE" w:rsidRPr="008051C4">
        <w:rPr>
          <w:i/>
        </w:rPr>
        <w:t>Streptanthus</w:t>
      </w:r>
      <w:r w:rsidR="002A5CCE">
        <w:t xml:space="preserve"> species </w:t>
      </w:r>
      <w:r w:rsidR="001A52DC">
        <w:t>growing in sites with lower</w:t>
      </w:r>
      <w:r w:rsidR="00A06BE4">
        <w:t xml:space="preserve"> annual precipitation</w:t>
      </w:r>
      <w:r w:rsidR="001A52DC">
        <w:t xml:space="preserve"> </w:t>
      </w:r>
      <w:r w:rsidR="00810C75">
        <w:t xml:space="preserve">tended to be </w:t>
      </w:r>
      <w:r w:rsidR="001A52DC">
        <w:t>poorer tolerators of folivory</w:t>
      </w:r>
      <w:r w:rsidR="00A06BE4">
        <w:t>, as predicted by RAH</w:t>
      </w:r>
      <w:r w:rsidR="00DB38BE">
        <w:t xml:space="preserve"> (PGLS, df=9, t=2.0</w:t>
      </w:r>
      <w:r w:rsidR="002A5CCE">
        <w:t>, P=0.0</w:t>
      </w:r>
      <w:r w:rsidR="00DB38BE">
        <w:t>9</w:t>
      </w:r>
      <w:r w:rsidR="00A931EB">
        <w:t xml:space="preserve">, Fig. </w:t>
      </w:r>
      <w:r w:rsidR="00FD57B3">
        <w:t>5</w:t>
      </w:r>
      <w:r w:rsidR="002A5CCE">
        <w:t>)</w:t>
      </w:r>
      <w:r w:rsidR="006C40D9">
        <w:t>,</w:t>
      </w:r>
    </w:p>
    <w:p w14:paraId="0EF52441" w14:textId="5A964308" w:rsidR="00937CAD" w:rsidRDefault="003B0DF2" w:rsidP="00481C16">
      <w:pPr>
        <w:spacing w:line="480" w:lineRule="auto"/>
      </w:pPr>
      <w:r>
        <w:t>B</w:t>
      </w:r>
      <w:r w:rsidR="002A5CCE">
        <w:t xml:space="preserve">rowse tolerance </w:t>
      </w:r>
      <w:r w:rsidR="00CA377F">
        <w:t xml:space="preserve">was </w:t>
      </w:r>
      <w:r w:rsidR="001A52DC">
        <w:t xml:space="preserve">also </w:t>
      </w:r>
      <w:r w:rsidR="00CA377F">
        <w:t>negatively correlated with</w:t>
      </w:r>
      <w:r w:rsidR="002A5CCE">
        <w:t xml:space="preserve"> drought </w:t>
      </w:r>
      <w:r w:rsidR="00CA377F">
        <w:t>adaptation</w:t>
      </w:r>
      <w:r>
        <w:t>:</w:t>
      </w:r>
      <w:r w:rsidR="00CA377F">
        <w:t xml:space="preserve"> species achieving </w:t>
      </w:r>
      <w:r w:rsidR="00A06BE4">
        <w:t>their peak fitness at lower water levels</w:t>
      </w:r>
      <w:r w:rsidR="00CA377F">
        <w:t xml:space="preserve"> were </w:t>
      </w:r>
      <w:r w:rsidR="00F11B1C">
        <w:t>l</w:t>
      </w:r>
      <w:r w:rsidR="00CA377F">
        <w:t>ess tolerant of browse</w:t>
      </w:r>
      <w:r w:rsidR="00A06BE4">
        <w:t xml:space="preserve"> </w:t>
      </w:r>
      <w:r w:rsidR="002A5CCE">
        <w:t xml:space="preserve">(PGLS, </w:t>
      </w:r>
      <w:r w:rsidR="002A5CCE">
        <w:lastRenderedPageBreak/>
        <w:t>df=9, t=</w:t>
      </w:r>
      <w:r w:rsidR="00DB38BE">
        <w:t xml:space="preserve"> -</w:t>
      </w:r>
      <w:r w:rsidR="002A5CCE">
        <w:t>2.2, P=0.06</w:t>
      </w:r>
      <w:r w:rsidR="00A931EB">
        <w:t xml:space="preserve">, Fig. </w:t>
      </w:r>
      <w:r w:rsidR="00FD57B3">
        <w:t>5</w:t>
      </w:r>
      <w:r w:rsidR="002A5CCE">
        <w:t>)</w:t>
      </w:r>
      <w:r w:rsidR="00526F02">
        <w:t>.</w:t>
      </w:r>
      <w:r w:rsidR="003C5B45">
        <w:t xml:space="preserve">  </w:t>
      </w:r>
      <w:r w:rsidR="006C40D9">
        <w:t xml:space="preserve">There was no relationship between the precipitation environment of </w:t>
      </w:r>
      <w:r w:rsidR="006C40D9" w:rsidRPr="008051C4">
        <w:rPr>
          <w:i/>
        </w:rPr>
        <w:t>Streptanthus</w:t>
      </w:r>
      <w:r w:rsidR="006C40D9">
        <w:t xml:space="preserve"> species and simulated browse tolerance (PGLS, df=9, t=-0.02, P=0.98, Fig. </w:t>
      </w:r>
      <w:r w:rsidR="00FD57B3">
        <w:t>5</w:t>
      </w:r>
      <w:r w:rsidR="006C40D9">
        <w:t>).</w:t>
      </w:r>
    </w:p>
    <w:p w14:paraId="404BEA15" w14:textId="128B93C2" w:rsidR="003B0DF2" w:rsidRDefault="003B0DF2" w:rsidP="003B0DF2">
      <w:pPr>
        <w:spacing w:line="480" w:lineRule="auto"/>
      </w:pPr>
      <w:r w:rsidRPr="009803FC">
        <w:rPr>
          <w:i/>
        </w:rPr>
        <w:t>Tolerance and phenology</w:t>
      </w:r>
      <w:r>
        <w:t xml:space="preserve">.  Supporting </w:t>
      </w:r>
      <w:r w:rsidRPr="009803FC">
        <w:rPr>
          <w:i/>
        </w:rPr>
        <w:t>a priori</w:t>
      </w:r>
      <w:r>
        <w:t xml:space="preserve"> predictions, late flowering </w:t>
      </w:r>
      <w:r w:rsidRPr="009C72AA">
        <w:rPr>
          <w:i/>
        </w:rPr>
        <w:t>Streptanthus</w:t>
      </w:r>
      <w:r>
        <w:t xml:space="preserve"> taxa tended to be more tolerant of folivory than early flowering taxa (Fig. </w:t>
      </w:r>
      <w:r w:rsidR="00B7721A">
        <w:t>5</w:t>
      </w:r>
      <w:r>
        <w:t xml:space="preserve">; PGLS: df=12, t=2.1, P=0.06,).  Surprisingly, flowering phenology did not predict browsing tolerance (Fig. 4, df=12, t=1.2, 0.27, Fig. </w:t>
      </w:r>
      <w:r w:rsidR="00FD57B3">
        <w:t>5</w:t>
      </w:r>
      <w:r>
        <w:t xml:space="preserve">). </w:t>
      </w:r>
    </w:p>
    <w:p w14:paraId="0F251E5F" w14:textId="5E5B9A6F" w:rsidR="003B0DF2" w:rsidRDefault="003B0DF2" w:rsidP="007754C9">
      <w:pPr>
        <w:spacing w:line="480" w:lineRule="auto"/>
        <w:ind w:firstLine="720"/>
      </w:pPr>
      <w:r>
        <w:t>We used model selection approaches to further evaluate the best predictor(s) of tolerance because phenology, drought tolerance and water availability were intercorrelated-- later-flowering species tend to come from wetter environments and are less adapted to low water conditions. Including all of these variables, tolerance of leaf damage was best predicted by flowering phenology alone (early flowering plants were less tolerant of herbivory), while tolerance of experimental browse was best predicted by (lower) drought tolerance alone (</w:t>
      </w:r>
      <w:r w:rsidR="005D5AEC">
        <w:t xml:space="preserve">Appendix 1, </w:t>
      </w:r>
      <w:r>
        <w:t>Supplementary Table</w:t>
      </w:r>
      <w:r w:rsidR="00B7721A">
        <w:t>s</w:t>
      </w:r>
      <w:r>
        <w:t xml:space="preserve"> </w:t>
      </w:r>
      <w:r w:rsidR="00B7721A">
        <w:t xml:space="preserve">S2 &amp; </w:t>
      </w:r>
      <w:r>
        <w:t>S</w:t>
      </w:r>
      <w:r w:rsidR="005D5AEC">
        <w:t>3</w:t>
      </w:r>
      <w:r>
        <w:t>).</w:t>
      </w:r>
    </w:p>
    <w:p w14:paraId="2A41D2A0" w14:textId="1AC41761" w:rsidR="00096B7F" w:rsidRDefault="002E31F3" w:rsidP="00096B7F">
      <w:pPr>
        <w:spacing w:line="480" w:lineRule="auto"/>
        <w:ind w:firstLine="720"/>
      </w:pPr>
      <w:r>
        <w:rPr>
          <w:i/>
        </w:rPr>
        <w:t xml:space="preserve">Tolerance </w:t>
      </w:r>
      <w:r w:rsidR="00096B7F">
        <w:rPr>
          <w:i/>
        </w:rPr>
        <w:t xml:space="preserve">- </w:t>
      </w:r>
      <w:r>
        <w:rPr>
          <w:i/>
        </w:rPr>
        <w:t>edaphic specialization</w:t>
      </w:r>
      <w:r w:rsidR="00096B7F">
        <w:t xml:space="preserve">.  </w:t>
      </w:r>
      <w:r>
        <w:t xml:space="preserve">Contrary to RAH, </w:t>
      </w:r>
      <w:r w:rsidRPr="00037D55">
        <w:rPr>
          <w:i/>
        </w:rPr>
        <w:t>Streptanthus</w:t>
      </w:r>
      <w:r>
        <w:t xml:space="preserve"> taxa from serpentine soils were more tolerant of leaf (folivore) damage than were non-serpentine taxa (df=10, t=</w:t>
      </w:r>
      <w:r w:rsidRPr="00037D55">
        <w:t>2.36</w:t>
      </w:r>
      <w:r>
        <w:t xml:space="preserve">, P=0.04). </w:t>
      </w:r>
      <w:r w:rsidR="00096B7F" w:rsidRPr="009803FC">
        <w:t>There was no effect of serpentine edaphic origin on tolerance to simulated browsing</w:t>
      </w:r>
      <w:r w:rsidR="00096B7F">
        <w:rPr>
          <w:i/>
        </w:rPr>
        <w:t xml:space="preserve"> </w:t>
      </w:r>
      <w:r w:rsidR="00096B7F">
        <w:t xml:space="preserve">across </w:t>
      </w:r>
      <w:r w:rsidR="00096B7F" w:rsidRPr="00A53664">
        <w:rPr>
          <w:i/>
        </w:rPr>
        <w:t>Streptanthus</w:t>
      </w:r>
      <w:r w:rsidR="00096B7F">
        <w:t xml:space="preserve"> taxa (PGLS, df=10, t=0.81, P=0.43).  </w:t>
      </w:r>
    </w:p>
    <w:p w14:paraId="312FC7CE" w14:textId="5F8EF199" w:rsidR="00DD5D4F" w:rsidRDefault="008732BA" w:rsidP="00A35C03">
      <w:pPr>
        <w:spacing w:line="480" w:lineRule="auto"/>
        <w:rPr>
          <w:b/>
        </w:rPr>
      </w:pPr>
      <w:r>
        <w:t xml:space="preserve">  </w:t>
      </w:r>
    </w:p>
    <w:p w14:paraId="4D3AC98D" w14:textId="354CB83A" w:rsidR="00117781" w:rsidRDefault="00A35C03" w:rsidP="00F31F3B">
      <w:pPr>
        <w:spacing w:line="480" w:lineRule="auto"/>
        <w:rPr>
          <w:b/>
        </w:rPr>
      </w:pPr>
      <w:r w:rsidRPr="008343BA">
        <w:rPr>
          <w:b/>
        </w:rPr>
        <w:t>DISCUSSION</w:t>
      </w:r>
    </w:p>
    <w:p w14:paraId="00273CB8" w14:textId="3D97CB01" w:rsidR="00582FF3" w:rsidRPr="00294F31" w:rsidRDefault="00582FF3" w:rsidP="00F31F3B">
      <w:pPr>
        <w:spacing w:line="480" w:lineRule="auto"/>
      </w:pPr>
      <w:r w:rsidRPr="00294F31">
        <w:t>It has been recently noted that the relationships between tolerance, resistance, and resources that have been observed in intraspecific studies are occasionally at odds with plant defense theories that explain tolerance and resistance patterns among species</w:t>
      </w:r>
      <w:r w:rsidR="00294F31" w:rsidRPr="00294F31">
        <w:t xml:space="preserve"> </w:t>
      </w:r>
      <w:r w:rsidR="00294F31" w:rsidRPr="00294F31">
        <w:lastRenderedPageBreak/>
        <w:t>(</w:t>
      </w:r>
      <w:r w:rsidR="00F40DED">
        <w:t>Leimu and Koricheva 2006</w:t>
      </w:r>
      <w:r w:rsidR="00294F31" w:rsidRPr="00294F31">
        <w:t>), and that the role of tolerance in explaining interspecific differences in defense needs more attention (Gianolo and Salgado-Luarte 2017)</w:t>
      </w:r>
      <w:r w:rsidRPr="00294F31">
        <w:t xml:space="preserve">.  </w:t>
      </w:r>
      <w:r w:rsidR="00294F31">
        <w:t xml:space="preserve">We explored the </w:t>
      </w:r>
      <w:r w:rsidR="00294F31" w:rsidRPr="00294F31">
        <w:rPr>
          <w:i/>
        </w:rPr>
        <w:t>interspecific</w:t>
      </w:r>
      <w:r w:rsidR="00294F31">
        <w:t xml:space="preserve"> relationships among tolerance, resistance, and aspect</w:t>
      </w:r>
      <w:r w:rsidR="005947C3">
        <w:t>s</w:t>
      </w:r>
      <w:r w:rsidR="00294F31">
        <w:t xml:space="preserve"> of resource </w:t>
      </w:r>
      <w:r w:rsidR="005947C3">
        <w:t xml:space="preserve">limitation </w:t>
      </w:r>
      <w:r w:rsidR="00294F31">
        <w:t xml:space="preserve">in a group of annual mustards that have similar life histories to species that have provided the bulk of </w:t>
      </w:r>
      <w:r w:rsidR="00294F31" w:rsidRPr="00294F31">
        <w:rPr>
          <w:i/>
        </w:rPr>
        <w:t>intraspecific</w:t>
      </w:r>
      <w:r w:rsidR="00294F31">
        <w:t xml:space="preserve"> evidence about trade-offs between tolerance, resistance, and resource use (</w:t>
      </w:r>
      <w:r w:rsidR="00DD2938">
        <w:t>e.g. Tiffin et al. 1999, Juenger et al 2000, Weinig et al 2003</w:t>
      </w:r>
      <w:r w:rsidR="00294F31">
        <w:t xml:space="preserve">).  Our results largely mirror those of studies conducted at the intraspecific level and provide an important piece of evidence to </w:t>
      </w:r>
      <w:r w:rsidR="00F40DED">
        <w:t>understand</w:t>
      </w:r>
      <w:r w:rsidR="00294F31">
        <w:t xml:space="preserve"> defense trade-offs across levels of organization (intraspecific versus interspecific)</w:t>
      </w:r>
      <w:r w:rsidR="00F40DED">
        <w:t xml:space="preserve">.  Here, we compare our study to the limited other macroevolutionary studies of tolerance; we reconcile our results with the mechanisms </w:t>
      </w:r>
      <w:r w:rsidR="005947C3">
        <w:t xml:space="preserve">proposed to cause </w:t>
      </w:r>
      <w:r w:rsidR="00F40DED">
        <w:t xml:space="preserve">defense trade-offs under the Resource </w:t>
      </w:r>
      <w:r w:rsidR="00790A60">
        <w:t>Availability</w:t>
      </w:r>
      <w:r w:rsidR="00F40DED">
        <w:t xml:space="preserve"> Hypothesis (RAH); we note the important role of context</w:t>
      </w:r>
      <w:r w:rsidR="005947C3">
        <w:t>-</w:t>
      </w:r>
      <w:r w:rsidR="00F40DED">
        <w:t>dependence as a caveat to the study of tolerance trade</w:t>
      </w:r>
      <w:r w:rsidR="00810C75">
        <w:t>-</w:t>
      </w:r>
      <w:r w:rsidR="00F40DED">
        <w:t>offs</w:t>
      </w:r>
      <w:r w:rsidR="00B7721A">
        <w:t>.</w:t>
      </w:r>
      <w:r w:rsidR="005947C3">
        <w:t xml:space="preserve"> </w:t>
      </w:r>
    </w:p>
    <w:p w14:paraId="41FF739C" w14:textId="606EE745" w:rsidR="00A35C03" w:rsidRPr="003313C6" w:rsidRDefault="00FF0001" w:rsidP="00A35C03">
      <w:pPr>
        <w:spacing w:line="480" w:lineRule="auto"/>
        <w:rPr>
          <w:b/>
          <w:i/>
        </w:rPr>
      </w:pPr>
      <w:r w:rsidRPr="003313C6">
        <w:rPr>
          <w:b/>
          <w:i/>
        </w:rPr>
        <w:t>Macro</w:t>
      </w:r>
      <w:r w:rsidR="00A35C03" w:rsidRPr="003313C6">
        <w:rPr>
          <w:b/>
          <w:i/>
        </w:rPr>
        <w:t>evolutionary trends in tolerance and resistance</w:t>
      </w:r>
    </w:p>
    <w:p w14:paraId="379F911A" w14:textId="379444AA" w:rsidR="009B39D3" w:rsidRDefault="00A35C03" w:rsidP="00117781">
      <w:pPr>
        <w:spacing w:line="480" w:lineRule="auto"/>
      </w:pPr>
      <w:r>
        <w:t xml:space="preserve">We explored potential evolutionary </w:t>
      </w:r>
      <w:r w:rsidR="00812360">
        <w:t>trade</w:t>
      </w:r>
      <w:r w:rsidR="00810C75">
        <w:t>-</w:t>
      </w:r>
      <w:r w:rsidR="00812360">
        <w:t>offs with</w:t>
      </w:r>
      <w:r>
        <w:t xml:space="preserve"> tolerance using a comparative macroevolutionary framework</w:t>
      </w:r>
      <w:r w:rsidR="00130FF8">
        <w:t xml:space="preserve"> in the herbaceous mustard clade </w:t>
      </w:r>
      <w:r w:rsidR="00130FF8" w:rsidRPr="00117781">
        <w:rPr>
          <w:i/>
        </w:rPr>
        <w:t>Streptanthus</w:t>
      </w:r>
      <w:r>
        <w:t xml:space="preserve">, </w:t>
      </w:r>
      <w:r w:rsidR="00812360">
        <w:t>testing for</w:t>
      </w:r>
      <w:r>
        <w:t xml:space="preserve"> across-species negative trait correlations between tolerance and 1) resistance to a specialist and generalist herbivore, 2)</w:t>
      </w:r>
      <w:r w:rsidR="00812360">
        <w:t xml:space="preserve"> </w:t>
      </w:r>
      <w:r w:rsidR="006C40D9">
        <w:t>water resource limitation</w:t>
      </w:r>
      <w:r w:rsidR="00812360">
        <w:t xml:space="preserve"> (</w:t>
      </w:r>
      <w:r>
        <w:t>drought tolerance</w:t>
      </w:r>
      <w:r w:rsidR="00812360">
        <w:t xml:space="preserve">, </w:t>
      </w:r>
      <w:r>
        <w:t xml:space="preserve">field precipitation levels, and </w:t>
      </w:r>
      <w:r w:rsidR="00812360">
        <w:t xml:space="preserve">edaphic field environments), </w:t>
      </w:r>
      <w:r w:rsidR="006C40D9">
        <w:t xml:space="preserve">and </w:t>
      </w:r>
      <w:r>
        <w:t xml:space="preserve">3) </w:t>
      </w:r>
      <w:r w:rsidR="00812360">
        <w:t>flowering phenology</w:t>
      </w:r>
      <w:r>
        <w:t xml:space="preserve">. </w:t>
      </w:r>
      <w:r w:rsidR="006C40D9">
        <w:t>We found that whether or not we detect</w:t>
      </w:r>
      <w:r w:rsidR="004378F8">
        <w:t>ed</w:t>
      </w:r>
      <w:r w:rsidR="006C40D9">
        <w:t xml:space="preserve"> trade-offs</w:t>
      </w:r>
      <w:r w:rsidR="00130FF8">
        <w:t>,</w:t>
      </w:r>
      <w:r w:rsidR="006C40D9">
        <w:t xml:space="preserve"> or any correlation </w:t>
      </w:r>
      <w:r w:rsidR="003748F0">
        <w:t>with tolerance</w:t>
      </w:r>
      <w:r w:rsidR="00130FF8">
        <w:t>,</w:t>
      </w:r>
      <w:r w:rsidR="003748F0">
        <w:t xml:space="preserve"> </w:t>
      </w:r>
      <w:r w:rsidR="006C40D9">
        <w:t xml:space="preserve">was </w:t>
      </w:r>
      <w:r w:rsidR="009B39D3">
        <w:t xml:space="preserve">generally </w:t>
      </w:r>
      <w:r w:rsidR="006C40D9">
        <w:t>context-dependent</w:t>
      </w:r>
      <w:r w:rsidR="001F5330">
        <w:t>, and depended</w:t>
      </w:r>
      <w:r w:rsidR="006C40D9">
        <w:t xml:space="preserve"> on </w:t>
      </w:r>
      <w:r w:rsidR="00130FF8">
        <w:t xml:space="preserve">the </w:t>
      </w:r>
      <w:r w:rsidR="006C40D9">
        <w:t xml:space="preserve">herbivore </w:t>
      </w:r>
      <w:r w:rsidR="001A52DC">
        <w:t>inflicting damage</w:t>
      </w:r>
      <w:r w:rsidR="006C40D9">
        <w:t xml:space="preserve">, </w:t>
      </w:r>
      <w:r w:rsidR="00F96068">
        <w:t>damage</w:t>
      </w:r>
      <w:r w:rsidR="006C40D9">
        <w:t xml:space="preserve"> type (browse or folivory), and soil. </w:t>
      </w:r>
      <w:r w:rsidR="009B39D3">
        <w:t xml:space="preserve">While unsatisfying in many regards, our results are consistent with the large number of mixed results found in within-species studies of </w:t>
      </w:r>
      <w:r w:rsidR="009B39D3">
        <w:lastRenderedPageBreak/>
        <w:t>trade-offs w</w:t>
      </w:r>
      <w:r w:rsidR="00DA14A5">
        <w:t>ith tolerance (</w:t>
      </w:r>
      <w:r w:rsidR="00DD2938">
        <w:t xml:space="preserve">e.g. </w:t>
      </w:r>
      <w:r w:rsidR="00DA14A5">
        <w:t>Simms and Tripplett 1994</w:t>
      </w:r>
      <w:r w:rsidR="00DD2938">
        <w:t>, Tiffin et al. 1999, Juenger et al. 2000,  Leimu and Koricheva 2006, Stevens et al. 2007)</w:t>
      </w:r>
      <w:r w:rsidR="009B39D3">
        <w:t>.</w:t>
      </w:r>
      <w:r w:rsidR="00275375">
        <w:t xml:space="preserve"> </w:t>
      </w:r>
      <w:r w:rsidR="009B39D3">
        <w:t xml:space="preserve">We did find some consistent trade-offs between both types of tolerance (to </w:t>
      </w:r>
      <w:r w:rsidR="004378F8">
        <w:t xml:space="preserve">experimental </w:t>
      </w:r>
      <w:r w:rsidR="009B39D3">
        <w:t>b</w:t>
      </w:r>
      <w:r w:rsidR="004378F8">
        <w:t xml:space="preserve">rowse and </w:t>
      </w:r>
      <w:r w:rsidR="009B39D3">
        <w:t xml:space="preserve">folivory) and traits related to water availability – folivory tolerance was lower in early flowering species, while browse tolerance was lower in species with greater drought adaptation (measured as the water level at which the rate of </w:t>
      </w:r>
      <w:r w:rsidR="00F96068">
        <w:t>seed production</w:t>
      </w:r>
      <w:r w:rsidR="009B39D3">
        <w:t xml:space="preserve"> is maximized).</w:t>
      </w:r>
      <w:r w:rsidR="001A52DC">
        <w:t xml:space="preserve"> </w:t>
      </w:r>
    </w:p>
    <w:p w14:paraId="4C6D11A2" w14:textId="2649F3D6" w:rsidR="00986081" w:rsidRDefault="00275375" w:rsidP="00117781">
      <w:pPr>
        <w:spacing w:line="480" w:lineRule="auto"/>
      </w:pPr>
      <w:r>
        <w:tab/>
      </w:r>
      <w:r w:rsidR="009B39D3">
        <w:t xml:space="preserve"> </w:t>
      </w:r>
      <w:r w:rsidR="00A35C03">
        <w:t>Only one other set of studies</w:t>
      </w:r>
      <w:r w:rsidR="00A35C03" w:rsidRPr="002950D6">
        <w:t xml:space="preserve"> </w:t>
      </w:r>
      <w:r w:rsidR="00A35C03">
        <w:t>that we know of has addressed tolerance to leaf herbivory in a comparative framework</w:t>
      </w:r>
      <w:r w:rsidR="001F5330">
        <w:t xml:space="preserve">; tolerance was </w:t>
      </w:r>
      <w:r w:rsidR="00790A60">
        <w:t>explored</w:t>
      </w:r>
      <w:r w:rsidR="00130FF8">
        <w:t xml:space="preserve"> </w:t>
      </w:r>
      <w:r w:rsidR="001F5330">
        <w:t xml:space="preserve">in </w:t>
      </w:r>
      <w:r w:rsidR="00130FF8">
        <w:t xml:space="preserve">largely perennial herbaceous </w:t>
      </w:r>
      <w:r w:rsidR="00A35C03">
        <w:t>milkweeds (</w:t>
      </w:r>
      <w:r w:rsidR="00A35C03" w:rsidRPr="002950D6">
        <w:rPr>
          <w:i/>
        </w:rPr>
        <w:t>Asclepias</w:t>
      </w:r>
      <w:r w:rsidR="00A35C03">
        <w:t xml:space="preserve">) </w:t>
      </w:r>
      <w:r w:rsidR="00A35C03" w:rsidRPr="00425AA1">
        <w:t>(Agrawal and Fishbein 2008, Agrawal et al. 2009)</w:t>
      </w:r>
      <w:r w:rsidR="0047327F">
        <w:t>, and it is worthwhile to compare our study with the milkweed system</w:t>
      </w:r>
      <w:r w:rsidR="0001764E">
        <w:t xml:space="preserve">.   </w:t>
      </w:r>
      <w:r w:rsidR="0047327F">
        <w:t>A</w:t>
      </w:r>
      <w:r w:rsidR="00A35C03">
        <w:t xml:space="preserve">cross </w:t>
      </w:r>
      <w:r w:rsidR="00FF0001">
        <w:t>milkweeds,</w:t>
      </w:r>
      <w:r w:rsidR="00A35C03">
        <w:t xml:space="preserve"> </w:t>
      </w:r>
      <w:r w:rsidR="00FF0001">
        <w:t>tolerance</w:t>
      </w:r>
      <w:r w:rsidR="00A35C03">
        <w:t xml:space="preserve"> </w:t>
      </w:r>
      <w:r w:rsidR="00130FF8">
        <w:t xml:space="preserve">and allocation to root mass </w:t>
      </w:r>
      <w:r w:rsidR="00A35C03">
        <w:t xml:space="preserve">increased over evolutionary time (Agrawal et al. 2015). In contrast to milkweeds, we found tolerance to both apical meristem clipping and leaf damage </w:t>
      </w:r>
      <w:r w:rsidR="00986081">
        <w:t>lacked phylogenetic signal</w:t>
      </w:r>
      <w:r w:rsidR="00A35C03">
        <w:t xml:space="preserve"> in </w:t>
      </w:r>
      <w:r w:rsidR="00A35C03" w:rsidRPr="00DD2938">
        <w:rPr>
          <w:i/>
        </w:rPr>
        <w:t>Streptanth</w:t>
      </w:r>
      <w:r w:rsidR="00DD2938" w:rsidRPr="00DD2938">
        <w:rPr>
          <w:i/>
        </w:rPr>
        <w:t>us</w:t>
      </w:r>
      <w:r w:rsidR="00A35C03">
        <w:t xml:space="preserve">, and </w:t>
      </w:r>
      <w:r w:rsidR="00986081">
        <w:t xml:space="preserve">was </w:t>
      </w:r>
      <w:r w:rsidR="00A35C03">
        <w:t xml:space="preserve">dependent on the type of damage-- foliar damage vs apical meristem removal.  While our sample size of species was much smaller than </w:t>
      </w:r>
      <w:r w:rsidR="001F5330">
        <w:t xml:space="preserve">that of </w:t>
      </w:r>
      <w:r w:rsidR="00A35C03">
        <w:t>the milkweed stud</w:t>
      </w:r>
      <w:r w:rsidR="001F5330">
        <w:t>ies</w:t>
      </w:r>
      <w:r w:rsidR="00A35C03">
        <w:t>, we did take care to sample across major subclades and species ages across the group, and we were able to detect phylogenetic signal in resistance to herbivores (Table 2</w:t>
      </w:r>
      <w:r w:rsidR="00B71CF3">
        <w:t xml:space="preserve">).  </w:t>
      </w:r>
      <w:r w:rsidR="00117781">
        <w:t>While previous studies in the milkweed system were geared specifically toward understanding the change in tolerance and resistance traits over time, our study 1) related tolerance with additional aspects of plant life history such as drought resistance and phenology that are pertinent</w:t>
      </w:r>
      <w:r w:rsidR="00F40DED">
        <w:t xml:space="preserve"> to the RAH</w:t>
      </w:r>
      <w:r w:rsidR="00117781">
        <w:t xml:space="preserve">, and 2) tested for context dependence in tolerance-resistance relationships.  One theme that we note in contrasting our study to existing theory and empirical studies, is </w:t>
      </w:r>
      <w:r w:rsidR="00117781">
        <w:lastRenderedPageBreak/>
        <w:t xml:space="preserve">that </w:t>
      </w:r>
      <w:r w:rsidR="00F609DB">
        <w:t>life-history differences</w:t>
      </w:r>
      <w:r w:rsidR="001F5330">
        <w:t xml:space="preserve"> (annuality and pernniality, herbaceousness and woodiness)</w:t>
      </w:r>
      <w:r w:rsidR="00F609DB">
        <w:t xml:space="preserve"> in plant species may strongly influence how tolerance is expressed and constrained.  </w:t>
      </w:r>
    </w:p>
    <w:p w14:paraId="6CAA8722" w14:textId="55B388D2" w:rsidR="001B24DD" w:rsidRPr="00117781" w:rsidRDefault="001B24DD" w:rsidP="00117781">
      <w:pPr>
        <w:spacing w:line="480" w:lineRule="auto"/>
        <w:rPr>
          <w:b/>
          <w:i/>
        </w:rPr>
      </w:pPr>
      <w:r w:rsidRPr="00117781">
        <w:rPr>
          <w:b/>
          <w:i/>
        </w:rPr>
        <w:t xml:space="preserve">Revisiting the </w:t>
      </w:r>
      <w:r w:rsidR="00A32246">
        <w:rPr>
          <w:b/>
          <w:i/>
        </w:rPr>
        <w:t>RAH</w:t>
      </w:r>
      <w:r w:rsidRPr="00117781">
        <w:rPr>
          <w:b/>
          <w:i/>
        </w:rPr>
        <w:t xml:space="preserve"> </w:t>
      </w:r>
      <w:r w:rsidR="006C40D9">
        <w:rPr>
          <w:b/>
          <w:i/>
        </w:rPr>
        <w:t>in</w:t>
      </w:r>
      <w:r w:rsidRPr="00117781">
        <w:rPr>
          <w:b/>
          <w:i/>
        </w:rPr>
        <w:t xml:space="preserve"> relation to </w:t>
      </w:r>
      <w:r w:rsidR="003748F0">
        <w:rPr>
          <w:b/>
          <w:i/>
        </w:rPr>
        <w:t>tolerance</w:t>
      </w:r>
      <w:r w:rsidR="00564F16">
        <w:rPr>
          <w:b/>
          <w:i/>
        </w:rPr>
        <w:t>, drought,</w:t>
      </w:r>
      <w:r w:rsidR="00F96068">
        <w:rPr>
          <w:b/>
          <w:i/>
        </w:rPr>
        <w:t xml:space="preserve"> and life history</w:t>
      </w:r>
    </w:p>
    <w:p w14:paraId="79BE142C" w14:textId="6F4BDD1E" w:rsidR="003313C6" w:rsidRDefault="001B24DD" w:rsidP="003313C6">
      <w:pPr>
        <w:spacing w:line="480" w:lineRule="auto"/>
        <w:ind w:firstLine="720"/>
      </w:pPr>
      <w:r>
        <w:t xml:space="preserve">The RAH has been the central theory relating </w:t>
      </w:r>
      <w:r w:rsidR="002A4138">
        <w:t>resistance</w:t>
      </w:r>
      <w:r>
        <w:t xml:space="preserve">, tolerance, and resources to make predictions about the investment in </w:t>
      </w:r>
      <w:r w:rsidR="002A4138">
        <w:t>resistance</w:t>
      </w:r>
      <w:r>
        <w:t xml:space="preserve"> </w:t>
      </w:r>
      <w:r w:rsidR="003313C6">
        <w:t xml:space="preserve">and tolerance </w:t>
      </w:r>
      <w:r>
        <w:t xml:space="preserve">among plant species (Coley et al. 1985).  </w:t>
      </w:r>
      <w:r w:rsidR="00F31F3B">
        <w:t xml:space="preserve">While initially developed in light of </w:t>
      </w:r>
      <w:r w:rsidR="003313C6">
        <w:t>resistance</w:t>
      </w:r>
      <w:r w:rsidR="00F31F3B">
        <w:t xml:space="preserve"> traits, recent calls suggest formally including tolerance as well (</w:t>
      </w:r>
      <w:r w:rsidR="00F40DED" w:rsidRPr="00294F31">
        <w:t>Gianolo and Salgado-Luarte 2017</w:t>
      </w:r>
      <w:r w:rsidR="00F31F3B">
        <w:t xml:space="preserve">). </w:t>
      </w:r>
      <w:r w:rsidR="00F40DED">
        <w:t xml:space="preserve"> </w:t>
      </w:r>
      <w:r w:rsidR="003313C6">
        <w:t xml:space="preserve">The RAH has been used to explain among-species differences in plant defense based on the idea that limiting resources (primarily nutrients) constrain the growth rate of plants, such that more resource-limited plants will grow more slowly and have a tendency to invest in highly resistant slow-growing, long-lived tissues (Coley et al. 1985, Fine et al. 2006).  Many experimental studies showing support for the RAH come from tree species (e.g. Wilf et al. 2001, Fine et al 2006; Pearse and Hipp 2012).  </w:t>
      </w:r>
      <w:r>
        <w:t xml:space="preserve">Our study </w:t>
      </w:r>
      <w:r w:rsidR="003748F0">
        <w:t xml:space="preserve">of herbaceous mustards </w:t>
      </w:r>
      <w:r>
        <w:t>supports some components of the RAH</w:t>
      </w:r>
      <w:r w:rsidR="00130FF8">
        <w:t xml:space="preserve">, and in places where it differs, we think </w:t>
      </w:r>
      <w:r w:rsidR="00F31F3B">
        <w:t>it likely that</w:t>
      </w:r>
      <w:r w:rsidR="00130FF8">
        <w:t xml:space="preserve"> differences in life history between trees and herbaceous monocarpic species may play an important role. </w:t>
      </w:r>
      <w:r>
        <w:t xml:space="preserve"> </w:t>
      </w:r>
    </w:p>
    <w:p w14:paraId="37C84D85" w14:textId="283C1E41" w:rsidR="00F96068" w:rsidRDefault="00130FF8" w:rsidP="003313C6">
      <w:pPr>
        <w:spacing w:line="480" w:lineRule="auto"/>
        <w:ind w:firstLine="720"/>
      </w:pPr>
      <w:r>
        <w:t>Specifically,</w:t>
      </w:r>
      <w:r w:rsidR="00F31F3B">
        <w:t xml:space="preserve"> our</w:t>
      </w:r>
      <w:r>
        <w:t xml:space="preserve"> annual </w:t>
      </w:r>
      <w:r w:rsidR="00F96068">
        <w:t xml:space="preserve">or biennial </w:t>
      </w:r>
      <w:r w:rsidRPr="00EF0BB9">
        <w:rPr>
          <w:i/>
        </w:rPr>
        <w:t>Streptanthus</w:t>
      </w:r>
      <w:r>
        <w:t xml:space="preserve"> species associated with lower nutrient serpentine soils were more, not less tolerant of herbivory, contrary to predictions of RAH.  In this case, </w:t>
      </w:r>
      <w:r w:rsidR="00F96068">
        <w:t>it is possible that</w:t>
      </w:r>
      <w:r>
        <w:t xml:space="preserve"> allocation to roots, favored under </w:t>
      </w:r>
      <w:r w:rsidR="00EF0BB9">
        <w:t>serpentine conditions</w:t>
      </w:r>
      <w:r>
        <w:t xml:space="preserve"> (</w:t>
      </w:r>
      <w:r w:rsidR="00DD2938">
        <w:t>Sambatti and Rice 2007</w:t>
      </w:r>
      <w:r>
        <w:t>) might also increase tolerance to herbivory (</w:t>
      </w:r>
      <w:r w:rsidR="00DD2938">
        <w:t>Haukioja and Koricheva 2000, Stowe et al. 2000</w:t>
      </w:r>
      <w:r>
        <w:t xml:space="preserve">). </w:t>
      </w:r>
      <w:r w:rsidR="00F31F3B">
        <w:t xml:space="preserve"> </w:t>
      </w:r>
      <w:r>
        <w:t xml:space="preserve">Additionally, plants living in barren serpentine environments historically may have </w:t>
      </w:r>
      <w:r w:rsidR="00F96068">
        <w:t xml:space="preserve">experienced </w:t>
      </w:r>
      <w:r w:rsidR="00F31F3B">
        <w:t>high</w:t>
      </w:r>
      <w:r>
        <w:t xml:space="preserve"> rates of herbivory </w:t>
      </w:r>
      <w:r w:rsidR="00EF0BB9">
        <w:t xml:space="preserve">due to high apparency </w:t>
      </w:r>
      <w:r>
        <w:t xml:space="preserve">(Strauss and Cacho 2013; </w:t>
      </w:r>
      <w:r w:rsidR="00DB7258">
        <w:t>Karban</w:t>
      </w:r>
      <w:r>
        <w:t xml:space="preserve"> and </w:t>
      </w:r>
      <w:r w:rsidR="00DB7258">
        <w:t>Courtney</w:t>
      </w:r>
      <w:r>
        <w:t xml:space="preserve"> </w:t>
      </w:r>
      <w:r w:rsidR="00DB7258">
        <w:t>1987</w:t>
      </w:r>
      <w:r>
        <w:t xml:space="preserve">), and thus tolerance may </w:t>
      </w:r>
      <w:r>
        <w:lastRenderedPageBreak/>
        <w:t xml:space="preserve">have been </w:t>
      </w:r>
      <w:r w:rsidR="001F5330">
        <w:t xml:space="preserve">favored over resistance, as in other species (e.g., Lehndal and </w:t>
      </w:r>
      <w:r w:rsidR="00790A60" w:rsidRPr="00E82E98">
        <w:t>Å</w:t>
      </w:r>
      <w:r w:rsidR="001F5330">
        <w:t>gren 2015)</w:t>
      </w:r>
      <w:r>
        <w:t>. Most importantly, perhaps, tolerance was greater for serpentine taxa because early-flowering drought ‘escape’ strategies were not associated with these serpentine taxa</w:t>
      </w:r>
      <w:r w:rsidR="00F31F3B">
        <w:t>, which came from higher precipitation</w:t>
      </w:r>
      <w:r w:rsidR="001F5330">
        <w:t>, more northerly</w:t>
      </w:r>
      <w:r w:rsidR="00F31F3B">
        <w:t xml:space="preserve"> environments than non-serpentine taxa (Cacho et al 2014).</w:t>
      </w:r>
      <w:r>
        <w:t xml:space="preserve"> </w:t>
      </w:r>
    </w:p>
    <w:p w14:paraId="79B227DB" w14:textId="37D263BE" w:rsidR="00F31F3B" w:rsidRDefault="003313C6" w:rsidP="007B04BE">
      <w:pPr>
        <w:spacing w:line="480" w:lineRule="auto"/>
        <w:ind w:firstLine="720"/>
      </w:pPr>
      <w:r>
        <w:t>Consistent with the RAH, we found that plants associated with drought-prone conditions tended to be</w:t>
      </w:r>
      <w:r w:rsidR="007754C9">
        <w:t xml:space="preserve"> less</w:t>
      </w:r>
      <w:r>
        <w:t xml:space="preserve"> tolerant of herbivore damage (Fig. 5).  However, we offer a slightly different mechanism leading to this relationship than is usually implied by the RAH.  </w:t>
      </w:r>
      <w:r w:rsidR="00F31F3B">
        <w:t xml:space="preserve">Herbaceous annuals, and possibly herbaceous perennials, may have two more or less mutually exclusive suites of traits to </w:t>
      </w:r>
      <w:r w:rsidR="00F73833">
        <w:t>cope</w:t>
      </w:r>
      <w:r w:rsidR="00F31F3B">
        <w:t xml:space="preserve"> with water limitation –drought escape or drought tolerance</w:t>
      </w:r>
      <w:r w:rsidR="005E5F5B">
        <w:t>/physiological avoidance (hereafter “drought tolerance”)</w:t>
      </w:r>
      <w:r w:rsidR="00F31F3B">
        <w:t>. In contrast, long</w:t>
      </w:r>
      <w:r w:rsidR="00810C75">
        <w:t>-</w:t>
      </w:r>
      <w:r w:rsidR="00F31F3B">
        <w:t>lived woody trees and shrubs must have at least some above-ground structures that can tolerate drought. D</w:t>
      </w:r>
      <w:r w:rsidR="00130FF8">
        <w:t xml:space="preserve">rought tolerance through </w:t>
      </w:r>
      <w:r w:rsidR="00286AAC">
        <w:t>slow-growth</w:t>
      </w:r>
      <w:r w:rsidR="00130FF8">
        <w:t xml:space="preserve"> </w:t>
      </w:r>
      <w:r w:rsidR="00F73833">
        <w:t xml:space="preserve">results in </w:t>
      </w:r>
      <w:r w:rsidR="007A254E">
        <w:t>long leaf life spans</w:t>
      </w:r>
      <w:r w:rsidR="00F73833">
        <w:t>,</w:t>
      </w:r>
      <w:r w:rsidR="00E6112C">
        <w:t xml:space="preserve"> </w:t>
      </w:r>
      <w:r w:rsidR="007A254E">
        <w:t>and thick leaves</w:t>
      </w:r>
      <w:r w:rsidR="00F31F3B">
        <w:t xml:space="preserve"> allow</w:t>
      </w:r>
      <w:r w:rsidR="007A254E">
        <w:t xml:space="preserve"> species to tolerate dry conditions</w:t>
      </w:r>
      <w:r w:rsidR="00B13829">
        <w:t xml:space="preserve"> (</w:t>
      </w:r>
      <w:r w:rsidR="00DA14A5">
        <w:t>Heschel and Riginos 2005, Juenger 2013, Kooyers 2015</w:t>
      </w:r>
      <w:r w:rsidR="00B13829">
        <w:t>)</w:t>
      </w:r>
      <w:r w:rsidR="00F96068">
        <w:t>. With these traits, we could expect tolerance-resistance trade-offs as predicted by</w:t>
      </w:r>
      <w:r w:rsidR="00E6112C">
        <w:t xml:space="preserve"> RAH based on </w:t>
      </w:r>
      <w:r w:rsidR="00ED1B9E">
        <w:t>resources</w:t>
      </w:r>
      <w:r w:rsidR="00F96068">
        <w:t xml:space="preserve">. Alternatively, </w:t>
      </w:r>
      <w:r w:rsidR="00F31F3B">
        <w:t>with</w:t>
      </w:r>
      <w:r w:rsidR="009A5567">
        <w:t xml:space="preserve"> drought escape strategies, </w:t>
      </w:r>
      <w:r w:rsidR="00F31F3B">
        <w:t>limiting water may favor fast growth rates, throw-</w:t>
      </w:r>
      <w:r w:rsidR="000830FA">
        <w:t>a</w:t>
      </w:r>
      <w:r w:rsidR="00F31F3B">
        <w:t xml:space="preserve">way leaves and short life spans occurring </w:t>
      </w:r>
      <w:r w:rsidR="00F73833">
        <w:t>only at times of year when water relations are more favorable</w:t>
      </w:r>
      <w:r w:rsidR="00F31F3B">
        <w:t xml:space="preserve"> </w:t>
      </w:r>
      <w:r w:rsidR="00B13829">
        <w:t>(Sherrard and Maherali 2006, Juenger 2013</w:t>
      </w:r>
      <w:r w:rsidR="00DA14A5">
        <w:t>, Kooyers 2015</w:t>
      </w:r>
      <w:r w:rsidR="00B13829">
        <w:t>)</w:t>
      </w:r>
      <w:r w:rsidR="00F96068" w:rsidRPr="00B13829">
        <w:t>.</w:t>
      </w:r>
      <w:r w:rsidR="00F96068">
        <w:t xml:space="preserve"> </w:t>
      </w:r>
      <w:r w:rsidR="00ED1B9E">
        <w:t>S</w:t>
      </w:r>
      <w:r w:rsidR="00F31F3B">
        <w:t>uch drought escape</w:t>
      </w:r>
      <w:r w:rsidR="008A3B04">
        <w:t xml:space="preserve"> </w:t>
      </w:r>
      <w:r w:rsidR="00F73833">
        <w:t xml:space="preserve">through truncated phenology </w:t>
      </w:r>
      <w:r w:rsidR="008A3B04">
        <w:t>limit</w:t>
      </w:r>
      <w:r w:rsidR="00F31F3B">
        <w:t>s</w:t>
      </w:r>
      <w:r w:rsidR="008A3B04">
        <w:t xml:space="preserve"> the time available </w:t>
      </w:r>
      <w:r w:rsidR="00130FF8">
        <w:t>to both develop resource pools</w:t>
      </w:r>
      <w:r w:rsidR="00F31F3B">
        <w:t xml:space="preserve"> (</w:t>
      </w:r>
      <w:r w:rsidR="00DA14A5">
        <w:t>reviewed in Juenger 2013, Kooyers 2015</w:t>
      </w:r>
      <w:r w:rsidR="00F31F3B">
        <w:t>)</w:t>
      </w:r>
      <w:r w:rsidR="00130FF8">
        <w:t xml:space="preserve">, as well as </w:t>
      </w:r>
      <w:r w:rsidR="00F31F3B">
        <w:t>exposure to</w:t>
      </w:r>
      <w:r w:rsidR="00130FF8">
        <w:t xml:space="preserve"> </w:t>
      </w:r>
      <w:r w:rsidR="008A3B04">
        <w:t>herbivore</w:t>
      </w:r>
      <w:r w:rsidR="00F31F3B">
        <w:t>s</w:t>
      </w:r>
      <w:r w:rsidR="008A3B04">
        <w:t xml:space="preserve"> </w:t>
      </w:r>
      <w:r w:rsidR="00130FF8">
        <w:t>[</w:t>
      </w:r>
      <w:r w:rsidR="008A3B04">
        <w:t xml:space="preserve">i.e. </w:t>
      </w:r>
      <w:r w:rsidR="00F31F3B">
        <w:t>rapid</w:t>
      </w:r>
      <w:r w:rsidR="008A3B04">
        <w:t xml:space="preserve"> phenological escape from herbivores as well as drought</w:t>
      </w:r>
      <w:r w:rsidR="00130FF8">
        <w:t xml:space="preserve"> </w:t>
      </w:r>
      <w:r w:rsidR="009D5778">
        <w:t>(Krimmel and Pearse 2016)</w:t>
      </w:r>
      <w:r w:rsidR="00130FF8">
        <w:t>]</w:t>
      </w:r>
      <w:r w:rsidR="008A3B04">
        <w:t>.  In accordance with a drought escape strategy</w:t>
      </w:r>
      <w:r w:rsidR="00566FA9">
        <w:t xml:space="preserve">, </w:t>
      </w:r>
      <w:r w:rsidR="00130FF8">
        <w:t xml:space="preserve">annual </w:t>
      </w:r>
      <w:r w:rsidR="00566FA9" w:rsidRPr="007B04BE">
        <w:rPr>
          <w:i/>
        </w:rPr>
        <w:t>Streptanthus</w:t>
      </w:r>
      <w:r w:rsidR="00566FA9">
        <w:t xml:space="preserve"> taxa with early-flowering </w:t>
      </w:r>
      <w:r w:rsidR="00566FA9">
        <w:lastRenderedPageBreak/>
        <w:t xml:space="preserve">and senescing phenologies were associated with </w:t>
      </w:r>
      <w:r w:rsidR="00F31F3B">
        <w:t xml:space="preserve">low precipitation environments and </w:t>
      </w:r>
      <w:r w:rsidR="00F73833">
        <w:t>the ability to maintain fitness in such conditions (</w:t>
      </w:r>
      <w:r w:rsidR="005D5AEC">
        <w:t xml:space="preserve">Appendix 1, Supplementary </w:t>
      </w:r>
      <w:r w:rsidR="00F73833">
        <w:t>Table S</w:t>
      </w:r>
      <w:r w:rsidR="005D5AEC">
        <w:t>3</w:t>
      </w:r>
      <w:r w:rsidR="00F73833">
        <w:t>)</w:t>
      </w:r>
      <w:r w:rsidR="00F96068">
        <w:t>.</w:t>
      </w:r>
      <w:r w:rsidR="00566FA9">
        <w:t xml:space="preserve">  </w:t>
      </w:r>
      <w:r w:rsidR="00F73833">
        <w:t>In turn, t</w:t>
      </w:r>
      <w:r w:rsidR="008C29FF">
        <w:t xml:space="preserve">his suite of </w:t>
      </w:r>
      <w:r w:rsidR="00EF0BB9">
        <w:t xml:space="preserve">drought escape </w:t>
      </w:r>
      <w:r w:rsidR="008C29FF">
        <w:t xml:space="preserve">traits </w:t>
      </w:r>
      <w:r w:rsidR="00F73833">
        <w:t xml:space="preserve">tended to be </w:t>
      </w:r>
      <w:r w:rsidR="00130FF8">
        <w:t>a</w:t>
      </w:r>
      <w:r w:rsidR="008C29FF">
        <w:t>ssociated with low tolerance to</w:t>
      </w:r>
      <w:r w:rsidR="00F31F3B">
        <w:t xml:space="preserve"> foliar</w:t>
      </w:r>
      <w:r w:rsidR="008C29FF">
        <w:t xml:space="preserve"> herbivory</w:t>
      </w:r>
      <w:r w:rsidR="00EF0BB9">
        <w:t xml:space="preserve"> and to a lesser degree browse herbivory (Fig. 5</w:t>
      </w:r>
      <w:r w:rsidR="00F73833">
        <w:t>)</w:t>
      </w:r>
      <w:r w:rsidR="008C29FF">
        <w:t xml:space="preserve">.  </w:t>
      </w:r>
    </w:p>
    <w:p w14:paraId="2674AABA" w14:textId="4FC05E20" w:rsidR="009D5778" w:rsidRDefault="00F31F3B">
      <w:pPr>
        <w:spacing w:line="480" w:lineRule="auto"/>
        <w:ind w:firstLine="720"/>
      </w:pPr>
      <w:r>
        <w:t>Phenological traits</w:t>
      </w:r>
      <w:r w:rsidR="009D5778">
        <w:t xml:space="preserve"> </w:t>
      </w:r>
      <w:r>
        <w:t>have</w:t>
      </w:r>
      <w:r w:rsidR="009D5778">
        <w:t xml:space="preserve"> </w:t>
      </w:r>
      <w:r w:rsidR="00235719">
        <w:t xml:space="preserve">also </w:t>
      </w:r>
      <w:r w:rsidR="009D5778">
        <w:t xml:space="preserve">emerged as </w:t>
      </w:r>
      <w:r>
        <w:t xml:space="preserve">a </w:t>
      </w:r>
      <w:r w:rsidR="00BB3DD3">
        <w:t xml:space="preserve">determinant </w:t>
      </w:r>
      <w:r>
        <w:t>of</w:t>
      </w:r>
      <w:r w:rsidR="009D5778">
        <w:t xml:space="preserve"> </w:t>
      </w:r>
      <w:r w:rsidR="00BB3DD3">
        <w:t>tolerance within annual plant species using a recombinant i</w:t>
      </w:r>
      <w:r>
        <w:t>n</w:t>
      </w:r>
      <w:r w:rsidR="00BB3DD3">
        <w:t xml:space="preserve">bred line approach (Weinig et al. 2003) and a </w:t>
      </w:r>
      <w:r w:rsidR="00235719">
        <w:t>manipulation</w:t>
      </w:r>
      <w:r w:rsidR="00BB3DD3">
        <w:t xml:space="preserve"> of flowering phenology (Krimmel and Pearse 2016).</w:t>
      </w:r>
      <w:r w:rsidR="00F96068">
        <w:t xml:space="preserve"> Herbaceous perennials might experience something in between. With total above-ground senescence under stressful conditions, perennials might still exhibit phenological escape from both drought and possibly herbivores; however, investment in root resources also allows these species to skip some years in reproduction, and provides for greater resource pool development and tolerance ability. </w:t>
      </w:r>
      <w:r>
        <w:t xml:space="preserve">A recent meta-analysis shows that herbivory had </w:t>
      </w:r>
      <w:r w:rsidRPr="00DA14A5">
        <w:t xml:space="preserve">stronger effects on perennials than annuals, </w:t>
      </w:r>
      <w:r w:rsidR="000B63F0" w:rsidRPr="00DA14A5">
        <w:t>possibly through</w:t>
      </w:r>
      <w:r w:rsidRPr="00DA14A5">
        <w:t xml:space="preserve"> its effects on long-term root storage (Borowicz 2013). </w:t>
      </w:r>
      <w:r w:rsidR="00614FDA" w:rsidRPr="00DA14A5">
        <w:t xml:space="preserve">Amending the RAH to incorporate </w:t>
      </w:r>
      <w:r w:rsidR="00F96068" w:rsidRPr="00DA14A5">
        <w:t xml:space="preserve">differences between herbaceous </w:t>
      </w:r>
      <w:r w:rsidRPr="00DA14A5">
        <w:t>annual</w:t>
      </w:r>
      <w:r>
        <w:t xml:space="preserve"> and perennial, as well as </w:t>
      </w:r>
      <w:r w:rsidR="00F96068">
        <w:t xml:space="preserve">woody perennial species response to limiting resources may </w:t>
      </w:r>
      <w:r w:rsidR="000B63F0">
        <w:t>shed light on much of the conflicting results on tolerance.</w:t>
      </w:r>
    </w:p>
    <w:p w14:paraId="1FC7DDA1" w14:textId="77777777" w:rsidR="0047327F" w:rsidRPr="0025120B" w:rsidRDefault="0047327F" w:rsidP="0047327F">
      <w:pPr>
        <w:spacing w:line="480" w:lineRule="auto"/>
        <w:rPr>
          <w:b/>
          <w:i/>
        </w:rPr>
      </w:pPr>
      <w:r w:rsidRPr="0025120B">
        <w:rPr>
          <w:b/>
          <w:i/>
        </w:rPr>
        <w:t>Context dependence of tolerance and resistance on soil type</w:t>
      </w:r>
    </w:p>
    <w:p w14:paraId="4DC928EA" w14:textId="1A86BB94" w:rsidR="000B63F0" w:rsidRDefault="0047327F">
      <w:pPr>
        <w:spacing w:line="480" w:lineRule="auto"/>
        <w:ind w:firstLine="720"/>
      </w:pPr>
      <w:r>
        <w:t xml:space="preserve">Context dependence in measuring resistance and tolerance is expected, given that we have known for a long time </w:t>
      </w:r>
      <w:r w:rsidR="0025120B">
        <w:t>that soil environment</w:t>
      </w:r>
      <w:r>
        <w:t xml:space="preserve"> influence</w:t>
      </w:r>
      <w:r w:rsidR="000B63F0">
        <w:t>s</w:t>
      </w:r>
      <w:r w:rsidR="0025120B">
        <w:t xml:space="preserve"> both</w:t>
      </w:r>
      <w:r>
        <w:t xml:space="preserve"> tolerance </w:t>
      </w:r>
      <w:r w:rsidRPr="00260729">
        <w:t>(Maschinski and Whitham 1989, Wise and Abrahamson 2007)</w:t>
      </w:r>
      <w:r>
        <w:t xml:space="preserve"> and resistance </w:t>
      </w:r>
      <w:r w:rsidRPr="00260729">
        <w:t>(Hahn and Maron 2016)</w:t>
      </w:r>
      <w:r>
        <w:t xml:space="preserve">.  </w:t>
      </w:r>
      <w:r w:rsidR="00F2549E">
        <w:t xml:space="preserve">Nevertheless, </w:t>
      </w:r>
      <w:r w:rsidR="001B24DD">
        <w:t xml:space="preserve">direct assessment of context dependence in tolerance studies is rare for studies of intraspecific variation in tolerance, and, prior to the present study, was absent from interspecific studies.  </w:t>
      </w:r>
      <w:r>
        <w:t xml:space="preserve">We attempted to inject biological realism by </w:t>
      </w:r>
      <w:r>
        <w:lastRenderedPageBreak/>
        <w:t>growing plant species both</w:t>
      </w:r>
      <w:r w:rsidR="00ED1B9E">
        <w:t xml:space="preserve"> in their native field soil as well as</w:t>
      </w:r>
      <w:r>
        <w:t xml:space="preserve"> in a common soil environment [foreign to all species</w:t>
      </w:r>
      <w:r w:rsidR="00FD57B3">
        <w:t>]</w:t>
      </w:r>
      <w:r>
        <w:t xml:space="preserve">. We were surprised to find that soil type affected resistance measures even more strongly than tolerance measures, and phylogenetic signal in resistance to both herbivores was only found in plants growing on field soils. This result may be because plants express </w:t>
      </w:r>
      <w:r w:rsidR="0080778E">
        <w:t>resistance traits</w:t>
      </w:r>
      <w:r>
        <w:t xml:space="preserve"> under conditions in which they evolved, or that affinities to soils </w:t>
      </w:r>
      <w:r w:rsidR="00F2549E">
        <w:t xml:space="preserve">that </w:t>
      </w:r>
      <w:r>
        <w:t>contain elements</w:t>
      </w:r>
      <w:r w:rsidR="000B63F0">
        <w:t xml:space="preserve"> and microbes</w:t>
      </w:r>
      <w:r w:rsidR="00F2549E">
        <w:t xml:space="preserve">, which affect </w:t>
      </w:r>
      <w:r>
        <w:t>herbivore performance</w:t>
      </w:r>
      <w:r w:rsidR="000B63F0">
        <w:t>,</w:t>
      </w:r>
      <w:r>
        <w:t xml:space="preserve"> have phylogenetic signal. </w:t>
      </w:r>
      <w:r w:rsidR="00DA01F7">
        <w:t>A</w:t>
      </w:r>
      <w:r>
        <w:t xml:space="preserve"> previous across-clade soil analys</w:t>
      </w:r>
      <w:r w:rsidR="000B63F0">
        <w:t>i</w:t>
      </w:r>
      <w:r>
        <w:t xml:space="preserve">s </w:t>
      </w:r>
      <w:r w:rsidR="00DA01F7">
        <w:t xml:space="preserve">in </w:t>
      </w:r>
      <w:r w:rsidR="00DA01F7" w:rsidRPr="0025120B">
        <w:rPr>
          <w:i/>
        </w:rPr>
        <w:t>Streptanthus</w:t>
      </w:r>
      <w:r w:rsidR="00DA01F7">
        <w:t xml:space="preserve"> </w:t>
      </w:r>
      <w:r>
        <w:t xml:space="preserve">found no to weak phylogenetic signal in soil </w:t>
      </w:r>
      <w:r w:rsidR="00ED1B9E">
        <w:t xml:space="preserve">elemental </w:t>
      </w:r>
      <w:r>
        <w:t xml:space="preserve">composition (Cacho and Strauss 2014), suggesting that the former hypothesis might be a better explanation of this result.  </w:t>
      </w:r>
    </w:p>
    <w:p w14:paraId="2416C227" w14:textId="77F1EDF0" w:rsidR="00A35C03" w:rsidRDefault="0047327F">
      <w:pPr>
        <w:spacing w:line="480" w:lineRule="auto"/>
        <w:ind w:firstLine="720"/>
      </w:pPr>
      <w:r>
        <w:t xml:space="preserve"> In contrast, soil, while affecting the magnitude of tolerance, did not alter the relative degree of tolerance among </w:t>
      </w:r>
      <w:r w:rsidRPr="0075698B">
        <w:rPr>
          <w:i/>
        </w:rPr>
        <w:t>Streptanthus</w:t>
      </w:r>
      <w:r>
        <w:t xml:space="preserve"> species (see results).</w:t>
      </w:r>
      <w:r w:rsidR="00DA01F7">
        <w:t xml:space="preserve">  Interestingly the home edaphic condition (serpentine / non-serpentine) of </w:t>
      </w:r>
      <w:r w:rsidR="00DA01F7" w:rsidRPr="00DA14A5">
        <w:rPr>
          <w:i/>
        </w:rPr>
        <w:t>Strepta</w:t>
      </w:r>
      <w:r w:rsidR="00790A60">
        <w:rPr>
          <w:i/>
        </w:rPr>
        <w:t>n</w:t>
      </w:r>
      <w:r w:rsidR="00DA01F7" w:rsidRPr="00DA14A5">
        <w:rPr>
          <w:i/>
        </w:rPr>
        <w:t>thus</w:t>
      </w:r>
      <w:r w:rsidR="00DA01F7">
        <w:t xml:space="preserve"> species (as opposed to which soil they were grown in) was related to tolerance.  This highlights the differences between ultimate a</w:t>
      </w:r>
      <w:r w:rsidR="00FD57B3">
        <w:t>nd</w:t>
      </w:r>
      <w:r w:rsidR="00DA01F7">
        <w:t xml:space="preserve"> proximate levels of analysis, where plastic variation in traits due to different environments may or may not mirror the long-term evolutionary patterns of traits associated with environments (</w:t>
      </w:r>
      <w:r w:rsidR="00DA01F7" w:rsidRPr="00827615">
        <w:t>West-Eberhart 2003).</w:t>
      </w:r>
    </w:p>
    <w:p w14:paraId="5A53E2E3" w14:textId="179C22C7" w:rsidR="00986081" w:rsidRPr="0025120B" w:rsidRDefault="00235719" w:rsidP="0025120B">
      <w:pPr>
        <w:spacing w:line="480" w:lineRule="auto"/>
        <w:rPr>
          <w:b/>
          <w:i/>
        </w:rPr>
      </w:pPr>
      <w:r w:rsidRPr="0025120B">
        <w:rPr>
          <w:b/>
          <w:i/>
        </w:rPr>
        <w:t>Caveats in comparisons of tolerance</w:t>
      </w:r>
    </w:p>
    <w:p w14:paraId="0A7034B8" w14:textId="6CCBF51C" w:rsidR="001356B0" w:rsidRDefault="00A35C03" w:rsidP="00A35C03">
      <w:pPr>
        <w:spacing w:line="480" w:lineRule="auto"/>
        <w:ind w:firstLine="720"/>
      </w:pPr>
      <w:r>
        <w:t>Many of the comparative relationships that we found between tole</w:t>
      </w:r>
      <w:r w:rsidR="00FF0001">
        <w:t>rance and resistance (and other</w:t>
      </w:r>
      <w:r>
        <w:t xml:space="preserve"> traits) were supported at a marginal level of significance.  To some degree, low statistical significance is probably an unavoidable consequence of relatively small sample sizes (n≤14 taxa), </w:t>
      </w:r>
      <w:r w:rsidR="00235719">
        <w:t>due to</w:t>
      </w:r>
      <w:r>
        <w:t xml:space="preserve"> the high level of investment in assessing the context dependence of these relationships.  </w:t>
      </w:r>
      <w:r w:rsidR="001356B0">
        <w:t xml:space="preserve">The small sample sizes in this study </w:t>
      </w:r>
      <w:r w:rsidR="001356B0">
        <w:lastRenderedPageBreak/>
        <w:t xml:space="preserve">prohibited the testing of more complicated comparative hypotheses including multiple predictors and interactive effects in explaining variation in tolerance.  Thus, relationships reported here should be treated to some degree as exploratory and could be improved upon by studies that test tolerance </w:t>
      </w:r>
      <w:r w:rsidR="000B63F0">
        <w:t xml:space="preserve">comparative </w:t>
      </w:r>
      <w:r w:rsidR="001356B0">
        <w:t xml:space="preserve">relationships with greater replication in </w:t>
      </w:r>
      <w:r w:rsidR="000B63F0">
        <w:t>fewer</w:t>
      </w:r>
      <w:r w:rsidR="001356B0">
        <w:t xml:space="preserve"> context</w:t>
      </w:r>
      <w:r w:rsidR="000B63F0">
        <w:t>s</w:t>
      </w:r>
      <w:r w:rsidR="001356B0">
        <w:t xml:space="preserve">.  </w:t>
      </w:r>
    </w:p>
    <w:p w14:paraId="18231A10" w14:textId="42536667" w:rsidR="00A35C03" w:rsidRDefault="000B63F0">
      <w:pPr>
        <w:spacing w:line="480" w:lineRule="auto"/>
        <w:ind w:firstLine="720"/>
      </w:pPr>
      <w:r>
        <w:t>Regardless of these weaknesses</w:t>
      </w:r>
      <w:r w:rsidR="001356B0">
        <w:t>, we note that the context dependency of both measures of tolerance and resistance were huge. Thus, there is no universal measure of “herbivore tolerance” or “herbivore resistance” owing to the diversity of herbivores. Moreover, soil context also had large effects on the detectability of trade-offs.  The contingency of our results emphasizes the importance of biological realism in experiments. This realism would entail more studies that use naturally occurring herbivores</w:t>
      </w:r>
      <w:r w:rsidR="0025120B">
        <w:t>, ideally native ones,</w:t>
      </w:r>
      <w:r w:rsidR="001356B0">
        <w:t xml:space="preserve"> in assessing resistance and tolerance, and that soil settings also be considered for their realism. Field soils have living microbial components that may be crucial in eliciting appropriate plant responses to tolerance and resistance </w:t>
      </w:r>
      <w:r w:rsidR="001356B0" w:rsidRPr="0001764E">
        <w:t>(</w:t>
      </w:r>
      <w:r>
        <w:t xml:space="preserve">Borowicz 2013; </w:t>
      </w:r>
      <w:r w:rsidR="001356B0" w:rsidRPr="0001764E">
        <w:t>Tao et al. 2016)</w:t>
      </w:r>
      <w:r w:rsidR="001356B0">
        <w:t>. In addition, the vast majority of studies consider tolerance in the absence of competition, which is another process greatly affected by root resources and interactions. While costly in terms of experimental design, our results suggest that measuring resistance and tolerance in a variety of realistic contexts will be beneficial if not necessary to establish fundamental links between tolerance</w:t>
      </w:r>
      <w:r>
        <w:t>, resistance</w:t>
      </w:r>
      <w:r w:rsidR="001356B0">
        <w:t xml:space="preserve"> and life history.  </w:t>
      </w:r>
    </w:p>
    <w:p w14:paraId="6A201CC8" w14:textId="7CB588F3" w:rsidR="00DA01F7" w:rsidRPr="0025120B" w:rsidRDefault="00DA01F7" w:rsidP="0025120B">
      <w:pPr>
        <w:spacing w:line="480" w:lineRule="auto"/>
        <w:rPr>
          <w:b/>
          <w:i/>
        </w:rPr>
      </w:pPr>
      <w:r w:rsidRPr="0025120B">
        <w:rPr>
          <w:b/>
          <w:i/>
        </w:rPr>
        <w:t>Conclusions</w:t>
      </w:r>
    </w:p>
    <w:p w14:paraId="2BCE0712" w14:textId="11650F4B" w:rsidR="005C6C9D" w:rsidRPr="00E82E98" w:rsidRDefault="00A35C03" w:rsidP="00A35C03">
      <w:pPr>
        <w:spacing w:line="480" w:lineRule="auto"/>
        <w:ind w:firstLine="720"/>
      </w:pPr>
      <w:r>
        <w:t xml:space="preserve">Relationships among life history traits are in some cases consistent across levels of evolutionary scale, whereas in other cases relationships at the intraspecific level do not </w:t>
      </w:r>
      <w:r>
        <w:lastRenderedPageBreak/>
        <w:t xml:space="preserve">match those at a macroevolutionary scale </w:t>
      </w:r>
      <w:r w:rsidRPr="00635922">
        <w:t>(e.g. Linden and Møller 1989, Agrawal et al. 2010)</w:t>
      </w:r>
      <w:r>
        <w:t xml:space="preserve">.  </w:t>
      </w:r>
      <w:r w:rsidR="00A73647">
        <w:t>Substantial</w:t>
      </w:r>
      <w:r>
        <w:t xml:space="preserve"> evidence for </w:t>
      </w:r>
      <w:r w:rsidR="000B63F0">
        <w:t>trade-offs</w:t>
      </w:r>
      <w:r>
        <w:t xml:space="preserve"> with herbivore tolerance in plants has come from intraspecific studies that look at microevolutionary patterns and processes </w:t>
      </w:r>
      <w:r w:rsidRPr="00302EE1">
        <w:t>(Stowe et al. 2000, Núñez-Farfán et al. 2007)</w:t>
      </w:r>
      <w:r>
        <w:t>.  Our study tested central hypotheses about life history relationships with tolerance at a macroevolutionary scale in a plant clade.  Our key results largely mirror work that has been done at the intraspecific level, in that we found, no trade</w:t>
      </w:r>
      <w:r w:rsidR="00EC4084">
        <w:t>-</w:t>
      </w:r>
      <w:r>
        <w:t xml:space="preserve">off between tolerance and resistance, </w:t>
      </w:r>
      <w:r w:rsidR="000B63F0">
        <w:t xml:space="preserve">and trade-offs </w:t>
      </w:r>
      <w:r>
        <w:t xml:space="preserve">between herbivore tolerance </w:t>
      </w:r>
      <w:r w:rsidRPr="0001764E">
        <w:t xml:space="preserve">and drought tolerance, </w:t>
      </w:r>
      <w:r w:rsidR="000B63F0">
        <w:t>including phenology and drought adaptation</w:t>
      </w:r>
      <w:r w:rsidR="0001764E">
        <w:t xml:space="preserve"> </w:t>
      </w:r>
      <w:r w:rsidR="0001764E" w:rsidRPr="0001764E">
        <w:t>(Tiffin et al. 1999, Ste</w:t>
      </w:r>
      <w:r w:rsidR="0001764E">
        <w:t xml:space="preserve">vens et al. 2007, Lehndal and </w:t>
      </w:r>
      <w:r w:rsidR="00F9554C">
        <w:t>Å</w:t>
      </w:r>
      <w:r w:rsidR="0001764E" w:rsidRPr="0001764E">
        <w:t>gren 2015, Krimmel and Pearse 2016)</w:t>
      </w:r>
      <w:r w:rsidRPr="0001764E">
        <w:t xml:space="preserve">.  </w:t>
      </w:r>
      <w:r w:rsidR="005C6C9D">
        <w:t xml:space="preserve">Together, these relationships point to the need to consider ‘escape’ strategies by </w:t>
      </w:r>
      <w:r w:rsidR="005C6C9D" w:rsidRPr="00E82E98">
        <w:t xml:space="preserve">which plants evade both herbivores and drought in macroevolutionary models of the evolution of plant defense strategies such as the RAH.  </w:t>
      </w:r>
      <w:r w:rsidR="008C29FF" w:rsidRPr="00E82E98">
        <w:t xml:space="preserve">Context dependence of tolerance and resistance should serve both as a cautionary tale </w:t>
      </w:r>
      <w:r w:rsidR="005C6C9D" w:rsidRPr="00E82E98">
        <w:t>to studies of trade</w:t>
      </w:r>
      <w:r w:rsidR="00810C75">
        <w:t>-</w:t>
      </w:r>
      <w:r w:rsidR="005C6C9D" w:rsidRPr="00E82E98">
        <w:t>offs as well as an interesting evolutionary mechanism that could promote variation in the strategies of defense that plants express.</w:t>
      </w:r>
    </w:p>
    <w:p w14:paraId="22F17E38" w14:textId="77777777" w:rsidR="00812360" w:rsidRPr="00E82E98" w:rsidRDefault="00812360" w:rsidP="00812360">
      <w:pPr>
        <w:spacing w:line="480" w:lineRule="auto"/>
      </w:pPr>
    </w:p>
    <w:p w14:paraId="01BFA528" w14:textId="77777777" w:rsidR="00DE6503" w:rsidRPr="00E82E98" w:rsidRDefault="00DE6503" w:rsidP="00195498">
      <w:pPr>
        <w:spacing w:line="480" w:lineRule="auto"/>
        <w:rPr>
          <w:b/>
        </w:rPr>
      </w:pPr>
      <w:r w:rsidRPr="00E82E98">
        <w:rPr>
          <w:b/>
        </w:rPr>
        <w:t>ACKNOWLEDGEMENTS</w:t>
      </w:r>
    </w:p>
    <w:p w14:paraId="2FA428DC" w14:textId="76AD6055" w:rsidR="00842F5D" w:rsidRPr="00B7721A" w:rsidRDefault="00842F5D" w:rsidP="00195498">
      <w:pPr>
        <w:spacing w:line="480" w:lineRule="auto"/>
      </w:pPr>
      <w:r w:rsidRPr="00E82E98">
        <w:t xml:space="preserve">We give many thanks to </w:t>
      </w:r>
      <w:r w:rsidR="00931B33" w:rsidRPr="00E82E98">
        <w:t xml:space="preserve">Seth </w:t>
      </w:r>
      <w:r w:rsidR="00404FF1" w:rsidRPr="00E82E98">
        <w:t>Strumwasser</w:t>
      </w:r>
      <w:r w:rsidR="00931B33" w:rsidRPr="00E82E98">
        <w:t xml:space="preserve"> and Asa </w:t>
      </w:r>
      <w:r w:rsidR="00404FF1" w:rsidRPr="00E82E98">
        <w:t>Holland</w:t>
      </w:r>
      <w:r w:rsidRPr="00E82E98">
        <w:t>, who</w:t>
      </w:r>
      <w:r w:rsidR="00931B33" w:rsidRPr="00E82E98">
        <w:t xml:space="preserve"> helped with plant rearing</w:t>
      </w:r>
      <w:r w:rsidRPr="00E82E98">
        <w:t xml:space="preserve"> and to Ian Baker and the UC Davis Orchard Park greenhouse staff who helped maintain the study.  </w:t>
      </w:r>
      <w:r w:rsidR="00404CFF" w:rsidRPr="00E82E98">
        <w:t xml:space="preserve">We thank N. Ivalu Cacho for discussion and with help with collection site information. This work was funded by NSF DEB- 1533155 to SYS, and by the California Agricultural Experiment </w:t>
      </w:r>
      <w:r w:rsidR="00404CFF" w:rsidRPr="00B7721A">
        <w:t>Station.</w:t>
      </w:r>
      <w:r w:rsidR="00B7721A" w:rsidRPr="00B7721A">
        <w:rPr>
          <w:color w:val="000000" w:themeColor="text1"/>
        </w:rPr>
        <w:t xml:space="preserve"> </w:t>
      </w:r>
      <w:r w:rsidR="00B7721A" w:rsidRPr="00B7721A">
        <w:rPr>
          <w:color w:val="000000" w:themeColor="text1"/>
        </w:rPr>
        <w:t>A</w:t>
      </w:r>
      <w:r w:rsidR="00B7721A" w:rsidRPr="00B7721A">
        <w:rPr>
          <w:color w:val="000000" w:themeColor="text1"/>
          <w:spacing w:val="5"/>
        </w:rPr>
        <w:t>n</w:t>
      </w:r>
      <w:r w:rsidR="00B7721A" w:rsidRPr="00B7721A">
        <w:rPr>
          <w:color w:val="000000" w:themeColor="text1"/>
        </w:rPr>
        <w:t>y</w:t>
      </w:r>
      <w:r w:rsidR="00B7721A" w:rsidRPr="00B7721A">
        <w:rPr>
          <w:color w:val="000000" w:themeColor="text1"/>
          <w:spacing w:val="-5"/>
        </w:rPr>
        <w:t xml:space="preserve"> </w:t>
      </w:r>
      <w:r w:rsidR="00B7721A" w:rsidRPr="00B7721A">
        <w:rPr>
          <w:color w:val="000000" w:themeColor="text1"/>
        </w:rPr>
        <w:t>use</w:t>
      </w:r>
      <w:r w:rsidR="00B7721A" w:rsidRPr="00B7721A">
        <w:rPr>
          <w:color w:val="000000" w:themeColor="text1"/>
          <w:spacing w:val="-1"/>
        </w:rPr>
        <w:t xml:space="preserve"> </w:t>
      </w:r>
      <w:r w:rsidR="00B7721A" w:rsidRPr="00B7721A">
        <w:rPr>
          <w:color w:val="000000" w:themeColor="text1"/>
        </w:rPr>
        <w:t>of</w:t>
      </w:r>
      <w:r w:rsidR="00B7721A" w:rsidRPr="00B7721A">
        <w:rPr>
          <w:color w:val="000000" w:themeColor="text1"/>
          <w:spacing w:val="-1"/>
        </w:rPr>
        <w:t xml:space="preserve"> </w:t>
      </w:r>
      <w:r w:rsidR="00B7721A" w:rsidRPr="00B7721A">
        <w:rPr>
          <w:color w:val="000000" w:themeColor="text1"/>
        </w:rPr>
        <w:t>t</w:t>
      </w:r>
      <w:r w:rsidR="00B7721A" w:rsidRPr="00B7721A">
        <w:rPr>
          <w:color w:val="000000" w:themeColor="text1"/>
          <w:spacing w:val="2"/>
        </w:rPr>
        <w:t>r</w:t>
      </w:r>
      <w:r w:rsidR="00B7721A" w:rsidRPr="00B7721A">
        <w:rPr>
          <w:color w:val="000000" w:themeColor="text1"/>
          <w:spacing w:val="-1"/>
        </w:rPr>
        <w:t>a</w:t>
      </w:r>
      <w:r w:rsidR="00B7721A" w:rsidRPr="00B7721A">
        <w:rPr>
          <w:color w:val="000000" w:themeColor="text1"/>
        </w:rPr>
        <w:t>d</w:t>
      </w:r>
      <w:r w:rsidR="00B7721A" w:rsidRPr="00B7721A">
        <w:rPr>
          <w:color w:val="000000" w:themeColor="text1"/>
          <w:spacing w:val="-1"/>
        </w:rPr>
        <w:t>e</w:t>
      </w:r>
      <w:r w:rsidR="00B7721A" w:rsidRPr="00B7721A">
        <w:rPr>
          <w:color w:val="000000" w:themeColor="text1"/>
        </w:rPr>
        <w:t xml:space="preserve">, </w:t>
      </w:r>
      <w:r w:rsidR="00B7721A" w:rsidRPr="00B7721A">
        <w:rPr>
          <w:color w:val="000000" w:themeColor="text1"/>
          <w:spacing w:val="-1"/>
        </w:rPr>
        <w:t>f</w:t>
      </w:r>
      <w:r w:rsidR="00B7721A" w:rsidRPr="00B7721A">
        <w:rPr>
          <w:color w:val="000000" w:themeColor="text1"/>
          <w:spacing w:val="3"/>
        </w:rPr>
        <w:t>i</w:t>
      </w:r>
      <w:r w:rsidR="00B7721A" w:rsidRPr="00B7721A">
        <w:rPr>
          <w:color w:val="000000" w:themeColor="text1"/>
          <w:spacing w:val="-1"/>
        </w:rPr>
        <w:t>r</w:t>
      </w:r>
      <w:r w:rsidR="00B7721A" w:rsidRPr="00B7721A">
        <w:rPr>
          <w:color w:val="000000" w:themeColor="text1"/>
        </w:rPr>
        <w:t>m, or</w:t>
      </w:r>
      <w:r w:rsidR="00B7721A" w:rsidRPr="00B7721A">
        <w:rPr>
          <w:color w:val="000000" w:themeColor="text1"/>
          <w:spacing w:val="-1"/>
        </w:rPr>
        <w:t xml:space="preserve"> </w:t>
      </w:r>
      <w:r w:rsidR="00B7721A" w:rsidRPr="00B7721A">
        <w:rPr>
          <w:color w:val="000000" w:themeColor="text1"/>
        </w:rPr>
        <w:t>p</w:t>
      </w:r>
      <w:r w:rsidR="00B7721A" w:rsidRPr="00B7721A">
        <w:rPr>
          <w:color w:val="000000" w:themeColor="text1"/>
          <w:spacing w:val="-1"/>
        </w:rPr>
        <w:t>r</w:t>
      </w:r>
      <w:r w:rsidR="00B7721A" w:rsidRPr="00B7721A">
        <w:rPr>
          <w:color w:val="000000" w:themeColor="text1"/>
        </w:rPr>
        <w:t>odu</w:t>
      </w:r>
      <w:r w:rsidR="00B7721A" w:rsidRPr="00B7721A">
        <w:rPr>
          <w:color w:val="000000" w:themeColor="text1"/>
          <w:spacing w:val="-1"/>
        </w:rPr>
        <w:t>c</w:t>
      </w:r>
      <w:r w:rsidR="00B7721A" w:rsidRPr="00B7721A">
        <w:rPr>
          <w:color w:val="000000" w:themeColor="text1"/>
        </w:rPr>
        <w:t>t n</w:t>
      </w:r>
      <w:r w:rsidR="00B7721A" w:rsidRPr="00B7721A">
        <w:rPr>
          <w:color w:val="000000" w:themeColor="text1"/>
          <w:spacing w:val="-1"/>
        </w:rPr>
        <w:t>a</w:t>
      </w:r>
      <w:r w:rsidR="00B7721A" w:rsidRPr="00B7721A">
        <w:rPr>
          <w:color w:val="000000" w:themeColor="text1"/>
        </w:rPr>
        <w:t>m</w:t>
      </w:r>
      <w:r w:rsidR="00B7721A" w:rsidRPr="00B7721A">
        <w:rPr>
          <w:color w:val="000000" w:themeColor="text1"/>
          <w:spacing w:val="-1"/>
        </w:rPr>
        <w:t>e</w:t>
      </w:r>
      <w:r w:rsidR="00B7721A" w:rsidRPr="00B7721A">
        <w:rPr>
          <w:color w:val="000000" w:themeColor="text1"/>
        </w:rPr>
        <w:t xml:space="preserve">s </w:t>
      </w:r>
      <w:r w:rsidR="00B7721A" w:rsidRPr="00B7721A">
        <w:rPr>
          <w:color w:val="000000" w:themeColor="text1"/>
        </w:rPr>
        <w:lastRenderedPageBreak/>
        <w:t xml:space="preserve">is </w:t>
      </w:r>
      <w:r w:rsidR="00B7721A" w:rsidRPr="00B7721A">
        <w:rPr>
          <w:color w:val="000000" w:themeColor="text1"/>
          <w:spacing w:val="-1"/>
        </w:rPr>
        <w:t>f</w:t>
      </w:r>
      <w:r w:rsidR="00B7721A" w:rsidRPr="00B7721A">
        <w:rPr>
          <w:color w:val="000000" w:themeColor="text1"/>
          <w:spacing w:val="2"/>
        </w:rPr>
        <w:t>o</w:t>
      </w:r>
      <w:r w:rsidR="00B7721A" w:rsidRPr="00B7721A">
        <w:rPr>
          <w:color w:val="000000" w:themeColor="text1"/>
        </w:rPr>
        <w:t>r</w:t>
      </w:r>
      <w:r w:rsidR="00B7721A" w:rsidRPr="00B7721A">
        <w:rPr>
          <w:color w:val="000000" w:themeColor="text1"/>
          <w:spacing w:val="-1"/>
        </w:rPr>
        <w:t xml:space="preserve"> </w:t>
      </w:r>
      <w:r w:rsidR="00B7721A" w:rsidRPr="00B7721A">
        <w:rPr>
          <w:color w:val="000000" w:themeColor="text1"/>
          <w:spacing w:val="2"/>
        </w:rPr>
        <w:t>d</w:t>
      </w:r>
      <w:r w:rsidR="00B7721A" w:rsidRPr="00B7721A">
        <w:rPr>
          <w:color w:val="000000" w:themeColor="text1"/>
          <w:spacing w:val="-1"/>
        </w:rPr>
        <w:t>e</w:t>
      </w:r>
      <w:r w:rsidR="00B7721A" w:rsidRPr="00B7721A">
        <w:rPr>
          <w:color w:val="000000" w:themeColor="text1"/>
        </w:rPr>
        <w:t>s</w:t>
      </w:r>
      <w:r w:rsidR="00B7721A" w:rsidRPr="00B7721A">
        <w:rPr>
          <w:color w:val="000000" w:themeColor="text1"/>
          <w:spacing w:val="-1"/>
        </w:rPr>
        <w:t>cr</w:t>
      </w:r>
      <w:r w:rsidR="00B7721A" w:rsidRPr="00B7721A">
        <w:rPr>
          <w:color w:val="000000" w:themeColor="text1"/>
        </w:rPr>
        <w:t>iptive</w:t>
      </w:r>
      <w:r w:rsidR="00B7721A" w:rsidRPr="00B7721A">
        <w:rPr>
          <w:color w:val="000000" w:themeColor="text1"/>
          <w:spacing w:val="-1"/>
        </w:rPr>
        <w:t xml:space="preserve"> </w:t>
      </w:r>
      <w:r w:rsidR="00B7721A" w:rsidRPr="00B7721A">
        <w:rPr>
          <w:color w:val="000000" w:themeColor="text1"/>
        </w:rPr>
        <w:t>pu</w:t>
      </w:r>
      <w:r w:rsidR="00B7721A" w:rsidRPr="00B7721A">
        <w:rPr>
          <w:color w:val="000000" w:themeColor="text1"/>
          <w:spacing w:val="-1"/>
        </w:rPr>
        <w:t>r</w:t>
      </w:r>
      <w:r w:rsidR="00B7721A" w:rsidRPr="00B7721A">
        <w:rPr>
          <w:color w:val="000000" w:themeColor="text1"/>
        </w:rPr>
        <w:t>pos</w:t>
      </w:r>
      <w:r w:rsidR="00B7721A" w:rsidRPr="00B7721A">
        <w:rPr>
          <w:color w:val="000000" w:themeColor="text1"/>
          <w:spacing w:val="-1"/>
        </w:rPr>
        <w:t>e</w:t>
      </w:r>
      <w:r w:rsidR="00B7721A" w:rsidRPr="00B7721A">
        <w:rPr>
          <w:color w:val="000000" w:themeColor="text1"/>
        </w:rPr>
        <w:t>s on</w:t>
      </w:r>
      <w:r w:rsidR="00B7721A" w:rsidRPr="00B7721A">
        <w:rPr>
          <w:color w:val="000000" w:themeColor="text1"/>
          <w:spacing w:val="5"/>
        </w:rPr>
        <w:t>l</w:t>
      </w:r>
      <w:r w:rsidR="00B7721A" w:rsidRPr="00B7721A">
        <w:rPr>
          <w:color w:val="000000" w:themeColor="text1"/>
        </w:rPr>
        <w:t>y</w:t>
      </w:r>
      <w:r w:rsidR="00B7721A" w:rsidRPr="00B7721A">
        <w:rPr>
          <w:color w:val="000000" w:themeColor="text1"/>
          <w:spacing w:val="-2"/>
        </w:rPr>
        <w:t xml:space="preserve"> </w:t>
      </w:r>
      <w:r w:rsidR="00B7721A" w:rsidRPr="00B7721A">
        <w:rPr>
          <w:color w:val="000000" w:themeColor="text1"/>
          <w:spacing w:val="-1"/>
        </w:rPr>
        <w:t>a</w:t>
      </w:r>
      <w:r w:rsidR="00B7721A" w:rsidRPr="00B7721A">
        <w:rPr>
          <w:color w:val="000000" w:themeColor="text1"/>
        </w:rPr>
        <w:t>nd do</w:t>
      </w:r>
      <w:r w:rsidR="00B7721A" w:rsidRPr="00B7721A">
        <w:rPr>
          <w:color w:val="000000" w:themeColor="text1"/>
          <w:spacing w:val="-1"/>
        </w:rPr>
        <w:t>e</w:t>
      </w:r>
      <w:r w:rsidR="00B7721A" w:rsidRPr="00B7721A">
        <w:rPr>
          <w:color w:val="000000" w:themeColor="text1"/>
        </w:rPr>
        <w:t>s not imp</w:t>
      </w:r>
      <w:r w:rsidR="00B7721A" w:rsidRPr="00B7721A">
        <w:rPr>
          <w:color w:val="000000" w:themeColor="text1"/>
          <w:spacing w:val="3"/>
        </w:rPr>
        <w:t>l</w:t>
      </w:r>
      <w:r w:rsidR="00B7721A" w:rsidRPr="00B7721A">
        <w:rPr>
          <w:color w:val="000000" w:themeColor="text1"/>
        </w:rPr>
        <w:t>y</w:t>
      </w:r>
      <w:r w:rsidR="00B7721A" w:rsidRPr="00B7721A">
        <w:rPr>
          <w:color w:val="000000" w:themeColor="text1"/>
          <w:spacing w:val="-5"/>
        </w:rPr>
        <w:t xml:space="preserve"> </w:t>
      </w:r>
      <w:r w:rsidR="00B7721A" w:rsidRPr="00B7721A">
        <w:rPr>
          <w:color w:val="000000" w:themeColor="text1"/>
          <w:spacing w:val="-1"/>
        </w:rPr>
        <w:t>e</w:t>
      </w:r>
      <w:r w:rsidR="00B7721A" w:rsidRPr="00B7721A">
        <w:rPr>
          <w:color w:val="000000" w:themeColor="text1"/>
        </w:rPr>
        <w:t>ndo</w:t>
      </w:r>
      <w:r w:rsidR="00B7721A" w:rsidRPr="00B7721A">
        <w:rPr>
          <w:color w:val="000000" w:themeColor="text1"/>
          <w:spacing w:val="-1"/>
        </w:rPr>
        <w:t>r</w:t>
      </w:r>
      <w:r w:rsidR="00B7721A" w:rsidRPr="00B7721A">
        <w:rPr>
          <w:color w:val="000000" w:themeColor="text1"/>
        </w:rPr>
        <w:t>s</w:t>
      </w:r>
      <w:r w:rsidR="00B7721A" w:rsidRPr="00B7721A">
        <w:rPr>
          <w:color w:val="000000" w:themeColor="text1"/>
          <w:spacing w:val="-1"/>
        </w:rPr>
        <w:t>e</w:t>
      </w:r>
      <w:r w:rsidR="00B7721A" w:rsidRPr="00B7721A">
        <w:rPr>
          <w:color w:val="000000" w:themeColor="text1"/>
          <w:spacing w:val="3"/>
        </w:rPr>
        <w:t>m</w:t>
      </w:r>
      <w:r w:rsidR="00B7721A" w:rsidRPr="00B7721A">
        <w:rPr>
          <w:color w:val="000000" w:themeColor="text1"/>
          <w:spacing w:val="-1"/>
        </w:rPr>
        <w:t>e</w:t>
      </w:r>
      <w:r w:rsidR="00B7721A" w:rsidRPr="00B7721A">
        <w:rPr>
          <w:color w:val="000000" w:themeColor="text1"/>
        </w:rPr>
        <w:t xml:space="preserve">nt </w:t>
      </w:r>
      <w:r w:rsidR="00B7721A" w:rsidRPr="00B7721A">
        <w:rPr>
          <w:color w:val="000000" w:themeColor="text1"/>
          <w:spacing w:val="2"/>
        </w:rPr>
        <w:t>b</w:t>
      </w:r>
      <w:r w:rsidR="00B7721A" w:rsidRPr="00B7721A">
        <w:rPr>
          <w:color w:val="000000" w:themeColor="text1"/>
        </w:rPr>
        <w:t>y</w:t>
      </w:r>
      <w:r w:rsidR="00B7721A" w:rsidRPr="00B7721A">
        <w:rPr>
          <w:color w:val="000000" w:themeColor="text1"/>
          <w:spacing w:val="-5"/>
        </w:rPr>
        <w:t xml:space="preserve"> </w:t>
      </w:r>
      <w:r w:rsidR="00B7721A" w:rsidRPr="00B7721A">
        <w:rPr>
          <w:color w:val="000000" w:themeColor="text1"/>
        </w:rPr>
        <w:t>t</w:t>
      </w:r>
      <w:r w:rsidR="00B7721A" w:rsidRPr="00B7721A">
        <w:rPr>
          <w:color w:val="000000" w:themeColor="text1"/>
          <w:spacing w:val="2"/>
        </w:rPr>
        <w:t>h</w:t>
      </w:r>
      <w:r w:rsidR="00B7721A" w:rsidRPr="00B7721A">
        <w:rPr>
          <w:color w:val="000000" w:themeColor="text1"/>
        </w:rPr>
        <w:t>e</w:t>
      </w:r>
      <w:r w:rsidR="00B7721A" w:rsidRPr="00B7721A">
        <w:rPr>
          <w:color w:val="000000" w:themeColor="text1"/>
          <w:spacing w:val="-1"/>
        </w:rPr>
        <w:t xml:space="preserve"> </w:t>
      </w:r>
      <w:r w:rsidR="00B7721A" w:rsidRPr="00B7721A">
        <w:rPr>
          <w:color w:val="000000" w:themeColor="text1"/>
        </w:rPr>
        <w:t>U.</w:t>
      </w:r>
      <w:r w:rsidR="00B7721A" w:rsidRPr="00B7721A">
        <w:rPr>
          <w:color w:val="000000" w:themeColor="text1"/>
          <w:spacing w:val="1"/>
        </w:rPr>
        <w:t>S</w:t>
      </w:r>
      <w:r w:rsidR="00B7721A" w:rsidRPr="00B7721A">
        <w:rPr>
          <w:color w:val="000000" w:themeColor="text1"/>
        </w:rPr>
        <w:t>. Gov</w:t>
      </w:r>
      <w:r w:rsidR="00B7721A" w:rsidRPr="00B7721A">
        <w:rPr>
          <w:color w:val="000000" w:themeColor="text1"/>
          <w:spacing w:val="-1"/>
        </w:rPr>
        <w:t>er</w:t>
      </w:r>
      <w:r w:rsidR="00B7721A" w:rsidRPr="00B7721A">
        <w:rPr>
          <w:color w:val="000000" w:themeColor="text1"/>
        </w:rPr>
        <w:t>nm</w:t>
      </w:r>
      <w:r w:rsidR="00B7721A" w:rsidRPr="00B7721A">
        <w:rPr>
          <w:color w:val="000000" w:themeColor="text1"/>
          <w:spacing w:val="-1"/>
        </w:rPr>
        <w:t>e</w:t>
      </w:r>
      <w:r w:rsidR="00B7721A" w:rsidRPr="00B7721A">
        <w:rPr>
          <w:color w:val="000000" w:themeColor="text1"/>
        </w:rPr>
        <w:t>nt</w:t>
      </w:r>
      <w:r w:rsidR="00B7721A" w:rsidRPr="00B7721A">
        <w:rPr>
          <w:color w:val="000000" w:themeColor="text1"/>
          <w:spacing w:val="2"/>
        </w:rPr>
        <w:t>.</w:t>
      </w:r>
    </w:p>
    <w:p w14:paraId="47C039D7" w14:textId="77777777" w:rsidR="00842F5D" w:rsidRPr="00E82E98" w:rsidRDefault="00842F5D" w:rsidP="00195498">
      <w:pPr>
        <w:spacing w:line="480" w:lineRule="auto"/>
      </w:pPr>
    </w:p>
    <w:p w14:paraId="24E8C159" w14:textId="0FF3B63F" w:rsidR="00FB070A" w:rsidRPr="00E82E98" w:rsidRDefault="00DE6503" w:rsidP="00582206">
      <w:pPr>
        <w:spacing w:line="480" w:lineRule="auto"/>
        <w:rPr>
          <w:b/>
        </w:rPr>
      </w:pPr>
      <w:r w:rsidRPr="00E82E98">
        <w:rPr>
          <w:b/>
        </w:rPr>
        <w:t>REFERENCES CITED</w:t>
      </w:r>
    </w:p>
    <w:p w14:paraId="3CAA4B23" w14:textId="0541ED84" w:rsidR="00C65133" w:rsidRPr="00E82E98" w:rsidRDefault="00C65133" w:rsidP="00C65133">
      <w:pPr>
        <w:pStyle w:val="Bibliography"/>
      </w:pPr>
      <w:r w:rsidRPr="00E82E98">
        <w:t>Agrawal, A. A., J. K. Conner, and S. Rasmann. 2010. Tradeoffs and negative correlations in evolutionary ecology. Evolution since Darwin: the first 150:243–268.</w:t>
      </w:r>
    </w:p>
    <w:p w14:paraId="6C114F16" w14:textId="77777777" w:rsidR="00C65133" w:rsidRPr="00E82E98" w:rsidRDefault="00C65133" w:rsidP="00C65133">
      <w:pPr>
        <w:pStyle w:val="Bibliography"/>
      </w:pPr>
      <w:r w:rsidRPr="00E82E98">
        <w:t>Agrawal, A. A., and M. Fishbein. 2008. Phylogenetic escalation and decline of plant defense strategies. Proceedings of the National Academy of Sciences 105:10057–10060.</w:t>
      </w:r>
    </w:p>
    <w:p w14:paraId="6F13E2DE" w14:textId="77777777" w:rsidR="00C65133" w:rsidRPr="00E82E98" w:rsidRDefault="00C65133" w:rsidP="00DB7258">
      <w:pPr>
        <w:pStyle w:val="Bibliography"/>
      </w:pPr>
      <w:r w:rsidRPr="00E82E98">
        <w:t>Agrawal, A. A., M. Fishbein, R. Halitschke, A. P. Hastings, D. L. Rabosky, and S. Rasmann. 2009. Evidence for adaptive radiation from a phylogenetic study of plant defenses. Proceedings of the National Academy of Sciences of the United States of America 106:18067–18072.</w:t>
      </w:r>
    </w:p>
    <w:p w14:paraId="0D6F2AC0" w14:textId="576D7565" w:rsidR="00DB7258" w:rsidRPr="00E82E98" w:rsidRDefault="00DB7258" w:rsidP="00221ED0">
      <w:pPr>
        <w:spacing w:line="480" w:lineRule="auto"/>
        <w:ind w:left="720" w:hanging="720"/>
      </w:pPr>
      <w:r w:rsidRPr="00E82E98">
        <w:t>Agrawal AA, Ali JG, Rasmann S, Fishbein M. 2015. Macroevolutionary trends in the defense of milkweeds against monarchs. Monarchs in a Changing World: Biology and Conservation of an Iconic Butterfly:47–59.</w:t>
      </w:r>
    </w:p>
    <w:p w14:paraId="5C485A68" w14:textId="142618B5" w:rsidR="00C65133" w:rsidRDefault="00C65133" w:rsidP="00221ED0">
      <w:pPr>
        <w:pStyle w:val="Bibliography"/>
      </w:pPr>
      <w:r w:rsidRPr="00E82E98">
        <w:t xml:space="preserve">Akiyama, R., and J. </w:t>
      </w:r>
      <w:r w:rsidR="00F9554C" w:rsidRPr="00E82E98">
        <w:t>Å</w:t>
      </w:r>
      <w:r w:rsidRPr="00E82E98">
        <w:t xml:space="preserve">gren. 2012. Magnitude and timing of leaf damage affect seed production in a natural population of </w:t>
      </w:r>
      <w:r w:rsidRPr="00E82E98">
        <w:rPr>
          <w:i/>
        </w:rPr>
        <w:t>Arabidopsis thaliana</w:t>
      </w:r>
      <w:r w:rsidRPr="00E82E98">
        <w:t xml:space="preserve"> (Brassicaceae). PloS one 7:e30015.</w:t>
      </w:r>
    </w:p>
    <w:p w14:paraId="5B40BA23" w14:textId="520AE669" w:rsidR="00221ED0" w:rsidRPr="00221ED0" w:rsidRDefault="00221ED0" w:rsidP="00221ED0">
      <w:pPr>
        <w:spacing w:line="480" w:lineRule="auto"/>
        <w:ind w:left="720" w:hanging="720"/>
      </w:pPr>
      <w:r>
        <w:t xml:space="preserve">Anacker BL, Strauss SY. 2014. The geography and ecology of plant speciation: range overlap and niche divergence in sister species. Proceedings of the Royal Society of London B: Biological Sciences </w:t>
      </w:r>
      <w:r>
        <w:rPr>
          <w:b/>
          <w:bCs/>
        </w:rPr>
        <w:t>281</w:t>
      </w:r>
      <w:r>
        <w:t>:20132980.</w:t>
      </w:r>
    </w:p>
    <w:p w14:paraId="6D616A42" w14:textId="5AC5E87A" w:rsidR="00F5764A" w:rsidRPr="00E82E98" w:rsidRDefault="00F5764A" w:rsidP="00221ED0">
      <w:pPr>
        <w:spacing w:line="480" w:lineRule="auto"/>
        <w:ind w:left="720" w:hanging="720"/>
      </w:pPr>
      <w:r w:rsidRPr="00E82E98">
        <w:lastRenderedPageBreak/>
        <w:t xml:space="preserve">Bishop JG, Schemske DW. 1998. Variation in flowering phenology and its consequences for lupines colonizing Mount St. Helens. Ecology </w:t>
      </w:r>
      <w:r w:rsidRPr="00E82E98">
        <w:rPr>
          <w:b/>
          <w:bCs/>
        </w:rPr>
        <w:t>79</w:t>
      </w:r>
      <w:r w:rsidRPr="00E82E98">
        <w:t>:534–546.</w:t>
      </w:r>
    </w:p>
    <w:p w14:paraId="5EC124B1" w14:textId="77777777" w:rsidR="00C65133" w:rsidRPr="00E82E98" w:rsidRDefault="00C65133" w:rsidP="00221ED0">
      <w:pPr>
        <w:pStyle w:val="Bibliography"/>
      </w:pPr>
      <w:r w:rsidRPr="00E82E98">
        <w:t>Blomberg, S. P., T. Garland, and A. R. Ives. 2003. Testing for phylogenetic signal in comparative data: Behavioral traits are more labile. Evolution 57:717–745.</w:t>
      </w:r>
    </w:p>
    <w:p w14:paraId="22D75F68" w14:textId="26A153E7" w:rsidR="00FE46B2" w:rsidRPr="00E82E98" w:rsidRDefault="00FE46B2" w:rsidP="00FE46B2">
      <w:pPr>
        <w:spacing w:line="480" w:lineRule="auto"/>
        <w:ind w:left="720" w:hanging="720"/>
      </w:pPr>
      <w:r w:rsidRPr="00E82E98">
        <w:t xml:space="preserve">Borowicz VA. 2013. The impact of arbuscular mycorrhizal fungi on plant growth following herbivory: a search for pattern. Acta oecologica </w:t>
      </w:r>
      <w:r w:rsidRPr="00E82E98">
        <w:rPr>
          <w:b/>
          <w:bCs/>
        </w:rPr>
        <w:t>52</w:t>
      </w:r>
      <w:r w:rsidRPr="00E82E98">
        <w:t>:1–9.</w:t>
      </w:r>
    </w:p>
    <w:p w14:paraId="2B324B3C" w14:textId="77777777" w:rsidR="00C65133" w:rsidRPr="00E82E98" w:rsidRDefault="00C65133" w:rsidP="00FE46B2">
      <w:pPr>
        <w:pStyle w:val="Bibliography"/>
      </w:pPr>
      <w:r w:rsidRPr="00E82E98">
        <w:t xml:space="preserve">Boyd, R. S., J. J. Shaw, and S. N. Martens. 1994. Nickel hyperaccumulation defends </w:t>
      </w:r>
      <w:r w:rsidRPr="00E82E98">
        <w:rPr>
          <w:i/>
        </w:rPr>
        <w:t>Streptanthus polygaloides</w:t>
      </w:r>
      <w:r w:rsidRPr="00E82E98">
        <w:t xml:space="preserve"> (Brassicaceae) against pathogens. American Journal of Botany:294–300.</w:t>
      </w:r>
    </w:p>
    <w:p w14:paraId="437CF405" w14:textId="2CF9ED7F" w:rsidR="00C65133" w:rsidRPr="00E82E98" w:rsidRDefault="00C65133" w:rsidP="00C65133">
      <w:pPr>
        <w:pStyle w:val="Bibliography"/>
      </w:pPr>
      <w:r w:rsidRPr="00E82E98">
        <w:t xml:space="preserve">Cacho, N. I., A. M. Burrell, A. E. Pepper, and S. Y. Strauss. 2014. Novel nuclear markers inform the systematics and the evolution of serpentine use in </w:t>
      </w:r>
      <w:r w:rsidRPr="00E82E98">
        <w:rPr>
          <w:i/>
        </w:rPr>
        <w:t>Streptanthus</w:t>
      </w:r>
      <w:r w:rsidRPr="00E82E98">
        <w:t xml:space="preserve"> and allies (Thelypodieae, Brassicaceae). Molecular phylogenetics and evolution 72:71–81.</w:t>
      </w:r>
    </w:p>
    <w:p w14:paraId="2BAA38A3" w14:textId="77777777" w:rsidR="00C65133" w:rsidRPr="00E82E98" w:rsidRDefault="00C65133" w:rsidP="00C65133">
      <w:pPr>
        <w:pStyle w:val="Bibliography"/>
      </w:pPr>
      <w:r w:rsidRPr="00E82E98">
        <w:t>Cacho, N. I., D. J. Kliebenstein, and S. Y. Strauss. 2015. Macroevolutionary patterns of glucosinolate defense and tests of defense-escalation and resource availability hypotheses. New Phytologist 208:915–927.</w:t>
      </w:r>
    </w:p>
    <w:p w14:paraId="3C4B905E" w14:textId="77777777" w:rsidR="00C65133" w:rsidRPr="00E82E98" w:rsidRDefault="00C65133" w:rsidP="00C65133">
      <w:pPr>
        <w:pStyle w:val="Bibliography"/>
      </w:pPr>
      <w:r w:rsidRPr="00E82E98">
        <w:t>Cacho, N. I., and S. Y. Strauss. 2014. Occupation of bare habitats, an evolutionary precursor to soil specialization in plants. Proceedings of the National Academy of Sciences 111:15132–15137.</w:t>
      </w:r>
    </w:p>
    <w:p w14:paraId="39EE471B" w14:textId="77777777" w:rsidR="00C65133" w:rsidRPr="00E82E98" w:rsidRDefault="00C65133" w:rsidP="00C65133">
      <w:pPr>
        <w:pStyle w:val="Bibliography"/>
      </w:pPr>
      <w:r w:rsidRPr="00E82E98">
        <w:t>Carmona, D., and J. Fornoni. 2013. Herbivores can select for mixed defensive strategies in plants. New Phytologist 197:576–585.</w:t>
      </w:r>
    </w:p>
    <w:p w14:paraId="052AB24D" w14:textId="77777777" w:rsidR="00C65133" w:rsidRPr="00E82E98" w:rsidRDefault="00C65133" w:rsidP="00C65133">
      <w:pPr>
        <w:pStyle w:val="Bibliography"/>
      </w:pPr>
      <w:r w:rsidRPr="00E82E98">
        <w:t>Coley, P. D., J. P. Bryant, and F. S. Chapin. 1985. Resource availability and plant antiherbivore defense. Science 230:895–899.</w:t>
      </w:r>
    </w:p>
    <w:p w14:paraId="5206DF21" w14:textId="77777777" w:rsidR="00C65133" w:rsidRPr="00E82E98" w:rsidRDefault="00C65133" w:rsidP="00C65133">
      <w:pPr>
        <w:pStyle w:val="Bibliography"/>
      </w:pPr>
      <w:r w:rsidRPr="00E82E98">
        <w:lastRenderedPageBreak/>
        <w:t>Del-Val, E., and M. J. Crawley. 2005. Are grazing increaser species better tolerators than decreasers? An experimental assessment of defoliation tolerance in eight British grassland species. Journal of Ecology 93:1005–1016.</w:t>
      </w:r>
    </w:p>
    <w:p w14:paraId="6CAAE6CD" w14:textId="77777777" w:rsidR="00C65133" w:rsidRPr="00E82E98" w:rsidRDefault="00C65133" w:rsidP="00FE46B2">
      <w:pPr>
        <w:pStyle w:val="Bibliography"/>
      </w:pPr>
      <w:r w:rsidRPr="00E82E98">
        <w:t>Ehrlén, J., and Z. Münzbergová. 2009. Timing of flowering: opposed selection on different fitness components and trait covariation. The American Naturalist 173:819–830.</w:t>
      </w:r>
    </w:p>
    <w:p w14:paraId="700F758F" w14:textId="22A52E72" w:rsidR="00FE46B2" w:rsidRPr="00E82E98" w:rsidRDefault="00FE46B2" w:rsidP="00FE46B2">
      <w:pPr>
        <w:spacing w:line="480" w:lineRule="auto"/>
        <w:ind w:left="720" w:hanging="720"/>
      </w:pPr>
      <w:r w:rsidRPr="00E82E98">
        <w:t xml:space="preserve">Endara M-J, Coley PD. 2011. The resource availability hypothesis revisited: a meta-analysis. Functional Ecology </w:t>
      </w:r>
      <w:r w:rsidRPr="00E82E98">
        <w:rPr>
          <w:b/>
          <w:bCs/>
        </w:rPr>
        <w:t>25</w:t>
      </w:r>
      <w:r w:rsidRPr="00E82E98">
        <w:t>:389–398.</w:t>
      </w:r>
    </w:p>
    <w:p w14:paraId="7365434D" w14:textId="77777777" w:rsidR="00C65133" w:rsidRPr="00E82E98" w:rsidRDefault="00C65133" w:rsidP="00FE46B2">
      <w:pPr>
        <w:pStyle w:val="Bibliography"/>
      </w:pPr>
      <w:r w:rsidRPr="00E82E98">
        <w:t>Erb, M., C. Lenk, J. Degenhardt, and T. C. Turlings. 2009. The underestimated role of roots in defense against leaf attackers. Trends in plant science 14:653–659.</w:t>
      </w:r>
    </w:p>
    <w:p w14:paraId="6F3EE671" w14:textId="7FEE0236" w:rsidR="00C65133" w:rsidRPr="00E82E98" w:rsidRDefault="00C65133">
      <w:pPr>
        <w:pStyle w:val="Bibliography"/>
      </w:pPr>
      <w:r w:rsidRPr="00E82E98">
        <w:t>Fine, P. V. A., Z. J. Miller, I. Mesones, S. Irazuzta, H. M. Appel, M. H. H. Stevens, I. S</w:t>
      </w:r>
      <w:r w:rsidR="00C267FC" w:rsidRPr="00E82E98">
        <w:t>ää</w:t>
      </w:r>
      <w:r w:rsidRPr="00E82E98">
        <w:t>ksj</w:t>
      </w:r>
      <w:r w:rsidR="00C267FC" w:rsidRPr="00E82E98">
        <w:t>ä</w:t>
      </w:r>
      <w:r w:rsidRPr="00E82E98">
        <w:t>rvi, L. C. Schultz, and P. D. Coley. 2006. The growth-defense trade-off and habitat specialization by plants in Amazonian forests. Ecology 87:S150–S162.</w:t>
      </w:r>
    </w:p>
    <w:p w14:paraId="5CC3BF6A" w14:textId="732A2342" w:rsidR="00D22D7B" w:rsidRPr="00E82E98" w:rsidRDefault="00D22D7B" w:rsidP="007B04BE">
      <w:pPr>
        <w:spacing w:line="480" w:lineRule="auto"/>
        <w:ind w:left="720" w:hanging="720"/>
      </w:pPr>
      <w:r w:rsidRPr="00E82E98">
        <w:t xml:space="preserve">Fineblum WL, Rausher MD. 1995. Tradeoff between resistance and tolerance to herbivore damage in a morning glory. Nature </w:t>
      </w:r>
      <w:r w:rsidRPr="00E82E98">
        <w:rPr>
          <w:b/>
          <w:bCs/>
        </w:rPr>
        <w:t>377</w:t>
      </w:r>
      <w:r w:rsidRPr="00E82E98">
        <w:t>:517.</w:t>
      </w:r>
    </w:p>
    <w:p w14:paraId="5B1B5F81" w14:textId="77777777" w:rsidR="00C65133" w:rsidRPr="00E82E98" w:rsidRDefault="00C65133">
      <w:pPr>
        <w:pStyle w:val="Bibliography"/>
      </w:pPr>
      <w:r w:rsidRPr="00E82E98">
        <w:t>Fornoni, J. 2011. Ecological and evolutionary implications of plant tolerance to herbivory. Functional Ecology 25:399–407.</w:t>
      </w:r>
    </w:p>
    <w:p w14:paraId="442BCBC7" w14:textId="77777777" w:rsidR="00C65133" w:rsidRPr="00E82E98" w:rsidRDefault="00C65133" w:rsidP="00C65133">
      <w:pPr>
        <w:pStyle w:val="Bibliography"/>
      </w:pPr>
      <w:r w:rsidRPr="00E82E98">
        <w:t xml:space="preserve">Fornoni, J., P. L. Valverde, and J. Núñez-Farfán. 2004. Population variation in the cost and benefit of tolerance and resistance against herbivory in </w:t>
      </w:r>
      <w:r w:rsidRPr="00E82E98">
        <w:rPr>
          <w:i/>
        </w:rPr>
        <w:t>Datura stramonium</w:t>
      </w:r>
      <w:r w:rsidRPr="00E82E98">
        <w:t>. Evolution 58:1696–1704.</w:t>
      </w:r>
    </w:p>
    <w:p w14:paraId="1F58E928" w14:textId="77777777" w:rsidR="00C65133" w:rsidRPr="00E82E98" w:rsidRDefault="00C65133" w:rsidP="0057699F">
      <w:pPr>
        <w:pStyle w:val="Bibliography"/>
      </w:pPr>
      <w:r w:rsidRPr="00E82E98">
        <w:lastRenderedPageBreak/>
        <w:t>Georgiadis, N. J., R. W. Ruess, S. J. McNaughton, and D. Western. 1989. Ecological conditions that determine when grazing stimulates grass production. Oecologia 81:316–322.</w:t>
      </w:r>
    </w:p>
    <w:p w14:paraId="40FD456A" w14:textId="2CE90E13" w:rsidR="0057699F" w:rsidRPr="00E82E98" w:rsidRDefault="0057699F" w:rsidP="0057699F">
      <w:pPr>
        <w:spacing w:line="480" w:lineRule="auto"/>
        <w:ind w:left="720" w:hanging="720"/>
      </w:pPr>
      <w:r w:rsidRPr="00E82E98">
        <w:t xml:space="preserve">Gianoli E, Salgado-Luarte C. 2017. Tolerance to herbivory and the resource availability hypothesis. Biology Letters </w:t>
      </w:r>
      <w:r w:rsidRPr="00E82E98">
        <w:rPr>
          <w:b/>
          <w:bCs/>
        </w:rPr>
        <w:t>13</w:t>
      </w:r>
      <w:r w:rsidRPr="00E82E98">
        <w:t>:20170120.</w:t>
      </w:r>
    </w:p>
    <w:p w14:paraId="30F55AAE" w14:textId="77777777" w:rsidR="00C65133" w:rsidRPr="00E82E98" w:rsidRDefault="00C65133" w:rsidP="0057699F">
      <w:pPr>
        <w:pStyle w:val="Bibliography"/>
      </w:pPr>
      <w:r w:rsidRPr="00E82E98">
        <w:t>Hahn, P. G., and J. L. Maron. 2016. A framework for predicting intraspecific variation in plant defense. Trends in ecology &amp; evolution 31:646–656.</w:t>
      </w:r>
    </w:p>
    <w:p w14:paraId="4FA49310" w14:textId="77777777" w:rsidR="00C65133" w:rsidRPr="00E82E98" w:rsidRDefault="00C65133" w:rsidP="00FE46B2">
      <w:pPr>
        <w:pStyle w:val="Bibliography"/>
      </w:pPr>
      <w:r w:rsidRPr="00E82E98">
        <w:t xml:space="preserve">Halitschke, R., K. Gase, D. Hui, D. D. Schmidt, and I. T. Baldwin. 2003. Molecular interactions between the specialist herbivore </w:t>
      </w:r>
      <w:r w:rsidRPr="00E82E98">
        <w:rPr>
          <w:i/>
        </w:rPr>
        <w:t>Manduca sexta</w:t>
      </w:r>
      <w:r w:rsidRPr="00E82E98">
        <w:t xml:space="preserve"> (Lepidoptera, Sphingidae) and its natural host </w:t>
      </w:r>
      <w:r w:rsidRPr="00E82E98">
        <w:rPr>
          <w:i/>
        </w:rPr>
        <w:t>Nicotiana attenuata</w:t>
      </w:r>
      <w:r w:rsidRPr="00E82E98">
        <w:t>. VI. Microarray analysis reveals that most herbivore-specific transcriptional changes are mediated by fatty acid-amino acid conjugates. Plant Physiology 131:1894–1902.</w:t>
      </w:r>
    </w:p>
    <w:p w14:paraId="4EC0B9F6" w14:textId="6B26D217" w:rsidR="00FE46B2" w:rsidRPr="00E82E98" w:rsidRDefault="00FE46B2" w:rsidP="00FE46B2">
      <w:pPr>
        <w:spacing w:line="480" w:lineRule="auto"/>
        <w:ind w:left="720" w:hanging="720"/>
      </w:pPr>
      <w:r w:rsidRPr="00E82E98">
        <w:t xml:space="preserve">Haukioja E, Koricheva J. 2000. Tolerance to herbivory in woody vs. herbaceous plants. Evolutionary Ecology </w:t>
      </w:r>
      <w:r w:rsidRPr="00E82E98">
        <w:rPr>
          <w:b/>
          <w:bCs/>
        </w:rPr>
        <w:t>14</w:t>
      </w:r>
      <w:r w:rsidRPr="00E82E98">
        <w:t>:551–562.</w:t>
      </w:r>
    </w:p>
    <w:p w14:paraId="77AA9C15" w14:textId="77777777" w:rsidR="00C65133" w:rsidRPr="00E82E98" w:rsidRDefault="00C65133" w:rsidP="00DB7258">
      <w:pPr>
        <w:pStyle w:val="Bibliography"/>
      </w:pPr>
      <w:r w:rsidRPr="00E82E98">
        <w:t>Hawkes, C. V., and J. J. Sullivan. 2001. The impact of herbivory on plants in different resource conditions: a meta-analysis. Ecology 82:2045–2058.</w:t>
      </w:r>
    </w:p>
    <w:p w14:paraId="4A3455F5" w14:textId="4FA34361" w:rsidR="00DB7258" w:rsidRPr="00E82E98" w:rsidRDefault="00DB7258" w:rsidP="00DB7258">
      <w:pPr>
        <w:spacing w:line="480" w:lineRule="auto"/>
        <w:ind w:left="720" w:hanging="720"/>
      </w:pPr>
      <w:r w:rsidRPr="00E82E98">
        <w:t xml:space="preserve">Heschel MS, Riginos C. 2005. Mechanisms of selection for drought stress tolerance and avoidance in Impatiens capensis (Balsaminaceae). American Journal of Botany </w:t>
      </w:r>
      <w:r w:rsidRPr="00E82E98">
        <w:rPr>
          <w:b/>
          <w:bCs/>
        </w:rPr>
        <w:t>92</w:t>
      </w:r>
      <w:r w:rsidRPr="00E82E98">
        <w:t>:37–44.</w:t>
      </w:r>
    </w:p>
    <w:p w14:paraId="088257EA" w14:textId="044B2242" w:rsidR="00AF6ECD" w:rsidRPr="00E82E98" w:rsidRDefault="00AF6ECD" w:rsidP="00AF6ECD">
      <w:pPr>
        <w:spacing w:line="480" w:lineRule="auto"/>
        <w:ind w:left="720" w:hanging="720"/>
      </w:pPr>
      <w:r w:rsidRPr="00E82E98">
        <w:t xml:space="preserve">Hoque S, Avila-Sakar G. 2014. Trade-offs and ontogenetic changes in resistance and tolerance to insect herbivory in Arabidopsis. International Journal of Plant Sciences </w:t>
      </w:r>
      <w:r w:rsidRPr="00E82E98">
        <w:rPr>
          <w:b/>
          <w:bCs/>
        </w:rPr>
        <w:t>176</w:t>
      </w:r>
      <w:r w:rsidRPr="00E82E98">
        <w:t>:150–158.</w:t>
      </w:r>
    </w:p>
    <w:p w14:paraId="5D54A824" w14:textId="77777777" w:rsidR="00C65133" w:rsidRPr="00E82E98" w:rsidRDefault="00C65133" w:rsidP="00DB7258">
      <w:pPr>
        <w:pStyle w:val="Bibliography"/>
      </w:pPr>
      <w:r w:rsidRPr="00E82E98">
        <w:lastRenderedPageBreak/>
        <w:t>Huhta, A.-P., K. Hellström, P. Rautio, and J. Tuomi. 2000. A test of the compensatory continuum: fertilization increases and below-ground competition decreases the grazing tolerance of tall wormseed mustard (</w:t>
      </w:r>
      <w:r w:rsidRPr="00E82E98">
        <w:rPr>
          <w:i/>
        </w:rPr>
        <w:t>Erysimum strictum</w:t>
      </w:r>
      <w:r w:rsidRPr="00E82E98">
        <w:t>). Evolutionary Ecology 14:353–372.</w:t>
      </w:r>
    </w:p>
    <w:p w14:paraId="190394F0" w14:textId="4405501C" w:rsidR="00DB7258" w:rsidRPr="00E82E98" w:rsidRDefault="00DB7258" w:rsidP="00DB7258">
      <w:pPr>
        <w:spacing w:line="480" w:lineRule="auto"/>
        <w:ind w:left="720" w:hanging="720"/>
      </w:pPr>
      <w:r w:rsidRPr="00E82E98">
        <w:t xml:space="preserve">Juenger TE. 2013. Natural variation and genetic constraints on drought tolerance. Current Opinion in Plant Biology </w:t>
      </w:r>
      <w:r w:rsidRPr="00E82E98">
        <w:rPr>
          <w:b/>
          <w:bCs/>
        </w:rPr>
        <w:t>16</w:t>
      </w:r>
      <w:r w:rsidRPr="00E82E98">
        <w:t>:274–281.</w:t>
      </w:r>
    </w:p>
    <w:p w14:paraId="13C358E7" w14:textId="77777777" w:rsidR="00C65133" w:rsidRDefault="00C65133">
      <w:pPr>
        <w:pStyle w:val="Bibliography"/>
      </w:pPr>
      <w:r w:rsidRPr="00E82E98">
        <w:t xml:space="preserve">Juenger, T., T. Lennartsson, and J. Tuomi. 2000. The evolution of tolerance to damage in </w:t>
      </w:r>
      <w:r w:rsidRPr="00E82E98">
        <w:rPr>
          <w:i/>
        </w:rPr>
        <w:t>Gentianella campestris</w:t>
      </w:r>
      <w:r w:rsidRPr="00E82E98">
        <w:t>: natural selection and the quantitative genetics of tolerance. Evolutionary Ecology 14:393–419.</w:t>
      </w:r>
    </w:p>
    <w:p w14:paraId="6206213B" w14:textId="37C0C205" w:rsidR="00746498" w:rsidRPr="00746498" w:rsidRDefault="00746498" w:rsidP="00B17AC8">
      <w:pPr>
        <w:spacing w:line="480" w:lineRule="auto"/>
        <w:ind w:left="720" w:hanging="720"/>
      </w:pPr>
      <w:r>
        <w:t>Karban R, Baldwin IT. 1997. Induced Responses to Herbivory. University of Chicago Press, Chicago.</w:t>
      </w:r>
    </w:p>
    <w:p w14:paraId="48365801" w14:textId="77777777" w:rsidR="00C65133" w:rsidRPr="00E82E98" w:rsidRDefault="00C65133">
      <w:pPr>
        <w:pStyle w:val="Bibliography"/>
      </w:pPr>
      <w:r w:rsidRPr="00E82E98">
        <w:t xml:space="preserve">Karban, R., and S. Courtney. 1987. Intraspecific host plant choice: lack of consequences for </w:t>
      </w:r>
      <w:r w:rsidRPr="00E82E98">
        <w:rPr>
          <w:i/>
        </w:rPr>
        <w:t>Streptanthus tortuosus</w:t>
      </w:r>
      <w:r w:rsidRPr="00E82E98">
        <w:t xml:space="preserve"> (Cruciferae) and </w:t>
      </w:r>
      <w:r w:rsidRPr="00E82E98">
        <w:rPr>
          <w:i/>
        </w:rPr>
        <w:t>Euchloe hyantis</w:t>
      </w:r>
      <w:r w:rsidRPr="00E82E98">
        <w:t xml:space="preserve"> (Lepidoptera: Pieridae). Oikos:243–248.</w:t>
      </w:r>
    </w:p>
    <w:p w14:paraId="787C712E" w14:textId="49DB29F6" w:rsidR="00DB7258" w:rsidRPr="00E82E98" w:rsidRDefault="00DB7258" w:rsidP="00DB7258">
      <w:pPr>
        <w:spacing w:line="480" w:lineRule="auto"/>
        <w:ind w:left="720" w:hanging="720"/>
      </w:pPr>
      <w:r w:rsidRPr="00E82E98">
        <w:t xml:space="preserve">Kooyers NJ. 2015. The evolution of drought escape and avoidance in natural herbaceous populations. Plant Science </w:t>
      </w:r>
      <w:r w:rsidRPr="00E82E98">
        <w:rPr>
          <w:b/>
          <w:bCs/>
        </w:rPr>
        <w:t>234</w:t>
      </w:r>
      <w:r w:rsidRPr="00E82E98">
        <w:t>:155–162.</w:t>
      </w:r>
    </w:p>
    <w:p w14:paraId="67DB0025" w14:textId="77777777" w:rsidR="00C65133" w:rsidRPr="00E82E98" w:rsidRDefault="00C65133" w:rsidP="00DB7258">
      <w:pPr>
        <w:pStyle w:val="Bibliography"/>
      </w:pPr>
      <w:r w:rsidRPr="00E82E98">
        <w:t>Krimmel, B. A., and I. S. Pearse. 2016. Tolerance and phenological avoidance of herbivory in tarweed species. Ecology 97:1357–1363.</w:t>
      </w:r>
    </w:p>
    <w:p w14:paraId="57A166DA" w14:textId="3DD471F6" w:rsidR="00C65133" w:rsidRPr="00E82E98" w:rsidRDefault="00F9554C" w:rsidP="00DB7258">
      <w:pPr>
        <w:pStyle w:val="Bibliography"/>
      </w:pPr>
      <w:r w:rsidRPr="00E82E98">
        <w:t>Lehndal, L., and J. Å</w:t>
      </w:r>
      <w:r w:rsidR="00C65133" w:rsidRPr="00E82E98">
        <w:t xml:space="preserve">gren. 2015. Latitudinal variation in resistance and tolerance to herbivory in the perennial herb </w:t>
      </w:r>
      <w:r w:rsidR="00C65133" w:rsidRPr="00E82E98">
        <w:rPr>
          <w:i/>
        </w:rPr>
        <w:t>Lythrum salicaria</w:t>
      </w:r>
      <w:r w:rsidR="00C65133" w:rsidRPr="00E82E98">
        <w:t xml:space="preserve"> is related to intensity of herbivory and plant phenology. Journal of evolutionary biology 28:576–589.</w:t>
      </w:r>
    </w:p>
    <w:p w14:paraId="65F3AA1C" w14:textId="77777777" w:rsidR="00C65133" w:rsidRPr="00E82E98" w:rsidRDefault="00C65133" w:rsidP="00C65133">
      <w:pPr>
        <w:pStyle w:val="Bibliography"/>
      </w:pPr>
      <w:r w:rsidRPr="00E82E98">
        <w:lastRenderedPageBreak/>
        <w:t>Leimu, R., and J. Koricheva. 2006. A meta-analysis of tradeoffs between plant tolerance and resistance to herbivores: combining the evidence from ecological and agricultural studies. Oikos 112:1–9.</w:t>
      </w:r>
    </w:p>
    <w:p w14:paraId="4FD1EA1C" w14:textId="77777777" w:rsidR="00C65133" w:rsidRPr="00E82E98" w:rsidRDefault="00C65133" w:rsidP="00C65133">
      <w:pPr>
        <w:pStyle w:val="Bibliography"/>
      </w:pPr>
      <w:r w:rsidRPr="00E82E98">
        <w:t>Linden, M., and A. P. Møller. 1989. Cost of reproduction and covariation of life history traits in birds. Trends in Ecology &amp; Evolution 4:367–371.</w:t>
      </w:r>
    </w:p>
    <w:p w14:paraId="430F0A44" w14:textId="77777777" w:rsidR="00C65133" w:rsidRPr="00E82E98" w:rsidRDefault="00C65133" w:rsidP="00C65133">
      <w:pPr>
        <w:pStyle w:val="Bibliography"/>
      </w:pPr>
      <w:r w:rsidRPr="00E82E98">
        <w:t>Lowenberg, G. J. 1994. Effects of floral herbivory on maternal reproduction in S</w:t>
      </w:r>
      <w:r w:rsidRPr="00E82E98">
        <w:rPr>
          <w:i/>
        </w:rPr>
        <w:t>anicula arctopoides</w:t>
      </w:r>
      <w:r w:rsidRPr="00E82E98">
        <w:t xml:space="preserve"> (Apiaceae). Ecology 75:359–369.</w:t>
      </w:r>
    </w:p>
    <w:p w14:paraId="3309A13B" w14:textId="77777777" w:rsidR="00C65133" w:rsidRPr="00E82E98" w:rsidRDefault="00C65133" w:rsidP="00FE46B2">
      <w:pPr>
        <w:pStyle w:val="Bibliography"/>
      </w:pPr>
      <w:r w:rsidRPr="00E82E98">
        <w:t>Maschinski, J., and T. G. Whitham. 1989. The continuum of plant responses to herbivory: the influence of plant association, nutrient availability, and timing. The American Naturalist 134:1–19.</w:t>
      </w:r>
    </w:p>
    <w:p w14:paraId="22689BDF" w14:textId="0F2BE7C0" w:rsidR="00FE46B2" w:rsidRPr="00E82E98" w:rsidRDefault="00FE46B2" w:rsidP="00FE46B2">
      <w:pPr>
        <w:spacing w:line="480" w:lineRule="auto"/>
        <w:ind w:left="720" w:hanging="720"/>
      </w:pPr>
      <w:r w:rsidRPr="00E82E98">
        <w:t xml:space="preserve">Massad TJ. 2013. Ontogenetic differences of herbivory on woody and herbaceous plants: a meta-analysis demonstrating unique effects of herbivory on the young and the old, the slow and the fast. Oecologia </w:t>
      </w:r>
      <w:r w:rsidRPr="00E82E98">
        <w:rPr>
          <w:b/>
          <w:bCs/>
        </w:rPr>
        <w:t>172</w:t>
      </w:r>
      <w:r w:rsidRPr="00E82E98">
        <w:t>:1–10.</w:t>
      </w:r>
    </w:p>
    <w:p w14:paraId="137B15B3" w14:textId="77777777" w:rsidR="00C65133" w:rsidRDefault="00C65133">
      <w:pPr>
        <w:pStyle w:val="Bibliography"/>
      </w:pPr>
      <w:r w:rsidRPr="00E82E98">
        <w:t>van der Meijden, E., M. Wijn, and H. J. Verkaar. 1988. Defence and regrowth, alternative plant strategies in the struggle against herbivores. Oikos:355–363.</w:t>
      </w:r>
    </w:p>
    <w:p w14:paraId="69C1CEB4" w14:textId="63FC1680" w:rsidR="005B59F4" w:rsidRPr="005B59F4" w:rsidRDefault="005B59F4" w:rsidP="00B17AC8">
      <w:pPr>
        <w:spacing w:line="480" w:lineRule="auto"/>
        <w:ind w:left="720" w:hanging="720"/>
      </w:pPr>
      <w:r>
        <w:t xml:space="preserve">Münkemüller T, Lavergne S, Bzeznik B, Dray S, Jombart T, Schiffers K, Thuiller W. 2012. How to measure and test phylogenetic signal. Methods in Ecology and Evolution </w:t>
      </w:r>
      <w:r>
        <w:rPr>
          <w:b/>
          <w:bCs/>
        </w:rPr>
        <w:t>3</w:t>
      </w:r>
      <w:r>
        <w:t>:743–756.</w:t>
      </w:r>
    </w:p>
    <w:p w14:paraId="73FC2F84" w14:textId="77777777" w:rsidR="00C65133" w:rsidRPr="00E82E98" w:rsidRDefault="00C65133">
      <w:pPr>
        <w:pStyle w:val="Bibliography"/>
      </w:pPr>
      <w:r w:rsidRPr="00E82E98">
        <w:t>Nowatzki, T. M., and M. J. Weiss. 1997. Effects of simulated and flea beetle injury to cotyledons on growth of drought-stressed oilseed rape, Brassica napus L. Canadian journal of plant science 77:475–481.</w:t>
      </w:r>
    </w:p>
    <w:p w14:paraId="2CB7E3B3" w14:textId="77777777" w:rsidR="00C65133" w:rsidRPr="00E82E98" w:rsidRDefault="00C65133" w:rsidP="00C65133">
      <w:pPr>
        <w:pStyle w:val="Bibliography"/>
      </w:pPr>
      <w:r w:rsidRPr="00E82E98">
        <w:t>Núñez-Farfán, J., J. Fornoni, and P. L. Valverde. 2007. The evolution of resistance and tolerance to herbivores. Annu. Rev. Ecol. Evol. Syst. 38:541–566.</w:t>
      </w:r>
    </w:p>
    <w:p w14:paraId="25A71089" w14:textId="77777777" w:rsidR="00C65133" w:rsidRDefault="00C65133" w:rsidP="008D45B8">
      <w:pPr>
        <w:pStyle w:val="Bibliography"/>
      </w:pPr>
      <w:r w:rsidRPr="00E82E98">
        <w:lastRenderedPageBreak/>
        <w:t xml:space="preserve">Oduor, A. M., R. A. Lankau, S. Y. Strauss, and J. M. Gómez. 2011. Introduced </w:t>
      </w:r>
      <w:r w:rsidRPr="00E82E98">
        <w:rPr>
          <w:i/>
        </w:rPr>
        <w:t>Brassica nigra</w:t>
      </w:r>
      <w:r w:rsidRPr="00E82E98">
        <w:t xml:space="preserve"> populations exhibit greater growth and herbivore resistance but less tolerance than native populations in the native range. New Phytologist 191:536–544.</w:t>
      </w:r>
    </w:p>
    <w:p w14:paraId="15322EB0" w14:textId="2C5B5127" w:rsidR="00C65133" w:rsidRPr="00E82E98" w:rsidRDefault="008D45B8" w:rsidP="008D45B8">
      <w:pPr>
        <w:pStyle w:val="Bibliography"/>
      </w:pPr>
      <w:r>
        <w:t xml:space="preserve">Orians CM, Thorn A, Gómez S. 2011. Herbivore-induced resource sequestration in plants: why bother? Oecologia </w:t>
      </w:r>
      <w:r>
        <w:rPr>
          <w:b/>
          <w:bCs/>
        </w:rPr>
        <w:t>167</w:t>
      </w:r>
      <w:r>
        <w:t>:1.</w:t>
      </w:r>
      <w:r w:rsidR="00C65133" w:rsidRPr="00E82E98">
        <w:t>Paige, K. N., and T. G. Whitham. 1987. Overcompensation in response to mammalian herbivory: the advantage of being eaten. The American Naturalist 129:407–416.</w:t>
      </w:r>
    </w:p>
    <w:p w14:paraId="4135E463" w14:textId="77777777" w:rsidR="00C65133" w:rsidRPr="00E82E98" w:rsidRDefault="00C65133" w:rsidP="008D45B8">
      <w:pPr>
        <w:pStyle w:val="Bibliography"/>
      </w:pPr>
      <w:r w:rsidRPr="00E82E98">
        <w:t>Paradis, E., J. Claude, and K. Strimmer. 2004. APE: Analyses of Phylogenetics and Evolution in R language. Bioinformatics 20:289–290.</w:t>
      </w:r>
    </w:p>
    <w:p w14:paraId="4B878A9F" w14:textId="151387DA" w:rsidR="00C65133" w:rsidRPr="00B7721A" w:rsidRDefault="00C65133" w:rsidP="00B7721A">
      <w:pPr>
        <w:pStyle w:val="Bibliography"/>
      </w:pPr>
      <w:r w:rsidRPr="00E82E98">
        <w:t>Pearse, I. S., J. M. Aguilar, and S. Y. Strauss. 2017. The evolution of drough</w:t>
      </w:r>
      <w:r w:rsidR="00C267FC" w:rsidRPr="00E82E98">
        <w:t>t</w:t>
      </w:r>
      <w:r w:rsidRPr="00E82E98">
        <w:t xml:space="preserve"> tolerance in </w:t>
      </w:r>
      <w:r w:rsidRPr="00B7721A">
        <w:rPr>
          <w:i/>
        </w:rPr>
        <w:t>Streptanthus</w:t>
      </w:r>
      <w:r w:rsidRPr="00B7721A">
        <w:t xml:space="preserve"> species. in prep.</w:t>
      </w:r>
    </w:p>
    <w:p w14:paraId="29DDDBBE" w14:textId="77777777" w:rsidR="00C65133" w:rsidRPr="00B7721A" w:rsidRDefault="00C65133" w:rsidP="00B7721A">
      <w:pPr>
        <w:pStyle w:val="Bibliography"/>
      </w:pPr>
      <w:r w:rsidRPr="00B7721A">
        <w:t>Pearse, I. S., and A. L. Hipp. 2012. Global patterns of leaf defenses in oak species are predicted by seasonality, precipitation, and temperature. Evolution 66:2272–2286.</w:t>
      </w:r>
    </w:p>
    <w:p w14:paraId="327A56D4" w14:textId="19054868" w:rsidR="00B7721A" w:rsidRPr="00B7721A" w:rsidRDefault="00B7721A" w:rsidP="00B7721A">
      <w:pPr>
        <w:spacing w:line="480" w:lineRule="auto"/>
        <w:ind w:left="720" w:hanging="720"/>
      </w:pPr>
      <w:r w:rsidRPr="00B7721A">
        <w:rPr>
          <w:color w:val="000000"/>
        </w:rPr>
        <w:t>P</w:t>
      </w:r>
      <w:r w:rsidRPr="00B7721A">
        <w:rPr>
          <w:color w:val="000000"/>
        </w:rPr>
        <w:t xml:space="preserve">earse, I. S., J. Aguilar, J. Schroder, S.Y. Strauss. 2017. Data for Macroevolutionary constraints to tolerance: trade-offs with drought tolerance and phenology, but not resistance.  : U.S. </w:t>
      </w:r>
      <w:r>
        <w:rPr>
          <w:color w:val="000000"/>
        </w:rPr>
        <w:t xml:space="preserve">Geological Survey data release, </w:t>
      </w:r>
      <w:r w:rsidRPr="00B7721A">
        <w:rPr>
          <w:color w:val="000000"/>
        </w:rPr>
        <w:t>https://doi.org/10.5066/F7765D89.</w:t>
      </w:r>
    </w:p>
    <w:p w14:paraId="3F43C3AB" w14:textId="77777777" w:rsidR="00C65133" w:rsidRPr="00E82E98" w:rsidRDefault="00C65133" w:rsidP="00B7721A">
      <w:pPr>
        <w:pStyle w:val="Bibliography"/>
      </w:pPr>
      <w:r w:rsidRPr="00B7721A">
        <w:t>Pinheiro, J., D. Bates, S. DebRoy, D. Sarkar, and The R Core Development Team. 2009. nlme:  Linear and nonlinear</w:t>
      </w:r>
      <w:r w:rsidRPr="00E82E98">
        <w:t xml:space="preserve"> mixed effects models. R package version 3.1-93.</w:t>
      </w:r>
    </w:p>
    <w:p w14:paraId="25B64114" w14:textId="77777777" w:rsidR="00C65133" w:rsidRPr="00E82E98" w:rsidRDefault="00C65133" w:rsidP="00C65133">
      <w:pPr>
        <w:pStyle w:val="Bibliography"/>
      </w:pPr>
      <w:r w:rsidRPr="00E82E98">
        <w:t>PRISM Climate Group. 2011. , Oregon State University, http://prism.oregonstate.edu.</w:t>
      </w:r>
    </w:p>
    <w:p w14:paraId="0C4E2276" w14:textId="49344F25" w:rsidR="00DB7258" w:rsidRPr="00E82E98" w:rsidRDefault="00DB7258" w:rsidP="00DB7258">
      <w:pPr>
        <w:spacing w:line="480" w:lineRule="auto"/>
        <w:ind w:left="720" w:hanging="720"/>
      </w:pPr>
      <w:r w:rsidRPr="00E82E98">
        <w:t xml:space="preserve">Raubenheimer D, Simpson S. 1992. Analysis of covariance: an alternative to nutritional indices. Entomologia experimentalis et applicata </w:t>
      </w:r>
      <w:r w:rsidRPr="00E82E98">
        <w:rPr>
          <w:b/>
          <w:bCs/>
        </w:rPr>
        <w:t>62</w:t>
      </w:r>
      <w:r w:rsidRPr="00E82E98">
        <w:t>:221–231.</w:t>
      </w:r>
    </w:p>
    <w:p w14:paraId="6EFA0B33" w14:textId="77777777" w:rsidR="00C65133" w:rsidRPr="00E82E98" w:rsidRDefault="00C65133" w:rsidP="00DB7258">
      <w:pPr>
        <w:pStyle w:val="Bibliography"/>
      </w:pPr>
      <w:r w:rsidRPr="00E82E98">
        <w:lastRenderedPageBreak/>
        <w:t>Revell, L. J. 2012. phytools: an R package for phylogenetic comparative biology (and other things). Methods in Ecology and Evolution 3:217–223.</w:t>
      </w:r>
    </w:p>
    <w:p w14:paraId="098C956C" w14:textId="77777777" w:rsidR="00C65133" w:rsidRPr="00E82E98" w:rsidRDefault="00C65133" w:rsidP="00DB7258">
      <w:pPr>
        <w:pStyle w:val="Bibliography"/>
      </w:pPr>
      <w:r w:rsidRPr="00E82E98">
        <w:t>Rhoades, D. F., and R. G. Cates. 1976. Toward a general theory of plant antiherbivore chemistry. Recent Advances in Phytochemistry 10:168–213.</w:t>
      </w:r>
    </w:p>
    <w:p w14:paraId="068F83C8" w14:textId="2EC56D65" w:rsidR="00DB7258" w:rsidRPr="00E82E98" w:rsidRDefault="00DB7258" w:rsidP="00DB7258">
      <w:pPr>
        <w:spacing w:line="480" w:lineRule="auto"/>
        <w:ind w:left="720" w:hanging="720"/>
      </w:pPr>
      <w:r w:rsidRPr="00E82E98">
        <w:t xml:space="preserve">Sambatti J, Rice KJ. 2007. Functional ecology of ecotypic differentiation in the Californian serpentine sunflower (Helianthus exilis). New Phytologist </w:t>
      </w:r>
      <w:r w:rsidRPr="00E82E98">
        <w:rPr>
          <w:b/>
          <w:bCs/>
        </w:rPr>
        <w:t>175</w:t>
      </w:r>
      <w:r w:rsidRPr="00E82E98">
        <w:t>:107–119.</w:t>
      </w:r>
    </w:p>
    <w:p w14:paraId="331E2895" w14:textId="77777777" w:rsidR="00C65133" w:rsidRPr="00E82E98" w:rsidRDefault="00C65133">
      <w:pPr>
        <w:pStyle w:val="Bibliography"/>
      </w:pPr>
      <w:r w:rsidRPr="00E82E98">
        <w:t>Savchenko, T., I. S. Pearse, L. Ignatia, R. Karban, and K. DeHesh. 2013. Insect herbivores selectively suppress the HPL branch of the oxylipin pathway in host plants. The Plant Journal 73:653–662.</w:t>
      </w:r>
    </w:p>
    <w:p w14:paraId="2707AFAD" w14:textId="77777777" w:rsidR="00C65133" w:rsidRDefault="00C65133">
      <w:pPr>
        <w:pStyle w:val="Bibliography"/>
      </w:pPr>
      <w:r w:rsidRPr="00E82E98">
        <w:t>Scholes, D. R., and K. N. Paige. 2011. Chromosomal plasticity: mitigating the impacts of herbivory. Ecology 92:1691–1698.</w:t>
      </w:r>
    </w:p>
    <w:p w14:paraId="62FAA590" w14:textId="3C909A14" w:rsidR="005B59F4" w:rsidRPr="005B59F4" w:rsidRDefault="005B59F4" w:rsidP="00B17AC8">
      <w:pPr>
        <w:spacing w:line="480" w:lineRule="auto"/>
        <w:ind w:left="720" w:hanging="720"/>
      </w:pPr>
      <w:r>
        <w:t xml:space="preserve">Scholes DR, Paige KN. 2014. Plasticity in ploidy underlies plant fitness compensation to herbivore damage. Molecular ecology </w:t>
      </w:r>
      <w:r>
        <w:rPr>
          <w:b/>
          <w:bCs/>
        </w:rPr>
        <w:t>23</w:t>
      </w:r>
      <w:r>
        <w:t>:4862–4870.</w:t>
      </w:r>
    </w:p>
    <w:p w14:paraId="6CEB47A0" w14:textId="77777777" w:rsidR="00C65133" w:rsidRPr="00E82E98" w:rsidRDefault="00C65133">
      <w:pPr>
        <w:pStyle w:val="Bibliography"/>
      </w:pPr>
      <w:r w:rsidRPr="00E82E98">
        <w:t>Schwachtje, J., P. E. Minchin, S. Jahnke, J. T. van Dongen, U. Schittko, and I. T. Baldwin. 2006. SNF1-related kinases allow plants to tolerate herbivory by allocating carbon to roots. Proceedings of the National Academy of Sciences 103:12935–12940.</w:t>
      </w:r>
    </w:p>
    <w:p w14:paraId="1927C5C8" w14:textId="77777777" w:rsidR="00C65133" w:rsidRPr="00E82E98" w:rsidRDefault="00C65133" w:rsidP="00DB7258">
      <w:pPr>
        <w:pStyle w:val="Bibliography"/>
      </w:pPr>
      <w:r w:rsidRPr="00E82E98">
        <w:t xml:space="preserve">Shapiro, A. M. 1981. Egg-mimics of </w:t>
      </w:r>
      <w:r w:rsidRPr="00E82E98">
        <w:rPr>
          <w:i/>
        </w:rPr>
        <w:t>Streptanthus</w:t>
      </w:r>
      <w:r w:rsidRPr="00E82E98">
        <w:t xml:space="preserve"> (Cruciferae) deter oviposition by</w:t>
      </w:r>
      <w:r w:rsidRPr="00E82E98">
        <w:rPr>
          <w:i/>
        </w:rPr>
        <w:t xml:space="preserve"> Pieris sisymbrii </w:t>
      </w:r>
      <w:r w:rsidRPr="00E82E98">
        <w:t>(Lepidoptera: Pieridae). Oecologia 48:142–143.</w:t>
      </w:r>
    </w:p>
    <w:p w14:paraId="079ABF02" w14:textId="189D9F65" w:rsidR="00DB7258" w:rsidRPr="00E82E98" w:rsidRDefault="00DB7258" w:rsidP="00DB7258">
      <w:pPr>
        <w:tabs>
          <w:tab w:val="left" w:pos="180"/>
        </w:tabs>
        <w:spacing w:line="480" w:lineRule="auto"/>
        <w:ind w:left="720" w:hanging="720"/>
      </w:pPr>
      <w:r w:rsidRPr="00E82E98">
        <w:t xml:space="preserve">Sherrard ME, Maherali H. 2006. The adaptive significance of drought escape in Avena barbata, an annual grass. Evolution </w:t>
      </w:r>
      <w:r w:rsidRPr="00E82E98">
        <w:rPr>
          <w:b/>
          <w:bCs/>
        </w:rPr>
        <w:t>60</w:t>
      </w:r>
      <w:r w:rsidRPr="00E82E98">
        <w:t>:2478–2489.</w:t>
      </w:r>
    </w:p>
    <w:p w14:paraId="25DB387D" w14:textId="77777777" w:rsidR="00C65133" w:rsidRPr="00E82E98" w:rsidRDefault="00C65133" w:rsidP="00DB7258">
      <w:pPr>
        <w:pStyle w:val="Bibliography"/>
      </w:pPr>
      <w:r w:rsidRPr="00E82E98">
        <w:lastRenderedPageBreak/>
        <w:t xml:space="preserve">Siddappaji, M. H., D. R. Scholes, M. Bohn, and K. N. Paige. 2013. Overcompensation in response to herbivory in </w:t>
      </w:r>
      <w:r w:rsidRPr="00E82E98">
        <w:rPr>
          <w:i/>
        </w:rPr>
        <w:t>Arabidopsis thaliana</w:t>
      </w:r>
      <w:r w:rsidRPr="00E82E98">
        <w:t>: the role of glucose-6-phosphate dehydrogenase and the oxidative pentose-phosphate pathway. Genetics 195:589–598.</w:t>
      </w:r>
    </w:p>
    <w:p w14:paraId="6612DB0A" w14:textId="77777777" w:rsidR="00C65133" w:rsidRPr="00E82E98" w:rsidRDefault="00C65133" w:rsidP="00C65133">
      <w:pPr>
        <w:pStyle w:val="Bibliography"/>
      </w:pPr>
      <w:r w:rsidRPr="00E82E98">
        <w:t>Simms, E. L. 2000. Defining tolerance as a norm of reaction. Evolutionary Ecology 14:563–570.</w:t>
      </w:r>
    </w:p>
    <w:p w14:paraId="7C6A0158" w14:textId="77777777" w:rsidR="00C65133" w:rsidRPr="00E82E98" w:rsidRDefault="00C65133" w:rsidP="00C65133">
      <w:pPr>
        <w:pStyle w:val="Bibliography"/>
      </w:pPr>
      <w:r w:rsidRPr="00E82E98">
        <w:t>Simms, E. L., and J. Triplett. 1994. Costs and benefits of plant responses to disease: resistance and tolerance. Evolution:1973–1985.</w:t>
      </w:r>
    </w:p>
    <w:p w14:paraId="09C290B2" w14:textId="77777777" w:rsidR="00C65133" w:rsidRPr="00E82E98" w:rsidRDefault="00C65133" w:rsidP="00C65133">
      <w:pPr>
        <w:pStyle w:val="Bibliography"/>
      </w:pPr>
      <w:r w:rsidRPr="00E82E98">
        <w:t>Stamp, N. 2003. Out of the quagmire of plant defense hypotheses. Quarterly Review of Biology 78:23–55.</w:t>
      </w:r>
    </w:p>
    <w:p w14:paraId="0835BCBB" w14:textId="77777777" w:rsidR="00C65133" w:rsidRPr="00E82E98" w:rsidRDefault="00C65133" w:rsidP="00C65133">
      <w:pPr>
        <w:pStyle w:val="Bibliography"/>
      </w:pPr>
      <w:r w:rsidRPr="00E82E98">
        <w:t xml:space="preserve">Stevens, M. T., D. M. Waller, and R. L. Lindroth. 2007. Resistance and tolerance in </w:t>
      </w:r>
      <w:r w:rsidRPr="00E82E98">
        <w:rPr>
          <w:i/>
        </w:rPr>
        <w:t>Populus tremuloides</w:t>
      </w:r>
      <w:r w:rsidRPr="00E82E98">
        <w:t>: genetic variation, costs, and environmental dependency. Evolutionary Ecology 21:829–847.</w:t>
      </w:r>
    </w:p>
    <w:p w14:paraId="10961107" w14:textId="77777777" w:rsidR="00C65133" w:rsidRPr="00E82E98" w:rsidRDefault="00C65133" w:rsidP="00C65133">
      <w:pPr>
        <w:pStyle w:val="Bibliography"/>
      </w:pPr>
      <w:r w:rsidRPr="00E82E98">
        <w:t xml:space="preserve">Stowe, K. A. 1998. Experimental evolution of resistance in </w:t>
      </w:r>
      <w:r w:rsidRPr="00E82E98">
        <w:rPr>
          <w:i/>
        </w:rPr>
        <w:t>Brassica rapa</w:t>
      </w:r>
      <w:r w:rsidRPr="00E82E98">
        <w:t>: correlated response of tolerance in lines selected for glucosinolate content. Evolution:703–712.</w:t>
      </w:r>
    </w:p>
    <w:p w14:paraId="6817EAC5" w14:textId="77777777" w:rsidR="00C65133" w:rsidRPr="00E82E98" w:rsidRDefault="00C65133" w:rsidP="00C65133">
      <w:pPr>
        <w:pStyle w:val="Bibliography"/>
      </w:pPr>
      <w:r w:rsidRPr="00E82E98">
        <w:t>Stowe, K. A., R. J. Marquis, C. G. Hochwender, and E. L. Simms. 2000. The evolutionary ecology of tolerance to consumer damage. Annual Review of Ecology and Systematics 31:565–595.</w:t>
      </w:r>
    </w:p>
    <w:p w14:paraId="78966E5D" w14:textId="77777777" w:rsidR="00C65133" w:rsidRPr="00E82E98" w:rsidRDefault="00C65133" w:rsidP="00C65133">
      <w:pPr>
        <w:pStyle w:val="Bibliography"/>
      </w:pPr>
      <w:r w:rsidRPr="00E82E98">
        <w:t>Strauss, S. Y., and A. A. Agrawal. 1999. The ecology and evolution of plant tolerance to herbivory. Trends in Ecology &amp; Evolution 14:179–185.</w:t>
      </w:r>
    </w:p>
    <w:p w14:paraId="3E14EE15" w14:textId="5A9151C7" w:rsidR="00C65133" w:rsidRPr="00E82E98" w:rsidRDefault="00C65133" w:rsidP="00C65133">
      <w:pPr>
        <w:pStyle w:val="Bibliography"/>
      </w:pPr>
      <w:r w:rsidRPr="00E82E98">
        <w:lastRenderedPageBreak/>
        <w:t>Strauss, S. Y., and</w:t>
      </w:r>
      <w:r w:rsidR="00C267FC" w:rsidRPr="00E82E98">
        <w:t xml:space="preserve"> N. I. Cacho. 2013. Nowhere to r</w:t>
      </w:r>
      <w:r w:rsidRPr="00E82E98">
        <w:t xml:space="preserve">un, </w:t>
      </w:r>
      <w:r w:rsidR="00C267FC" w:rsidRPr="00E82E98">
        <w:t>nowhere to h</w:t>
      </w:r>
      <w:r w:rsidRPr="00E82E98">
        <w:t xml:space="preserve">ide: </w:t>
      </w:r>
      <w:r w:rsidR="00C267FC" w:rsidRPr="00E82E98">
        <w:t>the importance of enemies and apparency in adaptation to harsh s</w:t>
      </w:r>
      <w:r w:rsidRPr="00E82E98">
        <w:t xml:space="preserve">oil </w:t>
      </w:r>
      <w:r w:rsidR="00C267FC" w:rsidRPr="00E82E98">
        <w:t>e</w:t>
      </w:r>
      <w:r w:rsidRPr="00E82E98">
        <w:t xml:space="preserve">nvironments. </w:t>
      </w:r>
      <w:r w:rsidR="00C267FC" w:rsidRPr="00E82E98">
        <w:t xml:space="preserve">American Naturalist </w:t>
      </w:r>
      <w:r w:rsidRPr="00E82E98">
        <w:t>182:E1–E14.</w:t>
      </w:r>
    </w:p>
    <w:p w14:paraId="43FE5EB1" w14:textId="47ECC098" w:rsidR="00C65133" w:rsidRPr="00E82E98" w:rsidRDefault="00C65133" w:rsidP="00FE46B2">
      <w:pPr>
        <w:pStyle w:val="Bibliography"/>
      </w:pPr>
      <w:r w:rsidRPr="00E82E98">
        <w:t>Tao, L., A. Ahmad, J. C. Roode, and M. D. Hunter. 2016. Arbuscular mycorrhizal fungi affect plant tolerance and chemical defences to herbivory through different mechanisms. Journal of Ecology.</w:t>
      </w:r>
      <w:r w:rsidR="00C267FC" w:rsidRPr="00E82E98">
        <w:t xml:space="preserve"> 104:561-571</w:t>
      </w:r>
    </w:p>
    <w:p w14:paraId="5E95DD89" w14:textId="157EEE73" w:rsidR="00FE46B2" w:rsidRPr="00E82E98" w:rsidRDefault="00FE46B2" w:rsidP="00AF6ECD">
      <w:pPr>
        <w:spacing w:line="480" w:lineRule="auto"/>
        <w:ind w:left="720" w:hanging="720"/>
      </w:pPr>
      <w:r w:rsidRPr="00E82E98">
        <w:t xml:space="preserve">Tiffin P. 2000. Mechanisms of tolerance to herbivore damage: what do we know? Evolutionary Ecology </w:t>
      </w:r>
      <w:r w:rsidRPr="00E82E98">
        <w:rPr>
          <w:b/>
          <w:bCs/>
        </w:rPr>
        <w:t>14</w:t>
      </w:r>
      <w:r w:rsidRPr="00E82E98">
        <w:t>:523–536.</w:t>
      </w:r>
    </w:p>
    <w:p w14:paraId="1E3B0875" w14:textId="0A9C8645" w:rsidR="00AF6ECD" w:rsidRPr="00E82E98" w:rsidRDefault="00AF6ECD" w:rsidP="00AF6ECD">
      <w:pPr>
        <w:spacing w:line="480" w:lineRule="auto"/>
        <w:ind w:left="720" w:hanging="720"/>
      </w:pPr>
      <w:r w:rsidRPr="00E82E98">
        <w:t xml:space="preserve">Tito R, Castellani TT, Fáveri SB, Lopes BC, Vasconcelos HL. 2016. From over to undercompensation: Variable responses to herbivory during ontogeny of a Neotropical monocarpic plant. Biotropica </w:t>
      </w:r>
      <w:r w:rsidRPr="00E82E98">
        <w:rPr>
          <w:b/>
          <w:bCs/>
        </w:rPr>
        <w:t>48</w:t>
      </w:r>
      <w:r w:rsidRPr="00E82E98">
        <w:t>:608–617.</w:t>
      </w:r>
    </w:p>
    <w:p w14:paraId="3BB85CA3" w14:textId="2486D7F4" w:rsidR="00FE46B2" w:rsidRPr="00E82E98" w:rsidRDefault="00FE46B2" w:rsidP="00AF6ECD">
      <w:pPr>
        <w:spacing w:line="480" w:lineRule="auto"/>
        <w:ind w:left="720" w:hanging="720"/>
      </w:pPr>
      <w:r w:rsidRPr="00E82E98">
        <w:t xml:space="preserve">Trumble J, Kolodny-Hirsch D, Ting I. 1993. Plant compensation for arthropod herbivory. Annual review of entomology </w:t>
      </w:r>
      <w:r w:rsidRPr="00E82E98">
        <w:rPr>
          <w:b/>
          <w:bCs/>
        </w:rPr>
        <w:t>38</w:t>
      </w:r>
      <w:r w:rsidRPr="00E82E98">
        <w:t>:93–119.</w:t>
      </w:r>
    </w:p>
    <w:p w14:paraId="7E32E69A" w14:textId="51BC981D" w:rsidR="0057699F" w:rsidRPr="00E82E98" w:rsidRDefault="00C65133" w:rsidP="00B17AC8">
      <w:pPr>
        <w:pStyle w:val="Bibliography"/>
      </w:pPr>
      <w:r w:rsidRPr="00E82E98">
        <w:t>Tiffin, P.</w:t>
      </w:r>
      <w:r w:rsidR="00FD57B3">
        <w:t xml:space="preserve"> and </w:t>
      </w:r>
      <w:r w:rsidRPr="00E82E98">
        <w:t xml:space="preserve"> M. D. Rausher. 1999. Genetic constraints and selection acting on tolerance to herbivory in the common morning glory </w:t>
      </w:r>
      <w:r w:rsidRPr="00B17AC8">
        <w:rPr>
          <w:i/>
        </w:rPr>
        <w:t>Ipomoea purpurea</w:t>
      </w:r>
      <w:r w:rsidRPr="00E82E98">
        <w:t>. The American Naturalist 154:700–716.</w:t>
      </w:r>
    </w:p>
    <w:p w14:paraId="1E42A155" w14:textId="77777777" w:rsidR="00C65133" w:rsidRPr="00E82E98" w:rsidRDefault="00C65133" w:rsidP="00DB7258">
      <w:pPr>
        <w:pStyle w:val="Bibliography"/>
      </w:pPr>
      <w:r w:rsidRPr="00E82E98">
        <w:t>Weinig, C., J. R. Stinchcombe, J. Schmitt, and S. Tonsor. 2003. Evolutionary genetics of resistance and tolerance to natural herbivory in Arabidopsis thaliana. Evolution 57:1270–1280.</w:t>
      </w:r>
    </w:p>
    <w:p w14:paraId="0CDAFB75" w14:textId="14CB2D8F" w:rsidR="00214DE8" w:rsidRPr="00E82E98" w:rsidRDefault="00214DE8" w:rsidP="00DB7258">
      <w:pPr>
        <w:spacing w:line="480" w:lineRule="auto"/>
        <w:ind w:left="720" w:hanging="720"/>
      </w:pPr>
      <w:r w:rsidRPr="00E82E98">
        <w:t>West-Eberhardt MJ. 2003. Developmental plasticity and evolution. Oxford University Press, New York.</w:t>
      </w:r>
    </w:p>
    <w:p w14:paraId="22DB0B1F" w14:textId="257EA2CF" w:rsidR="00DB7258" w:rsidRPr="00E82E98" w:rsidRDefault="00DB7258" w:rsidP="00DB7258">
      <w:pPr>
        <w:spacing w:line="480" w:lineRule="auto"/>
        <w:ind w:left="720" w:hanging="720"/>
      </w:pPr>
      <w:r w:rsidRPr="00E82E98">
        <w:lastRenderedPageBreak/>
        <w:t xml:space="preserve">Wilf P, Labandeira CC, Johnson KR, Coley PD, Cutter AD. 2001. Insect herbivory, plant defense, and early Cenozoic climate change. Proceedings of the National Academy of Sciences </w:t>
      </w:r>
      <w:r w:rsidRPr="00E82E98">
        <w:rPr>
          <w:b/>
          <w:bCs/>
        </w:rPr>
        <w:t>98</w:t>
      </w:r>
      <w:r w:rsidRPr="00E82E98">
        <w:t>:6221–6226.</w:t>
      </w:r>
    </w:p>
    <w:p w14:paraId="7D34094D" w14:textId="77777777" w:rsidR="00C65133" w:rsidRDefault="00C65133" w:rsidP="00DB7258">
      <w:pPr>
        <w:pStyle w:val="Bibliography"/>
      </w:pPr>
      <w:r w:rsidRPr="00E82E98">
        <w:t>Wise, M. J., and W. G. Abrahamson. 2007. Effects of resource availability on tolerance of herbivory: a review and assessment of three opposing models. The American Naturalist 169:443–454.</w:t>
      </w:r>
    </w:p>
    <w:p w14:paraId="31C2EA59" w14:textId="18621164" w:rsidR="00582206" w:rsidRDefault="00582206" w:rsidP="00582206">
      <w:pPr>
        <w:spacing w:line="480" w:lineRule="auto"/>
      </w:pPr>
    </w:p>
    <w:p w14:paraId="673D2A61" w14:textId="77777777" w:rsidR="004B7BE0" w:rsidRDefault="004B7BE0" w:rsidP="00195498">
      <w:pPr>
        <w:spacing w:line="480" w:lineRule="auto"/>
        <w:rPr>
          <w:b/>
        </w:rPr>
      </w:pPr>
    </w:p>
    <w:p w14:paraId="3709944D" w14:textId="77777777" w:rsidR="004B7BE0" w:rsidRDefault="004B7BE0" w:rsidP="00195498">
      <w:pPr>
        <w:spacing w:line="480" w:lineRule="auto"/>
        <w:rPr>
          <w:b/>
        </w:rPr>
      </w:pPr>
    </w:p>
    <w:p w14:paraId="0DF9A2D3" w14:textId="77777777" w:rsidR="005E3FC7" w:rsidRDefault="005E3FC7" w:rsidP="00195498">
      <w:pPr>
        <w:spacing w:line="480" w:lineRule="auto"/>
        <w:rPr>
          <w:b/>
        </w:rPr>
      </w:pPr>
    </w:p>
    <w:p w14:paraId="628F8F82" w14:textId="77777777" w:rsidR="005E3FC7" w:rsidRDefault="005E3FC7" w:rsidP="00195498">
      <w:pPr>
        <w:spacing w:line="480" w:lineRule="auto"/>
        <w:rPr>
          <w:b/>
        </w:rPr>
      </w:pPr>
    </w:p>
    <w:p w14:paraId="0C34D638" w14:textId="77777777" w:rsidR="00300B1C" w:rsidRDefault="00300B1C" w:rsidP="00195498">
      <w:pPr>
        <w:spacing w:line="480" w:lineRule="auto"/>
        <w:rPr>
          <w:b/>
        </w:rPr>
      </w:pPr>
    </w:p>
    <w:p w14:paraId="5B5E271F" w14:textId="77777777" w:rsidR="00300B1C" w:rsidRDefault="00300B1C" w:rsidP="00195498">
      <w:pPr>
        <w:spacing w:line="480" w:lineRule="auto"/>
        <w:rPr>
          <w:b/>
        </w:rPr>
      </w:pPr>
    </w:p>
    <w:p w14:paraId="5CBF7216" w14:textId="6E2036EF" w:rsidR="004B7BE0" w:rsidRDefault="00DE6503" w:rsidP="00195498">
      <w:pPr>
        <w:spacing w:line="480" w:lineRule="auto"/>
        <w:rPr>
          <w:b/>
        </w:rPr>
      </w:pPr>
      <w:r w:rsidRPr="00FB070A">
        <w:rPr>
          <w:b/>
        </w:rPr>
        <w:t>TABLES</w:t>
      </w:r>
    </w:p>
    <w:p w14:paraId="5A0991C4" w14:textId="77777777" w:rsidR="00FB070A" w:rsidRDefault="00FB070A" w:rsidP="00195498">
      <w:pPr>
        <w:spacing w:line="480" w:lineRule="auto"/>
      </w:pPr>
    </w:p>
    <w:tbl>
      <w:tblPr>
        <w:tblpPr w:leftFromText="180" w:rightFromText="180" w:vertAnchor="text" w:tblpY="1"/>
        <w:tblOverlap w:val="never"/>
        <w:tblW w:w="5670" w:type="dxa"/>
        <w:tblLook w:val="04A0" w:firstRow="1" w:lastRow="0" w:firstColumn="1" w:lastColumn="0" w:noHBand="0" w:noVBand="1"/>
      </w:tblPr>
      <w:tblGrid>
        <w:gridCol w:w="3060"/>
        <w:gridCol w:w="2610"/>
      </w:tblGrid>
      <w:tr w:rsidR="004B7BE0" w14:paraId="66F8AA5D" w14:textId="77777777" w:rsidTr="002B6EC8">
        <w:trPr>
          <w:trHeight w:val="300"/>
        </w:trPr>
        <w:tc>
          <w:tcPr>
            <w:tcW w:w="5670" w:type="dxa"/>
            <w:gridSpan w:val="2"/>
            <w:tcBorders>
              <w:top w:val="single" w:sz="4" w:space="0" w:color="auto"/>
              <w:left w:val="nil"/>
              <w:bottom w:val="nil"/>
              <w:right w:val="nil"/>
            </w:tcBorders>
            <w:shd w:val="clear" w:color="auto" w:fill="auto"/>
            <w:noWrap/>
            <w:vAlign w:val="bottom"/>
          </w:tcPr>
          <w:p w14:paraId="6F46AB82" w14:textId="77777777" w:rsidR="004B7BE0" w:rsidRDefault="004B7BE0" w:rsidP="002B6EC8">
            <w:pPr>
              <w:spacing w:line="480" w:lineRule="auto"/>
              <w:rPr>
                <w:rFonts w:ascii="Calibri" w:hAnsi="Calibri"/>
                <w:color w:val="000000"/>
                <w:sz w:val="22"/>
                <w:szCs w:val="22"/>
                <w:u w:val="single"/>
              </w:rPr>
            </w:pPr>
          </w:p>
          <w:p w14:paraId="052E9437" w14:textId="77777777" w:rsidR="004B7BE0" w:rsidRDefault="004B7BE0" w:rsidP="002B6EC8">
            <w:pPr>
              <w:spacing w:line="480" w:lineRule="auto"/>
              <w:rPr>
                <w:rFonts w:ascii="Calibri" w:hAnsi="Calibri"/>
                <w:color w:val="000000"/>
                <w:sz w:val="22"/>
                <w:szCs w:val="22"/>
                <w:u w:val="single"/>
              </w:rPr>
            </w:pPr>
            <w:r w:rsidRPr="004B7BE0">
              <w:rPr>
                <w:rFonts w:ascii="Calibri" w:hAnsi="Calibri"/>
                <w:b/>
                <w:color w:val="000000"/>
                <w:sz w:val="22"/>
                <w:szCs w:val="22"/>
                <w:u w:val="single"/>
              </w:rPr>
              <w:t>Table 1</w:t>
            </w:r>
            <w:r w:rsidRPr="004B7BE0">
              <w:rPr>
                <w:rFonts w:ascii="Calibri" w:hAnsi="Calibri"/>
                <w:b/>
                <w:color w:val="000000"/>
                <w:sz w:val="22"/>
                <w:szCs w:val="22"/>
              </w:rPr>
              <w:t>:</w:t>
            </w:r>
            <w:r w:rsidRPr="004B7BE0">
              <w:rPr>
                <w:rFonts w:ascii="Calibri" w:hAnsi="Calibri"/>
                <w:color w:val="000000"/>
                <w:sz w:val="22"/>
                <w:szCs w:val="22"/>
              </w:rPr>
              <w:t xml:space="preserve">  </w:t>
            </w:r>
            <w:r w:rsidRPr="00716F5B">
              <w:rPr>
                <w:rFonts w:ascii="Calibri" w:hAnsi="Calibri"/>
                <w:i/>
                <w:color w:val="000000"/>
                <w:sz w:val="22"/>
                <w:szCs w:val="22"/>
              </w:rPr>
              <w:t>Streptanthus</w:t>
            </w:r>
            <w:r w:rsidRPr="004B7BE0">
              <w:rPr>
                <w:rFonts w:ascii="Calibri" w:hAnsi="Calibri"/>
                <w:color w:val="000000"/>
                <w:sz w:val="22"/>
                <w:szCs w:val="22"/>
              </w:rPr>
              <w:t xml:space="preserve"> taxa and species codes.  See Supplementary table S1 for descriptions of sample sizes for experiments for each taxon.</w:t>
            </w:r>
            <w:r>
              <w:rPr>
                <w:rFonts w:ascii="Calibri" w:hAnsi="Calibri"/>
                <w:color w:val="000000"/>
                <w:sz w:val="22"/>
                <w:szCs w:val="22"/>
                <w:u w:val="single"/>
              </w:rPr>
              <w:t xml:space="preserve">  </w:t>
            </w:r>
          </w:p>
        </w:tc>
      </w:tr>
      <w:tr w:rsidR="004B7BE0" w14:paraId="4A1CD0F3" w14:textId="77777777" w:rsidTr="002B6EC8">
        <w:trPr>
          <w:trHeight w:val="300"/>
        </w:trPr>
        <w:tc>
          <w:tcPr>
            <w:tcW w:w="3060" w:type="dxa"/>
            <w:tcBorders>
              <w:top w:val="single" w:sz="4" w:space="0" w:color="auto"/>
              <w:left w:val="nil"/>
              <w:bottom w:val="nil"/>
              <w:right w:val="nil"/>
            </w:tcBorders>
            <w:shd w:val="clear" w:color="auto" w:fill="auto"/>
            <w:noWrap/>
            <w:vAlign w:val="bottom"/>
          </w:tcPr>
          <w:p w14:paraId="6CACAE50" w14:textId="77777777" w:rsidR="004B7BE0" w:rsidRDefault="004B7BE0" w:rsidP="002B6EC8">
            <w:pPr>
              <w:spacing w:line="480" w:lineRule="auto"/>
              <w:rPr>
                <w:rFonts w:ascii="Calibri" w:hAnsi="Calibri"/>
                <w:color w:val="000000"/>
                <w:sz w:val="22"/>
                <w:szCs w:val="22"/>
                <w:u w:val="single"/>
              </w:rPr>
            </w:pPr>
            <w:r>
              <w:rPr>
                <w:rFonts w:ascii="Calibri" w:hAnsi="Calibri"/>
                <w:color w:val="000000"/>
                <w:sz w:val="22"/>
                <w:szCs w:val="22"/>
                <w:u w:val="single"/>
              </w:rPr>
              <w:t>Taxon</w:t>
            </w:r>
          </w:p>
        </w:tc>
        <w:tc>
          <w:tcPr>
            <w:tcW w:w="2610" w:type="dxa"/>
            <w:tcBorders>
              <w:top w:val="single" w:sz="4" w:space="0" w:color="auto"/>
              <w:left w:val="nil"/>
              <w:bottom w:val="nil"/>
              <w:right w:val="nil"/>
            </w:tcBorders>
            <w:shd w:val="clear" w:color="auto" w:fill="auto"/>
            <w:noWrap/>
            <w:vAlign w:val="bottom"/>
          </w:tcPr>
          <w:p w14:paraId="37A82EEB" w14:textId="77777777" w:rsidR="004B7BE0" w:rsidRDefault="004B7BE0" w:rsidP="002B6EC8">
            <w:pPr>
              <w:spacing w:line="480" w:lineRule="auto"/>
              <w:rPr>
                <w:rFonts w:ascii="Calibri" w:hAnsi="Calibri"/>
                <w:color w:val="000000"/>
                <w:sz w:val="22"/>
                <w:szCs w:val="22"/>
                <w:u w:val="single"/>
              </w:rPr>
            </w:pPr>
            <w:r>
              <w:rPr>
                <w:rFonts w:ascii="Calibri" w:hAnsi="Calibri"/>
                <w:color w:val="000000"/>
                <w:sz w:val="22"/>
                <w:szCs w:val="22"/>
                <w:u w:val="single"/>
              </w:rPr>
              <w:t>Code</w:t>
            </w:r>
          </w:p>
        </w:tc>
      </w:tr>
      <w:tr w:rsidR="004B7BE0" w14:paraId="2AA20A04" w14:textId="77777777" w:rsidTr="002B6EC8">
        <w:trPr>
          <w:trHeight w:val="300"/>
        </w:trPr>
        <w:tc>
          <w:tcPr>
            <w:tcW w:w="3060" w:type="dxa"/>
            <w:tcBorders>
              <w:top w:val="nil"/>
              <w:left w:val="nil"/>
              <w:bottom w:val="nil"/>
              <w:right w:val="nil"/>
            </w:tcBorders>
            <w:shd w:val="clear" w:color="auto" w:fill="auto"/>
            <w:noWrap/>
            <w:vAlign w:val="bottom"/>
            <w:hideMark/>
          </w:tcPr>
          <w:p w14:paraId="4E88E37A" w14:textId="77777777" w:rsidR="004B7BE0" w:rsidRDefault="004B7BE0" w:rsidP="002B6EC8">
            <w:pPr>
              <w:spacing w:line="480" w:lineRule="auto"/>
              <w:ind w:right="72"/>
              <w:rPr>
                <w:rFonts w:ascii="Calibri" w:hAnsi="Calibri"/>
                <w:i/>
                <w:iCs/>
                <w:color w:val="000000"/>
                <w:sz w:val="18"/>
                <w:szCs w:val="18"/>
              </w:rPr>
            </w:pPr>
            <w:r>
              <w:rPr>
                <w:rFonts w:ascii="Calibri" w:hAnsi="Calibri"/>
                <w:i/>
                <w:iCs/>
                <w:color w:val="000000"/>
                <w:sz w:val="18"/>
                <w:szCs w:val="18"/>
              </w:rPr>
              <w:t>C. amplexicaulis   (</w:t>
            </w:r>
            <w:r w:rsidRPr="00BE7597">
              <w:rPr>
                <w:rFonts w:ascii="Calibri" w:hAnsi="Calibri"/>
                <w:iCs/>
                <w:color w:val="000000"/>
                <w:sz w:val="18"/>
                <w:szCs w:val="18"/>
              </w:rPr>
              <w:t>serpentine</w:t>
            </w:r>
            <w:r>
              <w:rPr>
                <w:rFonts w:ascii="Calibri" w:hAnsi="Calibri"/>
                <w:iCs/>
                <w:color w:val="000000"/>
                <w:sz w:val="18"/>
                <w:szCs w:val="18"/>
              </w:rPr>
              <w:t>)</w:t>
            </w:r>
          </w:p>
        </w:tc>
        <w:tc>
          <w:tcPr>
            <w:tcW w:w="2610" w:type="dxa"/>
            <w:tcBorders>
              <w:top w:val="nil"/>
              <w:left w:val="nil"/>
              <w:bottom w:val="nil"/>
              <w:right w:val="nil"/>
            </w:tcBorders>
            <w:shd w:val="clear" w:color="auto" w:fill="auto"/>
            <w:noWrap/>
            <w:vAlign w:val="bottom"/>
            <w:hideMark/>
          </w:tcPr>
          <w:p w14:paraId="748B9A0E"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AMB</w:t>
            </w:r>
          </w:p>
        </w:tc>
      </w:tr>
      <w:tr w:rsidR="004B7BE0" w14:paraId="2EA2C462" w14:textId="77777777" w:rsidTr="002B6EC8">
        <w:trPr>
          <w:trHeight w:val="300"/>
        </w:trPr>
        <w:tc>
          <w:tcPr>
            <w:tcW w:w="3060" w:type="dxa"/>
            <w:tcBorders>
              <w:top w:val="nil"/>
              <w:left w:val="nil"/>
              <w:bottom w:val="nil"/>
              <w:right w:val="nil"/>
            </w:tcBorders>
            <w:shd w:val="clear" w:color="auto" w:fill="auto"/>
            <w:noWrap/>
            <w:vAlign w:val="bottom"/>
            <w:hideMark/>
          </w:tcPr>
          <w:p w14:paraId="256709E8" w14:textId="77777777" w:rsidR="004B7BE0" w:rsidRDefault="004B7BE0" w:rsidP="002B6EC8">
            <w:pPr>
              <w:spacing w:line="480" w:lineRule="auto"/>
              <w:rPr>
                <w:rFonts w:ascii="Calibri" w:hAnsi="Calibri"/>
                <w:i/>
                <w:iCs/>
                <w:color w:val="000000"/>
                <w:sz w:val="18"/>
                <w:szCs w:val="18"/>
              </w:rPr>
            </w:pPr>
            <w:r>
              <w:rPr>
                <w:rFonts w:ascii="Calibri" w:hAnsi="Calibri"/>
                <w:i/>
                <w:iCs/>
                <w:color w:val="000000"/>
                <w:sz w:val="18"/>
                <w:szCs w:val="18"/>
              </w:rPr>
              <w:t>S. breweri (</w:t>
            </w:r>
            <w:r w:rsidRPr="00BE7597">
              <w:rPr>
                <w:rFonts w:ascii="Calibri" w:hAnsi="Calibri"/>
                <w:iCs/>
                <w:color w:val="000000"/>
                <w:sz w:val="18"/>
                <w:szCs w:val="18"/>
              </w:rPr>
              <w:t>serpentine</w:t>
            </w:r>
            <w:r>
              <w:rPr>
                <w:rFonts w:ascii="Calibri" w:hAnsi="Calibri"/>
                <w:iCs/>
                <w:color w:val="000000"/>
                <w:sz w:val="18"/>
                <w:szCs w:val="18"/>
              </w:rPr>
              <w:t>)</w:t>
            </w:r>
          </w:p>
        </w:tc>
        <w:tc>
          <w:tcPr>
            <w:tcW w:w="2610" w:type="dxa"/>
            <w:tcBorders>
              <w:top w:val="nil"/>
              <w:left w:val="nil"/>
              <w:bottom w:val="nil"/>
              <w:right w:val="nil"/>
            </w:tcBorders>
            <w:shd w:val="clear" w:color="auto" w:fill="auto"/>
            <w:noWrap/>
            <w:vAlign w:val="bottom"/>
            <w:hideMark/>
          </w:tcPr>
          <w:p w14:paraId="7CF3C392"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BRE</w:t>
            </w:r>
          </w:p>
        </w:tc>
      </w:tr>
      <w:tr w:rsidR="004B7BE0" w14:paraId="26F66F8D" w14:textId="77777777" w:rsidTr="002B6EC8">
        <w:trPr>
          <w:trHeight w:val="300"/>
        </w:trPr>
        <w:tc>
          <w:tcPr>
            <w:tcW w:w="3060" w:type="dxa"/>
            <w:tcBorders>
              <w:top w:val="nil"/>
              <w:left w:val="nil"/>
              <w:bottom w:val="nil"/>
              <w:right w:val="nil"/>
            </w:tcBorders>
            <w:shd w:val="clear" w:color="auto" w:fill="auto"/>
            <w:noWrap/>
            <w:vAlign w:val="bottom"/>
            <w:hideMark/>
          </w:tcPr>
          <w:p w14:paraId="35549F52" w14:textId="77777777" w:rsidR="004B7BE0" w:rsidRDefault="004B7BE0" w:rsidP="002B6EC8">
            <w:pPr>
              <w:spacing w:line="480" w:lineRule="auto"/>
              <w:rPr>
                <w:rFonts w:ascii="Calibri" w:hAnsi="Calibri"/>
                <w:color w:val="000000"/>
                <w:sz w:val="18"/>
                <w:szCs w:val="18"/>
              </w:rPr>
            </w:pPr>
            <w:r>
              <w:rPr>
                <w:rFonts w:ascii="Calibri" w:hAnsi="Calibri"/>
                <w:i/>
                <w:iCs/>
                <w:color w:val="000000"/>
                <w:sz w:val="18"/>
                <w:szCs w:val="18"/>
              </w:rPr>
              <w:t>C. coulteri</w:t>
            </w:r>
            <w:r>
              <w:rPr>
                <w:rFonts w:ascii="Calibri" w:hAnsi="Calibri"/>
                <w:color w:val="000000"/>
                <w:sz w:val="18"/>
                <w:szCs w:val="18"/>
              </w:rPr>
              <w:t xml:space="preserve"> Davis Rd site</w:t>
            </w:r>
          </w:p>
        </w:tc>
        <w:tc>
          <w:tcPr>
            <w:tcW w:w="2610" w:type="dxa"/>
            <w:tcBorders>
              <w:top w:val="nil"/>
              <w:left w:val="nil"/>
              <w:bottom w:val="nil"/>
              <w:right w:val="nil"/>
            </w:tcBorders>
            <w:shd w:val="clear" w:color="auto" w:fill="auto"/>
            <w:noWrap/>
            <w:vAlign w:val="bottom"/>
            <w:hideMark/>
          </w:tcPr>
          <w:p w14:paraId="0A70DDB7"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COUD</w:t>
            </w:r>
          </w:p>
        </w:tc>
      </w:tr>
      <w:tr w:rsidR="004B7BE0" w14:paraId="3B27423B" w14:textId="77777777" w:rsidTr="002B6EC8">
        <w:trPr>
          <w:trHeight w:val="300"/>
        </w:trPr>
        <w:tc>
          <w:tcPr>
            <w:tcW w:w="3060" w:type="dxa"/>
            <w:tcBorders>
              <w:top w:val="nil"/>
              <w:left w:val="nil"/>
              <w:bottom w:val="nil"/>
              <w:right w:val="nil"/>
            </w:tcBorders>
            <w:shd w:val="clear" w:color="auto" w:fill="auto"/>
            <w:noWrap/>
            <w:vAlign w:val="bottom"/>
            <w:hideMark/>
          </w:tcPr>
          <w:p w14:paraId="5722454B" w14:textId="77777777" w:rsidR="004B7BE0" w:rsidRDefault="004B7BE0" w:rsidP="002B6EC8">
            <w:pPr>
              <w:spacing w:line="480" w:lineRule="auto"/>
              <w:rPr>
                <w:rFonts w:ascii="Calibri" w:hAnsi="Calibri"/>
                <w:color w:val="000000"/>
                <w:sz w:val="18"/>
                <w:szCs w:val="18"/>
              </w:rPr>
            </w:pPr>
            <w:r>
              <w:rPr>
                <w:rFonts w:ascii="Calibri" w:hAnsi="Calibri"/>
                <w:i/>
                <w:iCs/>
                <w:color w:val="000000"/>
                <w:sz w:val="18"/>
                <w:szCs w:val="18"/>
              </w:rPr>
              <w:lastRenderedPageBreak/>
              <w:t>C. coulteri</w:t>
            </w:r>
            <w:r>
              <w:rPr>
                <w:rFonts w:ascii="Calibri" w:hAnsi="Calibri"/>
                <w:color w:val="000000"/>
                <w:sz w:val="18"/>
                <w:szCs w:val="18"/>
              </w:rPr>
              <w:t xml:space="preserve"> Frazier site</w:t>
            </w:r>
          </w:p>
        </w:tc>
        <w:tc>
          <w:tcPr>
            <w:tcW w:w="2610" w:type="dxa"/>
            <w:tcBorders>
              <w:top w:val="nil"/>
              <w:left w:val="nil"/>
              <w:bottom w:val="nil"/>
              <w:right w:val="nil"/>
            </w:tcBorders>
            <w:shd w:val="clear" w:color="auto" w:fill="auto"/>
            <w:noWrap/>
            <w:vAlign w:val="bottom"/>
            <w:hideMark/>
          </w:tcPr>
          <w:p w14:paraId="58C93C9D"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COUO</w:t>
            </w:r>
          </w:p>
        </w:tc>
      </w:tr>
      <w:tr w:rsidR="004B7BE0" w14:paraId="419565EA" w14:textId="77777777" w:rsidTr="002B6EC8">
        <w:trPr>
          <w:trHeight w:val="300"/>
        </w:trPr>
        <w:tc>
          <w:tcPr>
            <w:tcW w:w="3060" w:type="dxa"/>
            <w:tcBorders>
              <w:top w:val="nil"/>
              <w:left w:val="nil"/>
              <w:bottom w:val="nil"/>
              <w:right w:val="nil"/>
            </w:tcBorders>
            <w:shd w:val="clear" w:color="auto" w:fill="auto"/>
            <w:noWrap/>
            <w:vAlign w:val="bottom"/>
            <w:hideMark/>
          </w:tcPr>
          <w:p w14:paraId="6C249A30" w14:textId="77777777" w:rsidR="004B7BE0" w:rsidRDefault="004B7BE0" w:rsidP="002B6EC8">
            <w:pPr>
              <w:spacing w:line="480" w:lineRule="auto"/>
              <w:rPr>
                <w:rFonts w:ascii="Calibri" w:hAnsi="Calibri"/>
                <w:i/>
                <w:iCs/>
                <w:color w:val="000000"/>
                <w:sz w:val="18"/>
                <w:szCs w:val="18"/>
              </w:rPr>
            </w:pPr>
            <w:r>
              <w:rPr>
                <w:rFonts w:ascii="Calibri" w:hAnsi="Calibri"/>
                <w:i/>
                <w:iCs/>
                <w:color w:val="000000"/>
                <w:sz w:val="18"/>
                <w:szCs w:val="18"/>
              </w:rPr>
              <w:t>C. crassicaulis</w:t>
            </w:r>
          </w:p>
        </w:tc>
        <w:tc>
          <w:tcPr>
            <w:tcW w:w="2610" w:type="dxa"/>
            <w:tcBorders>
              <w:top w:val="nil"/>
              <w:left w:val="nil"/>
              <w:bottom w:val="nil"/>
              <w:right w:val="nil"/>
            </w:tcBorders>
            <w:shd w:val="clear" w:color="auto" w:fill="auto"/>
            <w:noWrap/>
            <w:vAlign w:val="bottom"/>
            <w:hideMark/>
          </w:tcPr>
          <w:p w14:paraId="533C0B96"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CRA</w:t>
            </w:r>
          </w:p>
        </w:tc>
      </w:tr>
      <w:tr w:rsidR="004B7BE0" w14:paraId="242EF68C" w14:textId="77777777" w:rsidTr="002B6EC8">
        <w:trPr>
          <w:trHeight w:val="300"/>
        </w:trPr>
        <w:tc>
          <w:tcPr>
            <w:tcW w:w="3060" w:type="dxa"/>
            <w:tcBorders>
              <w:top w:val="nil"/>
              <w:left w:val="nil"/>
              <w:bottom w:val="nil"/>
              <w:right w:val="nil"/>
            </w:tcBorders>
            <w:shd w:val="clear" w:color="auto" w:fill="auto"/>
            <w:noWrap/>
            <w:vAlign w:val="bottom"/>
            <w:hideMark/>
          </w:tcPr>
          <w:p w14:paraId="1B73957B" w14:textId="77777777" w:rsidR="004B7BE0" w:rsidRDefault="004B7BE0" w:rsidP="002B6EC8">
            <w:pPr>
              <w:spacing w:line="480" w:lineRule="auto"/>
              <w:rPr>
                <w:rFonts w:ascii="Calibri" w:hAnsi="Calibri"/>
                <w:i/>
                <w:iCs/>
                <w:color w:val="000000"/>
                <w:sz w:val="18"/>
                <w:szCs w:val="18"/>
              </w:rPr>
            </w:pPr>
            <w:r>
              <w:rPr>
                <w:rFonts w:ascii="Calibri" w:hAnsi="Calibri"/>
                <w:i/>
                <w:iCs/>
                <w:color w:val="000000"/>
                <w:sz w:val="18"/>
                <w:szCs w:val="18"/>
              </w:rPr>
              <w:t>S. diversifolius</w:t>
            </w:r>
          </w:p>
        </w:tc>
        <w:tc>
          <w:tcPr>
            <w:tcW w:w="2610" w:type="dxa"/>
            <w:tcBorders>
              <w:top w:val="nil"/>
              <w:left w:val="nil"/>
              <w:bottom w:val="nil"/>
              <w:right w:val="nil"/>
            </w:tcBorders>
            <w:shd w:val="clear" w:color="auto" w:fill="auto"/>
            <w:noWrap/>
            <w:vAlign w:val="bottom"/>
            <w:hideMark/>
          </w:tcPr>
          <w:p w14:paraId="3C3A507F"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DIV</w:t>
            </w:r>
          </w:p>
        </w:tc>
      </w:tr>
      <w:tr w:rsidR="004B7BE0" w14:paraId="2A6061DA" w14:textId="77777777" w:rsidTr="002B6EC8">
        <w:trPr>
          <w:trHeight w:val="300"/>
        </w:trPr>
        <w:tc>
          <w:tcPr>
            <w:tcW w:w="3060" w:type="dxa"/>
            <w:tcBorders>
              <w:top w:val="nil"/>
              <w:left w:val="nil"/>
              <w:bottom w:val="nil"/>
              <w:right w:val="nil"/>
            </w:tcBorders>
            <w:shd w:val="clear" w:color="auto" w:fill="auto"/>
            <w:noWrap/>
            <w:vAlign w:val="bottom"/>
            <w:hideMark/>
          </w:tcPr>
          <w:p w14:paraId="38B52D9B" w14:textId="77777777" w:rsidR="004B7BE0" w:rsidRDefault="004B7BE0" w:rsidP="002B6EC8">
            <w:pPr>
              <w:spacing w:line="480" w:lineRule="auto"/>
              <w:rPr>
                <w:rFonts w:ascii="Calibri" w:hAnsi="Calibri"/>
                <w:i/>
                <w:iCs/>
                <w:color w:val="000000"/>
                <w:sz w:val="18"/>
                <w:szCs w:val="18"/>
              </w:rPr>
            </w:pPr>
            <w:r>
              <w:rPr>
                <w:rFonts w:ascii="Calibri" w:hAnsi="Calibri"/>
                <w:i/>
                <w:iCs/>
                <w:color w:val="000000"/>
                <w:sz w:val="18"/>
                <w:szCs w:val="18"/>
              </w:rPr>
              <w:t>S. farnsworthianus</w:t>
            </w:r>
          </w:p>
        </w:tc>
        <w:tc>
          <w:tcPr>
            <w:tcW w:w="2610" w:type="dxa"/>
            <w:tcBorders>
              <w:top w:val="nil"/>
              <w:left w:val="nil"/>
              <w:bottom w:val="nil"/>
              <w:right w:val="nil"/>
            </w:tcBorders>
            <w:shd w:val="clear" w:color="auto" w:fill="auto"/>
            <w:noWrap/>
            <w:vAlign w:val="bottom"/>
            <w:hideMark/>
          </w:tcPr>
          <w:p w14:paraId="19A3577F"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FAR</w:t>
            </w:r>
          </w:p>
        </w:tc>
      </w:tr>
      <w:tr w:rsidR="004B7BE0" w14:paraId="1BD79316" w14:textId="77777777" w:rsidTr="002B6EC8">
        <w:trPr>
          <w:trHeight w:val="300"/>
        </w:trPr>
        <w:tc>
          <w:tcPr>
            <w:tcW w:w="3060" w:type="dxa"/>
            <w:tcBorders>
              <w:top w:val="nil"/>
              <w:left w:val="nil"/>
              <w:bottom w:val="nil"/>
              <w:right w:val="nil"/>
            </w:tcBorders>
            <w:shd w:val="clear" w:color="auto" w:fill="auto"/>
            <w:noWrap/>
            <w:vAlign w:val="bottom"/>
            <w:hideMark/>
          </w:tcPr>
          <w:p w14:paraId="4E96C34F" w14:textId="77777777" w:rsidR="004B7BE0" w:rsidRDefault="004B7BE0" w:rsidP="002B6EC8">
            <w:pPr>
              <w:spacing w:line="480" w:lineRule="auto"/>
              <w:rPr>
                <w:rFonts w:ascii="Calibri" w:hAnsi="Calibri"/>
                <w:color w:val="000000"/>
                <w:sz w:val="18"/>
                <w:szCs w:val="18"/>
              </w:rPr>
            </w:pPr>
            <w:r>
              <w:rPr>
                <w:rFonts w:ascii="Calibri" w:hAnsi="Calibri"/>
                <w:i/>
                <w:iCs/>
                <w:color w:val="000000"/>
                <w:sz w:val="18"/>
                <w:szCs w:val="18"/>
              </w:rPr>
              <w:t>S. glandulosus</w:t>
            </w:r>
            <w:r>
              <w:rPr>
                <w:rFonts w:ascii="Calibri" w:hAnsi="Calibri"/>
                <w:color w:val="000000"/>
                <w:sz w:val="18"/>
                <w:szCs w:val="18"/>
              </w:rPr>
              <w:t xml:space="preserve"> </w:t>
            </w:r>
            <w:r>
              <w:rPr>
                <w:rFonts w:ascii="Calibri" w:hAnsi="Calibri"/>
                <w:i/>
                <w:iCs/>
                <w:color w:val="000000"/>
                <w:sz w:val="18"/>
                <w:szCs w:val="18"/>
              </w:rPr>
              <w:t>(</w:t>
            </w:r>
            <w:r w:rsidRPr="00BE7597">
              <w:rPr>
                <w:rFonts w:ascii="Calibri" w:hAnsi="Calibri"/>
                <w:iCs/>
                <w:color w:val="000000"/>
                <w:sz w:val="18"/>
                <w:szCs w:val="18"/>
              </w:rPr>
              <w:t>serpentine</w:t>
            </w:r>
            <w:r>
              <w:rPr>
                <w:rFonts w:ascii="Calibri" w:hAnsi="Calibri"/>
                <w:iCs/>
                <w:color w:val="000000"/>
                <w:sz w:val="18"/>
                <w:szCs w:val="18"/>
              </w:rPr>
              <w:t>)</w:t>
            </w:r>
          </w:p>
        </w:tc>
        <w:tc>
          <w:tcPr>
            <w:tcW w:w="2610" w:type="dxa"/>
            <w:tcBorders>
              <w:top w:val="nil"/>
              <w:left w:val="nil"/>
              <w:bottom w:val="nil"/>
              <w:right w:val="nil"/>
            </w:tcBorders>
            <w:shd w:val="clear" w:color="auto" w:fill="auto"/>
            <w:noWrap/>
            <w:vAlign w:val="bottom"/>
            <w:hideMark/>
          </w:tcPr>
          <w:p w14:paraId="08CF82BF"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GLAA</w:t>
            </w:r>
          </w:p>
        </w:tc>
      </w:tr>
      <w:tr w:rsidR="004B7BE0" w14:paraId="4F54A4BF" w14:textId="77777777" w:rsidTr="002B6EC8">
        <w:trPr>
          <w:trHeight w:val="300"/>
        </w:trPr>
        <w:tc>
          <w:tcPr>
            <w:tcW w:w="3060" w:type="dxa"/>
            <w:tcBorders>
              <w:top w:val="nil"/>
              <w:left w:val="nil"/>
              <w:bottom w:val="nil"/>
              <w:right w:val="nil"/>
            </w:tcBorders>
            <w:shd w:val="clear" w:color="auto" w:fill="auto"/>
            <w:noWrap/>
            <w:vAlign w:val="bottom"/>
            <w:hideMark/>
          </w:tcPr>
          <w:p w14:paraId="38326139" w14:textId="77777777" w:rsidR="004B7BE0" w:rsidRDefault="004B7BE0" w:rsidP="002B6EC8">
            <w:pPr>
              <w:spacing w:line="480" w:lineRule="auto"/>
              <w:rPr>
                <w:rFonts w:ascii="Calibri" w:hAnsi="Calibri"/>
                <w:color w:val="000000"/>
                <w:sz w:val="18"/>
                <w:szCs w:val="18"/>
              </w:rPr>
            </w:pPr>
            <w:r>
              <w:rPr>
                <w:rFonts w:ascii="Calibri" w:hAnsi="Calibri"/>
                <w:i/>
                <w:iCs/>
                <w:color w:val="000000"/>
                <w:sz w:val="18"/>
                <w:szCs w:val="18"/>
              </w:rPr>
              <w:t>S. glandulosus</w:t>
            </w:r>
            <w:r>
              <w:rPr>
                <w:rFonts w:ascii="Calibri" w:hAnsi="Calibri"/>
                <w:color w:val="000000"/>
                <w:sz w:val="18"/>
                <w:szCs w:val="18"/>
              </w:rPr>
              <w:t xml:space="preserve">   </w:t>
            </w:r>
          </w:p>
        </w:tc>
        <w:tc>
          <w:tcPr>
            <w:tcW w:w="2610" w:type="dxa"/>
            <w:tcBorders>
              <w:top w:val="nil"/>
              <w:left w:val="nil"/>
              <w:bottom w:val="nil"/>
              <w:right w:val="nil"/>
            </w:tcBorders>
            <w:shd w:val="clear" w:color="auto" w:fill="auto"/>
            <w:noWrap/>
            <w:vAlign w:val="bottom"/>
            <w:hideMark/>
          </w:tcPr>
          <w:p w14:paraId="7FC8A451"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GLAB</w:t>
            </w:r>
          </w:p>
        </w:tc>
      </w:tr>
      <w:tr w:rsidR="004B7BE0" w14:paraId="272510B1" w14:textId="77777777" w:rsidTr="002B6EC8">
        <w:trPr>
          <w:trHeight w:val="300"/>
        </w:trPr>
        <w:tc>
          <w:tcPr>
            <w:tcW w:w="3060" w:type="dxa"/>
            <w:tcBorders>
              <w:top w:val="nil"/>
              <w:left w:val="nil"/>
              <w:bottom w:val="nil"/>
              <w:right w:val="nil"/>
            </w:tcBorders>
            <w:shd w:val="clear" w:color="auto" w:fill="auto"/>
            <w:noWrap/>
            <w:vAlign w:val="bottom"/>
            <w:hideMark/>
          </w:tcPr>
          <w:p w14:paraId="7D410DD2" w14:textId="77777777" w:rsidR="004B7BE0" w:rsidRDefault="004B7BE0" w:rsidP="002B6EC8">
            <w:pPr>
              <w:spacing w:line="480" w:lineRule="auto"/>
              <w:rPr>
                <w:rFonts w:ascii="Calibri" w:hAnsi="Calibri"/>
                <w:i/>
                <w:iCs/>
                <w:color w:val="000000"/>
                <w:sz w:val="18"/>
                <w:szCs w:val="18"/>
              </w:rPr>
            </w:pPr>
            <w:r>
              <w:rPr>
                <w:rFonts w:ascii="Calibri" w:hAnsi="Calibri"/>
                <w:i/>
                <w:iCs/>
                <w:color w:val="000000"/>
                <w:sz w:val="18"/>
                <w:szCs w:val="18"/>
              </w:rPr>
              <w:t>G. lasiophylla</w:t>
            </w:r>
          </w:p>
        </w:tc>
        <w:tc>
          <w:tcPr>
            <w:tcW w:w="2610" w:type="dxa"/>
            <w:tcBorders>
              <w:top w:val="nil"/>
              <w:left w:val="nil"/>
              <w:bottom w:val="nil"/>
              <w:right w:val="nil"/>
            </w:tcBorders>
            <w:shd w:val="clear" w:color="auto" w:fill="auto"/>
            <w:noWrap/>
            <w:vAlign w:val="bottom"/>
            <w:hideMark/>
          </w:tcPr>
          <w:p w14:paraId="43BC3AB5"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GUI</w:t>
            </w:r>
          </w:p>
        </w:tc>
      </w:tr>
      <w:tr w:rsidR="004B7BE0" w14:paraId="1982835C" w14:textId="77777777" w:rsidTr="002B6EC8">
        <w:trPr>
          <w:trHeight w:val="300"/>
        </w:trPr>
        <w:tc>
          <w:tcPr>
            <w:tcW w:w="3060" w:type="dxa"/>
            <w:tcBorders>
              <w:top w:val="nil"/>
              <w:left w:val="nil"/>
              <w:bottom w:val="nil"/>
              <w:right w:val="nil"/>
            </w:tcBorders>
            <w:shd w:val="clear" w:color="auto" w:fill="auto"/>
            <w:noWrap/>
            <w:vAlign w:val="bottom"/>
            <w:hideMark/>
          </w:tcPr>
          <w:p w14:paraId="53FE0F18" w14:textId="77777777" w:rsidR="004B7BE0" w:rsidRDefault="004B7BE0" w:rsidP="002B6EC8">
            <w:pPr>
              <w:spacing w:line="480" w:lineRule="auto"/>
              <w:rPr>
                <w:rFonts w:ascii="Calibri" w:hAnsi="Calibri"/>
                <w:i/>
                <w:iCs/>
                <w:color w:val="000000"/>
                <w:sz w:val="18"/>
                <w:szCs w:val="18"/>
              </w:rPr>
            </w:pPr>
            <w:r>
              <w:rPr>
                <w:rFonts w:ascii="Calibri" w:hAnsi="Calibri"/>
                <w:i/>
                <w:iCs/>
                <w:color w:val="000000"/>
                <w:sz w:val="18"/>
                <w:szCs w:val="18"/>
              </w:rPr>
              <w:t>S. hesperidis (</w:t>
            </w:r>
            <w:r w:rsidRPr="00BE7597">
              <w:rPr>
                <w:rFonts w:ascii="Calibri" w:hAnsi="Calibri"/>
                <w:iCs/>
                <w:color w:val="000000"/>
                <w:sz w:val="18"/>
                <w:szCs w:val="18"/>
              </w:rPr>
              <w:t>serpentine</w:t>
            </w:r>
            <w:r>
              <w:rPr>
                <w:rFonts w:ascii="Calibri" w:hAnsi="Calibri"/>
                <w:iCs/>
                <w:color w:val="000000"/>
                <w:sz w:val="18"/>
                <w:szCs w:val="18"/>
              </w:rPr>
              <w:t>)</w:t>
            </w:r>
          </w:p>
        </w:tc>
        <w:tc>
          <w:tcPr>
            <w:tcW w:w="2610" w:type="dxa"/>
            <w:tcBorders>
              <w:top w:val="nil"/>
              <w:left w:val="nil"/>
              <w:bottom w:val="nil"/>
              <w:right w:val="nil"/>
            </w:tcBorders>
            <w:shd w:val="clear" w:color="auto" w:fill="auto"/>
            <w:noWrap/>
            <w:vAlign w:val="bottom"/>
            <w:hideMark/>
          </w:tcPr>
          <w:p w14:paraId="5495FFC8"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HES</w:t>
            </w:r>
          </w:p>
        </w:tc>
      </w:tr>
      <w:tr w:rsidR="004B7BE0" w14:paraId="6F57B497" w14:textId="77777777" w:rsidTr="002B6EC8">
        <w:trPr>
          <w:trHeight w:val="300"/>
        </w:trPr>
        <w:tc>
          <w:tcPr>
            <w:tcW w:w="3060" w:type="dxa"/>
            <w:tcBorders>
              <w:top w:val="nil"/>
              <w:left w:val="nil"/>
              <w:bottom w:val="nil"/>
              <w:right w:val="nil"/>
            </w:tcBorders>
            <w:shd w:val="clear" w:color="auto" w:fill="auto"/>
            <w:noWrap/>
            <w:vAlign w:val="bottom"/>
            <w:hideMark/>
          </w:tcPr>
          <w:p w14:paraId="3EF622E2" w14:textId="77777777" w:rsidR="004B7BE0" w:rsidRDefault="004B7BE0" w:rsidP="002B6EC8">
            <w:pPr>
              <w:spacing w:line="480" w:lineRule="auto"/>
              <w:rPr>
                <w:rFonts w:ascii="Calibri" w:hAnsi="Calibri"/>
                <w:i/>
                <w:iCs/>
                <w:color w:val="000000"/>
                <w:sz w:val="18"/>
                <w:szCs w:val="18"/>
              </w:rPr>
            </w:pPr>
            <w:r>
              <w:rPr>
                <w:rFonts w:ascii="Calibri" w:hAnsi="Calibri"/>
                <w:i/>
                <w:iCs/>
                <w:color w:val="000000"/>
                <w:sz w:val="18"/>
                <w:szCs w:val="18"/>
              </w:rPr>
              <w:t>S. polygaloides (</w:t>
            </w:r>
            <w:r w:rsidRPr="00BE7597">
              <w:rPr>
                <w:rFonts w:ascii="Calibri" w:hAnsi="Calibri"/>
                <w:iCs/>
                <w:color w:val="000000"/>
                <w:sz w:val="18"/>
                <w:szCs w:val="18"/>
              </w:rPr>
              <w:t>serpentine</w:t>
            </w:r>
            <w:r>
              <w:rPr>
                <w:rFonts w:ascii="Calibri" w:hAnsi="Calibri"/>
                <w:iCs/>
                <w:color w:val="000000"/>
                <w:sz w:val="18"/>
                <w:szCs w:val="18"/>
              </w:rPr>
              <w:t>)</w:t>
            </w:r>
          </w:p>
        </w:tc>
        <w:tc>
          <w:tcPr>
            <w:tcW w:w="2610" w:type="dxa"/>
            <w:tcBorders>
              <w:top w:val="nil"/>
              <w:left w:val="nil"/>
              <w:bottom w:val="nil"/>
              <w:right w:val="nil"/>
            </w:tcBorders>
            <w:shd w:val="clear" w:color="auto" w:fill="auto"/>
            <w:noWrap/>
            <w:vAlign w:val="bottom"/>
            <w:hideMark/>
          </w:tcPr>
          <w:p w14:paraId="03A5165E"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POL</w:t>
            </w:r>
          </w:p>
        </w:tc>
      </w:tr>
      <w:tr w:rsidR="004B7BE0" w14:paraId="5A018E39" w14:textId="77777777" w:rsidTr="002B6EC8">
        <w:trPr>
          <w:trHeight w:val="300"/>
        </w:trPr>
        <w:tc>
          <w:tcPr>
            <w:tcW w:w="3060" w:type="dxa"/>
            <w:tcBorders>
              <w:top w:val="nil"/>
              <w:left w:val="nil"/>
              <w:bottom w:val="nil"/>
              <w:right w:val="nil"/>
            </w:tcBorders>
            <w:shd w:val="clear" w:color="auto" w:fill="auto"/>
            <w:noWrap/>
            <w:vAlign w:val="bottom"/>
            <w:hideMark/>
          </w:tcPr>
          <w:p w14:paraId="12B7F7A6" w14:textId="77777777" w:rsidR="004B7BE0" w:rsidRDefault="004B7BE0" w:rsidP="002B6EC8">
            <w:pPr>
              <w:spacing w:line="480" w:lineRule="auto"/>
              <w:rPr>
                <w:rFonts w:ascii="Calibri" w:hAnsi="Calibri"/>
                <w:color w:val="000000"/>
                <w:sz w:val="18"/>
                <w:szCs w:val="18"/>
              </w:rPr>
            </w:pPr>
            <w:r>
              <w:rPr>
                <w:rFonts w:ascii="Calibri" w:hAnsi="Calibri"/>
                <w:i/>
                <w:iCs/>
                <w:color w:val="000000"/>
                <w:sz w:val="18"/>
                <w:szCs w:val="18"/>
              </w:rPr>
              <w:t>S. tortuosus</w:t>
            </w:r>
            <w:r>
              <w:rPr>
                <w:rFonts w:ascii="Calibri" w:hAnsi="Calibri"/>
                <w:color w:val="000000"/>
                <w:sz w:val="18"/>
                <w:szCs w:val="18"/>
              </w:rPr>
              <w:t xml:space="preserve"> </w:t>
            </w:r>
          </w:p>
        </w:tc>
        <w:tc>
          <w:tcPr>
            <w:tcW w:w="2610" w:type="dxa"/>
            <w:tcBorders>
              <w:top w:val="nil"/>
              <w:left w:val="nil"/>
              <w:bottom w:val="nil"/>
              <w:right w:val="nil"/>
            </w:tcBorders>
            <w:shd w:val="clear" w:color="auto" w:fill="auto"/>
            <w:noWrap/>
            <w:vAlign w:val="bottom"/>
            <w:hideMark/>
          </w:tcPr>
          <w:p w14:paraId="36A45945"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TORB</w:t>
            </w:r>
          </w:p>
        </w:tc>
      </w:tr>
      <w:tr w:rsidR="004B7BE0" w14:paraId="7520DFA3" w14:textId="77777777" w:rsidTr="002B6EC8">
        <w:trPr>
          <w:trHeight w:val="300"/>
        </w:trPr>
        <w:tc>
          <w:tcPr>
            <w:tcW w:w="3060" w:type="dxa"/>
            <w:tcBorders>
              <w:top w:val="nil"/>
              <w:left w:val="nil"/>
              <w:bottom w:val="single" w:sz="4" w:space="0" w:color="auto"/>
              <w:right w:val="nil"/>
            </w:tcBorders>
            <w:shd w:val="clear" w:color="auto" w:fill="auto"/>
            <w:noWrap/>
            <w:vAlign w:val="bottom"/>
            <w:hideMark/>
          </w:tcPr>
          <w:p w14:paraId="08B9F89A" w14:textId="77777777" w:rsidR="004B7BE0" w:rsidRDefault="004B7BE0" w:rsidP="002B6EC8">
            <w:pPr>
              <w:spacing w:line="480" w:lineRule="auto"/>
              <w:rPr>
                <w:rFonts w:ascii="Calibri" w:hAnsi="Calibri"/>
                <w:color w:val="000000"/>
                <w:sz w:val="18"/>
                <w:szCs w:val="18"/>
              </w:rPr>
            </w:pPr>
            <w:r>
              <w:rPr>
                <w:rFonts w:ascii="Calibri" w:hAnsi="Calibri"/>
                <w:i/>
                <w:iCs/>
                <w:color w:val="000000"/>
                <w:sz w:val="18"/>
                <w:szCs w:val="18"/>
              </w:rPr>
              <w:t>S. tortuosus</w:t>
            </w:r>
            <w:r>
              <w:rPr>
                <w:rFonts w:ascii="Calibri" w:hAnsi="Calibri"/>
                <w:color w:val="000000"/>
                <w:sz w:val="18"/>
                <w:szCs w:val="18"/>
              </w:rPr>
              <w:t xml:space="preserve"> </w:t>
            </w:r>
            <w:r>
              <w:rPr>
                <w:rFonts w:ascii="Calibri" w:hAnsi="Calibri"/>
                <w:i/>
                <w:iCs/>
                <w:color w:val="000000"/>
                <w:sz w:val="18"/>
                <w:szCs w:val="18"/>
              </w:rPr>
              <w:t>(</w:t>
            </w:r>
            <w:r w:rsidRPr="00BE7597">
              <w:rPr>
                <w:rFonts w:ascii="Calibri" w:hAnsi="Calibri"/>
                <w:iCs/>
                <w:color w:val="000000"/>
                <w:sz w:val="18"/>
                <w:szCs w:val="18"/>
              </w:rPr>
              <w:t>serpentine</w:t>
            </w:r>
            <w:r>
              <w:rPr>
                <w:rFonts w:ascii="Calibri" w:hAnsi="Calibri"/>
                <w:iCs/>
                <w:color w:val="000000"/>
                <w:sz w:val="18"/>
                <w:szCs w:val="18"/>
              </w:rPr>
              <w:t>)</w:t>
            </w:r>
          </w:p>
        </w:tc>
        <w:tc>
          <w:tcPr>
            <w:tcW w:w="2610" w:type="dxa"/>
            <w:tcBorders>
              <w:top w:val="nil"/>
              <w:left w:val="nil"/>
              <w:bottom w:val="single" w:sz="4" w:space="0" w:color="auto"/>
              <w:right w:val="nil"/>
            </w:tcBorders>
            <w:shd w:val="clear" w:color="auto" w:fill="auto"/>
            <w:noWrap/>
            <w:vAlign w:val="bottom"/>
            <w:hideMark/>
          </w:tcPr>
          <w:p w14:paraId="6182E1E4" w14:textId="77777777" w:rsidR="004B7BE0" w:rsidRDefault="004B7BE0" w:rsidP="002B6EC8">
            <w:pPr>
              <w:spacing w:line="480" w:lineRule="auto"/>
              <w:rPr>
                <w:rFonts w:ascii="Calibri" w:hAnsi="Calibri"/>
                <w:color w:val="000000"/>
                <w:sz w:val="22"/>
                <w:szCs w:val="22"/>
              </w:rPr>
            </w:pPr>
            <w:r>
              <w:rPr>
                <w:rFonts w:ascii="Calibri" w:hAnsi="Calibri"/>
                <w:color w:val="000000"/>
                <w:sz w:val="22"/>
                <w:szCs w:val="22"/>
              </w:rPr>
              <w:t>TORW</w:t>
            </w:r>
          </w:p>
        </w:tc>
      </w:tr>
    </w:tbl>
    <w:p w14:paraId="3C29FA0C" w14:textId="77777777" w:rsidR="00FB070A" w:rsidRDefault="00FB070A" w:rsidP="00195498">
      <w:pPr>
        <w:spacing w:line="480" w:lineRule="auto"/>
      </w:pPr>
    </w:p>
    <w:p w14:paraId="1908B670" w14:textId="77777777" w:rsidR="002C3839" w:rsidRDefault="002C3839" w:rsidP="00195498">
      <w:pPr>
        <w:spacing w:line="480" w:lineRule="auto"/>
      </w:pPr>
    </w:p>
    <w:p w14:paraId="7E4BB6A2" w14:textId="77777777" w:rsidR="002C3839" w:rsidRDefault="002C3839" w:rsidP="00195498">
      <w:pPr>
        <w:spacing w:line="480" w:lineRule="auto"/>
      </w:pPr>
    </w:p>
    <w:p w14:paraId="57DCC873" w14:textId="77777777" w:rsidR="002C3839" w:rsidRDefault="002C3839" w:rsidP="00195498">
      <w:pPr>
        <w:spacing w:line="480" w:lineRule="auto"/>
      </w:pPr>
    </w:p>
    <w:p w14:paraId="4C02DB36" w14:textId="77777777" w:rsidR="002C3839" w:rsidRDefault="002C3839" w:rsidP="00195498">
      <w:pPr>
        <w:spacing w:line="480" w:lineRule="auto"/>
      </w:pPr>
    </w:p>
    <w:p w14:paraId="316A8324" w14:textId="77777777" w:rsidR="00FB070A" w:rsidRDefault="00FB070A" w:rsidP="00195498">
      <w:pPr>
        <w:spacing w:line="480" w:lineRule="auto"/>
      </w:pPr>
    </w:p>
    <w:p w14:paraId="3630EBD0" w14:textId="77777777" w:rsidR="004B7BE0" w:rsidRDefault="004B7BE0" w:rsidP="00195498">
      <w:pPr>
        <w:spacing w:line="480" w:lineRule="auto"/>
      </w:pPr>
    </w:p>
    <w:p w14:paraId="6ED5E102" w14:textId="77777777" w:rsidR="004B7BE0" w:rsidRDefault="004B7BE0" w:rsidP="00195498">
      <w:pPr>
        <w:spacing w:line="480" w:lineRule="auto"/>
      </w:pPr>
    </w:p>
    <w:p w14:paraId="3D31D41E" w14:textId="77777777" w:rsidR="004B7BE0" w:rsidRDefault="004B7BE0" w:rsidP="00195498">
      <w:pPr>
        <w:spacing w:line="480" w:lineRule="auto"/>
      </w:pPr>
    </w:p>
    <w:p w14:paraId="641F6B29" w14:textId="77777777" w:rsidR="004B7BE0" w:rsidRDefault="004B7BE0" w:rsidP="00195498">
      <w:pPr>
        <w:spacing w:line="480" w:lineRule="auto"/>
      </w:pPr>
    </w:p>
    <w:p w14:paraId="672BBA0F" w14:textId="77777777" w:rsidR="004B7BE0" w:rsidRDefault="004B7BE0" w:rsidP="00195498">
      <w:pPr>
        <w:spacing w:line="480" w:lineRule="auto"/>
      </w:pPr>
    </w:p>
    <w:p w14:paraId="2698E4EA" w14:textId="77777777" w:rsidR="004B7BE0" w:rsidRDefault="004B7BE0" w:rsidP="00195498">
      <w:pPr>
        <w:spacing w:line="480" w:lineRule="auto"/>
      </w:pPr>
    </w:p>
    <w:p w14:paraId="552CDAF1" w14:textId="77777777" w:rsidR="004B7BE0" w:rsidRDefault="004B7BE0" w:rsidP="00195498">
      <w:pPr>
        <w:spacing w:line="480" w:lineRule="auto"/>
      </w:pPr>
    </w:p>
    <w:p w14:paraId="7E004081" w14:textId="77777777" w:rsidR="004B7BE0" w:rsidRDefault="004B7BE0" w:rsidP="00195498">
      <w:pPr>
        <w:spacing w:line="480" w:lineRule="auto"/>
      </w:pPr>
    </w:p>
    <w:p w14:paraId="42917914" w14:textId="77777777" w:rsidR="004B7BE0" w:rsidRDefault="004B7BE0" w:rsidP="00195498">
      <w:pPr>
        <w:spacing w:line="480" w:lineRule="auto"/>
      </w:pPr>
    </w:p>
    <w:p w14:paraId="7155D142" w14:textId="77777777" w:rsidR="004B7BE0" w:rsidRDefault="004B7BE0" w:rsidP="00195498">
      <w:pPr>
        <w:spacing w:line="480" w:lineRule="auto"/>
      </w:pPr>
    </w:p>
    <w:p w14:paraId="286C16EF" w14:textId="77777777" w:rsidR="004B7BE0" w:rsidRDefault="004B7BE0" w:rsidP="00195498">
      <w:pPr>
        <w:spacing w:line="480" w:lineRule="auto"/>
      </w:pPr>
    </w:p>
    <w:p w14:paraId="66A90291" w14:textId="77777777" w:rsidR="004B7BE0" w:rsidRDefault="004B7BE0" w:rsidP="00195498">
      <w:pPr>
        <w:spacing w:line="480" w:lineRule="auto"/>
      </w:pPr>
    </w:p>
    <w:p w14:paraId="73AF3927" w14:textId="77777777" w:rsidR="004B7BE0" w:rsidRDefault="004B7BE0" w:rsidP="00195498">
      <w:pPr>
        <w:spacing w:line="480" w:lineRule="auto"/>
      </w:pPr>
    </w:p>
    <w:tbl>
      <w:tblPr>
        <w:tblW w:w="5980" w:type="dxa"/>
        <w:tblLook w:val="04A0" w:firstRow="1" w:lastRow="0" w:firstColumn="1" w:lastColumn="0" w:noHBand="0" w:noVBand="1"/>
      </w:tblPr>
      <w:tblGrid>
        <w:gridCol w:w="3958"/>
        <w:gridCol w:w="1505"/>
        <w:gridCol w:w="610"/>
      </w:tblGrid>
      <w:tr w:rsidR="007F5E3E" w14:paraId="4E5FF7F4" w14:textId="77777777" w:rsidTr="007F5E3E">
        <w:trPr>
          <w:trHeight w:val="1350"/>
        </w:trPr>
        <w:tc>
          <w:tcPr>
            <w:tcW w:w="5980" w:type="dxa"/>
            <w:gridSpan w:val="3"/>
            <w:tcBorders>
              <w:top w:val="single" w:sz="4" w:space="0" w:color="auto"/>
              <w:left w:val="nil"/>
              <w:bottom w:val="single" w:sz="4" w:space="0" w:color="auto"/>
              <w:right w:val="nil"/>
            </w:tcBorders>
            <w:shd w:val="clear" w:color="auto" w:fill="auto"/>
            <w:vAlign w:val="bottom"/>
            <w:hideMark/>
          </w:tcPr>
          <w:p w14:paraId="5E35BB51" w14:textId="4BDB776A" w:rsidR="007F5E3E" w:rsidRDefault="007F5E3E" w:rsidP="00250DA9">
            <w:pPr>
              <w:spacing w:line="480" w:lineRule="auto"/>
              <w:rPr>
                <w:rFonts w:ascii="Calibri" w:hAnsi="Calibri"/>
                <w:color w:val="000000"/>
                <w:sz w:val="22"/>
                <w:szCs w:val="22"/>
              </w:rPr>
            </w:pPr>
            <w:r>
              <w:rPr>
                <w:rFonts w:ascii="Calibri" w:hAnsi="Calibri"/>
                <w:b/>
                <w:bCs/>
                <w:color w:val="000000"/>
                <w:sz w:val="22"/>
                <w:szCs w:val="22"/>
              </w:rPr>
              <w:t>Ta</w:t>
            </w:r>
            <w:r w:rsidR="002C3839">
              <w:rPr>
                <w:rFonts w:ascii="Calibri" w:hAnsi="Calibri"/>
                <w:b/>
                <w:bCs/>
                <w:color w:val="000000"/>
                <w:sz w:val="22"/>
                <w:szCs w:val="22"/>
              </w:rPr>
              <w:t xml:space="preserve">ble </w:t>
            </w:r>
            <w:r w:rsidR="00811537">
              <w:rPr>
                <w:rFonts w:ascii="Calibri" w:hAnsi="Calibri"/>
                <w:b/>
                <w:bCs/>
                <w:color w:val="000000"/>
                <w:sz w:val="22"/>
                <w:szCs w:val="22"/>
              </w:rPr>
              <w:t>2</w:t>
            </w:r>
            <w:r>
              <w:rPr>
                <w:rFonts w:ascii="Calibri" w:hAnsi="Calibri"/>
                <w:b/>
                <w:bCs/>
                <w:color w:val="000000"/>
                <w:sz w:val="22"/>
                <w:szCs w:val="22"/>
              </w:rPr>
              <w:t xml:space="preserve">:  </w:t>
            </w:r>
            <w:r>
              <w:rPr>
                <w:rFonts w:ascii="Calibri" w:hAnsi="Calibri"/>
                <w:color w:val="000000"/>
                <w:sz w:val="22"/>
                <w:szCs w:val="22"/>
              </w:rPr>
              <w:t>Phylogenetic signal of herbivore tolerance and resistance.  Note</w:t>
            </w:r>
            <w:r w:rsidR="008051C4">
              <w:rPr>
                <w:rFonts w:ascii="Calibri" w:hAnsi="Calibri"/>
                <w:color w:val="000000"/>
                <w:sz w:val="22"/>
                <w:szCs w:val="22"/>
              </w:rPr>
              <w:t xml:space="preserve"> that taxon sample size was </w:t>
            </w:r>
            <w:r>
              <w:rPr>
                <w:rFonts w:ascii="Calibri" w:hAnsi="Calibri"/>
                <w:color w:val="000000"/>
                <w:sz w:val="22"/>
                <w:szCs w:val="22"/>
              </w:rPr>
              <w:t xml:space="preserve">small (n=9-12), so a </w:t>
            </w:r>
            <w:r w:rsidR="00250DA9">
              <w:rPr>
                <w:rFonts w:ascii="Calibri" w:hAnsi="Calibri"/>
                <w:color w:val="000000"/>
                <w:sz w:val="22"/>
                <w:szCs w:val="22"/>
              </w:rPr>
              <w:t>marginal</w:t>
            </w:r>
            <w:r>
              <w:rPr>
                <w:rFonts w:ascii="Calibri" w:hAnsi="Calibri"/>
                <w:color w:val="000000"/>
                <w:sz w:val="22"/>
                <w:szCs w:val="22"/>
              </w:rPr>
              <w:t xml:space="preserve"> significance of phylogenetic signal associated with high </w:t>
            </w:r>
            <w:r>
              <w:rPr>
                <w:rFonts w:ascii="Calibri" w:hAnsi="Calibri"/>
                <w:color w:val="000000"/>
                <w:sz w:val="22"/>
                <w:szCs w:val="22"/>
              </w:rPr>
              <w:lastRenderedPageBreak/>
              <w:t xml:space="preserve">values of K </w:t>
            </w:r>
            <w:r w:rsidR="008051C4">
              <w:rPr>
                <w:rFonts w:ascii="Calibri" w:hAnsi="Calibri"/>
                <w:color w:val="000000"/>
                <w:sz w:val="22"/>
                <w:szCs w:val="22"/>
              </w:rPr>
              <w:t>likely</w:t>
            </w:r>
            <w:r w:rsidR="000655A9">
              <w:rPr>
                <w:rFonts w:ascii="Calibri" w:hAnsi="Calibri"/>
                <w:color w:val="000000"/>
                <w:sz w:val="22"/>
                <w:szCs w:val="22"/>
              </w:rPr>
              <w:t xml:space="preserve"> </w:t>
            </w:r>
            <w:r>
              <w:rPr>
                <w:rFonts w:ascii="Calibri" w:hAnsi="Calibri"/>
                <w:color w:val="000000"/>
                <w:sz w:val="22"/>
                <w:szCs w:val="22"/>
              </w:rPr>
              <w:t>reflect</w:t>
            </w:r>
            <w:r w:rsidR="008051C4">
              <w:rPr>
                <w:rFonts w:ascii="Calibri" w:hAnsi="Calibri"/>
                <w:color w:val="000000"/>
                <w:sz w:val="22"/>
                <w:szCs w:val="22"/>
              </w:rPr>
              <w:t>s</w:t>
            </w:r>
            <w:r>
              <w:rPr>
                <w:rFonts w:ascii="Calibri" w:hAnsi="Calibri"/>
                <w:color w:val="000000"/>
                <w:sz w:val="22"/>
                <w:szCs w:val="22"/>
              </w:rPr>
              <w:t xml:space="preserve"> low sample size.  </w:t>
            </w:r>
            <w:r w:rsidR="00E95F6A">
              <w:rPr>
                <w:rFonts w:ascii="Calibri" w:hAnsi="Calibri"/>
                <w:color w:val="000000"/>
                <w:sz w:val="22"/>
                <w:szCs w:val="22"/>
              </w:rPr>
              <w:t>Bolded values indicate K&gt;1, suggesting moderate to strong phylogenetic signal.</w:t>
            </w:r>
          </w:p>
        </w:tc>
      </w:tr>
      <w:tr w:rsidR="007F5E3E" w14:paraId="4936CBC7" w14:textId="77777777" w:rsidTr="007F5E3E">
        <w:trPr>
          <w:trHeight w:val="300"/>
        </w:trPr>
        <w:tc>
          <w:tcPr>
            <w:tcW w:w="3958" w:type="dxa"/>
            <w:tcBorders>
              <w:top w:val="nil"/>
              <w:left w:val="nil"/>
              <w:bottom w:val="nil"/>
              <w:right w:val="nil"/>
            </w:tcBorders>
            <w:shd w:val="clear" w:color="auto" w:fill="auto"/>
            <w:noWrap/>
            <w:vAlign w:val="bottom"/>
            <w:hideMark/>
          </w:tcPr>
          <w:p w14:paraId="52B82A33" w14:textId="77777777" w:rsidR="007F5E3E" w:rsidRDefault="007F5E3E" w:rsidP="00195498">
            <w:pPr>
              <w:spacing w:line="480" w:lineRule="auto"/>
              <w:rPr>
                <w:rFonts w:ascii="Calibri" w:hAnsi="Calibri"/>
                <w:b/>
                <w:bCs/>
                <w:color w:val="000000"/>
                <w:sz w:val="22"/>
                <w:szCs w:val="22"/>
              </w:rPr>
            </w:pPr>
            <w:r>
              <w:rPr>
                <w:rFonts w:ascii="Calibri" w:hAnsi="Calibri"/>
                <w:b/>
                <w:bCs/>
                <w:color w:val="000000"/>
                <w:sz w:val="22"/>
                <w:szCs w:val="22"/>
              </w:rPr>
              <w:lastRenderedPageBreak/>
              <w:t>Functional trait</w:t>
            </w:r>
          </w:p>
        </w:tc>
        <w:tc>
          <w:tcPr>
            <w:tcW w:w="1505" w:type="dxa"/>
            <w:tcBorders>
              <w:top w:val="nil"/>
              <w:left w:val="nil"/>
              <w:bottom w:val="nil"/>
              <w:right w:val="nil"/>
            </w:tcBorders>
            <w:shd w:val="clear" w:color="auto" w:fill="auto"/>
            <w:noWrap/>
            <w:vAlign w:val="bottom"/>
            <w:hideMark/>
          </w:tcPr>
          <w:p w14:paraId="7E37C934" w14:textId="77777777" w:rsidR="007F5E3E" w:rsidRDefault="007F5E3E" w:rsidP="00195498">
            <w:pPr>
              <w:spacing w:line="480" w:lineRule="auto"/>
              <w:jc w:val="center"/>
              <w:rPr>
                <w:rFonts w:ascii="Calibri" w:hAnsi="Calibri"/>
                <w:b/>
                <w:bCs/>
                <w:color w:val="000000"/>
                <w:sz w:val="22"/>
                <w:szCs w:val="22"/>
              </w:rPr>
            </w:pPr>
            <w:r>
              <w:rPr>
                <w:rFonts w:ascii="Calibri" w:hAnsi="Calibri"/>
                <w:b/>
                <w:bCs/>
                <w:color w:val="000000"/>
                <w:sz w:val="22"/>
                <w:szCs w:val="22"/>
              </w:rPr>
              <w:t>Blomberg's K</w:t>
            </w:r>
          </w:p>
        </w:tc>
        <w:tc>
          <w:tcPr>
            <w:tcW w:w="517" w:type="dxa"/>
            <w:tcBorders>
              <w:top w:val="nil"/>
              <w:left w:val="nil"/>
              <w:bottom w:val="nil"/>
              <w:right w:val="nil"/>
            </w:tcBorders>
            <w:shd w:val="clear" w:color="auto" w:fill="auto"/>
            <w:noWrap/>
            <w:vAlign w:val="bottom"/>
            <w:hideMark/>
          </w:tcPr>
          <w:p w14:paraId="3D2ED88F" w14:textId="77777777" w:rsidR="007F5E3E" w:rsidRDefault="007F5E3E" w:rsidP="00195498">
            <w:pPr>
              <w:spacing w:line="480" w:lineRule="auto"/>
              <w:jc w:val="center"/>
              <w:rPr>
                <w:rFonts w:ascii="Calibri" w:hAnsi="Calibri"/>
                <w:b/>
                <w:bCs/>
                <w:color w:val="000000"/>
                <w:sz w:val="22"/>
                <w:szCs w:val="22"/>
              </w:rPr>
            </w:pPr>
            <w:r>
              <w:rPr>
                <w:rFonts w:ascii="Calibri" w:hAnsi="Calibri"/>
                <w:b/>
                <w:bCs/>
                <w:color w:val="000000"/>
                <w:sz w:val="22"/>
                <w:szCs w:val="22"/>
              </w:rPr>
              <w:t>P</w:t>
            </w:r>
          </w:p>
        </w:tc>
      </w:tr>
      <w:tr w:rsidR="007F5E3E" w14:paraId="5FF7C3A6" w14:textId="77777777" w:rsidTr="007F5E3E">
        <w:trPr>
          <w:trHeight w:val="300"/>
        </w:trPr>
        <w:tc>
          <w:tcPr>
            <w:tcW w:w="3958" w:type="dxa"/>
            <w:tcBorders>
              <w:top w:val="nil"/>
              <w:left w:val="nil"/>
              <w:bottom w:val="nil"/>
              <w:right w:val="nil"/>
            </w:tcBorders>
            <w:shd w:val="clear" w:color="auto" w:fill="auto"/>
            <w:noWrap/>
            <w:vAlign w:val="bottom"/>
            <w:hideMark/>
          </w:tcPr>
          <w:p w14:paraId="5634655D" w14:textId="77777777" w:rsidR="007F5E3E" w:rsidRDefault="007F5E3E" w:rsidP="00195498">
            <w:pPr>
              <w:spacing w:line="480" w:lineRule="auto"/>
              <w:rPr>
                <w:rFonts w:ascii="Calibri" w:hAnsi="Calibri"/>
                <w:color w:val="000000"/>
                <w:sz w:val="22"/>
                <w:szCs w:val="22"/>
              </w:rPr>
            </w:pPr>
            <w:r>
              <w:rPr>
                <w:rFonts w:ascii="Calibri" w:hAnsi="Calibri"/>
                <w:color w:val="000000"/>
                <w:sz w:val="22"/>
                <w:szCs w:val="22"/>
              </w:rPr>
              <w:t>tolerance to browse</w:t>
            </w:r>
          </w:p>
        </w:tc>
        <w:tc>
          <w:tcPr>
            <w:tcW w:w="1505" w:type="dxa"/>
            <w:tcBorders>
              <w:top w:val="nil"/>
              <w:left w:val="nil"/>
              <w:bottom w:val="nil"/>
              <w:right w:val="nil"/>
            </w:tcBorders>
            <w:shd w:val="clear" w:color="auto" w:fill="auto"/>
            <w:noWrap/>
            <w:vAlign w:val="bottom"/>
            <w:hideMark/>
          </w:tcPr>
          <w:p w14:paraId="332172FC" w14:textId="77777777" w:rsidR="007F5E3E" w:rsidRDefault="007F5E3E" w:rsidP="00195498">
            <w:pPr>
              <w:spacing w:line="480" w:lineRule="auto"/>
              <w:jc w:val="center"/>
              <w:rPr>
                <w:rFonts w:ascii="Calibri" w:hAnsi="Calibri"/>
                <w:color w:val="000000"/>
                <w:sz w:val="22"/>
                <w:szCs w:val="22"/>
              </w:rPr>
            </w:pPr>
            <w:r>
              <w:rPr>
                <w:rFonts w:ascii="Calibri" w:hAnsi="Calibri"/>
                <w:color w:val="000000"/>
                <w:sz w:val="22"/>
                <w:szCs w:val="22"/>
              </w:rPr>
              <w:t>0.46</w:t>
            </w:r>
          </w:p>
        </w:tc>
        <w:tc>
          <w:tcPr>
            <w:tcW w:w="517" w:type="dxa"/>
            <w:tcBorders>
              <w:top w:val="nil"/>
              <w:left w:val="nil"/>
              <w:bottom w:val="nil"/>
              <w:right w:val="nil"/>
            </w:tcBorders>
            <w:shd w:val="clear" w:color="auto" w:fill="auto"/>
            <w:noWrap/>
            <w:vAlign w:val="bottom"/>
            <w:hideMark/>
          </w:tcPr>
          <w:p w14:paraId="2544EAFD" w14:textId="77777777" w:rsidR="007F5E3E" w:rsidRDefault="007F5E3E" w:rsidP="00195498">
            <w:pPr>
              <w:spacing w:line="480" w:lineRule="auto"/>
              <w:jc w:val="center"/>
              <w:rPr>
                <w:rFonts w:ascii="Calibri" w:hAnsi="Calibri"/>
                <w:color w:val="000000"/>
                <w:sz w:val="22"/>
                <w:szCs w:val="22"/>
              </w:rPr>
            </w:pPr>
            <w:r>
              <w:rPr>
                <w:rFonts w:ascii="Calibri" w:hAnsi="Calibri"/>
                <w:color w:val="000000"/>
                <w:sz w:val="22"/>
                <w:szCs w:val="22"/>
              </w:rPr>
              <w:t>0.87</w:t>
            </w:r>
          </w:p>
        </w:tc>
      </w:tr>
      <w:tr w:rsidR="007F5E3E" w14:paraId="0895721F" w14:textId="77777777" w:rsidTr="007F5E3E">
        <w:trPr>
          <w:trHeight w:val="300"/>
        </w:trPr>
        <w:tc>
          <w:tcPr>
            <w:tcW w:w="3958" w:type="dxa"/>
            <w:tcBorders>
              <w:top w:val="nil"/>
              <w:left w:val="nil"/>
              <w:bottom w:val="nil"/>
              <w:right w:val="nil"/>
            </w:tcBorders>
            <w:shd w:val="clear" w:color="auto" w:fill="auto"/>
            <w:noWrap/>
            <w:vAlign w:val="bottom"/>
            <w:hideMark/>
          </w:tcPr>
          <w:p w14:paraId="3F19AC0B" w14:textId="77777777" w:rsidR="007F5E3E" w:rsidRDefault="007F5E3E" w:rsidP="00195498">
            <w:pPr>
              <w:spacing w:line="480" w:lineRule="auto"/>
              <w:rPr>
                <w:rFonts w:ascii="Calibri" w:hAnsi="Calibri"/>
                <w:color w:val="000000"/>
                <w:sz w:val="22"/>
                <w:szCs w:val="22"/>
              </w:rPr>
            </w:pPr>
            <w:r>
              <w:rPr>
                <w:rFonts w:ascii="Calibri" w:hAnsi="Calibri"/>
                <w:color w:val="000000"/>
                <w:sz w:val="22"/>
                <w:szCs w:val="22"/>
              </w:rPr>
              <w:t>tolerance to caterpillar folivory</w:t>
            </w:r>
          </w:p>
        </w:tc>
        <w:tc>
          <w:tcPr>
            <w:tcW w:w="1505" w:type="dxa"/>
            <w:tcBorders>
              <w:top w:val="nil"/>
              <w:left w:val="nil"/>
              <w:bottom w:val="nil"/>
              <w:right w:val="nil"/>
            </w:tcBorders>
            <w:shd w:val="clear" w:color="auto" w:fill="auto"/>
            <w:noWrap/>
            <w:vAlign w:val="bottom"/>
            <w:hideMark/>
          </w:tcPr>
          <w:p w14:paraId="56E9FBAF" w14:textId="77777777" w:rsidR="007F5E3E" w:rsidRDefault="007F5E3E" w:rsidP="00195498">
            <w:pPr>
              <w:spacing w:line="480" w:lineRule="auto"/>
              <w:jc w:val="center"/>
              <w:rPr>
                <w:rFonts w:ascii="Calibri" w:hAnsi="Calibri"/>
                <w:color w:val="000000"/>
                <w:sz w:val="22"/>
                <w:szCs w:val="22"/>
              </w:rPr>
            </w:pPr>
            <w:r>
              <w:rPr>
                <w:rFonts w:ascii="Calibri" w:hAnsi="Calibri"/>
                <w:color w:val="000000"/>
                <w:sz w:val="22"/>
                <w:szCs w:val="22"/>
              </w:rPr>
              <w:t>0.82</w:t>
            </w:r>
          </w:p>
        </w:tc>
        <w:tc>
          <w:tcPr>
            <w:tcW w:w="517" w:type="dxa"/>
            <w:tcBorders>
              <w:top w:val="nil"/>
              <w:left w:val="nil"/>
              <w:bottom w:val="nil"/>
              <w:right w:val="nil"/>
            </w:tcBorders>
            <w:shd w:val="clear" w:color="auto" w:fill="auto"/>
            <w:noWrap/>
            <w:vAlign w:val="bottom"/>
            <w:hideMark/>
          </w:tcPr>
          <w:p w14:paraId="696952AC" w14:textId="77777777" w:rsidR="007F5E3E" w:rsidRDefault="007F5E3E" w:rsidP="00195498">
            <w:pPr>
              <w:spacing w:line="480" w:lineRule="auto"/>
              <w:jc w:val="center"/>
              <w:rPr>
                <w:rFonts w:ascii="Calibri" w:hAnsi="Calibri"/>
                <w:color w:val="000000"/>
                <w:sz w:val="22"/>
                <w:szCs w:val="22"/>
              </w:rPr>
            </w:pPr>
            <w:r>
              <w:rPr>
                <w:rFonts w:ascii="Calibri" w:hAnsi="Calibri"/>
                <w:color w:val="000000"/>
                <w:sz w:val="22"/>
                <w:szCs w:val="22"/>
              </w:rPr>
              <w:t>0.26</w:t>
            </w:r>
          </w:p>
        </w:tc>
      </w:tr>
      <w:tr w:rsidR="007F5E3E" w:rsidRPr="00250DA9" w14:paraId="2D4EFFD6" w14:textId="77777777" w:rsidTr="007F5E3E">
        <w:trPr>
          <w:trHeight w:val="300"/>
        </w:trPr>
        <w:tc>
          <w:tcPr>
            <w:tcW w:w="3958" w:type="dxa"/>
            <w:tcBorders>
              <w:top w:val="nil"/>
              <w:left w:val="nil"/>
              <w:bottom w:val="nil"/>
              <w:right w:val="nil"/>
            </w:tcBorders>
            <w:shd w:val="clear" w:color="auto" w:fill="auto"/>
            <w:noWrap/>
            <w:vAlign w:val="bottom"/>
            <w:hideMark/>
          </w:tcPr>
          <w:p w14:paraId="6847B65F" w14:textId="77777777" w:rsidR="007F5E3E" w:rsidRPr="0099121F" w:rsidRDefault="007F5E3E" w:rsidP="00195498">
            <w:pPr>
              <w:spacing w:line="480" w:lineRule="auto"/>
              <w:rPr>
                <w:rFonts w:ascii="Calibri" w:hAnsi="Calibri"/>
                <w:b/>
                <w:i/>
                <w:color w:val="000000"/>
                <w:sz w:val="22"/>
                <w:szCs w:val="22"/>
              </w:rPr>
            </w:pPr>
            <w:r w:rsidRPr="0099121F">
              <w:rPr>
                <w:rFonts w:ascii="Calibri" w:hAnsi="Calibri"/>
                <w:b/>
                <w:i/>
                <w:color w:val="000000"/>
                <w:sz w:val="22"/>
                <w:szCs w:val="22"/>
              </w:rPr>
              <w:t>resistance to generalist (field soil)</w:t>
            </w:r>
          </w:p>
        </w:tc>
        <w:tc>
          <w:tcPr>
            <w:tcW w:w="1505" w:type="dxa"/>
            <w:tcBorders>
              <w:top w:val="nil"/>
              <w:left w:val="nil"/>
              <w:bottom w:val="nil"/>
              <w:right w:val="nil"/>
            </w:tcBorders>
            <w:shd w:val="clear" w:color="auto" w:fill="auto"/>
            <w:noWrap/>
            <w:vAlign w:val="bottom"/>
            <w:hideMark/>
          </w:tcPr>
          <w:p w14:paraId="222C53AC" w14:textId="77777777" w:rsidR="007F5E3E" w:rsidRPr="0099121F" w:rsidRDefault="007F5E3E" w:rsidP="00195498">
            <w:pPr>
              <w:spacing w:line="480" w:lineRule="auto"/>
              <w:jc w:val="center"/>
              <w:rPr>
                <w:rFonts w:ascii="Calibri" w:hAnsi="Calibri"/>
                <w:b/>
                <w:i/>
                <w:color w:val="000000"/>
                <w:sz w:val="22"/>
                <w:szCs w:val="22"/>
              </w:rPr>
            </w:pPr>
            <w:r w:rsidRPr="0099121F">
              <w:rPr>
                <w:rFonts w:ascii="Calibri" w:hAnsi="Calibri"/>
                <w:b/>
                <w:i/>
                <w:color w:val="000000"/>
                <w:sz w:val="22"/>
                <w:szCs w:val="22"/>
              </w:rPr>
              <w:t>1.14</w:t>
            </w:r>
          </w:p>
        </w:tc>
        <w:tc>
          <w:tcPr>
            <w:tcW w:w="517" w:type="dxa"/>
            <w:tcBorders>
              <w:top w:val="nil"/>
              <w:left w:val="nil"/>
              <w:bottom w:val="nil"/>
              <w:right w:val="nil"/>
            </w:tcBorders>
            <w:shd w:val="clear" w:color="auto" w:fill="auto"/>
            <w:noWrap/>
            <w:vAlign w:val="bottom"/>
            <w:hideMark/>
          </w:tcPr>
          <w:p w14:paraId="1992BC50" w14:textId="77777777" w:rsidR="007F5E3E" w:rsidRPr="0099121F" w:rsidRDefault="007F5E3E" w:rsidP="00195498">
            <w:pPr>
              <w:spacing w:line="480" w:lineRule="auto"/>
              <w:jc w:val="center"/>
              <w:rPr>
                <w:rFonts w:ascii="Calibri" w:hAnsi="Calibri"/>
                <w:b/>
                <w:i/>
                <w:color w:val="000000"/>
                <w:sz w:val="22"/>
                <w:szCs w:val="22"/>
              </w:rPr>
            </w:pPr>
            <w:r w:rsidRPr="0099121F">
              <w:rPr>
                <w:rFonts w:ascii="Calibri" w:hAnsi="Calibri"/>
                <w:b/>
                <w:i/>
                <w:color w:val="000000"/>
                <w:sz w:val="22"/>
                <w:szCs w:val="22"/>
              </w:rPr>
              <w:t>0.07</w:t>
            </w:r>
          </w:p>
        </w:tc>
      </w:tr>
      <w:tr w:rsidR="007F5E3E" w:rsidRPr="00250DA9" w14:paraId="4F510599" w14:textId="77777777" w:rsidTr="007F5E3E">
        <w:trPr>
          <w:trHeight w:val="300"/>
        </w:trPr>
        <w:tc>
          <w:tcPr>
            <w:tcW w:w="3958" w:type="dxa"/>
            <w:tcBorders>
              <w:top w:val="nil"/>
              <w:left w:val="nil"/>
              <w:bottom w:val="nil"/>
              <w:right w:val="nil"/>
            </w:tcBorders>
            <w:shd w:val="clear" w:color="auto" w:fill="auto"/>
            <w:noWrap/>
            <w:vAlign w:val="bottom"/>
            <w:hideMark/>
          </w:tcPr>
          <w:p w14:paraId="4AB9861D" w14:textId="77777777" w:rsidR="007F5E3E" w:rsidRPr="00250DA9" w:rsidRDefault="007F5E3E" w:rsidP="00195498">
            <w:pPr>
              <w:spacing w:line="480" w:lineRule="auto"/>
              <w:rPr>
                <w:rFonts w:ascii="Calibri" w:hAnsi="Calibri"/>
                <w:color w:val="000000"/>
                <w:sz w:val="22"/>
                <w:szCs w:val="22"/>
              </w:rPr>
            </w:pPr>
            <w:r w:rsidRPr="00250DA9">
              <w:rPr>
                <w:rFonts w:ascii="Calibri" w:hAnsi="Calibri"/>
                <w:color w:val="000000"/>
                <w:sz w:val="22"/>
                <w:szCs w:val="22"/>
              </w:rPr>
              <w:t>resistance to generalist potting soil)</w:t>
            </w:r>
          </w:p>
        </w:tc>
        <w:tc>
          <w:tcPr>
            <w:tcW w:w="1505" w:type="dxa"/>
            <w:tcBorders>
              <w:top w:val="nil"/>
              <w:left w:val="nil"/>
              <w:bottom w:val="nil"/>
              <w:right w:val="nil"/>
            </w:tcBorders>
            <w:shd w:val="clear" w:color="auto" w:fill="auto"/>
            <w:noWrap/>
            <w:vAlign w:val="bottom"/>
            <w:hideMark/>
          </w:tcPr>
          <w:p w14:paraId="4A5AEA6A" w14:textId="77777777" w:rsidR="007F5E3E" w:rsidRPr="00250DA9" w:rsidRDefault="007F5E3E" w:rsidP="00195498">
            <w:pPr>
              <w:spacing w:line="480" w:lineRule="auto"/>
              <w:jc w:val="center"/>
              <w:rPr>
                <w:rFonts w:ascii="Calibri" w:hAnsi="Calibri"/>
                <w:color w:val="000000"/>
                <w:sz w:val="22"/>
                <w:szCs w:val="22"/>
              </w:rPr>
            </w:pPr>
            <w:r w:rsidRPr="00250DA9">
              <w:rPr>
                <w:rFonts w:ascii="Calibri" w:hAnsi="Calibri"/>
                <w:color w:val="000000"/>
                <w:sz w:val="22"/>
                <w:szCs w:val="22"/>
              </w:rPr>
              <w:t>0.76</w:t>
            </w:r>
          </w:p>
        </w:tc>
        <w:tc>
          <w:tcPr>
            <w:tcW w:w="517" w:type="dxa"/>
            <w:tcBorders>
              <w:top w:val="nil"/>
              <w:left w:val="nil"/>
              <w:bottom w:val="nil"/>
              <w:right w:val="nil"/>
            </w:tcBorders>
            <w:shd w:val="clear" w:color="auto" w:fill="auto"/>
            <w:noWrap/>
            <w:vAlign w:val="bottom"/>
            <w:hideMark/>
          </w:tcPr>
          <w:p w14:paraId="1CDFC338" w14:textId="77777777" w:rsidR="007F5E3E" w:rsidRPr="00250DA9" w:rsidRDefault="007F5E3E" w:rsidP="00195498">
            <w:pPr>
              <w:spacing w:line="480" w:lineRule="auto"/>
              <w:jc w:val="center"/>
              <w:rPr>
                <w:rFonts w:ascii="Calibri" w:hAnsi="Calibri"/>
                <w:color w:val="000000"/>
                <w:sz w:val="22"/>
                <w:szCs w:val="22"/>
              </w:rPr>
            </w:pPr>
            <w:r w:rsidRPr="00250DA9">
              <w:rPr>
                <w:rFonts w:ascii="Calibri" w:hAnsi="Calibri"/>
                <w:color w:val="000000"/>
                <w:sz w:val="22"/>
                <w:szCs w:val="22"/>
              </w:rPr>
              <w:t>0.46</w:t>
            </w:r>
          </w:p>
        </w:tc>
      </w:tr>
      <w:tr w:rsidR="007F5E3E" w:rsidRPr="00250DA9" w14:paraId="43C06630" w14:textId="77777777" w:rsidTr="007F5E3E">
        <w:trPr>
          <w:trHeight w:val="300"/>
        </w:trPr>
        <w:tc>
          <w:tcPr>
            <w:tcW w:w="3958" w:type="dxa"/>
            <w:tcBorders>
              <w:top w:val="nil"/>
              <w:left w:val="nil"/>
              <w:bottom w:val="nil"/>
              <w:right w:val="nil"/>
            </w:tcBorders>
            <w:shd w:val="clear" w:color="auto" w:fill="auto"/>
            <w:noWrap/>
            <w:vAlign w:val="bottom"/>
            <w:hideMark/>
          </w:tcPr>
          <w:p w14:paraId="725098A5" w14:textId="77777777" w:rsidR="007F5E3E" w:rsidRPr="0099121F" w:rsidRDefault="007F5E3E" w:rsidP="00195498">
            <w:pPr>
              <w:spacing w:line="480" w:lineRule="auto"/>
              <w:rPr>
                <w:rFonts w:ascii="Calibri" w:hAnsi="Calibri"/>
                <w:b/>
                <w:i/>
                <w:color w:val="000000"/>
                <w:sz w:val="22"/>
                <w:szCs w:val="22"/>
              </w:rPr>
            </w:pPr>
            <w:r w:rsidRPr="0099121F">
              <w:rPr>
                <w:rFonts w:ascii="Calibri" w:hAnsi="Calibri"/>
                <w:b/>
                <w:i/>
                <w:color w:val="000000"/>
                <w:sz w:val="22"/>
                <w:szCs w:val="22"/>
              </w:rPr>
              <w:t>resistance to specialist  (field soil)</w:t>
            </w:r>
          </w:p>
        </w:tc>
        <w:tc>
          <w:tcPr>
            <w:tcW w:w="1505" w:type="dxa"/>
            <w:tcBorders>
              <w:top w:val="nil"/>
              <w:left w:val="nil"/>
              <w:bottom w:val="nil"/>
              <w:right w:val="nil"/>
            </w:tcBorders>
            <w:shd w:val="clear" w:color="auto" w:fill="auto"/>
            <w:noWrap/>
            <w:vAlign w:val="bottom"/>
            <w:hideMark/>
          </w:tcPr>
          <w:p w14:paraId="18FCD885" w14:textId="77777777" w:rsidR="007F5E3E" w:rsidRPr="0099121F" w:rsidRDefault="007F5E3E" w:rsidP="00195498">
            <w:pPr>
              <w:spacing w:line="480" w:lineRule="auto"/>
              <w:jc w:val="center"/>
              <w:rPr>
                <w:rFonts w:ascii="Calibri" w:hAnsi="Calibri"/>
                <w:b/>
                <w:i/>
                <w:color w:val="000000"/>
                <w:sz w:val="22"/>
                <w:szCs w:val="22"/>
              </w:rPr>
            </w:pPr>
            <w:r w:rsidRPr="0099121F">
              <w:rPr>
                <w:rFonts w:ascii="Calibri" w:hAnsi="Calibri"/>
                <w:b/>
                <w:i/>
                <w:color w:val="000000"/>
                <w:sz w:val="22"/>
                <w:szCs w:val="22"/>
              </w:rPr>
              <w:t>1.13</w:t>
            </w:r>
          </w:p>
        </w:tc>
        <w:tc>
          <w:tcPr>
            <w:tcW w:w="517" w:type="dxa"/>
            <w:tcBorders>
              <w:top w:val="nil"/>
              <w:left w:val="nil"/>
              <w:bottom w:val="nil"/>
              <w:right w:val="nil"/>
            </w:tcBorders>
            <w:shd w:val="clear" w:color="auto" w:fill="auto"/>
            <w:noWrap/>
            <w:vAlign w:val="bottom"/>
            <w:hideMark/>
          </w:tcPr>
          <w:p w14:paraId="370B336B" w14:textId="77777777" w:rsidR="007F5E3E" w:rsidRPr="0099121F" w:rsidRDefault="007F5E3E" w:rsidP="00195498">
            <w:pPr>
              <w:spacing w:line="480" w:lineRule="auto"/>
              <w:jc w:val="center"/>
              <w:rPr>
                <w:rFonts w:ascii="Calibri" w:hAnsi="Calibri"/>
                <w:b/>
                <w:i/>
                <w:color w:val="000000"/>
                <w:sz w:val="22"/>
                <w:szCs w:val="22"/>
              </w:rPr>
            </w:pPr>
            <w:r w:rsidRPr="0099121F">
              <w:rPr>
                <w:rFonts w:ascii="Calibri" w:hAnsi="Calibri"/>
                <w:b/>
                <w:i/>
                <w:color w:val="000000"/>
                <w:sz w:val="22"/>
                <w:szCs w:val="22"/>
              </w:rPr>
              <w:t>0.12</w:t>
            </w:r>
          </w:p>
        </w:tc>
      </w:tr>
      <w:tr w:rsidR="007F5E3E" w14:paraId="452B4BF1" w14:textId="77777777" w:rsidTr="007F5E3E">
        <w:trPr>
          <w:trHeight w:val="300"/>
        </w:trPr>
        <w:tc>
          <w:tcPr>
            <w:tcW w:w="3958" w:type="dxa"/>
            <w:tcBorders>
              <w:top w:val="nil"/>
              <w:left w:val="nil"/>
              <w:bottom w:val="single" w:sz="4" w:space="0" w:color="auto"/>
              <w:right w:val="nil"/>
            </w:tcBorders>
            <w:shd w:val="clear" w:color="auto" w:fill="auto"/>
            <w:noWrap/>
            <w:vAlign w:val="bottom"/>
            <w:hideMark/>
          </w:tcPr>
          <w:p w14:paraId="471D22DE" w14:textId="77777777" w:rsidR="007F5E3E" w:rsidRDefault="007F5E3E" w:rsidP="00195498">
            <w:pPr>
              <w:spacing w:line="480" w:lineRule="auto"/>
              <w:rPr>
                <w:rFonts w:ascii="Calibri" w:hAnsi="Calibri"/>
                <w:color w:val="000000"/>
                <w:sz w:val="22"/>
                <w:szCs w:val="22"/>
              </w:rPr>
            </w:pPr>
            <w:r>
              <w:rPr>
                <w:rFonts w:ascii="Calibri" w:hAnsi="Calibri"/>
                <w:color w:val="000000"/>
                <w:sz w:val="22"/>
                <w:szCs w:val="22"/>
              </w:rPr>
              <w:t>resistance to specialist  potting soil)</w:t>
            </w:r>
          </w:p>
        </w:tc>
        <w:tc>
          <w:tcPr>
            <w:tcW w:w="1505" w:type="dxa"/>
            <w:tcBorders>
              <w:top w:val="nil"/>
              <w:left w:val="nil"/>
              <w:bottom w:val="single" w:sz="4" w:space="0" w:color="auto"/>
              <w:right w:val="nil"/>
            </w:tcBorders>
            <w:shd w:val="clear" w:color="auto" w:fill="auto"/>
            <w:noWrap/>
            <w:vAlign w:val="bottom"/>
            <w:hideMark/>
          </w:tcPr>
          <w:p w14:paraId="43CF79E9" w14:textId="77777777" w:rsidR="007F5E3E" w:rsidRDefault="007F5E3E" w:rsidP="00195498">
            <w:pPr>
              <w:spacing w:line="480" w:lineRule="auto"/>
              <w:jc w:val="center"/>
              <w:rPr>
                <w:rFonts w:ascii="Calibri" w:hAnsi="Calibri"/>
                <w:color w:val="000000"/>
                <w:sz w:val="22"/>
                <w:szCs w:val="22"/>
              </w:rPr>
            </w:pPr>
            <w:r>
              <w:rPr>
                <w:rFonts w:ascii="Calibri" w:hAnsi="Calibri"/>
                <w:color w:val="000000"/>
                <w:sz w:val="22"/>
                <w:szCs w:val="22"/>
              </w:rPr>
              <w:t>0.64</w:t>
            </w:r>
          </w:p>
        </w:tc>
        <w:tc>
          <w:tcPr>
            <w:tcW w:w="517" w:type="dxa"/>
            <w:tcBorders>
              <w:top w:val="nil"/>
              <w:left w:val="nil"/>
              <w:bottom w:val="single" w:sz="4" w:space="0" w:color="auto"/>
              <w:right w:val="nil"/>
            </w:tcBorders>
            <w:shd w:val="clear" w:color="auto" w:fill="auto"/>
            <w:noWrap/>
            <w:vAlign w:val="bottom"/>
            <w:hideMark/>
          </w:tcPr>
          <w:p w14:paraId="0984C2A1" w14:textId="77777777" w:rsidR="007F5E3E" w:rsidRDefault="007F5E3E" w:rsidP="00195498">
            <w:pPr>
              <w:spacing w:line="480" w:lineRule="auto"/>
              <w:jc w:val="center"/>
              <w:rPr>
                <w:rFonts w:ascii="Calibri" w:hAnsi="Calibri"/>
                <w:color w:val="000000"/>
                <w:sz w:val="22"/>
                <w:szCs w:val="22"/>
              </w:rPr>
            </w:pPr>
            <w:r>
              <w:rPr>
                <w:rFonts w:ascii="Calibri" w:hAnsi="Calibri"/>
                <w:color w:val="000000"/>
                <w:sz w:val="22"/>
                <w:szCs w:val="22"/>
              </w:rPr>
              <w:t>0.58</w:t>
            </w:r>
          </w:p>
        </w:tc>
      </w:tr>
    </w:tbl>
    <w:p w14:paraId="290D31E5" w14:textId="77777777" w:rsidR="007F5E3E" w:rsidRDefault="007F5E3E" w:rsidP="00195498">
      <w:pPr>
        <w:spacing w:line="480" w:lineRule="auto"/>
      </w:pPr>
    </w:p>
    <w:p w14:paraId="37A107F7" w14:textId="3F648962" w:rsidR="00681D4F" w:rsidRDefault="00681D4F">
      <w:r>
        <w:br w:type="page"/>
      </w:r>
    </w:p>
    <w:p w14:paraId="2976F3EE" w14:textId="77777777" w:rsidR="00E65FAA" w:rsidRDefault="00E65FAA" w:rsidP="00195498">
      <w:pPr>
        <w:spacing w:line="480" w:lineRule="auto"/>
      </w:pPr>
    </w:p>
    <w:tbl>
      <w:tblPr>
        <w:tblW w:w="7160" w:type="dxa"/>
        <w:tblLook w:val="04A0" w:firstRow="1" w:lastRow="0" w:firstColumn="1" w:lastColumn="0" w:noHBand="0" w:noVBand="1"/>
      </w:tblPr>
      <w:tblGrid>
        <w:gridCol w:w="2200"/>
        <w:gridCol w:w="4960"/>
      </w:tblGrid>
      <w:tr w:rsidR="00271048" w14:paraId="6027F4FD" w14:textId="77777777" w:rsidTr="00271048">
        <w:trPr>
          <w:trHeight w:val="300"/>
        </w:trPr>
        <w:tc>
          <w:tcPr>
            <w:tcW w:w="7160" w:type="dxa"/>
            <w:gridSpan w:val="2"/>
            <w:tcBorders>
              <w:top w:val="single" w:sz="4" w:space="0" w:color="auto"/>
              <w:left w:val="nil"/>
              <w:bottom w:val="single" w:sz="4" w:space="0" w:color="auto"/>
              <w:right w:val="nil"/>
            </w:tcBorders>
            <w:shd w:val="clear" w:color="auto" w:fill="auto"/>
            <w:vAlign w:val="bottom"/>
            <w:hideMark/>
          </w:tcPr>
          <w:p w14:paraId="71157B4C" w14:textId="77777777" w:rsidR="00271048" w:rsidRDefault="00271048" w:rsidP="00195498">
            <w:pPr>
              <w:spacing w:line="480" w:lineRule="auto"/>
              <w:rPr>
                <w:rFonts w:ascii="Calibri" w:hAnsi="Calibri"/>
                <w:color w:val="000000"/>
                <w:sz w:val="22"/>
                <w:szCs w:val="22"/>
              </w:rPr>
            </w:pPr>
            <w:r>
              <w:rPr>
                <w:rFonts w:ascii="Calibri" w:hAnsi="Calibri"/>
                <w:b/>
                <w:bCs/>
                <w:color w:val="000000"/>
                <w:sz w:val="22"/>
                <w:szCs w:val="22"/>
              </w:rPr>
              <w:t xml:space="preserve">Table 3:  </w:t>
            </w:r>
            <w:r>
              <w:rPr>
                <w:rFonts w:ascii="Calibri" w:hAnsi="Calibri"/>
                <w:color w:val="000000"/>
                <w:sz w:val="22"/>
                <w:szCs w:val="22"/>
              </w:rPr>
              <w:t xml:space="preserve">Summary of tolerance and resistance in </w:t>
            </w:r>
            <w:r w:rsidRPr="003B797B">
              <w:rPr>
                <w:rFonts w:ascii="Calibri" w:hAnsi="Calibri"/>
                <w:i/>
                <w:color w:val="000000"/>
                <w:sz w:val="22"/>
                <w:szCs w:val="22"/>
              </w:rPr>
              <w:t>Streptanthus</w:t>
            </w:r>
            <w:r>
              <w:rPr>
                <w:rFonts w:ascii="Calibri" w:hAnsi="Calibri"/>
                <w:color w:val="000000"/>
                <w:sz w:val="22"/>
                <w:szCs w:val="22"/>
              </w:rPr>
              <w:t>.</w:t>
            </w:r>
          </w:p>
        </w:tc>
      </w:tr>
      <w:tr w:rsidR="00271048" w14:paraId="12E92193" w14:textId="77777777" w:rsidTr="007B04BE">
        <w:trPr>
          <w:trHeight w:val="300"/>
        </w:trPr>
        <w:tc>
          <w:tcPr>
            <w:tcW w:w="7160" w:type="dxa"/>
            <w:gridSpan w:val="2"/>
            <w:tcBorders>
              <w:top w:val="nil"/>
              <w:left w:val="nil"/>
              <w:bottom w:val="nil"/>
              <w:right w:val="nil"/>
            </w:tcBorders>
            <w:shd w:val="clear" w:color="auto" w:fill="auto"/>
            <w:vAlign w:val="center"/>
            <w:hideMark/>
          </w:tcPr>
          <w:p w14:paraId="77EE7AC7" w14:textId="77777777" w:rsidR="00271048" w:rsidRPr="00271048" w:rsidRDefault="00271048" w:rsidP="007B04BE">
            <w:pPr>
              <w:spacing w:line="480" w:lineRule="auto"/>
              <w:rPr>
                <w:rFonts w:ascii="Calibri" w:hAnsi="Calibri"/>
                <w:b/>
                <w:bCs/>
                <w:i/>
                <w:iCs/>
                <w:color w:val="000000"/>
                <w:sz w:val="22"/>
                <w:szCs w:val="22"/>
                <w:u w:val="single"/>
              </w:rPr>
            </w:pPr>
            <w:r w:rsidRPr="00271048">
              <w:rPr>
                <w:rFonts w:ascii="Calibri" w:hAnsi="Calibri"/>
                <w:b/>
                <w:bCs/>
                <w:i/>
                <w:iCs/>
                <w:color w:val="000000"/>
                <w:sz w:val="22"/>
                <w:szCs w:val="22"/>
                <w:u w:val="single"/>
              </w:rPr>
              <w:t>Context dependence of</w:t>
            </w:r>
          </w:p>
        </w:tc>
      </w:tr>
      <w:tr w:rsidR="00271048" w14:paraId="614AF22C" w14:textId="77777777" w:rsidTr="007B04BE">
        <w:trPr>
          <w:trHeight w:val="600"/>
        </w:trPr>
        <w:tc>
          <w:tcPr>
            <w:tcW w:w="2200" w:type="dxa"/>
            <w:tcBorders>
              <w:top w:val="nil"/>
              <w:left w:val="nil"/>
              <w:bottom w:val="nil"/>
              <w:right w:val="nil"/>
            </w:tcBorders>
            <w:shd w:val="clear" w:color="auto" w:fill="auto"/>
            <w:vAlign w:val="center"/>
            <w:hideMark/>
          </w:tcPr>
          <w:p w14:paraId="14B9D2DB" w14:textId="77777777" w:rsidR="00271048" w:rsidRDefault="00271048">
            <w:pPr>
              <w:spacing w:line="480" w:lineRule="auto"/>
              <w:rPr>
                <w:rFonts w:ascii="Calibri" w:hAnsi="Calibri"/>
                <w:color w:val="000000"/>
                <w:sz w:val="22"/>
                <w:szCs w:val="22"/>
                <w:u w:val="single"/>
              </w:rPr>
            </w:pPr>
            <w:r>
              <w:rPr>
                <w:rFonts w:ascii="Calibri" w:hAnsi="Calibri"/>
                <w:color w:val="000000"/>
                <w:sz w:val="22"/>
                <w:szCs w:val="22"/>
                <w:u w:val="single"/>
              </w:rPr>
              <w:t>Tolerance:</w:t>
            </w:r>
          </w:p>
        </w:tc>
        <w:tc>
          <w:tcPr>
            <w:tcW w:w="4960" w:type="dxa"/>
            <w:tcBorders>
              <w:top w:val="nil"/>
              <w:left w:val="nil"/>
              <w:bottom w:val="nil"/>
              <w:right w:val="nil"/>
            </w:tcBorders>
            <w:shd w:val="clear" w:color="auto" w:fill="auto"/>
            <w:vAlign w:val="center"/>
            <w:hideMark/>
          </w:tcPr>
          <w:p w14:paraId="37DAD5DB" w14:textId="3EE445E1" w:rsidR="00271048" w:rsidRPr="007B04BE" w:rsidRDefault="00E95F6A">
            <w:pPr>
              <w:spacing w:line="480" w:lineRule="auto"/>
              <w:rPr>
                <w:rFonts w:ascii="Calibri" w:hAnsi="Calibri"/>
                <w:color w:val="000000"/>
                <w:sz w:val="22"/>
                <w:szCs w:val="22"/>
              </w:rPr>
            </w:pPr>
            <w:r w:rsidRPr="00E95F6A">
              <w:rPr>
                <w:rFonts w:ascii="Calibri" w:hAnsi="Calibri"/>
                <w:color w:val="000000"/>
                <w:sz w:val="22"/>
                <w:szCs w:val="22"/>
              </w:rPr>
              <w:t>•</w:t>
            </w:r>
            <w:r>
              <w:rPr>
                <w:rFonts w:ascii="Calibri" w:hAnsi="Calibri"/>
                <w:color w:val="000000"/>
                <w:sz w:val="22"/>
                <w:szCs w:val="22"/>
              </w:rPr>
              <w:t xml:space="preserve"> </w:t>
            </w:r>
            <w:r w:rsidR="00271048" w:rsidRPr="007B04BE">
              <w:rPr>
                <w:rFonts w:ascii="Calibri" w:hAnsi="Calibri"/>
                <w:color w:val="000000"/>
                <w:sz w:val="22"/>
                <w:szCs w:val="22"/>
              </w:rPr>
              <w:t>Tolerance to browsing and folivory were not correlated.  Tolerance did not depend on soil type.</w:t>
            </w:r>
          </w:p>
        </w:tc>
      </w:tr>
      <w:tr w:rsidR="00271048" w14:paraId="5C10829F" w14:textId="77777777" w:rsidTr="007B04BE">
        <w:trPr>
          <w:trHeight w:val="900"/>
        </w:trPr>
        <w:tc>
          <w:tcPr>
            <w:tcW w:w="2200" w:type="dxa"/>
            <w:tcBorders>
              <w:top w:val="nil"/>
              <w:left w:val="nil"/>
              <w:bottom w:val="nil"/>
              <w:right w:val="nil"/>
            </w:tcBorders>
            <w:shd w:val="clear" w:color="auto" w:fill="auto"/>
            <w:vAlign w:val="center"/>
            <w:hideMark/>
          </w:tcPr>
          <w:p w14:paraId="133963FE" w14:textId="60220D8E" w:rsidR="00271048" w:rsidRDefault="00271048">
            <w:pPr>
              <w:spacing w:line="480" w:lineRule="auto"/>
              <w:rPr>
                <w:rFonts w:ascii="Calibri" w:hAnsi="Calibri"/>
                <w:color w:val="000000"/>
                <w:sz w:val="22"/>
                <w:szCs w:val="22"/>
                <w:u w:val="single"/>
              </w:rPr>
            </w:pPr>
            <w:r>
              <w:rPr>
                <w:rFonts w:ascii="Calibri" w:hAnsi="Calibri"/>
                <w:color w:val="000000"/>
                <w:sz w:val="22"/>
                <w:szCs w:val="22"/>
                <w:u w:val="single"/>
              </w:rPr>
              <w:t>Resistance:</w:t>
            </w:r>
          </w:p>
        </w:tc>
        <w:tc>
          <w:tcPr>
            <w:tcW w:w="4960" w:type="dxa"/>
            <w:tcBorders>
              <w:top w:val="nil"/>
              <w:left w:val="nil"/>
              <w:bottom w:val="nil"/>
              <w:right w:val="nil"/>
            </w:tcBorders>
            <w:shd w:val="clear" w:color="auto" w:fill="auto"/>
            <w:vAlign w:val="center"/>
            <w:hideMark/>
          </w:tcPr>
          <w:p w14:paraId="1BBDD13B" w14:textId="569A0E31" w:rsidR="00271048" w:rsidRDefault="00E95F6A">
            <w:pPr>
              <w:spacing w:line="480" w:lineRule="auto"/>
              <w:rPr>
                <w:rFonts w:ascii="Calibri" w:hAnsi="Calibri"/>
                <w:color w:val="000000"/>
                <w:sz w:val="22"/>
                <w:szCs w:val="22"/>
              </w:rPr>
            </w:pPr>
            <w:r w:rsidRPr="00DA130A">
              <w:rPr>
                <w:rFonts w:ascii="Calibri" w:hAnsi="Calibri"/>
                <w:color w:val="000000"/>
                <w:sz w:val="22"/>
                <w:szCs w:val="22"/>
              </w:rPr>
              <w:t>•</w:t>
            </w:r>
            <w:r>
              <w:rPr>
                <w:rFonts w:ascii="Calibri" w:hAnsi="Calibri"/>
                <w:color w:val="000000"/>
                <w:sz w:val="22"/>
                <w:szCs w:val="22"/>
              </w:rPr>
              <w:t xml:space="preserve"> </w:t>
            </w:r>
            <w:r w:rsidR="00271048">
              <w:rPr>
                <w:rFonts w:ascii="Calibri" w:hAnsi="Calibri"/>
                <w:color w:val="000000"/>
                <w:sz w:val="22"/>
                <w:szCs w:val="22"/>
              </w:rPr>
              <w:t>Resistance to specialist and generalist herbivores correlated only when plants grown on field soil.  Resistance depended on soil type.</w:t>
            </w:r>
          </w:p>
        </w:tc>
      </w:tr>
      <w:tr w:rsidR="00271048" w14:paraId="6475DE2E" w14:textId="77777777" w:rsidTr="007B04BE">
        <w:trPr>
          <w:trHeight w:val="300"/>
        </w:trPr>
        <w:tc>
          <w:tcPr>
            <w:tcW w:w="7160" w:type="dxa"/>
            <w:gridSpan w:val="2"/>
            <w:tcBorders>
              <w:top w:val="nil"/>
              <w:left w:val="nil"/>
              <w:bottom w:val="nil"/>
              <w:right w:val="nil"/>
            </w:tcBorders>
            <w:shd w:val="clear" w:color="auto" w:fill="auto"/>
            <w:vAlign w:val="center"/>
            <w:hideMark/>
          </w:tcPr>
          <w:p w14:paraId="007004D4" w14:textId="77777777" w:rsidR="00271048" w:rsidRPr="00271048" w:rsidRDefault="00271048" w:rsidP="007B04BE">
            <w:pPr>
              <w:spacing w:line="480" w:lineRule="auto"/>
              <w:rPr>
                <w:rFonts w:ascii="Calibri" w:hAnsi="Calibri"/>
                <w:b/>
                <w:bCs/>
                <w:i/>
                <w:iCs/>
                <w:color w:val="000000"/>
                <w:sz w:val="22"/>
                <w:szCs w:val="22"/>
                <w:u w:val="single"/>
              </w:rPr>
            </w:pPr>
            <w:r w:rsidRPr="00271048">
              <w:rPr>
                <w:rFonts w:ascii="Calibri" w:hAnsi="Calibri"/>
                <w:b/>
                <w:bCs/>
                <w:i/>
                <w:iCs/>
                <w:color w:val="000000"/>
                <w:sz w:val="22"/>
                <w:szCs w:val="22"/>
                <w:u w:val="single"/>
              </w:rPr>
              <w:t>Phylogenetic correlations</w:t>
            </w:r>
          </w:p>
        </w:tc>
      </w:tr>
      <w:tr w:rsidR="00271048" w14:paraId="4CDF3F8C" w14:textId="77777777" w:rsidTr="007B04BE">
        <w:trPr>
          <w:trHeight w:val="1200"/>
        </w:trPr>
        <w:tc>
          <w:tcPr>
            <w:tcW w:w="2200" w:type="dxa"/>
            <w:tcBorders>
              <w:top w:val="nil"/>
              <w:left w:val="nil"/>
              <w:bottom w:val="nil"/>
              <w:right w:val="nil"/>
            </w:tcBorders>
            <w:shd w:val="clear" w:color="auto" w:fill="auto"/>
            <w:vAlign w:val="center"/>
            <w:hideMark/>
          </w:tcPr>
          <w:p w14:paraId="18D96827" w14:textId="7A8B4515" w:rsidR="00271048" w:rsidRDefault="00271048">
            <w:pPr>
              <w:spacing w:line="480" w:lineRule="auto"/>
              <w:rPr>
                <w:rFonts w:ascii="Calibri" w:hAnsi="Calibri"/>
                <w:color w:val="000000"/>
                <w:sz w:val="22"/>
                <w:szCs w:val="22"/>
                <w:u w:val="single"/>
              </w:rPr>
            </w:pPr>
            <w:r>
              <w:rPr>
                <w:rFonts w:ascii="Calibri" w:hAnsi="Calibri"/>
                <w:color w:val="000000"/>
                <w:sz w:val="22"/>
                <w:szCs w:val="22"/>
                <w:u w:val="single"/>
              </w:rPr>
              <w:t>Tolerance-resistance</w:t>
            </w:r>
          </w:p>
        </w:tc>
        <w:tc>
          <w:tcPr>
            <w:tcW w:w="4960" w:type="dxa"/>
            <w:tcBorders>
              <w:top w:val="nil"/>
              <w:left w:val="nil"/>
              <w:bottom w:val="nil"/>
              <w:right w:val="nil"/>
            </w:tcBorders>
            <w:shd w:val="clear" w:color="auto" w:fill="auto"/>
            <w:vAlign w:val="center"/>
            <w:hideMark/>
          </w:tcPr>
          <w:p w14:paraId="677D4C26" w14:textId="28E6169E" w:rsidR="00271048" w:rsidRDefault="00E95F6A">
            <w:pPr>
              <w:spacing w:line="480" w:lineRule="auto"/>
              <w:rPr>
                <w:rFonts w:ascii="Calibri" w:hAnsi="Calibri"/>
                <w:color w:val="000000"/>
                <w:sz w:val="22"/>
                <w:szCs w:val="22"/>
              </w:rPr>
            </w:pPr>
            <w:r w:rsidRPr="00DA130A">
              <w:rPr>
                <w:rFonts w:ascii="Calibri" w:hAnsi="Calibri"/>
                <w:color w:val="000000"/>
                <w:sz w:val="22"/>
                <w:szCs w:val="22"/>
              </w:rPr>
              <w:t>•</w:t>
            </w:r>
            <w:r>
              <w:rPr>
                <w:rFonts w:ascii="Calibri" w:hAnsi="Calibri"/>
                <w:color w:val="000000"/>
                <w:sz w:val="22"/>
                <w:szCs w:val="22"/>
              </w:rPr>
              <w:t xml:space="preserve"> </w:t>
            </w:r>
            <w:r w:rsidR="00271048">
              <w:rPr>
                <w:rFonts w:ascii="Calibri" w:hAnsi="Calibri"/>
                <w:color w:val="000000"/>
                <w:sz w:val="22"/>
                <w:szCs w:val="22"/>
              </w:rPr>
              <w:t>No evidence for a trade</w:t>
            </w:r>
            <w:r w:rsidR="00EC4084">
              <w:rPr>
                <w:rFonts w:ascii="Calibri" w:hAnsi="Calibri"/>
                <w:color w:val="000000"/>
                <w:sz w:val="22"/>
                <w:szCs w:val="22"/>
              </w:rPr>
              <w:t>-</w:t>
            </w:r>
            <w:r w:rsidR="00271048">
              <w:rPr>
                <w:rFonts w:ascii="Calibri" w:hAnsi="Calibri"/>
                <w:color w:val="000000"/>
                <w:sz w:val="22"/>
                <w:szCs w:val="22"/>
              </w:rPr>
              <w:t>off. Tendency toward positive correlation between tolerance and resistance, though highly contingent on how resistance was measured.</w:t>
            </w:r>
          </w:p>
        </w:tc>
      </w:tr>
      <w:tr w:rsidR="00271048" w14:paraId="3298DA82" w14:textId="77777777" w:rsidTr="007B04BE">
        <w:trPr>
          <w:trHeight w:val="900"/>
        </w:trPr>
        <w:tc>
          <w:tcPr>
            <w:tcW w:w="2200" w:type="dxa"/>
            <w:tcBorders>
              <w:top w:val="nil"/>
              <w:left w:val="nil"/>
              <w:bottom w:val="nil"/>
              <w:right w:val="nil"/>
            </w:tcBorders>
            <w:shd w:val="clear" w:color="auto" w:fill="auto"/>
            <w:vAlign w:val="center"/>
            <w:hideMark/>
          </w:tcPr>
          <w:p w14:paraId="2B95AD5C" w14:textId="4801A892" w:rsidR="00271048" w:rsidRDefault="00271048">
            <w:pPr>
              <w:spacing w:line="480" w:lineRule="auto"/>
              <w:rPr>
                <w:rFonts w:ascii="Calibri" w:hAnsi="Calibri"/>
                <w:color w:val="000000"/>
                <w:sz w:val="22"/>
                <w:szCs w:val="22"/>
                <w:u w:val="single"/>
              </w:rPr>
            </w:pPr>
            <w:r>
              <w:rPr>
                <w:rFonts w:ascii="Calibri" w:hAnsi="Calibri"/>
                <w:color w:val="000000"/>
                <w:sz w:val="22"/>
                <w:szCs w:val="22"/>
                <w:u w:val="single"/>
              </w:rPr>
              <w:t>Tolerance-phenology</w:t>
            </w:r>
          </w:p>
        </w:tc>
        <w:tc>
          <w:tcPr>
            <w:tcW w:w="4960" w:type="dxa"/>
            <w:tcBorders>
              <w:top w:val="nil"/>
              <w:left w:val="nil"/>
              <w:bottom w:val="nil"/>
              <w:right w:val="nil"/>
            </w:tcBorders>
            <w:shd w:val="clear" w:color="auto" w:fill="auto"/>
            <w:vAlign w:val="center"/>
            <w:hideMark/>
          </w:tcPr>
          <w:p w14:paraId="2828718C" w14:textId="19F712AD" w:rsidR="00271048" w:rsidRDefault="00E95F6A">
            <w:pPr>
              <w:spacing w:line="480" w:lineRule="auto"/>
              <w:rPr>
                <w:rFonts w:ascii="Calibri" w:hAnsi="Calibri"/>
                <w:color w:val="000000"/>
                <w:sz w:val="22"/>
                <w:szCs w:val="22"/>
              </w:rPr>
            </w:pPr>
            <w:r w:rsidRPr="00DA130A">
              <w:rPr>
                <w:rFonts w:ascii="Calibri" w:hAnsi="Calibri"/>
                <w:color w:val="000000"/>
                <w:sz w:val="22"/>
                <w:szCs w:val="22"/>
              </w:rPr>
              <w:t>•</w:t>
            </w:r>
            <w:r>
              <w:rPr>
                <w:rFonts w:ascii="Calibri" w:hAnsi="Calibri"/>
                <w:color w:val="000000"/>
                <w:sz w:val="22"/>
                <w:szCs w:val="22"/>
              </w:rPr>
              <w:t xml:space="preserve"> </w:t>
            </w:r>
            <w:r w:rsidR="00A73647">
              <w:rPr>
                <w:rFonts w:ascii="Arial" w:hAnsi="Arial" w:cs="Arial"/>
                <w:color w:val="222222"/>
                <w:sz w:val="19"/>
                <w:szCs w:val="19"/>
                <w:shd w:val="clear" w:color="auto" w:fill="FFFFFF"/>
              </w:rPr>
              <w:t xml:space="preserve">Early flowering species less tolerant </w:t>
            </w:r>
            <w:r w:rsidR="00271048">
              <w:rPr>
                <w:rFonts w:ascii="Calibri" w:hAnsi="Calibri"/>
                <w:color w:val="000000"/>
                <w:sz w:val="22"/>
                <w:szCs w:val="22"/>
              </w:rPr>
              <w:t>of leaf damage but not browsing damage.</w:t>
            </w:r>
          </w:p>
        </w:tc>
      </w:tr>
      <w:tr w:rsidR="00271048" w14:paraId="716868A1" w14:textId="77777777" w:rsidTr="007B04BE">
        <w:trPr>
          <w:trHeight w:val="2400"/>
        </w:trPr>
        <w:tc>
          <w:tcPr>
            <w:tcW w:w="2200" w:type="dxa"/>
            <w:tcBorders>
              <w:top w:val="nil"/>
              <w:left w:val="nil"/>
              <w:bottom w:val="single" w:sz="4" w:space="0" w:color="auto"/>
              <w:right w:val="nil"/>
            </w:tcBorders>
            <w:shd w:val="clear" w:color="auto" w:fill="auto"/>
            <w:vAlign w:val="center"/>
            <w:hideMark/>
          </w:tcPr>
          <w:p w14:paraId="2D036E1E" w14:textId="4BE63422" w:rsidR="00271048" w:rsidRDefault="00271048">
            <w:pPr>
              <w:spacing w:line="480" w:lineRule="auto"/>
              <w:rPr>
                <w:rFonts w:ascii="Calibri" w:hAnsi="Calibri"/>
                <w:color w:val="000000"/>
                <w:sz w:val="22"/>
                <w:szCs w:val="22"/>
                <w:u w:val="single"/>
              </w:rPr>
            </w:pPr>
            <w:r>
              <w:rPr>
                <w:rFonts w:ascii="Calibri" w:hAnsi="Calibri"/>
                <w:color w:val="000000"/>
                <w:sz w:val="22"/>
                <w:szCs w:val="22"/>
                <w:u w:val="single"/>
              </w:rPr>
              <w:t>Tolerance - drought</w:t>
            </w:r>
          </w:p>
        </w:tc>
        <w:tc>
          <w:tcPr>
            <w:tcW w:w="4960" w:type="dxa"/>
            <w:tcBorders>
              <w:top w:val="nil"/>
              <w:left w:val="nil"/>
              <w:bottom w:val="single" w:sz="4" w:space="0" w:color="auto"/>
              <w:right w:val="nil"/>
            </w:tcBorders>
            <w:shd w:val="clear" w:color="auto" w:fill="auto"/>
            <w:vAlign w:val="center"/>
            <w:hideMark/>
          </w:tcPr>
          <w:p w14:paraId="77A433E9" w14:textId="56459C30" w:rsidR="00271048" w:rsidRDefault="00E95F6A">
            <w:pPr>
              <w:spacing w:line="480" w:lineRule="auto"/>
              <w:rPr>
                <w:rFonts w:ascii="Calibri" w:hAnsi="Calibri"/>
                <w:color w:val="000000"/>
                <w:sz w:val="22"/>
                <w:szCs w:val="22"/>
              </w:rPr>
            </w:pPr>
            <w:r w:rsidRPr="00DA130A">
              <w:rPr>
                <w:rFonts w:ascii="Calibri" w:hAnsi="Calibri"/>
                <w:color w:val="000000"/>
                <w:sz w:val="22"/>
                <w:szCs w:val="22"/>
              </w:rPr>
              <w:t>•</w:t>
            </w:r>
            <w:r>
              <w:rPr>
                <w:rFonts w:ascii="Calibri" w:hAnsi="Calibri"/>
                <w:color w:val="000000"/>
                <w:sz w:val="22"/>
                <w:szCs w:val="22"/>
              </w:rPr>
              <w:t xml:space="preserve"> </w:t>
            </w:r>
            <w:r w:rsidR="00271048">
              <w:rPr>
                <w:rFonts w:ascii="Calibri" w:hAnsi="Calibri"/>
                <w:color w:val="000000"/>
                <w:sz w:val="22"/>
                <w:szCs w:val="22"/>
              </w:rPr>
              <w:t xml:space="preserve">Drought tolerant </w:t>
            </w:r>
            <w:r w:rsidR="00271048" w:rsidRPr="003B797B">
              <w:rPr>
                <w:rFonts w:ascii="Calibri" w:hAnsi="Calibri"/>
                <w:i/>
                <w:color w:val="000000"/>
                <w:sz w:val="22"/>
                <w:szCs w:val="22"/>
              </w:rPr>
              <w:t>Streptanthus</w:t>
            </w:r>
            <w:r w:rsidR="00271048">
              <w:rPr>
                <w:rFonts w:ascii="Calibri" w:hAnsi="Calibri"/>
                <w:color w:val="000000"/>
                <w:sz w:val="22"/>
                <w:szCs w:val="22"/>
              </w:rPr>
              <w:t xml:space="preserve"> species were less tolerant of browse damage; </w:t>
            </w:r>
            <w:r w:rsidR="00271048" w:rsidRPr="003B797B">
              <w:rPr>
                <w:rFonts w:ascii="Calibri" w:hAnsi="Calibri"/>
                <w:i/>
                <w:color w:val="000000"/>
                <w:sz w:val="22"/>
                <w:szCs w:val="22"/>
              </w:rPr>
              <w:t>Streptanthus</w:t>
            </w:r>
            <w:r w:rsidR="00271048">
              <w:rPr>
                <w:rFonts w:ascii="Calibri" w:hAnsi="Calibri"/>
                <w:color w:val="000000"/>
                <w:sz w:val="22"/>
                <w:szCs w:val="22"/>
              </w:rPr>
              <w:t xml:space="preserve"> species that grew in regions with less precipitation were less tolerant of folivore damage.  Drought tolerance, collection site precipitation, and plant phenology all covaried such that these relationships were not entirely independent.</w:t>
            </w:r>
          </w:p>
        </w:tc>
      </w:tr>
    </w:tbl>
    <w:p w14:paraId="4D228062" w14:textId="77777777" w:rsidR="00E65FAA" w:rsidRDefault="00E65FAA" w:rsidP="00195498">
      <w:pPr>
        <w:spacing w:line="480" w:lineRule="auto"/>
      </w:pPr>
    </w:p>
    <w:p w14:paraId="3FA41761" w14:textId="77777777" w:rsidR="00E65FAA" w:rsidRDefault="00E65FAA" w:rsidP="00195498">
      <w:pPr>
        <w:spacing w:line="480" w:lineRule="auto"/>
      </w:pPr>
    </w:p>
    <w:p w14:paraId="2FC32727" w14:textId="77777777" w:rsidR="00452BC9" w:rsidRDefault="00452BC9" w:rsidP="00452BC9">
      <w:pPr>
        <w:spacing w:line="480" w:lineRule="auto"/>
        <w:rPr>
          <w:b/>
        </w:rPr>
      </w:pPr>
      <w:r w:rsidRPr="00881368">
        <w:rPr>
          <w:b/>
        </w:rPr>
        <w:lastRenderedPageBreak/>
        <w:t>FIGURE HEADINGS</w:t>
      </w:r>
    </w:p>
    <w:p w14:paraId="6CC1D656" w14:textId="77777777" w:rsidR="00452BC9" w:rsidRPr="00B17AC8" w:rsidRDefault="00452BC9" w:rsidP="00452BC9">
      <w:pPr>
        <w:spacing w:line="480" w:lineRule="auto"/>
      </w:pPr>
      <w:r w:rsidRPr="001D13A8">
        <w:rPr>
          <w:b/>
        </w:rPr>
        <w:t xml:space="preserve">Fig. </w:t>
      </w:r>
      <w:r>
        <w:rPr>
          <w:b/>
        </w:rPr>
        <w:t>1</w:t>
      </w:r>
      <w:r w:rsidRPr="001D13A8">
        <w:rPr>
          <w:b/>
        </w:rPr>
        <w:t>.</w:t>
      </w:r>
      <w:r>
        <w:t xml:space="preserve">  The </w:t>
      </w:r>
      <w:r w:rsidRPr="00716F5B">
        <w:rPr>
          <w:i/>
        </w:rPr>
        <w:t>Streptanthus</w:t>
      </w:r>
      <w:r>
        <w:t xml:space="preserve"> phylogeny (Cacho et al. 2014) with tolerance (two measures), resistance (four measures), and fecundity in the absence of damage (fec.) mapped onto it.  The length of bars is proportional to the value for each trait in </w:t>
      </w:r>
      <w:r w:rsidRPr="00622292">
        <w:rPr>
          <w:i/>
        </w:rPr>
        <w:t>Streptanthus</w:t>
      </w:r>
      <w:r>
        <w:t xml:space="preserve"> species.  Mapped onto the phylogeny were tolerance to browse (B), and folivory (F) was measured; resistance to generalist (G) and specialist (S) caterpillars for plants grown on potting soil (P) and native field soil (F); day of first flower – phenology (Phe), experimentally measure drought tolerance (D-T), and precipitation environment (Pre).  Traits had intermediate phylogenetic signal.  Species codes are clarified in Table 1.  </w:t>
      </w:r>
    </w:p>
    <w:p w14:paraId="634892E8" w14:textId="77777777" w:rsidR="00452BC9" w:rsidRDefault="00452BC9" w:rsidP="00452BC9">
      <w:pPr>
        <w:spacing w:line="480" w:lineRule="auto"/>
      </w:pPr>
      <w:r w:rsidRPr="00881368">
        <w:rPr>
          <w:b/>
        </w:rPr>
        <w:t xml:space="preserve">Fig. </w:t>
      </w:r>
      <w:r>
        <w:rPr>
          <w:b/>
        </w:rPr>
        <w:t>2.</w:t>
      </w:r>
      <w:r>
        <w:t xml:space="preserve">  Relative growth rates (RGR) of specialist caterpillar </w:t>
      </w:r>
      <w:r w:rsidRPr="000F4505">
        <w:rPr>
          <w:i/>
        </w:rPr>
        <w:t>P. rapae</w:t>
      </w:r>
      <w:r>
        <w:t xml:space="preserve"> (above) and generalist caterpillar </w:t>
      </w:r>
      <w:r w:rsidRPr="000F4505">
        <w:rPr>
          <w:i/>
        </w:rPr>
        <w:t>S. exigua</w:t>
      </w:r>
      <w:r>
        <w:t xml:space="preserve"> (below) on </w:t>
      </w:r>
      <w:r w:rsidRPr="000F4505">
        <w:rPr>
          <w:i/>
        </w:rPr>
        <w:t>Streptanthus</w:t>
      </w:r>
      <w:r>
        <w:t xml:space="preserve"> species grown in native field soils or potting soils.  Bars are means +/- standard error.  Resistance in further analyses was considered 0-RGR.  </w:t>
      </w:r>
    </w:p>
    <w:p w14:paraId="7238BD3F" w14:textId="77777777" w:rsidR="00452BC9" w:rsidRDefault="00452BC9" w:rsidP="00452BC9">
      <w:pPr>
        <w:spacing w:line="480" w:lineRule="auto"/>
      </w:pPr>
      <w:r>
        <w:rPr>
          <w:b/>
        </w:rPr>
        <w:t>Fig. 3</w:t>
      </w:r>
      <w:r w:rsidRPr="00881368">
        <w:rPr>
          <w:b/>
        </w:rPr>
        <w:t>.</w:t>
      </w:r>
      <w:r>
        <w:t xml:space="preserve">  The relationship between folivory tolerance and resistance among </w:t>
      </w:r>
      <w:r w:rsidRPr="000F4505">
        <w:rPr>
          <w:i/>
        </w:rPr>
        <w:t>Streptanthus</w:t>
      </w:r>
      <w:r>
        <w:t xml:space="preserve"> species.  Resistance was measured as negative relative growth rate of a specialist caterpillar (</w:t>
      </w:r>
      <w:r w:rsidRPr="000F4505">
        <w:rPr>
          <w:i/>
        </w:rPr>
        <w:t>P. rapae</w:t>
      </w:r>
      <w:r>
        <w:t>) and a generalist caterpillar (</w:t>
      </w:r>
      <w:r w:rsidRPr="000F4505">
        <w:rPr>
          <w:i/>
        </w:rPr>
        <w:t>S. exigua</w:t>
      </w:r>
      <w:r>
        <w:t xml:space="preserve">) on </w:t>
      </w:r>
      <w:r w:rsidRPr="000F4505">
        <w:rPr>
          <w:i/>
        </w:rPr>
        <w:t>Streptanthus</w:t>
      </w:r>
      <w:r>
        <w:t xml:space="preserve"> species grown either on potting soil or native field soil.  Because of interactions between tolerance type, caterpillar species, and soil type, we show the tolerance-resistance relationship for each measure of tolerance and resistance separately (Panels a-d).  Greater values indicate higher resistance and tolerance.  Trend lines indicate a significant (P&lt;0.05) PGLS relationship.</w:t>
      </w:r>
    </w:p>
    <w:p w14:paraId="05C11A78" w14:textId="77777777" w:rsidR="00452BC9" w:rsidRDefault="00452BC9" w:rsidP="00452BC9">
      <w:pPr>
        <w:spacing w:line="480" w:lineRule="auto"/>
      </w:pPr>
      <w:r>
        <w:rPr>
          <w:b/>
        </w:rPr>
        <w:t>Fig. 4</w:t>
      </w:r>
      <w:r w:rsidRPr="00881368">
        <w:rPr>
          <w:b/>
        </w:rPr>
        <w:t>.</w:t>
      </w:r>
      <w:r>
        <w:t xml:space="preserve">  The relationship between browse (apical damage) tolerance and resistance among </w:t>
      </w:r>
      <w:r w:rsidRPr="000F4505">
        <w:rPr>
          <w:i/>
        </w:rPr>
        <w:t>Streptanthus</w:t>
      </w:r>
      <w:r>
        <w:t xml:space="preserve"> species.  Resistance was measured as negative relative growth rate of a </w:t>
      </w:r>
      <w:r>
        <w:lastRenderedPageBreak/>
        <w:t>specialist caterpillar (</w:t>
      </w:r>
      <w:r w:rsidRPr="000F4505">
        <w:rPr>
          <w:i/>
        </w:rPr>
        <w:t>P. rapae</w:t>
      </w:r>
      <w:r>
        <w:t>) and a generalist caterpillar (</w:t>
      </w:r>
      <w:r w:rsidRPr="000F4505">
        <w:rPr>
          <w:i/>
        </w:rPr>
        <w:t>S. exigua</w:t>
      </w:r>
      <w:r>
        <w:t xml:space="preserve">) on </w:t>
      </w:r>
      <w:r w:rsidRPr="000F4505">
        <w:rPr>
          <w:i/>
        </w:rPr>
        <w:t>Streptanthus</w:t>
      </w:r>
      <w:r>
        <w:t xml:space="preserve"> species grown either on potting soil or native field soil.  Because of interactions between tolerance type, caterpillar species, and soil type, we show the tolerance-resistance relationship for each measure of tolerance and resistance separately (Panels a-d).  Greater values indicate higher resistance and tolerance.  Trend lines indicate a significant (P&lt;0.05) PGLS relationship.</w:t>
      </w:r>
    </w:p>
    <w:p w14:paraId="5C211561" w14:textId="77777777" w:rsidR="00452BC9" w:rsidRDefault="00452BC9" w:rsidP="00452BC9">
      <w:pPr>
        <w:spacing w:line="480" w:lineRule="auto"/>
      </w:pPr>
      <w:r>
        <w:rPr>
          <w:b/>
        </w:rPr>
        <w:t>Fig. 5</w:t>
      </w:r>
      <w:r w:rsidRPr="00881368">
        <w:rPr>
          <w:b/>
        </w:rPr>
        <w:t>.</w:t>
      </w:r>
      <w:r>
        <w:t xml:space="preserve">  The relationship between </w:t>
      </w:r>
      <w:r w:rsidRPr="007B04BE">
        <w:rPr>
          <w:i/>
        </w:rPr>
        <w:t>Streptanthus</w:t>
      </w:r>
      <w:r>
        <w:t xml:space="preserve"> folivore tolerance (above) or clipping tolerance (below) and flowering phenology, home precipitation environment, and experimentally measured drought tolerance.  Trend lines indicate a significant (P&lt;0.05) PGLS relationship.</w:t>
      </w:r>
    </w:p>
    <w:p w14:paraId="7C3E1562" w14:textId="77777777" w:rsidR="00452BC9" w:rsidRDefault="00452BC9" w:rsidP="00452BC9">
      <w:pPr>
        <w:spacing w:line="480" w:lineRule="auto"/>
        <w:rPr>
          <w:b/>
        </w:rPr>
      </w:pPr>
    </w:p>
    <w:p w14:paraId="48BC0C76" w14:textId="0D46745A" w:rsidR="00810C75" w:rsidRPr="00867E2F" w:rsidRDefault="00810C75" w:rsidP="00867E2F"/>
    <w:sectPr w:rsidR="00810C75" w:rsidRPr="00867E2F" w:rsidSect="00195498">
      <w:footerReference w:type="default" r:id="rId13"/>
      <w:pgSz w:w="12240" w:h="15840"/>
      <w:pgMar w:top="1440" w:right="1800" w:bottom="1440" w:left="180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352B1" w14:textId="77777777" w:rsidR="0032657E" w:rsidRDefault="0032657E" w:rsidP="00510254">
      <w:r>
        <w:separator/>
      </w:r>
    </w:p>
  </w:endnote>
  <w:endnote w:type="continuationSeparator" w:id="0">
    <w:p w14:paraId="39B25CE4" w14:textId="77777777" w:rsidR="0032657E" w:rsidRDefault="0032657E" w:rsidP="0051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6351435"/>
      <w:docPartObj>
        <w:docPartGallery w:val="Page Numbers (Bottom of Page)"/>
        <w:docPartUnique/>
      </w:docPartObj>
    </w:sdtPr>
    <w:sdtEndPr>
      <w:rPr>
        <w:noProof/>
      </w:rPr>
    </w:sdtEndPr>
    <w:sdtContent>
      <w:p w14:paraId="10959A17" w14:textId="18CE18A7" w:rsidR="00B71CF3" w:rsidRDefault="00B71CF3">
        <w:pPr>
          <w:pStyle w:val="Footer"/>
          <w:jc w:val="center"/>
        </w:pPr>
        <w:r>
          <w:fldChar w:fldCharType="begin"/>
        </w:r>
        <w:r>
          <w:instrText xml:space="preserve"> PAGE   \* MERGEFORMAT </w:instrText>
        </w:r>
        <w:r>
          <w:fldChar w:fldCharType="separate"/>
        </w:r>
        <w:r w:rsidR="00B7721A">
          <w:rPr>
            <w:noProof/>
          </w:rPr>
          <w:t>2</w:t>
        </w:r>
        <w:r>
          <w:rPr>
            <w:noProof/>
          </w:rPr>
          <w:fldChar w:fldCharType="end"/>
        </w:r>
      </w:p>
    </w:sdtContent>
  </w:sdt>
  <w:p w14:paraId="29764201" w14:textId="77777777" w:rsidR="00B71CF3" w:rsidRDefault="00B71C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83AB4" w14:textId="77777777" w:rsidR="0032657E" w:rsidRDefault="0032657E" w:rsidP="00510254">
      <w:r>
        <w:separator/>
      </w:r>
    </w:p>
  </w:footnote>
  <w:footnote w:type="continuationSeparator" w:id="0">
    <w:p w14:paraId="2F782E23" w14:textId="77777777" w:rsidR="0032657E" w:rsidRDefault="0032657E" w:rsidP="005102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E3EFD"/>
    <w:multiLevelType w:val="multilevel"/>
    <w:tmpl w:val="3FE0F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A6F1D"/>
    <w:multiLevelType w:val="hybridMultilevel"/>
    <w:tmpl w:val="44166A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AB2"/>
    <w:multiLevelType w:val="multilevel"/>
    <w:tmpl w:val="D9D66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1F6EC5"/>
    <w:multiLevelType w:val="hybridMultilevel"/>
    <w:tmpl w:val="7CF09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397755"/>
    <w:multiLevelType w:val="multilevel"/>
    <w:tmpl w:val="9A1EF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994836"/>
    <w:multiLevelType w:val="multilevel"/>
    <w:tmpl w:val="E9920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240AD8"/>
    <w:multiLevelType w:val="hybridMultilevel"/>
    <w:tmpl w:val="8E6C6A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5D0405"/>
    <w:multiLevelType w:val="hybridMultilevel"/>
    <w:tmpl w:val="893668D8"/>
    <w:lvl w:ilvl="0" w:tplc="23EC5D94">
      <w:start w:val="2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C01D39"/>
    <w:multiLevelType w:val="multilevel"/>
    <w:tmpl w:val="A39E78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6"/>
  </w:num>
  <w:num w:numId="4">
    <w:abstractNumId w:val="5"/>
  </w:num>
  <w:num w:numId="5">
    <w:abstractNumId w:val="5"/>
    <w:lvlOverride w:ilvl="1">
      <w:lvl w:ilvl="1">
        <w:numFmt w:val="bullet"/>
        <w:lvlText w:val="o"/>
        <w:lvlJc w:val="left"/>
        <w:pPr>
          <w:tabs>
            <w:tab w:val="num" w:pos="1440"/>
          </w:tabs>
          <w:ind w:left="1440" w:hanging="360"/>
        </w:pPr>
        <w:rPr>
          <w:rFonts w:ascii="Courier New" w:hAnsi="Courier New" w:hint="default"/>
          <w:sz w:val="20"/>
        </w:rPr>
      </w:lvl>
    </w:lvlOverride>
  </w:num>
  <w:num w:numId="6">
    <w:abstractNumId w:val="2"/>
  </w:num>
  <w:num w:numId="7">
    <w:abstractNumId w:val="8"/>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D5"/>
    <w:rsid w:val="0000038D"/>
    <w:rsid w:val="00000A02"/>
    <w:rsid w:val="000030C6"/>
    <w:rsid w:val="0000447F"/>
    <w:rsid w:val="00007395"/>
    <w:rsid w:val="00007F49"/>
    <w:rsid w:val="00012AB6"/>
    <w:rsid w:val="00012FA7"/>
    <w:rsid w:val="00013625"/>
    <w:rsid w:val="000148C4"/>
    <w:rsid w:val="0001764E"/>
    <w:rsid w:val="000207C0"/>
    <w:rsid w:val="000223EC"/>
    <w:rsid w:val="000228B6"/>
    <w:rsid w:val="000234F5"/>
    <w:rsid w:val="00030F65"/>
    <w:rsid w:val="00036613"/>
    <w:rsid w:val="00036C40"/>
    <w:rsid w:val="0003798C"/>
    <w:rsid w:val="00037A53"/>
    <w:rsid w:val="00037D55"/>
    <w:rsid w:val="00037E1C"/>
    <w:rsid w:val="00040125"/>
    <w:rsid w:val="00041257"/>
    <w:rsid w:val="000440D8"/>
    <w:rsid w:val="00046A70"/>
    <w:rsid w:val="00047ED6"/>
    <w:rsid w:val="00051E1F"/>
    <w:rsid w:val="000524AC"/>
    <w:rsid w:val="00052CCA"/>
    <w:rsid w:val="00054103"/>
    <w:rsid w:val="00062913"/>
    <w:rsid w:val="00062A45"/>
    <w:rsid w:val="000632FF"/>
    <w:rsid w:val="0006403F"/>
    <w:rsid w:val="000655A9"/>
    <w:rsid w:val="00066FF6"/>
    <w:rsid w:val="0006716D"/>
    <w:rsid w:val="00067F7F"/>
    <w:rsid w:val="00073E92"/>
    <w:rsid w:val="0007488D"/>
    <w:rsid w:val="00076438"/>
    <w:rsid w:val="000815BE"/>
    <w:rsid w:val="000815EC"/>
    <w:rsid w:val="00082E43"/>
    <w:rsid w:val="000830FA"/>
    <w:rsid w:val="000844A8"/>
    <w:rsid w:val="00084BF3"/>
    <w:rsid w:val="0008506C"/>
    <w:rsid w:val="00086A05"/>
    <w:rsid w:val="00090D8A"/>
    <w:rsid w:val="00090E36"/>
    <w:rsid w:val="0009282D"/>
    <w:rsid w:val="00094420"/>
    <w:rsid w:val="000953C3"/>
    <w:rsid w:val="000953E5"/>
    <w:rsid w:val="00095825"/>
    <w:rsid w:val="00095C25"/>
    <w:rsid w:val="00096B7F"/>
    <w:rsid w:val="000A16CE"/>
    <w:rsid w:val="000A29D0"/>
    <w:rsid w:val="000A342D"/>
    <w:rsid w:val="000A39E8"/>
    <w:rsid w:val="000A3BD1"/>
    <w:rsid w:val="000A49EF"/>
    <w:rsid w:val="000A4B5D"/>
    <w:rsid w:val="000A5946"/>
    <w:rsid w:val="000A695B"/>
    <w:rsid w:val="000A6A76"/>
    <w:rsid w:val="000B076F"/>
    <w:rsid w:val="000B079E"/>
    <w:rsid w:val="000B18FA"/>
    <w:rsid w:val="000B5F97"/>
    <w:rsid w:val="000B63F0"/>
    <w:rsid w:val="000B6D3D"/>
    <w:rsid w:val="000B6D40"/>
    <w:rsid w:val="000B70AF"/>
    <w:rsid w:val="000C104B"/>
    <w:rsid w:val="000C16D6"/>
    <w:rsid w:val="000C1F99"/>
    <w:rsid w:val="000C2090"/>
    <w:rsid w:val="000C52B8"/>
    <w:rsid w:val="000C6929"/>
    <w:rsid w:val="000D2031"/>
    <w:rsid w:val="000D3489"/>
    <w:rsid w:val="000E19EC"/>
    <w:rsid w:val="000E23F1"/>
    <w:rsid w:val="000E32DE"/>
    <w:rsid w:val="000E4388"/>
    <w:rsid w:val="000E5800"/>
    <w:rsid w:val="000E6166"/>
    <w:rsid w:val="000E7EB8"/>
    <w:rsid w:val="000F0859"/>
    <w:rsid w:val="000F1D10"/>
    <w:rsid w:val="000F4505"/>
    <w:rsid w:val="000F5345"/>
    <w:rsid w:val="000F5C4C"/>
    <w:rsid w:val="001006E5"/>
    <w:rsid w:val="001063B0"/>
    <w:rsid w:val="00107B93"/>
    <w:rsid w:val="0011579A"/>
    <w:rsid w:val="00115CCF"/>
    <w:rsid w:val="00116700"/>
    <w:rsid w:val="00117781"/>
    <w:rsid w:val="00124579"/>
    <w:rsid w:val="00124896"/>
    <w:rsid w:val="0012497A"/>
    <w:rsid w:val="00125AA4"/>
    <w:rsid w:val="001264C2"/>
    <w:rsid w:val="00127139"/>
    <w:rsid w:val="0012726D"/>
    <w:rsid w:val="0012741E"/>
    <w:rsid w:val="00130FF8"/>
    <w:rsid w:val="0013198B"/>
    <w:rsid w:val="001356B0"/>
    <w:rsid w:val="001423AD"/>
    <w:rsid w:val="001431D9"/>
    <w:rsid w:val="001476BA"/>
    <w:rsid w:val="00152320"/>
    <w:rsid w:val="001548FD"/>
    <w:rsid w:val="00170452"/>
    <w:rsid w:val="00171507"/>
    <w:rsid w:val="001716D1"/>
    <w:rsid w:val="0017509C"/>
    <w:rsid w:val="0017589E"/>
    <w:rsid w:val="00176A3C"/>
    <w:rsid w:val="001773E5"/>
    <w:rsid w:val="0018233D"/>
    <w:rsid w:val="00182B64"/>
    <w:rsid w:val="00183FC4"/>
    <w:rsid w:val="00187978"/>
    <w:rsid w:val="001922C0"/>
    <w:rsid w:val="00195498"/>
    <w:rsid w:val="00197A0C"/>
    <w:rsid w:val="001A52DC"/>
    <w:rsid w:val="001B24DD"/>
    <w:rsid w:val="001B51A7"/>
    <w:rsid w:val="001B51F3"/>
    <w:rsid w:val="001B694B"/>
    <w:rsid w:val="001C0C3B"/>
    <w:rsid w:val="001C2B45"/>
    <w:rsid w:val="001C2BFE"/>
    <w:rsid w:val="001C337F"/>
    <w:rsid w:val="001C3466"/>
    <w:rsid w:val="001C436C"/>
    <w:rsid w:val="001D0462"/>
    <w:rsid w:val="001D13A8"/>
    <w:rsid w:val="001D5EE2"/>
    <w:rsid w:val="001E0502"/>
    <w:rsid w:val="001E1A1D"/>
    <w:rsid w:val="001E1D26"/>
    <w:rsid w:val="001E2537"/>
    <w:rsid w:val="001E5082"/>
    <w:rsid w:val="001E5450"/>
    <w:rsid w:val="001E5597"/>
    <w:rsid w:val="001E6DA0"/>
    <w:rsid w:val="001E7DC0"/>
    <w:rsid w:val="001F09D3"/>
    <w:rsid w:val="001F5330"/>
    <w:rsid w:val="001F5641"/>
    <w:rsid w:val="001F7E4F"/>
    <w:rsid w:val="00200C0F"/>
    <w:rsid w:val="00201196"/>
    <w:rsid w:val="00201D70"/>
    <w:rsid w:val="002037C8"/>
    <w:rsid w:val="0020422B"/>
    <w:rsid w:val="00204F8C"/>
    <w:rsid w:val="002062C8"/>
    <w:rsid w:val="00207680"/>
    <w:rsid w:val="002077D6"/>
    <w:rsid w:val="002126BA"/>
    <w:rsid w:val="00213EA6"/>
    <w:rsid w:val="00214DE8"/>
    <w:rsid w:val="00216A23"/>
    <w:rsid w:val="00216B26"/>
    <w:rsid w:val="00220EB0"/>
    <w:rsid w:val="00221ED0"/>
    <w:rsid w:val="00222636"/>
    <w:rsid w:val="0022589F"/>
    <w:rsid w:val="00225CB3"/>
    <w:rsid w:val="00226213"/>
    <w:rsid w:val="00232E4A"/>
    <w:rsid w:val="00232EC7"/>
    <w:rsid w:val="0023471A"/>
    <w:rsid w:val="00235719"/>
    <w:rsid w:val="00241EC5"/>
    <w:rsid w:val="00243FBE"/>
    <w:rsid w:val="00244FDB"/>
    <w:rsid w:val="002471E0"/>
    <w:rsid w:val="002504BB"/>
    <w:rsid w:val="002506B3"/>
    <w:rsid w:val="00250DA9"/>
    <w:rsid w:val="0025120B"/>
    <w:rsid w:val="0025145F"/>
    <w:rsid w:val="002529A0"/>
    <w:rsid w:val="00254638"/>
    <w:rsid w:val="002549E3"/>
    <w:rsid w:val="0026017D"/>
    <w:rsid w:val="002601E4"/>
    <w:rsid w:val="00260729"/>
    <w:rsid w:val="00260DC2"/>
    <w:rsid w:val="00260EE4"/>
    <w:rsid w:val="00262351"/>
    <w:rsid w:val="002649A9"/>
    <w:rsid w:val="0026646C"/>
    <w:rsid w:val="002667BA"/>
    <w:rsid w:val="002668D2"/>
    <w:rsid w:val="0026736C"/>
    <w:rsid w:val="00270360"/>
    <w:rsid w:val="00271048"/>
    <w:rsid w:val="00273F94"/>
    <w:rsid w:val="0027434B"/>
    <w:rsid w:val="00274416"/>
    <w:rsid w:val="00275375"/>
    <w:rsid w:val="0027738E"/>
    <w:rsid w:val="00282035"/>
    <w:rsid w:val="00282BDF"/>
    <w:rsid w:val="00284817"/>
    <w:rsid w:val="00286AAC"/>
    <w:rsid w:val="002934F3"/>
    <w:rsid w:val="00294F31"/>
    <w:rsid w:val="002950D6"/>
    <w:rsid w:val="002A1CF0"/>
    <w:rsid w:val="002A220A"/>
    <w:rsid w:val="002A4138"/>
    <w:rsid w:val="002A42C2"/>
    <w:rsid w:val="002A5CCE"/>
    <w:rsid w:val="002A6B59"/>
    <w:rsid w:val="002B00FE"/>
    <w:rsid w:val="002B010E"/>
    <w:rsid w:val="002B3B63"/>
    <w:rsid w:val="002B66B8"/>
    <w:rsid w:val="002B6EC8"/>
    <w:rsid w:val="002B752E"/>
    <w:rsid w:val="002B7D40"/>
    <w:rsid w:val="002C175B"/>
    <w:rsid w:val="002C2751"/>
    <w:rsid w:val="002C300B"/>
    <w:rsid w:val="002C3839"/>
    <w:rsid w:val="002D3688"/>
    <w:rsid w:val="002D45B0"/>
    <w:rsid w:val="002D6193"/>
    <w:rsid w:val="002D654F"/>
    <w:rsid w:val="002D6731"/>
    <w:rsid w:val="002E0F0A"/>
    <w:rsid w:val="002E10C1"/>
    <w:rsid w:val="002E1C40"/>
    <w:rsid w:val="002E2873"/>
    <w:rsid w:val="002E2B47"/>
    <w:rsid w:val="002E2DAA"/>
    <w:rsid w:val="002E3053"/>
    <w:rsid w:val="002E31F3"/>
    <w:rsid w:val="002E5011"/>
    <w:rsid w:val="002E64D9"/>
    <w:rsid w:val="002F0EBF"/>
    <w:rsid w:val="002F2C43"/>
    <w:rsid w:val="002F2D3E"/>
    <w:rsid w:val="002F48F9"/>
    <w:rsid w:val="002F4A06"/>
    <w:rsid w:val="002F637E"/>
    <w:rsid w:val="002F7F5D"/>
    <w:rsid w:val="00300B1C"/>
    <w:rsid w:val="00301E3F"/>
    <w:rsid w:val="00302C36"/>
    <w:rsid w:val="00302E3E"/>
    <w:rsid w:val="00302EE1"/>
    <w:rsid w:val="0030411E"/>
    <w:rsid w:val="00307E02"/>
    <w:rsid w:val="00311542"/>
    <w:rsid w:val="0031268A"/>
    <w:rsid w:val="00313426"/>
    <w:rsid w:val="00313D9B"/>
    <w:rsid w:val="003148E2"/>
    <w:rsid w:val="00315131"/>
    <w:rsid w:val="00315EFA"/>
    <w:rsid w:val="00315FA9"/>
    <w:rsid w:val="00317331"/>
    <w:rsid w:val="00322B23"/>
    <w:rsid w:val="0032657E"/>
    <w:rsid w:val="00330322"/>
    <w:rsid w:val="003313C6"/>
    <w:rsid w:val="00334B2B"/>
    <w:rsid w:val="0033603B"/>
    <w:rsid w:val="00340BFE"/>
    <w:rsid w:val="00344708"/>
    <w:rsid w:val="003448D5"/>
    <w:rsid w:val="00346D45"/>
    <w:rsid w:val="00347D94"/>
    <w:rsid w:val="00351E3D"/>
    <w:rsid w:val="003533B5"/>
    <w:rsid w:val="00353906"/>
    <w:rsid w:val="00353CD1"/>
    <w:rsid w:val="00354F4A"/>
    <w:rsid w:val="003602D5"/>
    <w:rsid w:val="00360A54"/>
    <w:rsid w:val="00365609"/>
    <w:rsid w:val="00365F31"/>
    <w:rsid w:val="00371B2F"/>
    <w:rsid w:val="0037423C"/>
    <w:rsid w:val="003748F0"/>
    <w:rsid w:val="00375643"/>
    <w:rsid w:val="00375A66"/>
    <w:rsid w:val="00384056"/>
    <w:rsid w:val="003907CB"/>
    <w:rsid w:val="00391334"/>
    <w:rsid w:val="00392093"/>
    <w:rsid w:val="00393705"/>
    <w:rsid w:val="003978F1"/>
    <w:rsid w:val="003979AD"/>
    <w:rsid w:val="003A2DEB"/>
    <w:rsid w:val="003A480C"/>
    <w:rsid w:val="003A5D35"/>
    <w:rsid w:val="003A5EE2"/>
    <w:rsid w:val="003A6729"/>
    <w:rsid w:val="003B0DF2"/>
    <w:rsid w:val="003B4CAF"/>
    <w:rsid w:val="003B7736"/>
    <w:rsid w:val="003B797B"/>
    <w:rsid w:val="003B7A32"/>
    <w:rsid w:val="003B7FBE"/>
    <w:rsid w:val="003C2767"/>
    <w:rsid w:val="003C3240"/>
    <w:rsid w:val="003C4BDF"/>
    <w:rsid w:val="003C4C0E"/>
    <w:rsid w:val="003C5B45"/>
    <w:rsid w:val="003C645A"/>
    <w:rsid w:val="003C671B"/>
    <w:rsid w:val="003D0CD5"/>
    <w:rsid w:val="003D5263"/>
    <w:rsid w:val="003D5610"/>
    <w:rsid w:val="003D630A"/>
    <w:rsid w:val="003D67EF"/>
    <w:rsid w:val="003D6992"/>
    <w:rsid w:val="003E4CA4"/>
    <w:rsid w:val="003E4DCB"/>
    <w:rsid w:val="003E5517"/>
    <w:rsid w:val="003E5BAC"/>
    <w:rsid w:val="003E7158"/>
    <w:rsid w:val="003E763D"/>
    <w:rsid w:val="003F105E"/>
    <w:rsid w:val="003F2C53"/>
    <w:rsid w:val="003F558D"/>
    <w:rsid w:val="003F62B8"/>
    <w:rsid w:val="003F7CF4"/>
    <w:rsid w:val="00401E05"/>
    <w:rsid w:val="00404459"/>
    <w:rsid w:val="00404CFF"/>
    <w:rsid w:val="00404FF1"/>
    <w:rsid w:val="004055C5"/>
    <w:rsid w:val="00405733"/>
    <w:rsid w:val="00405A11"/>
    <w:rsid w:val="00406690"/>
    <w:rsid w:val="00413F78"/>
    <w:rsid w:val="00414148"/>
    <w:rsid w:val="00415FDD"/>
    <w:rsid w:val="004167B3"/>
    <w:rsid w:val="00417499"/>
    <w:rsid w:val="00420205"/>
    <w:rsid w:val="00425AA1"/>
    <w:rsid w:val="00425C06"/>
    <w:rsid w:val="004265BE"/>
    <w:rsid w:val="004320E0"/>
    <w:rsid w:val="0043441E"/>
    <w:rsid w:val="00434A3F"/>
    <w:rsid w:val="0043777C"/>
    <w:rsid w:val="004378F8"/>
    <w:rsid w:val="00437B1E"/>
    <w:rsid w:val="00440068"/>
    <w:rsid w:val="004436B1"/>
    <w:rsid w:val="00444A14"/>
    <w:rsid w:val="004466F7"/>
    <w:rsid w:val="00450178"/>
    <w:rsid w:val="00450E22"/>
    <w:rsid w:val="00452103"/>
    <w:rsid w:val="00452BC9"/>
    <w:rsid w:val="00452E1A"/>
    <w:rsid w:val="00454A9B"/>
    <w:rsid w:val="00455CD1"/>
    <w:rsid w:val="00456BA1"/>
    <w:rsid w:val="00457FDF"/>
    <w:rsid w:val="00461200"/>
    <w:rsid w:val="00464919"/>
    <w:rsid w:val="00466E9B"/>
    <w:rsid w:val="00467DF4"/>
    <w:rsid w:val="00470B9F"/>
    <w:rsid w:val="0047327F"/>
    <w:rsid w:val="00474294"/>
    <w:rsid w:val="00474683"/>
    <w:rsid w:val="00480FB4"/>
    <w:rsid w:val="004812A9"/>
    <w:rsid w:val="00481C16"/>
    <w:rsid w:val="00482646"/>
    <w:rsid w:val="00486372"/>
    <w:rsid w:val="00486989"/>
    <w:rsid w:val="00487F43"/>
    <w:rsid w:val="004901AA"/>
    <w:rsid w:val="0049281B"/>
    <w:rsid w:val="00493617"/>
    <w:rsid w:val="00494A6C"/>
    <w:rsid w:val="0049579B"/>
    <w:rsid w:val="00495CF3"/>
    <w:rsid w:val="00496A55"/>
    <w:rsid w:val="00496E48"/>
    <w:rsid w:val="004A2B64"/>
    <w:rsid w:val="004A4E24"/>
    <w:rsid w:val="004A4F61"/>
    <w:rsid w:val="004A6E0F"/>
    <w:rsid w:val="004A727D"/>
    <w:rsid w:val="004A7822"/>
    <w:rsid w:val="004B1728"/>
    <w:rsid w:val="004B7BE0"/>
    <w:rsid w:val="004C04F0"/>
    <w:rsid w:val="004C12A3"/>
    <w:rsid w:val="004C21BC"/>
    <w:rsid w:val="004C664F"/>
    <w:rsid w:val="004D0903"/>
    <w:rsid w:val="004D1954"/>
    <w:rsid w:val="004D27F4"/>
    <w:rsid w:val="004D292D"/>
    <w:rsid w:val="004D45F9"/>
    <w:rsid w:val="004D55B8"/>
    <w:rsid w:val="004D6127"/>
    <w:rsid w:val="004D7749"/>
    <w:rsid w:val="004E0A82"/>
    <w:rsid w:val="004E1ABD"/>
    <w:rsid w:val="004E2AC2"/>
    <w:rsid w:val="004E2DE5"/>
    <w:rsid w:val="004F137E"/>
    <w:rsid w:val="004F27B4"/>
    <w:rsid w:val="004F46D3"/>
    <w:rsid w:val="004F4991"/>
    <w:rsid w:val="00504885"/>
    <w:rsid w:val="00506CA1"/>
    <w:rsid w:val="00510254"/>
    <w:rsid w:val="005105E1"/>
    <w:rsid w:val="00511521"/>
    <w:rsid w:val="005115A4"/>
    <w:rsid w:val="00511CB3"/>
    <w:rsid w:val="005127DE"/>
    <w:rsid w:val="0051339E"/>
    <w:rsid w:val="00513F09"/>
    <w:rsid w:val="00514168"/>
    <w:rsid w:val="00517C18"/>
    <w:rsid w:val="005207F4"/>
    <w:rsid w:val="005214C4"/>
    <w:rsid w:val="0052172E"/>
    <w:rsid w:val="00523AE8"/>
    <w:rsid w:val="00523C9A"/>
    <w:rsid w:val="00524229"/>
    <w:rsid w:val="005264D2"/>
    <w:rsid w:val="005268A6"/>
    <w:rsid w:val="00526F02"/>
    <w:rsid w:val="005272C9"/>
    <w:rsid w:val="00527698"/>
    <w:rsid w:val="005279A1"/>
    <w:rsid w:val="00533F3C"/>
    <w:rsid w:val="005340DC"/>
    <w:rsid w:val="00545E2A"/>
    <w:rsid w:val="005478F7"/>
    <w:rsid w:val="0055221F"/>
    <w:rsid w:val="00553CE0"/>
    <w:rsid w:val="005641B0"/>
    <w:rsid w:val="00564F16"/>
    <w:rsid w:val="005653BF"/>
    <w:rsid w:val="005659A1"/>
    <w:rsid w:val="00565B27"/>
    <w:rsid w:val="00566FA9"/>
    <w:rsid w:val="00570DBC"/>
    <w:rsid w:val="00571328"/>
    <w:rsid w:val="00571413"/>
    <w:rsid w:val="0057485E"/>
    <w:rsid w:val="0057487C"/>
    <w:rsid w:val="00575D1F"/>
    <w:rsid w:val="0057699F"/>
    <w:rsid w:val="00577E6B"/>
    <w:rsid w:val="00581564"/>
    <w:rsid w:val="0058186A"/>
    <w:rsid w:val="00582206"/>
    <w:rsid w:val="00582FF3"/>
    <w:rsid w:val="005844F9"/>
    <w:rsid w:val="005916CA"/>
    <w:rsid w:val="005932A8"/>
    <w:rsid w:val="005947C3"/>
    <w:rsid w:val="00595494"/>
    <w:rsid w:val="005A0AF0"/>
    <w:rsid w:val="005A3C88"/>
    <w:rsid w:val="005A57B1"/>
    <w:rsid w:val="005A6552"/>
    <w:rsid w:val="005A6795"/>
    <w:rsid w:val="005B0867"/>
    <w:rsid w:val="005B184D"/>
    <w:rsid w:val="005B38FC"/>
    <w:rsid w:val="005B40B1"/>
    <w:rsid w:val="005B59F4"/>
    <w:rsid w:val="005B5CD2"/>
    <w:rsid w:val="005B62D4"/>
    <w:rsid w:val="005C02C1"/>
    <w:rsid w:val="005C0903"/>
    <w:rsid w:val="005C423B"/>
    <w:rsid w:val="005C56D3"/>
    <w:rsid w:val="005C5CF8"/>
    <w:rsid w:val="005C6C9D"/>
    <w:rsid w:val="005D0B7F"/>
    <w:rsid w:val="005D108A"/>
    <w:rsid w:val="005D2CA4"/>
    <w:rsid w:val="005D2CDD"/>
    <w:rsid w:val="005D4CB2"/>
    <w:rsid w:val="005D5AEC"/>
    <w:rsid w:val="005D6318"/>
    <w:rsid w:val="005D7AE3"/>
    <w:rsid w:val="005E2DD2"/>
    <w:rsid w:val="005E320E"/>
    <w:rsid w:val="005E330E"/>
    <w:rsid w:val="005E3FC7"/>
    <w:rsid w:val="005E5F5B"/>
    <w:rsid w:val="005E7066"/>
    <w:rsid w:val="005F1397"/>
    <w:rsid w:val="005F27DF"/>
    <w:rsid w:val="005F50B7"/>
    <w:rsid w:val="005F5F42"/>
    <w:rsid w:val="0060067C"/>
    <w:rsid w:val="006018F9"/>
    <w:rsid w:val="00610341"/>
    <w:rsid w:val="006110CA"/>
    <w:rsid w:val="00613FC3"/>
    <w:rsid w:val="00614BE2"/>
    <w:rsid w:val="00614FDA"/>
    <w:rsid w:val="00620C3E"/>
    <w:rsid w:val="00622292"/>
    <w:rsid w:val="00622A12"/>
    <w:rsid w:val="006243DD"/>
    <w:rsid w:val="006260F8"/>
    <w:rsid w:val="00627A32"/>
    <w:rsid w:val="006320DC"/>
    <w:rsid w:val="00632AF3"/>
    <w:rsid w:val="00632D69"/>
    <w:rsid w:val="00633F48"/>
    <w:rsid w:val="00635306"/>
    <w:rsid w:val="00635922"/>
    <w:rsid w:val="00636BD7"/>
    <w:rsid w:val="006375F0"/>
    <w:rsid w:val="00637767"/>
    <w:rsid w:val="00643E78"/>
    <w:rsid w:val="00644370"/>
    <w:rsid w:val="00644C05"/>
    <w:rsid w:val="0064596D"/>
    <w:rsid w:val="00646DAF"/>
    <w:rsid w:val="00646E63"/>
    <w:rsid w:val="006502D6"/>
    <w:rsid w:val="006506CC"/>
    <w:rsid w:val="00651D2A"/>
    <w:rsid w:val="00652697"/>
    <w:rsid w:val="00654ABB"/>
    <w:rsid w:val="006562D8"/>
    <w:rsid w:val="00657142"/>
    <w:rsid w:val="006576C4"/>
    <w:rsid w:val="00661DBB"/>
    <w:rsid w:val="00662706"/>
    <w:rsid w:val="006659C5"/>
    <w:rsid w:val="006723AC"/>
    <w:rsid w:val="006725F3"/>
    <w:rsid w:val="00673878"/>
    <w:rsid w:val="00673920"/>
    <w:rsid w:val="006769D6"/>
    <w:rsid w:val="00681D4F"/>
    <w:rsid w:val="00681DD5"/>
    <w:rsid w:val="00681E24"/>
    <w:rsid w:val="006820A9"/>
    <w:rsid w:val="00682AF2"/>
    <w:rsid w:val="00686AAA"/>
    <w:rsid w:val="006908B8"/>
    <w:rsid w:val="00692EFE"/>
    <w:rsid w:val="00693973"/>
    <w:rsid w:val="00694141"/>
    <w:rsid w:val="0069463B"/>
    <w:rsid w:val="006A0AD4"/>
    <w:rsid w:val="006A19E1"/>
    <w:rsid w:val="006A4E70"/>
    <w:rsid w:val="006A56AB"/>
    <w:rsid w:val="006A7F3A"/>
    <w:rsid w:val="006B6FCE"/>
    <w:rsid w:val="006B7BCE"/>
    <w:rsid w:val="006C0134"/>
    <w:rsid w:val="006C0153"/>
    <w:rsid w:val="006C222F"/>
    <w:rsid w:val="006C3B92"/>
    <w:rsid w:val="006C40D9"/>
    <w:rsid w:val="006C4A39"/>
    <w:rsid w:val="006C69B6"/>
    <w:rsid w:val="006C7081"/>
    <w:rsid w:val="006D1999"/>
    <w:rsid w:val="006D1F41"/>
    <w:rsid w:val="006D23C5"/>
    <w:rsid w:val="006D2B86"/>
    <w:rsid w:val="006D39B2"/>
    <w:rsid w:val="006D57D0"/>
    <w:rsid w:val="006D685D"/>
    <w:rsid w:val="006D7295"/>
    <w:rsid w:val="006D76BB"/>
    <w:rsid w:val="006D7ADB"/>
    <w:rsid w:val="006E3AC3"/>
    <w:rsid w:val="006E68BB"/>
    <w:rsid w:val="006F1B53"/>
    <w:rsid w:val="006F2335"/>
    <w:rsid w:val="006F478D"/>
    <w:rsid w:val="006F4B40"/>
    <w:rsid w:val="006F5728"/>
    <w:rsid w:val="00703C48"/>
    <w:rsid w:val="00704A3D"/>
    <w:rsid w:val="00704CD1"/>
    <w:rsid w:val="007052C9"/>
    <w:rsid w:val="00707FDA"/>
    <w:rsid w:val="00711201"/>
    <w:rsid w:val="00711EDC"/>
    <w:rsid w:val="0071202A"/>
    <w:rsid w:val="007124A8"/>
    <w:rsid w:val="00712C00"/>
    <w:rsid w:val="0071439E"/>
    <w:rsid w:val="00716F5B"/>
    <w:rsid w:val="007207B7"/>
    <w:rsid w:val="00724EC4"/>
    <w:rsid w:val="00725F7F"/>
    <w:rsid w:val="007266C9"/>
    <w:rsid w:val="00730935"/>
    <w:rsid w:val="00730D0A"/>
    <w:rsid w:val="00734A1E"/>
    <w:rsid w:val="00736471"/>
    <w:rsid w:val="00737E3C"/>
    <w:rsid w:val="00740F25"/>
    <w:rsid w:val="0074106C"/>
    <w:rsid w:val="007438CD"/>
    <w:rsid w:val="00744C00"/>
    <w:rsid w:val="00746498"/>
    <w:rsid w:val="00746BD4"/>
    <w:rsid w:val="0074732E"/>
    <w:rsid w:val="00752005"/>
    <w:rsid w:val="0075325E"/>
    <w:rsid w:val="00754570"/>
    <w:rsid w:val="00754D78"/>
    <w:rsid w:val="0076148F"/>
    <w:rsid w:val="007615C2"/>
    <w:rsid w:val="00761755"/>
    <w:rsid w:val="007645E8"/>
    <w:rsid w:val="00767735"/>
    <w:rsid w:val="00771ED3"/>
    <w:rsid w:val="0077207C"/>
    <w:rsid w:val="0077255A"/>
    <w:rsid w:val="007754C9"/>
    <w:rsid w:val="007761F6"/>
    <w:rsid w:val="00776D62"/>
    <w:rsid w:val="0078006E"/>
    <w:rsid w:val="007830FE"/>
    <w:rsid w:val="00783752"/>
    <w:rsid w:val="007843E0"/>
    <w:rsid w:val="00790A60"/>
    <w:rsid w:val="00790B37"/>
    <w:rsid w:val="00793269"/>
    <w:rsid w:val="00793AE4"/>
    <w:rsid w:val="00794C2F"/>
    <w:rsid w:val="00797E8F"/>
    <w:rsid w:val="007A160B"/>
    <w:rsid w:val="007A2275"/>
    <w:rsid w:val="007A254E"/>
    <w:rsid w:val="007A4F20"/>
    <w:rsid w:val="007A7654"/>
    <w:rsid w:val="007A7736"/>
    <w:rsid w:val="007B04BE"/>
    <w:rsid w:val="007B459B"/>
    <w:rsid w:val="007B722A"/>
    <w:rsid w:val="007B7704"/>
    <w:rsid w:val="007C182C"/>
    <w:rsid w:val="007C28E5"/>
    <w:rsid w:val="007C33D3"/>
    <w:rsid w:val="007C74E4"/>
    <w:rsid w:val="007C7597"/>
    <w:rsid w:val="007D1A29"/>
    <w:rsid w:val="007D1B4C"/>
    <w:rsid w:val="007D29F9"/>
    <w:rsid w:val="007D2A20"/>
    <w:rsid w:val="007D52DD"/>
    <w:rsid w:val="007D6208"/>
    <w:rsid w:val="007D723C"/>
    <w:rsid w:val="007E1330"/>
    <w:rsid w:val="007E2525"/>
    <w:rsid w:val="007E45E7"/>
    <w:rsid w:val="007E5F90"/>
    <w:rsid w:val="007E75EA"/>
    <w:rsid w:val="007F140C"/>
    <w:rsid w:val="007F38F7"/>
    <w:rsid w:val="007F3966"/>
    <w:rsid w:val="007F42EC"/>
    <w:rsid w:val="007F5C6A"/>
    <w:rsid w:val="007F5E3E"/>
    <w:rsid w:val="007F6499"/>
    <w:rsid w:val="008016A3"/>
    <w:rsid w:val="0080186B"/>
    <w:rsid w:val="008031F3"/>
    <w:rsid w:val="00805074"/>
    <w:rsid w:val="008051C4"/>
    <w:rsid w:val="0080778E"/>
    <w:rsid w:val="008079D6"/>
    <w:rsid w:val="00810C75"/>
    <w:rsid w:val="00811537"/>
    <w:rsid w:val="00812092"/>
    <w:rsid w:val="00812360"/>
    <w:rsid w:val="00814929"/>
    <w:rsid w:val="00814B0C"/>
    <w:rsid w:val="00814D20"/>
    <w:rsid w:val="0081573D"/>
    <w:rsid w:val="00823D30"/>
    <w:rsid w:val="0082457F"/>
    <w:rsid w:val="0082549D"/>
    <w:rsid w:val="008261C4"/>
    <w:rsid w:val="00827222"/>
    <w:rsid w:val="00827615"/>
    <w:rsid w:val="0083040F"/>
    <w:rsid w:val="00831E45"/>
    <w:rsid w:val="00831EDB"/>
    <w:rsid w:val="00832D25"/>
    <w:rsid w:val="00833D67"/>
    <w:rsid w:val="008343BA"/>
    <w:rsid w:val="00834C26"/>
    <w:rsid w:val="00835967"/>
    <w:rsid w:val="00836B6D"/>
    <w:rsid w:val="00841256"/>
    <w:rsid w:val="00841FEB"/>
    <w:rsid w:val="00842F5D"/>
    <w:rsid w:val="008440DB"/>
    <w:rsid w:val="00845F4B"/>
    <w:rsid w:val="00846AEB"/>
    <w:rsid w:val="00846D85"/>
    <w:rsid w:val="00851669"/>
    <w:rsid w:val="00852983"/>
    <w:rsid w:val="00856B6A"/>
    <w:rsid w:val="00864707"/>
    <w:rsid w:val="00866C85"/>
    <w:rsid w:val="00867E2F"/>
    <w:rsid w:val="0087030A"/>
    <w:rsid w:val="00871B14"/>
    <w:rsid w:val="00872AAE"/>
    <w:rsid w:val="008732BA"/>
    <w:rsid w:val="0087498D"/>
    <w:rsid w:val="00874A2F"/>
    <w:rsid w:val="00875D9F"/>
    <w:rsid w:val="008802C1"/>
    <w:rsid w:val="00881368"/>
    <w:rsid w:val="008843FF"/>
    <w:rsid w:val="00884973"/>
    <w:rsid w:val="0088621E"/>
    <w:rsid w:val="0088710A"/>
    <w:rsid w:val="00887861"/>
    <w:rsid w:val="0089049E"/>
    <w:rsid w:val="00891219"/>
    <w:rsid w:val="00892175"/>
    <w:rsid w:val="00892B57"/>
    <w:rsid w:val="00896477"/>
    <w:rsid w:val="008966CC"/>
    <w:rsid w:val="008A1BFC"/>
    <w:rsid w:val="008A299E"/>
    <w:rsid w:val="008A3B04"/>
    <w:rsid w:val="008A4946"/>
    <w:rsid w:val="008A4A7A"/>
    <w:rsid w:val="008A57B4"/>
    <w:rsid w:val="008A6015"/>
    <w:rsid w:val="008A60BC"/>
    <w:rsid w:val="008A6BD3"/>
    <w:rsid w:val="008A7A23"/>
    <w:rsid w:val="008A7E9F"/>
    <w:rsid w:val="008A7F29"/>
    <w:rsid w:val="008B05A0"/>
    <w:rsid w:val="008B1C9D"/>
    <w:rsid w:val="008B5677"/>
    <w:rsid w:val="008B6F23"/>
    <w:rsid w:val="008B7750"/>
    <w:rsid w:val="008B7C09"/>
    <w:rsid w:val="008C297E"/>
    <w:rsid w:val="008C29FF"/>
    <w:rsid w:val="008C65F7"/>
    <w:rsid w:val="008C69CF"/>
    <w:rsid w:val="008D0852"/>
    <w:rsid w:val="008D0CAC"/>
    <w:rsid w:val="008D2D7F"/>
    <w:rsid w:val="008D3FF5"/>
    <w:rsid w:val="008D45B8"/>
    <w:rsid w:val="008D65AB"/>
    <w:rsid w:val="008D788F"/>
    <w:rsid w:val="008E3ACB"/>
    <w:rsid w:val="008E55B0"/>
    <w:rsid w:val="008E59FF"/>
    <w:rsid w:val="008E7564"/>
    <w:rsid w:val="008F0D28"/>
    <w:rsid w:val="008F1143"/>
    <w:rsid w:val="008F28DD"/>
    <w:rsid w:val="008F3B9A"/>
    <w:rsid w:val="008F7139"/>
    <w:rsid w:val="00900B9E"/>
    <w:rsid w:val="009013E9"/>
    <w:rsid w:val="00903199"/>
    <w:rsid w:val="00903319"/>
    <w:rsid w:val="00903D73"/>
    <w:rsid w:val="00904C95"/>
    <w:rsid w:val="00905685"/>
    <w:rsid w:val="009121B3"/>
    <w:rsid w:val="009121FD"/>
    <w:rsid w:val="00912C51"/>
    <w:rsid w:val="00913081"/>
    <w:rsid w:val="009149A1"/>
    <w:rsid w:val="00917CD0"/>
    <w:rsid w:val="00924187"/>
    <w:rsid w:val="00924A52"/>
    <w:rsid w:val="00924C44"/>
    <w:rsid w:val="0092527D"/>
    <w:rsid w:val="00926139"/>
    <w:rsid w:val="009314F9"/>
    <w:rsid w:val="00931B33"/>
    <w:rsid w:val="009331CC"/>
    <w:rsid w:val="00935349"/>
    <w:rsid w:val="00937CAD"/>
    <w:rsid w:val="0094120A"/>
    <w:rsid w:val="0094431C"/>
    <w:rsid w:val="0094665D"/>
    <w:rsid w:val="0095245F"/>
    <w:rsid w:val="009544B7"/>
    <w:rsid w:val="00955286"/>
    <w:rsid w:val="009563C0"/>
    <w:rsid w:val="009566D1"/>
    <w:rsid w:val="0095760B"/>
    <w:rsid w:val="0096177E"/>
    <w:rsid w:val="0096640C"/>
    <w:rsid w:val="00967699"/>
    <w:rsid w:val="00972155"/>
    <w:rsid w:val="00972B15"/>
    <w:rsid w:val="00973A1D"/>
    <w:rsid w:val="00975073"/>
    <w:rsid w:val="009752B2"/>
    <w:rsid w:val="00975B11"/>
    <w:rsid w:val="009803FC"/>
    <w:rsid w:val="009810F6"/>
    <w:rsid w:val="00983A95"/>
    <w:rsid w:val="009843D3"/>
    <w:rsid w:val="00984970"/>
    <w:rsid w:val="00984DD0"/>
    <w:rsid w:val="0098500D"/>
    <w:rsid w:val="00986081"/>
    <w:rsid w:val="0099024B"/>
    <w:rsid w:val="0099121F"/>
    <w:rsid w:val="009915F3"/>
    <w:rsid w:val="0099297C"/>
    <w:rsid w:val="00994A19"/>
    <w:rsid w:val="00995358"/>
    <w:rsid w:val="0099645F"/>
    <w:rsid w:val="009A0500"/>
    <w:rsid w:val="009A2E44"/>
    <w:rsid w:val="009A5567"/>
    <w:rsid w:val="009B126C"/>
    <w:rsid w:val="009B349C"/>
    <w:rsid w:val="009B39D3"/>
    <w:rsid w:val="009C1406"/>
    <w:rsid w:val="009C1A8B"/>
    <w:rsid w:val="009C4766"/>
    <w:rsid w:val="009C4F12"/>
    <w:rsid w:val="009C6206"/>
    <w:rsid w:val="009C72AA"/>
    <w:rsid w:val="009D188E"/>
    <w:rsid w:val="009D352D"/>
    <w:rsid w:val="009D5778"/>
    <w:rsid w:val="009D742E"/>
    <w:rsid w:val="009E06B7"/>
    <w:rsid w:val="009E08A2"/>
    <w:rsid w:val="009E0E74"/>
    <w:rsid w:val="009E1CD6"/>
    <w:rsid w:val="009E2B1B"/>
    <w:rsid w:val="009E2E3D"/>
    <w:rsid w:val="009F0520"/>
    <w:rsid w:val="009F0B49"/>
    <w:rsid w:val="009F4D03"/>
    <w:rsid w:val="009F4DB4"/>
    <w:rsid w:val="009F5638"/>
    <w:rsid w:val="00A00E33"/>
    <w:rsid w:val="00A01E84"/>
    <w:rsid w:val="00A02DD5"/>
    <w:rsid w:val="00A06BE4"/>
    <w:rsid w:val="00A06CF7"/>
    <w:rsid w:val="00A07495"/>
    <w:rsid w:val="00A07E48"/>
    <w:rsid w:val="00A1135E"/>
    <w:rsid w:val="00A11EB3"/>
    <w:rsid w:val="00A1372D"/>
    <w:rsid w:val="00A13F4F"/>
    <w:rsid w:val="00A158FD"/>
    <w:rsid w:val="00A171CC"/>
    <w:rsid w:val="00A17C5E"/>
    <w:rsid w:val="00A20115"/>
    <w:rsid w:val="00A214B6"/>
    <w:rsid w:val="00A23E86"/>
    <w:rsid w:val="00A24793"/>
    <w:rsid w:val="00A26F40"/>
    <w:rsid w:val="00A32246"/>
    <w:rsid w:val="00A3256E"/>
    <w:rsid w:val="00A35523"/>
    <w:rsid w:val="00A35C03"/>
    <w:rsid w:val="00A361A2"/>
    <w:rsid w:val="00A41A17"/>
    <w:rsid w:val="00A451A0"/>
    <w:rsid w:val="00A46858"/>
    <w:rsid w:val="00A52EF8"/>
    <w:rsid w:val="00A53664"/>
    <w:rsid w:val="00A5446F"/>
    <w:rsid w:val="00A56620"/>
    <w:rsid w:val="00A56B1C"/>
    <w:rsid w:val="00A56FB0"/>
    <w:rsid w:val="00A60256"/>
    <w:rsid w:val="00A64FCA"/>
    <w:rsid w:val="00A653D5"/>
    <w:rsid w:val="00A7081C"/>
    <w:rsid w:val="00A712D2"/>
    <w:rsid w:val="00A718D6"/>
    <w:rsid w:val="00A725C7"/>
    <w:rsid w:val="00A72655"/>
    <w:rsid w:val="00A73647"/>
    <w:rsid w:val="00A74C7D"/>
    <w:rsid w:val="00A76F47"/>
    <w:rsid w:val="00A82045"/>
    <w:rsid w:val="00A8254F"/>
    <w:rsid w:val="00A82F64"/>
    <w:rsid w:val="00A8360A"/>
    <w:rsid w:val="00A8416C"/>
    <w:rsid w:val="00A84D85"/>
    <w:rsid w:val="00A84FFD"/>
    <w:rsid w:val="00A86237"/>
    <w:rsid w:val="00A86E32"/>
    <w:rsid w:val="00A872B5"/>
    <w:rsid w:val="00A930E7"/>
    <w:rsid w:val="00A931EB"/>
    <w:rsid w:val="00A93291"/>
    <w:rsid w:val="00A93D61"/>
    <w:rsid w:val="00A94911"/>
    <w:rsid w:val="00A95D6E"/>
    <w:rsid w:val="00AA0675"/>
    <w:rsid w:val="00AA2B08"/>
    <w:rsid w:val="00AA300C"/>
    <w:rsid w:val="00AA3EE9"/>
    <w:rsid w:val="00AA4072"/>
    <w:rsid w:val="00AA6A80"/>
    <w:rsid w:val="00AA6AB4"/>
    <w:rsid w:val="00AA6C44"/>
    <w:rsid w:val="00AB33FC"/>
    <w:rsid w:val="00AB49E9"/>
    <w:rsid w:val="00AB4F86"/>
    <w:rsid w:val="00AB50E3"/>
    <w:rsid w:val="00AB7182"/>
    <w:rsid w:val="00AB7BDE"/>
    <w:rsid w:val="00AC0C9B"/>
    <w:rsid w:val="00AC149D"/>
    <w:rsid w:val="00AC4043"/>
    <w:rsid w:val="00AC7863"/>
    <w:rsid w:val="00AC7B13"/>
    <w:rsid w:val="00AD00B0"/>
    <w:rsid w:val="00AD13D7"/>
    <w:rsid w:val="00AD20FA"/>
    <w:rsid w:val="00AD437D"/>
    <w:rsid w:val="00AE1271"/>
    <w:rsid w:val="00AE23FE"/>
    <w:rsid w:val="00AE3323"/>
    <w:rsid w:val="00AE3C11"/>
    <w:rsid w:val="00AE6EC2"/>
    <w:rsid w:val="00AE7174"/>
    <w:rsid w:val="00AE7B00"/>
    <w:rsid w:val="00AF0110"/>
    <w:rsid w:val="00AF0AA2"/>
    <w:rsid w:val="00AF1205"/>
    <w:rsid w:val="00AF12CB"/>
    <w:rsid w:val="00AF1A9C"/>
    <w:rsid w:val="00AF21E4"/>
    <w:rsid w:val="00AF394B"/>
    <w:rsid w:val="00AF3AD6"/>
    <w:rsid w:val="00AF5DEA"/>
    <w:rsid w:val="00AF60CE"/>
    <w:rsid w:val="00AF6ECD"/>
    <w:rsid w:val="00AF7015"/>
    <w:rsid w:val="00B02272"/>
    <w:rsid w:val="00B044EE"/>
    <w:rsid w:val="00B0579A"/>
    <w:rsid w:val="00B06570"/>
    <w:rsid w:val="00B06DD2"/>
    <w:rsid w:val="00B06DE7"/>
    <w:rsid w:val="00B0714D"/>
    <w:rsid w:val="00B07C80"/>
    <w:rsid w:val="00B12543"/>
    <w:rsid w:val="00B135B3"/>
    <w:rsid w:val="00B13829"/>
    <w:rsid w:val="00B17AC8"/>
    <w:rsid w:val="00B20FA6"/>
    <w:rsid w:val="00B21773"/>
    <w:rsid w:val="00B21D50"/>
    <w:rsid w:val="00B232C9"/>
    <w:rsid w:val="00B24741"/>
    <w:rsid w:val="00B274BB"/>
    <w:rsid w:val="00B27F10"/>
    <w:rsid w:val="00B31650"/>
    <w:rsid w:val="00B3221A"/>
    <w:rsid w:val="00B335AC"/>
    <w:rsid w:val="00B348A8"/>
    <w:rsid w:val="00B34F83"/>
    <w:rsid w:val="00B362F6"/>
    <w:rsid w:val="00B37A55"/>
    <w:rsid w:val="00B430F1"/>
    <w:rsid w:val="00B43241"/>
    <w:rsid w:val="00B451C1"/>
    <w:rsid w:val="00B45824"/>
    <w:rsid w:val="00B50697"/>
    <w:rsid w:val="00B52EEC"/>
    <w:rsid w:val="00B52EFC"/>
    <w:rsid w:val="00B53ED4"/>
    <w:rsid w:val="00B569AF"/>
    <w:rsid w:val="00B604FA"/>
    <w:rsid w:val="00B61E22"/>
    <w:rsid w:val="00B654AC"/>
    <w:rsid w:val="00B6577B"/>
    <w:rsid w:val="00B673FE"/>
    <w:rsid w:val="00B714D9"/>
    <w:rsid w:val="00B71CF3"/>
    <w:rsid w:val="00B73BEC"/>
    <w:rsid w:val="00B750C1"/>
    <w:rsid w:val="00B751BD"/>
    <w:rsid w:val="00B769FB"/>
    <w:rsid w:val="00B7721A"/>
    <w:rsid w:val="00B84FAF"/>
    <w:rsid w:val="00B85E24"/>
    <w:rsid w:val="00B87B3D"/>
    <w:rsid w:val="00B936D1"/>
    <w:rsid w:val="00B93D5E"/>
    <w:rsid w:val="00B94AE7"/>
    <w:rsid w:val="00B952CC"/>
    <w:rsid w:val="00B953A9"/>
    <w:rsid w:val="00B96A22"/>
    <w:rsid w:val="00B96A68"/>
    <w:rsid w:val="00B96BF5"/>
    <w:rsid w:val="00B97CB3"/>
    <w:rsid w:val="00BA1767"/>
    <w:rsid w:val="00BA1D09"/>
    <w:rsid w:val="00BA2318"/>
    <w:rsid w:val="00BA2A7B"/>
    <w:rsid w:val="00BA4BBE"/>
    <w:rsid w:val="00BA50A6"/>
    <w:rsid w:val="00BB0828"/>
    <w:rsid w:val="00BB1ABF"/>
    <w:rsid w:val="00BB1C8B"/>
    <w:rsid w:val="00BB1D43"/>
    <w:rsid w:val="00BB3DD3"/>
    <w:rsid w:val="00BB5C9E"/>
    <w:rsid w:val="00BB6B69"/>
    <w:rsid w:val="00BC109F"/>
    <w:rsid w:val="00BC1D95"/>
    <w:rsid w:val="00BC4E32"/>
    <w:rsid w:val="00BC54B9"/>
    <w:rsid w:val="00BC678A"/>
    <w:rsid w:val="00BD12C9"/>
    <w:rsid w:val="00BD3038"/>
    <w:rsid w:val="00BD3108"/>
    <w:rsid w:val="00BD404A"/>
    <w:rsid w:val="00BD4C91"/>
    <w:rsid w:val="00BD64B2"/>
    <w:rsid w:val="00BD7474"/>
    <w:rsid w:val="00BE084D"/>
    <w:rsid w:val="00BE1419"/>
    <w:rsid w:val="00BE2246"/>
    <w:rsid w:val="00BE27C3"/>
    <w:rsid w:val="00BE40A9"/>
    <w:rsid w:val="00BE4776"/>
    <w:rsid w:val="00BE48CE"/>
    <w:rsid w:val="00BE5786"/>
    <w:rsid w:val="00BE5847"/>
    <w:rsid w:val="00BE6F65"/>
    <w:rsid w:val="00BE7597"/>
    <w:rsid w:val="00BF2CF2"/>
    <w:rsid w:val="00BF3307"/>
    <w:rsid w:val="00BF361A"/>
    <w:rsid w:val="00BF6540"/>
    <w:rsid w:val="00C02BC8"/>
    <w:rsid w:val="00C03E14"/>
    <w:rsid w:val="00C06F64"/>
    <w:rsid w:val="00C078DA"/>
    <w:rsid w:val="00C103CB"/>
    <w:rsid w:val="00C11FF2"/>
    <w:rsid w:val="00C1303B"/>
    <w:rsid w:val="00C211C5"/>
    <w:rsid w:val="00C215EE"/>
    <w:rsid w:val="00C2474C"/>
    <w:rsid w:val="00C25A05"/>
    <w:rsid w:val="00C26243"/>
    <w:rsid w:val="00C267FC"/>
    <w:rsid w:val="00C26B3D"/>
    <w:rsid w:val="00C26C97"/>
    <w:rsid w:val="00C279B3"/>
    <w:rsid w:val="00C27E84"/>
    <w:rsid w:val="00C35676"/>
    <w:rsid w:val="00C409DB"/>
    <w:rsid w:val="00C50640"/>
    <w:rsid w:val="00C52675"/>
    <w:rsid w:val="00C539EB"/>
    <w:rsid w:val="00C53DC1"/>
    <w:rsid w:val="00C54D4C"/>
    <w:rsid w:val="00C55C4B"/>
    <w:rsid w:val="00C65133"/>
    <w:rsid w:val="00C6620E"/>
    <w:rsid w:val="00C70767"/>
    <w:rsid w:val="00C72B3D"/>
    <w:rsid w:val="00C75168"/>
    <w:rsid w:val="00C7664F"/>
    <w:rsid w:val="00C76F63"/>
    <w:rsid w:val="00C77B41"/>
    <w:rsid w:val="00C8111F"/>
    <w:rsid w:val="00C8399B"/>
    <w:rsid w:val="00C84916"/>
    <w:rsid w:val="00C86B91"/>
    <w:rsid w:val="00C87141"/>
    <w:rsid w:val="00C907C2"/>
    <w:rsid w:val="00C92D76"/>
    <w:rsid w:val="00C93177"/>
    <w:rsid w:val="00C9339A"/>
    <w:rsid w:val="00C944A9"/>
    <w:rsid w:val="00C9589A"/>
    <w:rsid w:val="00C96204"/>
    <w:rsid w:val="00C962A2"/>
    <w:rsid w:val="00C976E1"/>
    <w:rsid w:val="00C97D1E"/>
    <w:rsid w:val="00CA117A"/>
    <w:rsid w:val="00CA377F"/>
    <w:rsid w:val="00CA37BA"/>
    <w:rsid w:val="00CA40F2"/>
    <w:rsid w:val="00CA4333"/>
    <w:rsid w:val="00CA45A6"/>
    <w:rsid w:val="00CA57B8"/>
    <w:rsid w:val="00CA6DA3"/>
    <w:rsid w:val="00CA7F81"/>
    <w:rsid w:val="00CB0052"/>
    <w:rsid w:val="00CB0B41"/>
    <w:rsid w:val="00CB22E2"/>
    <w:rsid w:val="00CB3ACE"/>
    <w:rsid w:val="00CB4640"/>
    <w:rsid w:val="00CB5268"/>
    <w:rsid w:val="00CC08DC"/>
    <w:rsid w:val="00CC0FB5"/>
    <w:rsid w:val="00CC281A"/>
    <w:rsid w:val="00CC4EF1"/>
    <w:rsid w:val="00CD1E30"/>
    <w:rsid w:val="00CD24AB"/>
    <w:rsid w:val="00CD26E9"/>
    <w:rsid w:val="00CD2916"/>
    <w:rsid w:val="00CD29B0"/>
    <w:rsid w:val="00CD6180"/>
    <w:rsid w:val="00CE1E12"/>
    <w:rsid w:val="00CE37DD"/>
    <w:rsid w:val="00CE39CC"/>
    <w:rsid w:val="00CE4B5B"/>
    <w:rsid w:val="00CF3C0F"/>
    <w:rsid w:val="00CF5820"/>
    <w:rsid w:val="00CF6A95"/>
    <w:rsid w:val="00CF7668"/>
    <w:rsid w:val="00D016D3"/>
    <w:rsid w:val="00D0171D"/>
    <w:rsid w:val="00D021DE"/>
    <w:rsid w:val="00D023C4"/>
    <w:rsid w:val="00D047E0"/>
    <w:rsid w:val="00D06F10"/>
    <w:rsid w:val="00D102AE"/>
    <w:rsid w:val="00D10641"/>
    <w:rsid w:val="00D11104"/>
    <w:rsid w:val="00D11DC7"/>
    <w:rsid w:val="00D126F7"/>
    <w:rsid w:val="00D13C5C"/>
    <w:rsid w:val="00D162A6"/>
    <w:rsid w:val="00D166D9"/>
    <w:rsid w:val="00D16950"/>
    <w:rsid w:val="00D169CB"/>
    <w:rsid w:val="00D22D7B"/>
    <w:rsid w:val="00D267F9"/>
    <w:rsid w:val="00D27079"/>
    <w:rsid w:val="00D30362"/>
    <w:rsid w:val="00D30530"/>
    <w:rsid w:val="00D311DE"/>
    <w:rsid w:val="00D31DAC"/>
    <w:rsid w:val="00D34A16"/>
    <w:rsid w:val="00D373E5"/>
    <w:rsid w:val="00D4122C"/>
    <w:rsid w:val="00D418D2"/>
    <w:rsid w:val="00D4479B"/>
    <w:rsid w:val="00D469AF"/>
    <w:rsid w:val="00D46C53"/>
    <w:rsid w:val="00D47327"/>
    <w:rsid w:val="00D47351"/>
    <w:rsid w:val="00D50D99"/>
    <w:rsid w:val="00D50E4A"/>
    <w:rsid w:val="00D53EC4"/>
    <w:rsid w:val="00D54257"/>
    <w:rsid w:val="00D551CE"/>
    <w:rsid w:val="00D56C8B"/>
    <w:rsid w:val="00D6073A"/>
    <w:rsid w:val="00D6369B"/>
    <w:rsid w:val="00D63A21"/>
    <w:rsid w:val="00D6546A"/>
    <w:rsid w:val="00D6756D"/>
    <w:rsid w:val="00D70578"/>
    <w:rsid w:val="00D70B31"/>
    <w:rsid w:val="00D739AF"/>
    <w:rsid w:val="00D742D1"/>
    <w:rsid w:val="00D7474D"/>
    <w:rsid w:val="00D76AB1"/>
    <w:rsid w:val="00D77586"/>
    <w:rsid w:val="00D801D4"/>
    <w:rsid w:val="00D8043C"/>
    <w:rsid w:val="00D80659"/>
    <w:rsid w:val="00D811AA"/>
    <w:rsid w:val="00D81575"/>
    <w:rsid w:val="00D835DD"/>
    <w:rsid w:val="00D849EC"/>
    <w:rsid w:val="00D85419"/>
    <w:rsid w:val="00D856EB"/>
    <w:rsid w:val="00D871D6"/>
    <w:rsid w:val="00D8751E"/>
    <w:rsid w:val="00D905F0"/>
    <w:rsid w:val="00D976E0"/>
    <w:rsid w:val="00D9789A"/>
    <w:rsid w:val="00DA01F7"/>
    <w:rsid w:val="00DA0516"/>
    <w:rsid w:val="00DA14A5"/>
    <w:rsid w:val="00DA1F73"/>
    <w:rsid w:val="00DA5A79"/>
    <w:rsid w:val="00DA6028"/>
    <w:rsid w:val="00DA63C8"/>
    <w:rsid w:val="00DA7AB2"/>
    <w:rsid w:val="00DB11DC"/>
    <w:rsid w:val="00DB276A"/>
    <w:rsid w:val="00DB38BE"/>
    <w:rsid w:val="00DB3A1B"/>
    <w:rsid w:val="00DB7258"/>
    <w:rsid w:val="00DB7A68"/>
    <w:rsid w:val="00DB7D63"/>
    <w:rsid w:val="00DC0BEB"/>
    <w:rsid w:val="00DC2B2D"/>
    <w:rsid w:val="00DC4723"/>
    <w:rsid w:val="00DC6AE1"/>
    <w:rsid w:val="00DD28C0"/>
    <w:rsid w:val="00DD2938"/>
    <w:rsid w:val="00DD2C53"/>
    <w:rsid w:val="00DD3AFA"/>
    <w:rsid w:val="00DD3C77"/>
    <w:rsid w:val="00DD45D6"/>
    <w:rsid w:val="00DD5D4F"/>
    <w:rsid w:val="00DD67BF"/>
    <w:rsid w:val="00DD6A45"/>
    <w:rsid w:val="00DD7114"/>
    <w:rsid w:val="00DD761A"/>
    <w:rsid w:val="00DD7F7C"/>
    <w:rsid w:val="00DE2040"/>
    <w:rsid w:val="00DE3FE1"/>
    <w:rsid w:val="00DE6503"/>
    <w:rsid w:val="00DE7904"/>
    <w:rsid w:val="00DF0C22"/>
    <w:rsid w:val="00DF1CC2"/>
    <w:rsid w:val="00DF3A06"/>
    <w:rsid w:val="00DF6369"/>
    <w:rsid w:val="00DF7479"/>
    <w:rsid w:val="00E000DE"/>
    <w:rsid w:val="00E00FB5"/>
    <w:rsid w:val="00E026CA"/>
    <w:rsid w:val="00E037FA"/>
    <w:rsid w:val="00E03F3D"/>
    <w:rsid w:val="00E04EED"/>
    <w:rsid w:val="00E05F0B"/>
    <w:rsid w:val="00E128BD"/>
    <w:rsid w:val="00E134B4"/>
    <w:rsid w:val="00E142DC"/>
    <w:rsid w:val="00E14EAC"/>
    <w:rsid w:val="00E1500E"/>
    <w:rsid w:val="00E17381"/>
    <w:rsid w:val="00E17C4A"/>
    <w:rsid w:val="00E20AD2"/>
    <w:rsid w:val="00E2136C"/>
    <w:rsid w:val="00E22BE5"/>
    <w:rsid w:val="00E253DF"/>
    <w:rsid w:val="00E25ADB"/>
    <w:rsid w:val="00E2742C"/>
    <w:rsid w:val="00E30B67"/>
    <w:rsid w:val="00E3129A"/>
    <w:rsid w:val="00E31F48"/>
    <w:rsid w:val="00E32B99"/>
    <w:rsid w:val="00E35679"/>
    <w:rsid w:val="00E375E3"/>
    <w:rsid w:val="00E41306"/>
    <w:rsid w:val="00E42810"/>
    <w:rsid w:val="00E42D21"/>
    <w:rsid w:val="00E438F0"/>
    <w:rsid w:val="00E44139"/>
    <w:rsid w:val="00E44970"/>
    <w:rsid w:val="00E45A15"/>
    <w:rsid w:val="00E45E6F"/>
    <w:rsid w:val="00E45F03"/>
    <w:rsid w:val="00E46853"/>
    <w:rsid w:val="00E52BBB"/>
    <w:rsid w:val="00E55313"/>
    <w:rsid w:val="00E55849"/>
    <w:rsid w:val="00E55DEA"/>
    <w:rsid w:val="00E608E0"/>
    <w:rsid w:val="00E60AF0"/>
    <w:rsid w:val="00E6109D"/>
    <w:rsid w:val="00E6112C"/>
    <w:rsid w:val="00E6128A"/>
    <w:rsid w:val="00E63836"/>
    <w:rsid w:val="00E63A10"/>
    <w:rsid w:val="00E65FAA"/>
    <w:rsid w:val="00E6772A"/>
    <w:rsid w:val="00E725CF"/>
    <w:rsid w:val="00E726F4"/>
    <w:rsid w:val="00E73083"/>
    <w:rsid w:val="00E73CB9"/>
    <w:rsid w:val="00E742E8"/>
    <w:rsid w:val="00E74822"/>
    <w:rsid w:val="00E7571E"/>
    <w:rsid w:val="00E75DF5"/>
    <w:rsid w:val="00E7738A"/>
    <w:rsid w:val="00E812EF"/>
    <w:rsid w:val="00E82E98"/>
    <w:rsid w:val="00E909EE"/>
    <w:rsid w:val="00E91AA9"/>
    <w:rsid w:val="00E92418"/>
    <w:rsid w:val="00E92F02"/>
    <w:rsid w:val="00E95735"/>
    <w:rsid w:val="00E95A8A"/>
    <w:rsid w:val="00E95F6A"/>
    <w:rsid w:val="00E96DD3"/>
    <w:rsid w:val="00EA13EB"/>
    <w:rsid w:val="00EA15BC"/>
    <w:rsid w:val="00EA5BFA"/>
    <w:rsid w:val="00EB039D"/>
    <w:rsid w:val="00EB0944"/>
    <w:rsid w:val="00EB0D20"/>
    <w:rsid w:val="00EB0F16"/>
    <w:rsid w:val="00EB1A08"/>
    <w:rsid w:val="00EB2026"/>
    <w:rsid w:val="00EB28EB"/>
    <w:rsid w:val="00EB2E2E"/>
    <w:rsid w:val="00EB4264"/>
    <w:rsid w:val="00EC0387"/>
    <w:rsid w:val="00EC15CC"/>
    <w:rsid w:val="00EC1C83"/>
    <w:rsid w:val="00EC1D63"/>
    <w:rsid w:val="00EC4084"/>
    <w:rsid w:val="00EC44B1"/>
    <w:rsid w:val="00EC5EA0"/>
    <w:rsid w:val="00EC635E"/>
    <w:rsid w:val="00ED086A"/>
    <w:rsid w:val="00ED16F2"/>
    <w:rsid w:val="00ED1B9E"/>
    <w:rsid w:val="00ED1FDE"/>
    <w:rsid w:val="00ED26F2"/>
    <w:rsid w:val="00ED371A"/>
    <w:rsid w:val="00ED4849"/>
    <w:rsid w:val="00ED76C5"/>
    <w:rsid w:val="00EE01C7"/>
    <w:rsid w:val="00EE025F"/>
    <w:rsid w:val="00EE028E"/>
    <w:rsid w:val="00EE276E"/>
    <w:rsid w:val="00EE280B"/>
    <w:rsid w:val="00EE4415"/>
    <w:rsid w:val="00EE5266"/>
    <w:rsid w:val="00EF0BB9"/>
    <w:rsid w:val="00EF0DFB"/>
    <w:rsid w:val="00EF1E71"/>
    <w:rsid w:val="00EF31C0"/>
    <w:rsid w:val="00EF5A84"/>
    <w:rsid w:val="00F00488"/>
    <w:rsid w:val="00F0078B"/>
    <w:rsid w:val="00F007BA"/>
    <w:rsid w:val="00F01AA2"/>
    <w:rsid w:val="00F02128"/>
    <w:rsid w:val="00F03DD6"/>
    <w:rsid w:val="00F0577F"/>
    <w:rsid w:val="00F06B76"/>
    <w:rsid w:val="00F06E5B"/>
    <w:rsid w:val="00F1174D"/>
    <w:rsid w:val="00F117D8"/>
    <w:rsid w:val="00F11B1C"/>
    <w:rsid w:val="00F139F7"/>
    <w:rsid w:val="00F14C76"/>
    <w:rsid w:val="00F153E5"/>
    <w:rsid w:val="00F153F6"/>
    <w:rsid w:val="00F16881"/>
    <w:rsid w:val="00F169E6"/>
    <w:rsid w:val="00F23F27"/>
    <w:rsid w:val="00F2549E"/>
    <w:rsid w:val="00F30CD4"/>
    <w:rsid w:val="00F31F3B"/>
    <w:rsid w:val="00F327B8"/>
    <w:rsid w:val="00F34887"/>
    <w:rsid w:val="00F37F49"/>
    <w:rsid w:val="00F40DED"/>
    <w:rsid w:val="00F41597"/>
    <w:rsid w:val="00F4217F"/>
    <w:rsid w:val="00F4349A"/>
    <w:rsid w:val="00F436C9"/>
    <w:rsid w:val="00F44650"/>
    <w:rsid w:val="00F45766"/>
    <w:rsid w:val="00F460AF"/>
    <w:rsid w:val="00F50E76"/>
    <w:rsid w:val="00F526DD"/>
    <w:rsid w:val="00F55382"/>
    <w:rsid w:val="00F5764A"/>
    <w:rsid w:val="00F60981"/>
    <w:rsid w:val="00F609DB"/>
    <w:rsid w:val="00F60FCC"/>
    <w:rsid w:val="00F62F54"/>
    <w:rsid w:val="00F638C8"/>
    <w:rsid w:val="00F64F32"/>
    <w:rsid w:val="00F656E5"/>
    <w:rsid w:val="00F66E99"/>
    <w:rsid w:val="00F721D5"/>
    <w:rsid w:val="00F726FA"/>
    <w:rsid w:val="00F73833"/>
    <w:rsid w:val="00F75DB3"/>
    <w:rsid w:val="00F7727C"/>
    <w:rsid w:val="00F90DC6"/>
    <w:rsid w:val="00F91606"/>
    <w:rsid w:val="00F93360"/>
    <w:rsid w:val="00F95087"/>
    <w:rsid w:val="00F9554C"/>
    <w:rsid w:val="00F96068"/>
    <w:rsid w:val="00F96E7B"/>
    <w:rsid w:val="00F97B9A"/>
    <w:rsid w:val="00F97CA6"/>
    <w:rsid w:val="00F97D2F"/>
    <w:rsid w:val="00FA0D7B"/>
    <w:rsid w:val="00FA59FF"/>
    <w:rsid w:val="00FA5CB3"/>
    <w:rsid w:val="00FA7162"/>
    <w:rsid w:val="00FA74C8"/>
    <w:rsid w:val="00FB070A"/>
    <w:rsid w:val="00FB2A2A"/>
    <w:rsid w:val="00FB3782"/>
    <w:rsid w:val="00FB5015"/>
    <w:rsid w:val="00FB5CC5"/>
    <w:rsid w:val="00FB6B77"/>
    <w:rsid w:val="00FB6EA2"/>
    <w:rsid w:val="00FC24E3"/>
    <w:rsid w:val="00FC356C"/>
    <w:rsid w:val="00FC37DB"/>
    <w:rsid w:val="00FC5309"/>
    <w:rsid w:val="00FC706B"/>
    <w:rsid w:val="00FC7F81"/>
    <w:rsid w:val="00FD046E"/>
    <w:rsid w:val="00FD344A"/>
    <w:rsid w:val="00FD3703"/>
    <w:rsid w:val="00FD3FAD"/>
    <w:rsid w:val="00FD40AC"/>
    <w:rsid w:val="00FD44DA"/>
    <w:rsid w:val="00FD57B3"/>
    <w:rsid w:val="00FD75FD"/>
    <w:rsid w:val="00FE0A29"/>
    <w:rsid w:val="00FE358D"/>
    <w:rsid w:val="00FE3749"/>
    <w:rsid w:val="00FE3FF5"/>
    <w:rsid w:val="00FE46B2"/>
    <w:rsid w:val="00FE4DBD"/>
    <w:rsid w:val="00FE62D2"/>
    <w:rsid w:val="00FE6755"/>
    <w:rsid w:val="00FE7EBD"/>
    <w:rsid w:val="00FF0001"/>
    <w:rsid w:val="00FF04E4"/>
    <w:rsid w:val="00FF38FE"/>
    <w:rsid w:val="00FF4153"/>
    <w:rsid w:val="00FF7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4D55F"/>
  <w15:docId w15:val="{573E21F4-1768-45C6-9E45-1F67F76F5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E92"/>
    <w:rPr>
      <w:sz w:val="24"/>
      <w:szCs w:val="24"/>
    </w:rPr>
  </w:style>
  <w:style w:type="paragraph" w:styleId="Heading1">
    <w:name w:val="heading 1"/>
    <w:basedOn w:val="Normal"/>
    <w:link w:val="Heading1Char"/>
    <w:uiPriority w:val="9"/>
    <w:qFormat/>
    <w:rsid w:val="00052CCA"/>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semiHidden/>
    <w:unhideWhenUsed/>
    <w:qFormat/>
    <w:rsid w:val="004F499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semiHidden/>
    <w:unhideWhenUsed/>
    <w:qFormat/>
    <w:rsid w:val="004F4991"/>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196"/>
    <w:pPr>
      <w:ind w:left="720"/>
      <w:contextualSpacing/>
    </w:pPr>
  </w:style>
  <w:style w:type="character" w:styleId="CommentReference">
    <w:name w:val="annotation reference"/>
    <w:basedOn w:val="DefaultParagraphFont"/>
    <w:rsid w:val="00812092"/>
    <w:rPr>
      <w:sz w:val="16"/>
      <w:szCs w:val="16"/>
    </w:rPr>
  </w:style>
  <w:style w:type="paragraph" w:styleId="CommentText">
    <w:name w:val="annotation text"/>
    <w:basedOn w:val="Normal"/>
    <w:link w:val="CommentTextChar"/>
    <w:rsid w:val="00812092"/>
    <w:rPr>
      <w:sz w:val="20"/>
      <w:szCs w:val="20"/>
    </w:rPr>
  </w:style>
  <w:style w:type="character" w:customStyle="1" w:styleId="CommentTextChar">
    <w:name w:val="Comment Text Char"/>
    <w:basedOn w:val="DefaultParagraphFont"/>
    <w:link w:val="CommentText"/>
    <w:rsid w:val="00812092"/>
  </w:style>
  <w:style w:type="paragraph" w:styleId="CommentSubject">
    <w:name w:val="annotation subject"/>
    <w:basedOn w:val="CommentText"/>
    <w:next w:val="CommentText"/>
    <w:link w:val="CommentSubjectChar"/>
    <w:rsid w:val="00812092"/>
    <w:rPr>
      <w:b/>
      <w:bCs/>
    </w:rPr>
  </w:style>
  <w:style w:type="character" w:customStyle="1" w:styleId="CommentSubjectChar">
    <w:name w:val="Comment Subject Char"/>
    <w:basedOn w:val="CommentTextChar"/>
    <w:link w:val="CommentSubject"/>
    <w:rsid w:val="00812092"/>
    <w:rPr>
      <w:b/>
      <w:bCs/>
    </w:rPr>
  </w:style>
  <w:style w:type="paragraph" w:styleId="BalloonText">
    <w:name w:val="Balloon Text"/>
    <w:basedOn w:val="Normal"/>
    <w:link w:val="BalloonTextChar"/>
    <w:rsid w:val="00073E92"/>
    <w:rPr>
      <w:rFonts w:ascii="Segoe UI" w:hAnsi="Segoe UI" w:cs="Segoe UI"/>
      <w:szCs w:val="18"/>
    </w:rPr>
  </w:style>
  <w:style w:type="character" w:customStyle="1" w:styleId="BalloonTextChar">
    <w:name w:val="Balloon Text Char"/>
    <w:basedOn w:val="DefaultParagraphFont"/>
    <w:link w:val="BalloonText"/>
    <w:rsid w:val="00073E92"/>
    <w:rPr>
      <w:rFonts w:ascii="Segoe UI" w:hAnsi="Segoe UI" w:cs="Segoe UI"/>
      <w:sz w:val="24"/>
      <w:szCs w:val="18"/>
    </w:rPr>
  </w:style>
  <w:style w:type="paragraph" w:styleId="Bibliography">
    <w:name w:val="Bibliography"/>
    <w:basedOn w:val="Normal"/>
    <w:next w:val="Normal"/>
    <w:uiPriority w:val="37"/>
    <w:unhideWhenUsed/>
    <w:rsid w:val="00D30362"/>
    <w:pPr>
      <w:spacing w:line="480" w:lineRule="auto"/>
      <w:ind w:left="720" w:hanging="720"/>
    </w:pPr>
  </w:style>
  <w:style w:type="character" w:customStyle="1" w:styleId="Heading1Char">
    <w:name w:val="Heading 1 Char"/>
    <w:basedOn w:val="DefaultParagraphFont"/>
    <w:link w:val="Heading1"/>
    <w:uiPriority w:val="9"/>
    <w:rsid w:val="00052CCA"/>
    <w:rPr>
      <w:b/>
      <w:bCs/>
      <w:kern w:val="36"/>
      <w:sz w:val="48"/>
      <w:szCs w:val="48"/>
    </w:rPr>
  </w:style>
  <w:style w:type="character" w:customStyle="1" w:styleId="contribdegrees">
    <w:name w:val="contribdegrees"/>
    <w:basedOn w:val="DefaultParagraphFont"/>
    <w:rsid w:val="00052CCA"/>
  </w:style>
  <w:style w:type="character" w:customStyle="1" w:styleId="entryauthor">
    <w:name w:val="entryauthor"/>
    <w:basedOn w:val="DefaultParagraphFont"/>
    <w:rsid w:val="00052CCA"/>
  </w:style>
  <w:style w:type="character" w:styleId="Hyperlink">
    <w:name w:val="Hyperlink"/>
    <w:basedOn w:val="DefaultParagraphFont"/>
    <w:uiPriority w:val="99"/>
    <w:unhideWhenUsed/>
    <w:rsid w:val="00052CCA"/>
    <w:rPr>
      <w:color w:val="0000FF"/>
      <w:u w:val="single"/>
    </w:rPr>
  </w:style>
  <w:style w:type="character" w:customStyle="1" w:styleId="apple-converted-space">
    <w:name w:val="apple-converted-space"/>
    <w:basedOn w:val="DefaultParagraphFont"/>
    <w:rsid w:val="00052CCA"/>
  </w:style>
  <w:style w:type="paragraph" w:styleId="NormalWeb">
    <w:name w:val="Normal (Web)"/>
    <w:basedOn w:val="Normal"/>
    <w:uiPriority w:val="99"/>
    <w:semiHidden/>
    <w:unhideWhenUsed/>
    <w:rsid w:val="00052CCA"/>
    <w:pPr>
      <w:spacing w:before="100" w:beforeAutospacing="1" w:after="100" w:afterAutospacing="1"/>
    </w:pPr>
  </w:style>
  <w:style w:type="character" w:customStyle="1" w:styleId="hithilite">
    <w:name w:val="hithilite"/>
    <w:basedOn w:val="DefaultParagraphFont"/>
    <w:rsid w:val="000223EC"/>
  </w:style>
  <w:style w:type="paragraph" w:styleId="Revision">
    <w:name w:val="Revision"/>
    <w:hidden/>
    <w:uiPriority w:val="99"/>
    <w:semiHidden/>
    <w:rsid w:val="00793269"/>
    <w:rPr>
      <w:sz w:val="24"/>
      <w:szCs w:val="24"/>
    </w:rPr>
  </w:style>
  <w:style w:type="table" w:styleId="TableGrid">
    <w:name w:val="Table Grid"/>
    <w:basedOn w:val="TableNormal"/>
    <w:rsid w:val="00D16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semiHidden/>
    <w:rsid w:val="004F4991"/>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semiHidden/>
    <w:rsid w:val="004F4991"/>
    <w:rPr>
      <w:rFonts w:asciiTheme="majorHAnsi" w:eastAsiaTheme="majorEastAsia" w:hAnsiTheme="majorHAnsi" w:cstheme="majorBidi"/>
      <w:b/>
      <w:bCs/>
      <w:color w:val="5B9BD5" w:themeColor="accent1"/>
      <w:sz w:val="24"/>
      <w:szCs w:val="24"/>
    </w:rPr>
  </w:style>
  <w:style w:type="character" w:styleId="Emphasis">
    <w:name w:val="Emphasis"/>
    <w:basedOn w:val="DefaultParagraphFont"/>
    <w:uiPriority w:val="20"/>
    <w:qFormat/>
    <w:rsid w:val="004F4991"/>
    <w:rPr>
      <w:i/>
      <w:iCs/>
    </w:rPr>
  </w:style>
  <w:style w:type="paragraph" w:customStyle="1" w:styleId="volissue">
    <w:name w:val="volissue"/>
    <w:basedOn w:val="Normal"/>
    <w:rsid w:val="00FB3782"/>
    <w:pPr>
      <w:spacing w:before="100" w:beforeAutospacing="1" w:after="100" w:afterAutospacing="1"/>
    </w:pPr>
  </w:style>
  <w:style w:type="character" w:styleId="LineNumber">
    <w:name w:val="line number"/>
    <w:basedOn w:val="DefaultParagraphFont"/>
    <w:semiHidden/>
    <w:unhideWhenUsed/>
    <w:rsid w:val="00195498"/>
  </w:style>
  <w:style w:type="paragraph" w:styleId="Header">
    <w:name w:val="header"/>
    <w:basedOn w:val="Normal"/>
    <w:link w:val="HeaderChar"/>
    <w:unhideWhenUsed/>
    <w:rsid w:val="00510254"/>
    <w:pPr>
      <w:tabs>
        <w:tab w:val="center" w:pos="4680"/>
        <w:tab w:val="right" w:pos="9360"/>
      </w:tabs>
    </w:pPr>
  </w:style>
  <w:style w:type="character" w:customStyle="1" w:styleId="HeaderChar">
    <w:name w:val="Header Char"/>
    <w:basedOn w:val="DefaultParagraphFont"/>
    <w:link w:val="Header"/>
    <w:rsid w:val="00510254"/>
    <w:rPr>
      <w:sz w:val="24"/>
      <w:szCs w:val="24"/>
    </w:rPr>
  </w:style>
  <w:style w:type="paragraph" w:styleId="Footer">
    <w:name w:val="footer"/>
    <w:basedOn w:val="Normal"/>
    <w:link w:val="FooterChar"/>
    <w:uiPriority w:val="99"/>
    <w:unhideWhenUsed/>
    <w:rsid w:val="00510254"/>
    <w:pPr>
      <w:tabs>
        <w:tab w:val="center" w:pos="4680"/>
        <w:tab w:val="right" w:pos="9360"/>
      </w:tabs>
    </w:pPr>
  </w:style>
  <w:style w:type="character" w:customStyle="1" w:styleId="FooterChar">
    <w:name w:val="Footer Char"/>
    <w:basedOn w:val="DefaultParagraphFont"/>
    <w:link w:val="Footer"/>
    <w:uiPriority w:val="99"/>
    <w:rsid w:val="00510254"/>
    <w:rPr>
      <w:sz w:val="24"/>
      <w:szCs w:val="24"/>
    </w:rPr>
  </w:style>
  <w:style w:type="paragraph" w:customStyle="1" w:styleId="frfield">
    <w:name w:val="fr_field"/>
    <w:basedOn w:val="Normal"/>
    <w:rsid w:val="000C1F99"/>
    <w:pPr>
      <w:spacing w:before="100" w:beforeAutospacing="1" w:after="100" w:afterAutospacing="1"/>
    </w:pPr>
  </w:style>
  <w:style w:type="character" w:customStyle="1" w:styleId="frlabel">
    <w:name w:val="fr_label"/>
    <w:basedOn w:val="DefaultParagraphFont"/>
    <w:rsid w:val="000C1F99"/>
  </w:style>
  <w:style w:type="paragraph" w:customStyle="1" w:styleId="sourcetitle">
    <w:name w:val="sourcetitle"/>
    <w:basedOn w:val="Normal"/>
    <w:rsid w:val="000C1F99"/>
    <w:pPr>
      <w:spacing w:before="100" w:beforeAutospacing="1" w:after="100" w:afterAutospacing="1"/>
    </w:pPr>
  </w:style>
  <w:style w:type="paragraph" w:customStyle="1" w:styleId="frlabel1">
    <w:name w:val="fr_label1"/>
    <w:basedOn w:val="Normal"/>
    <w:rsid w:val="000C1F99"/>
    <w:pPr>
      <w:spacing w:before="100" w:beforeAutospacing="1" w:after="100" w:afterAutospacing="1"/>
    </w:pPr>
  </w:style>
  <w:style w:type="character" w:customStyle="1" w:styleId="is-accessible">
    <w:name w:val="is-accessible"/>
    <w:basedOn w:val="DefaultParagraphFont"/>
    <w:rsid w:val="00A35C03"/>
  </w:style>
  <w:style w:type="character" w:styleId="HTMLCite">
    <w:name w:val="HTML Cite"/>
    <w:basedOn w:val="DefaultParagraphFont"/>
    <w:uiPriority w:val="99"/>
    <w:semiHidden/>
    <w:unhideWhenUsed/>
    <w:rsid w:val="00A35C03"/>
    <w:rPr>
      <w:i/>
      <w:iCs/>
    </w:rPr>
  </w:style>
  <w:style w:type="character" w:customStyle="1" w:styleId="author">
    <w:name w:val="author"/>
    <w:basedOn w:val="DefaultParagraphFont"/>
    <w:rsid w:val="00A35C03"/>
  </w:style>
  <w:style w:type="character" w:customStyle="1" w:styleId="pubyear">
    <w:name w:val="pubyear"/>
    <w:basedOn w:val="DefaultParagraphFont"/>
    <w:rsid w:val="00A35C03"/>
  </w:style>
  <w:style w:type="character" w:customStyle="1" w:styleId="articletitle">
    <w:name w:val="articletitle"/>
    <w:basedOn w:val="DefaultParagraphFont"/>
    <w:rsid w:val="00A35C03"/>
  </w:style>
  <w:style w:type="character" w:customStyle="1" w:styleId="journaltitle">
    <w:name w:val="journaltitle"/>
    <w:basedOn w:val="DefaultParagraphFont"/>
    <w:rsid w:val="00A35C03"/>
  </w:style>
  <w:style w:type="character" w:customStyle="1" w:styleId="vol">
    <w:name w:val="vol"/>
    <w:basedOn w:val="DefaultParagraphFont"/>
    <w:rsid w:val="00A35C03"/>
  </w:style>
  <w:style w:type="character" w:customStyle="1" w:styleId="pagefirst">
    <w:name w:val="pagefirst"/>
    <w:basedOn w:val="DefaultParagraphFont"/>
    <w:rsid w:val="00A35C03"/>
  </w:style>
  <w:style w:type="character" w:customStyle="1" w:styleId="pagelast">
    <w:name w:val="pagelast"/>
    <w:basedOn w:val="DefaultParagraphFont"/>
    <w:rsid w:val="00A35C03"/>
  </w:style>
  <w:style w:type="character" w:customStyle="1" w:styleId="btext">
    <w:name w:val="btext"/>
    <w:basedOn w:val="DefaultParagraphFont"/>
    <w:rsid w:val="00A35C03"/>
  </w:style>
  <w:style w:type="character" w:customStyle="1" w:styleId="bc-sep">
    <w:name w:val="bc-sep"/>
    <w:basedOn w:val="DefaultParagraphFont"/>
    <w:rsid w:val="00A35C03"/>
  </w:style>
  <w:style w:type="character" w:customStyle="1" w:styleId="doi">
    <w:name w:val="doi"/>
    <w:basedOn w:val="DefaultParagraphFont"/>
    <w:rsid w:val="00A35C03"/>
  </w:style>
  <w:style w:type="character" w:customStyle="1" w:styleId="xref-sep">
    <w:name w:val="xref-sep"/>
    <w:basedOn w:val="DefaultParagraphFont"/>
    <w:rsid w:val="00A35C03"/>
  </w:style>
  <w:style w:type="paragraph" w:customStyle="1" w:styleId="expand">
    <w:name w:val="expand"/>
    <w:basedOn w:val="Normal"/>
    <w:rsid w:val="00A35C03"/>
    <w:pPr>
      <w:spacing w:before="100" w:beforeAutospacing="1" w:after="100" w:afterAutospacing="1"/>
    </w:pPr>
  </w:style>
  <w:style w:type="character" w:customStyle="1" w:styleId="viewreferencelabels">
    <w:name w:val="viewreferencelabels"/>
    <w:basedOn w:val="DefaultParagraphFont"/>
    <w:rsid w:val="001F5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030">
      <w:bodyDiv w:val="1"/>
      <w:marLeft w:val="0"/>
      <w:marRight w:val="0"/>
      <w:marTop w:val="0"/>
      <w:marBottom w:val="0"/>
      <w:divBdr>
        <w:top w:val="none" w:sz="0" w:space="0" w:color="auto"/>
        <w:left w:val="none" w:sz="0" w:space="0" w:color="auto"/>
        <w:bottom w:val="none" w:sz="0" w:space="0" w:color="auto"/>
        <w:right w:val="none" w:sz="0" w:space="0" w:color="auto"/>
      </w:divBdr>
    </w:div>
    <w:div w:id="13918971">
      <w:bodyDiv w:val="1"/>
      <w:marLeft w:val="0"/>
      <w:marRight w:val="0"/>
      <w:marTop w:val="0"/>
      <w:marBottom w:val="0"/>
      <w:divBdr>
        <w:top w:val="none" w:sz="0" w:space="0" w:color="auto"/>
        <w:left w:val="none" w:sz="0" w:space="0" w:color="auto"/>
        <w:bottom w:val="none" w:sz="0" w:space="0" w:color="auto"/>
        <w:right w:val="none" w:sz="0" w:space="0" w:color="auto"/>
      </w:divBdr>
      <w:divsChild>
        <w:div w:id="488789335">
          <w:marLeft w:val="0"/>
          <w:marRight w:val="0"/>
          <w:marTop w:val="0"/>
          <w:marBottom w:val="0"/>
          <w:divBdr>
            <w:top w:val="none" w:sz="0" w:space="0" w:color="auto"/>
            <w:left w:val="none" w:sz="0" w:space="0" w:color="auto"/>
            <w:bottom w:val="none" w:sz="0" w:space="0" w:color="auto"/>
            <w:right w:val="none" w:sz="0" w:space="0" w:color="auto"/>
          </w:divBdr>
          <w:divsChild>
            <w:div w:id="95402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45329">
      <w:bodyDiv w:val="1"/>
      <w:marLeft w:val="0"/>
      <w:marRight w:val="0"/>
      <w:marTop w:val="0"/>
      <w:marBottom w:val="0"/>
      <w:divBdr>
        <w:top w:val="none" w:sz="0" w:space="0" w:color="auto"/>
        <w:left w:val="none" w:sz="0" w:space="0" w:color="auto"/>
        <w:bottom w:val="none" w:sz="0" w:space="0" w:color="auto"/>
        <w:right w:val="none" w:sz="0" w:space="0" w:color="auto"/>
      </w:divBdr>
    </w:div>
    <w:div w:id="58984621">
      <w:bodyDiv w:val="1"/>
      <w:marLeft w:val="0"/>
      <w:marRight w:val="0"/>
      <w:marTop w:val="0"/>
      <w:marBottom w:val="0"/>
      <w:divBdr>
        <w:top w:val="none" w:sz="0" w:space="0" w:color="auto"/>
        <w:left w:val="none" w:sz="0" w:space="0" w:color="auto"/>
        <w:bottom w:val="none" w:sz="0" w:space="0" w:color="auto"/>
        <w:right w:val="none" w:sz="0" w:space="0" w:color="auto"/>
      </w:divBdr>
      <w:divsChild>
        <w:div w:id="265575344">
          <w:marLeft w:val="0"/>
          <w:marRight w:val="0"/>
          <w:marTop w:val="0"/>
          <w:marBottom w:val="0"/>
          <w:divBdr>
            <w:top w:val="none" w:sz="0" w:space="0" w:color="auto"/>
            <w:left w:val="none" w:sz="0" w:space="0" w:color="auto"/>
            <w:bottom w:val="none" w:sz="0" w:space="0" w:color="auto"/>
            <w:right w:val="none" w:sz="0" w:space="0" w:color="auto"/>
          </w:divBdr>
          <w:divsChild>
            <w:div w:id="60431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2727">
      <w:bodyDiv w:val="1"/>
      <w:marLeft w:val="0"/>
      <w:marRight w:val="0"/>
      <w:marTop w:val="0"/>
      <w:marBottom w:val="0"/>
      <w:divBdr>
        <w:top w:val="none" w:sz="0" w:space="0" w:color="auto"/>
        <w:left w:val="none" w:sz="0" w:space="0" w:color="auto"/>
        <w:bottom w:val="none" w:sz="0" w:space="0" w:color="auto"/>
        <w:right w:val="none" w:sz="0" w:space="0" w:color="auto"/>
      </w:divBdr>
      <w:divsChild>
        <w:div w:id="902448984">
          <w:marLeft w:val="0"/>
          <w:marRight w:val="0"/>
          <w:marTop w:val="0"/>
          <w:marBottom w:val="0"/>
          <w:divBdr>
            <w:top w:val="none" w:sz="0" w:space="0" w:color="auto"/>
            <w:left w:val="none" w:sz="0" w:space="0" w:color="auto"/>
            <w:bottom w:val="none" w:sz="0" w:space="0" w:color="auto"/>
            <w:right w:val="none" w:sz="0" w:space="0" w:color="auto"/>
          </w:divBdr>
        </w:div>
        <w:div w:id="227421504">
          <w:marLeft w:val="0"/>
          <w:marRight w:val="0"/>
          <w:marTop w:val="0"/>
          <w:marBottom w:val="0"/>
          <w:divBdr>
            <w:top w:val="none" w:sz="0" w:space="0" w:color="auto"/>
            <w:left w:val="none" w:sz="0" w:space="0" w:color="auto"/>
            <w:bottom w:val="none" w:sz="0" w:space="0" w:color="auto"/>
            <w:right w:val="none" w:sz="0" w:space="0" w:color="auto"/>
          </w:divBdr>
        </w:div>
        <w:div w:id="318194082">
          <w:marLeft w:val="0"/>
          <w:marRight w:val="0"/>
          <w:marTop w:val="0"/>
          <w:marBottom w:val="0"/>
          <w:divBdr>
            <w:top w:val="none" w:sz="0" w:space="0" w:color="auto"/>
            <w:left w:val="none" w:sz="0" w:space="0" w:color="auto"/>
            <w:bottom w:val="none" w:sz="0" w:space="0" w:color="auto"/>
            <w:right w:val="none" w:sz="0" w:space="0" w:color="auto"/>
          </w:divBdr>
          <w:divsChild>
            <w:div w:id="14281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13600">
      <w:bodyDiv w:val="1"/>
      <w:marLeft w:val="0"/>
      <w:marRight w:val="0"/>
      <w:marTop w:val="0"/>
      <w:marBottom w:val="0"/>
      <w:divBdr>
        <w:top w:val="none" w:sz="0" w:space="0" w:color="auto"/>
        <w:left w:val="none" w:sz="0" w:space="0" w:color="auto"/>
        <w:bottom w:val="none" w:sz="0" w:space="0" w:color="auto"/>
        <w:right w:val="none" w:sz="0" w:space="0" w:color="auto"/>
      </w:divBdr>
      <w:divsChild>
        <w:div w:id="990215527">
          <w:marLeft w:val="0"/>
          <w:marRight w:val="0"/>
          <w:marTop w:val="0"/>
          <w:marBottom w:val="0"/>
          <w:divBdr>
            <w:top w:val="none" w:sz="0" w:space="0" w:color="auto"/>
            <w:left w:val="none" w:sz="0" w:space="0" w:color="auto"/>
            <w:bottom w:val="none" w:sz="0" w:space="0" w:color="auto"/>
            <w:right w:val="none" w:sz="0" w:space="0" w:color="auto"/>
          </w:divBdr>
          <w:divsChild>
            <w:div w:id="82478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30887">
      <w:bodyDiv w:val="1"/>
      <w:marLeft w:val="0"/>
      <w:marRight w:val="0"/>
      <w:marTop w:val="0"/>
      <w:marBottom w:val="0"/>
      <w:divBdr>
        <w:top w:val="none" w:sz="0" w:space="0" w:color="auto"/>
        <w:left w:val="none" w:sz="0" w:space="0" w:color="auto"/>
        <w:bottom w:val="none" w:sz="0" w:space="0" w:color="auto"/>
        <w:right w:val="none" w:sz="0" w:space="0" w:color="auto"/>
      </w:divBdr>
      <w:divsChild>
        <w:div w:id="898054195">
          <w:marLeft w:val="0"/>
          <w:marRight w:val="0"/>
          <w:marTop w:val="0"/>
          <w:marBottom w:val="0"/>
          <w:divBdr>
            <w:top w:val="none" w:sz="0" w:space="0" w:color="auto"/>
            <w:left w:val="none" w:sz="0" w:space="0" w:color="auto"/>
            <w:bottom w:val="none" w:sz="0" w:space="0" w:color="auto"/>
            <w:right w:val="none" w:sz="0" w:space="0" w:color="auto"/>
          </w:divBdr>
          <w:divsChild>
            <w:div w:id="167394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192530">
      <w:bodyDiv w:val="1"/>
      <w:marLeft w:val="0"/>
      <w:marRight w:val="0"/>
      <w:marTop w:val="0"/>
      <w:marBottom w:val="0"/>
      <w:divBdr>
        <w:top w:val="none" w:sz="0" w:space="0" w:color="auto"/>
        <w:left w:val="none" w:sz="0" w:space="0" w:color="auto"/>
        <w:bottom w:val="none" w:sz="0" w:space="0" w:color="auto"/>
        <w:right w:val="none" w:sz="0" w:space="0" w:color="auto"/>
      </w:divBdr>
      <w:divsChild>
        <w:div w:id="865293709">
          <w:marLeft w:val="0"/>
          <w:marRight w:val="0"/>
          <w:marTop w:val="0"/>
          <w:marBottom w:val="0"/>
          <w:divBdr>
            <w:top w:val="none" w:sz="0" w:space="0" w:color="auto"/>
            <w:left w:val="none" w:sz="0" w:space="0" w:color="auto"/>
            <w:bottom w:val="none" w:sz="0" w:space="0" w:color="auto"/>
            <w:right w:val="none" w:sz="0" w:space="0" w:color="auto"/>
          </w:divBdr>
          <w:divsChild>
            <w:div w:id="106182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4038">
      <w:bodyDiv w:val="1"/>
      <w:marLeft w:val="0"/>
      <w:marRight w:val="0"/>
      <w:marTop w:val="0"/>
      <w:marBottom w:val="0"/>
      <w:divBdr>
        <w:top w:val="none" w:sz="0" w:space="0" w:color="auto"/>
        <w:left w:val="none" w:sz="0" w:space="0" w:color="auto"/>
        <w:bottom w:val="none" w:sz="0" w:space="0" w:color="auto"/>
        <w:right w:val="none" w:sz="0" w:space="0" w:color="auto"/>
      </w:divBdr>
      <w:divsChild>
        <w:div w:id="1555967316">
          <w:marLeft w:val="0"/>
          <w:marRight w:val="0"/>
          <w:marTop w:val="0"/>
          <w:marBottom w:val="0"/>
          <w:divBdr>
            <w:top w:val="none" w:sz="0" w:space="0" w:color="auto"/>
            <w:left w:val="none" w:sz="0" w:space="0" w:color="auto"/>
            <w:bottom w:val="none" w:sz="0" w:space="0" w:color="auto"/>
            <w:right w:val="none" w:sz="0" w:space="0" w:color="auto"/>
          </w:divBdr>
        </w:div>
        <w:div w:id="720515459">
          <w:marLeft w:val="0"/>
          <w:marRight w:val="0"/>
          <w:marTop w:val="525"/>
          <w:marBottom w:val="300"/>
          <w:divBdr>
            <w:top w:val="none" w:sz="0" w:space="0" w:color="auto"/>
            <w:left w:val="none" w:sz="0" w:space="0" w:color="auto"/>
            <w:bottom w:val="none" w:sz="0" w:space="0" w:color="auto"/>
            <w:right w:val="none" w:sz="0" w:space="0" w:color="auto"/>
          </w:divBdr>
          <w:divsChild>
            <w:div w:id="1622302167">
              <w:marLeft w:val="0"/>
              <w:marRight w:val="0"/>
              <w:marTop w:val="0"/>
              <w:marBottom w:val="0"/>
              <w:divBdr>
                <w:top w:val="none" w:sz="0" w:space="0" w:color="auto"/>
                <w:left w:val="none" w:sz="0" w:space="0" w:color="auto"/>
                <w:bottom w:val="none" w:sz="0" w:space="0" w:color="auto"/>
                <w:right w:val="none" w:sz="0" w:space="0" w:color="auto"/>
              </w:divBdr>
              <w:divsChild>
                <w:div w:id="1434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613941">
      <w:bodyDiv w:val="1"/>
      <w:marLeft w:val="0"/>
      <w:marRight w:val="0"/>
      <w:marTop w:val="0"/>
      <w:marBottom w:val="0"/>
      <w:divBdr>
        <w:top w:val="none" w:sz="0" w:space="0" w:color="auto"/>
        <w:left w:val="none" w:sz="0" w:space="0" w:color="auto"/>
        <w:bottom w:val="none" w:sz="0" w:space="0" w:color="auto"/>
        <w:right w:val="none" w:sz="0" w:space="0" w:color="auto"/>
      </w:divBdr>
    </w:div>
    <w:div w:id="407577862">
      <w:bodyDiv w:val="1"/>
      <w:marLeft w:val="0"/>
      <w:marRight w:val="0"/>
      <w:marTop w:val="0"/>
      <w:marBottom w:val="0"/>
      <w:divBdr>
        <w:top w:val="none" w:sz="0" w:space="0" w:color="auto"/>
        <w:left w:val="none" w:sz="0" w:space="0" w:color="auto"/>
        <w:bottom w:val="none" w:sz="0" w:space="0" w:color="auto"/>
        <w:right w:val="none" w:sz="0" w:space="0" w:color="auto"/>
      </w:divBdr>
      <w:divsChild>
        <w:div w:id="1997996044">
          <w:marLeft w:val="0"/>
          <w:marRight w:val="0"/>
          <w:marTop w:val="0"/>
          <w:marBottom w:val="0"/>
          <w:divBdr>
            <w:top w:val="none" w:sz="0" w:space="0" w:color="auto"/>
            <w:left w:val="none" w:sz="0" w:space="0" w:color="auto"/>
            <w:bottom w:val="none" w:sz="0" w:space="0" w:color="auto"/>
            <w:right w:val="none" w:sz="0" w:space="0" w:color="auto"/>
          </w:divBdr>
          <w:divsChild>
            <w:div w:id="1567762338">
              <w:marLeft w:val="0"/>
              <w:marRight w:val="0"/>
              <w:marTop w:val="0"/>
              <w:marBottom w:val="0"/>
              <w:divBdr>
                <w:top w:val="none" w:sz="0" w:space="0" w:color="auto"/>
                <w:left w:val="none" w:sz="0" w:space="0" w:color="auto"/>
                <w:bottom w:val="none" w:sz="0" w:space="0" w:color="auto"/>
                <w:right w:val="none" w:sz="0" w:space="0" w:color="auto"/>
              </w:divBdr>
              <w:divsChild>
                <w:div w:id="628515049">
                  <w:marLeft w:val="0"/>
                  <w:marRight w:val="0"/>
                  <w:marTop w:val="0"/>
                  <w:marBottom w:val="0"/>
                  <w:divBdr>
                    <w:top w:val="none" w:sz="0" w:space="0" w:color="auto"/>
                    <w:left w:val="none" w:sz="0" w:space="0" w:color="auto"/>
                    <w:bottom w:val="none" w:sz="0" w:space="0" w:color="auto"/>
                    <w:right w:val="none" w:sz="0" w:space="0" w:color="auto"/>
                  </w:divBdr>
                  <w:divsChild>
                    <w:div w:id="65962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58592">
              <w:marLeft w:val="0"/>
              <w:marRight w:val="0"/>
              <w:marTop w:val="0"/>
              <w:marBottom w:val="0"/>
              <w:divBdr>
                <w:top w:val="none" w:sz="0" w:space="0" w:color="auto"/>
                <w:left w:val="none" w:sz="0" w:space="0" w:color="auto"/>
                <w:bottom w:val="none" w:sz="0" w:space="0" w:color="auto"/>
                <w:right w:val="none" w:sz="0" w:space="0" w:color="auto"/>
              </w:divBdr>
            </w:div>
          </w:divsChild>
        </w:div>
        <w:div w:id="735280985">
          <w:marLeft w:val="0"/>
          <w:marRight w:val="0"/>
          <w:marTop w:val="0"/>
          <w:marBottom w:val="0"/>
          <w:divBdr>
            <w:top w:val="none" w:sz="0" w:space="0" w:color="auto"/>
            <w:left w:val="none" w:sz="0" w:space="0" w:color="auto"/>
            <w:bottom w:val="none" w:sz="0" w:space="0" w:color="auto"/>
            <w:right w:val="none" w:sz="0" w:space="0" w:color="auto"/>
          </w:divBdr>
          <w:divsChild>
            <w:div w:id="148662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028913">
      <w:bodyDiv w:val="1"/>
      <w:marLeft w:val="0"/>
      <w:marRight w:val="0"/>
      <w:marTop w:val="0"/>
      <w:marBottom w:val="0"/>
      <w:divBdr>
        <w:top w:val="none" w:sz="0" w:space="0" w:color="auto"/>
        <w:left w:val="none" w:sz="0" w:space="0" w:color="auto"/>
        <w:bottom w:val="none" w:sz="0" w:space="0" w:color="auto"/>
        <w:right w:val="none" w:sz="0" w:space="0" w:color="auto"/>
      </w:divBdr>
      <w:divsChild>
        <w:div w:id="2092921494">
          <w:marLeft w:val="0"/>
          <w:marRight w:val="0"/>
          <w:marTop w:val="0"/>
          <w:marBottom w:val="0"/>
          <w:divBdr>
            <w:top w:val="none" w:sz="0" w:space="0" w:color="auto"/>
            <w:left w:val="none" w:sz="0" w:space="0" w:color="auto"/>
            <w:bottom w:val="none" w:sz="0" w:space="0" w:color="auto"/>
            <w:right w:val="none" w:sz="0" w:space="0" w:color="auto"/>
          </w:divBdr>
          <w:divsChild>
            <w:div w:id="201479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4810">
      <w:bodyDiv w:val="1"/>
      <w:marLeft w:val="0"/>
      <w:marRight w:val="0"/>
      <w:marTop w:val="0"/>
      <w:marBottom w:val="0"/>
      <w:divBdr>
        <w:top w:val="none" w:sz="0" w:space="0" w:color="auto"/>
        <w:left w:val="none" w:sz="0" w:space="0" w:color="auto"/>
        <w:bottom w:val="none" w:sz="0" w:space="0" w:color="auto"/>
        <w:right w:val="none" w:sz="0" w:space="0" w:color="auto"/>
      </w:divBdr>
      <w:divsChild>
        <w:div w:id="141122474">
          <w:marLeft w:val="0"/>
          <w:marRight w:val="0"/>
          <w:marTop w:val="0"/>
          <w:marBottom w:val="0"/>
          <w:divBdr>
            <w:top w:val="none" w:sz="0" w:space="0" w:color="auto"/>
            <w:left w:val="none" w:sz="0" w:space="0" w:color="auto"/>
            <w:bottom w:val="none" w:sz="0" w:space="0" w:color="auto"/>
            <w:right w:val="none" w:sz="0" w:space="0" w:color="auto"/>
          </w:divBdr>
          <w:divsChild>
            <w:div w:id="143605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886707">
      <w:bodyDiv w:val="1"/>
      <w:marLeft w:val="0"/>
      <w:marRight w:val="0"/>
      <w:marTop w:val="0"/>
      <w:marBottom w:val="0"/>
      <w:divBdr>
        <w:top w:val="none" w:sz="0" w:space="0" w:color="auto"/>
        <w:left w:val="none" w:sz="0" w:space="0" w:color="auto"/>
        <w:bottom w:val="none" w:sz="0" w:space="0" w:color="auto"/>
        <w:right w:val="none" w:sz="0" w:space="0" w:color="auto"/>
      </w:divBdr>
      <w:divsChild>
        <w:div w:id="374475450">
          <w:marLeft w:val="0"/>
          <w:marRight w:val="0"/>
          <w:marTop w:val="0"/>
          <w:marBottom w:val="0"/>
          <w:divBdr>
            <w:top w:val="none" w:sz="0" w:space="0" w:color="auto"/>
            <w:left w:val="none" w:sz="0" w:space="0" w:color="auto"/>
            <w:bottom w:val="none" w:sz="0" w:space="0" w:color="auto"/>
            <w:right w:val="none" w:sz="0" w:space="0" w:color="auto"/>
          </w:divBdr>
          <w:divsChild>
            <w:div w:id="95278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10402">
      <w:bodyDiv w:val="1"/>
      <w:marLeft w:val="0"/>
      <w:marRight w:val="0"/>
      <w:marTop w:val="0"/>
      <w:marBottom w:val="0"/>
      <w:divBdr>
        <w:top w:val="none" w:sz="0" w:space="0" w:color="auto"/>
        <w:left w:val="none" w:sz="0" w:space="0" w:color="auto"/>
        <w:bottom w:val="none" w:sz="0" w:space="0" w:color="auto"/>
        <w:right w:val="none" w:sz="0" w:space="0" w:color="auto"/>
      </w:divBdr>
      <w:divsChild>
        <w:div w:id="2037804664">
          <w:marLeft w:val="0"/>
          <w:marRight w:val="0"/>
          <w:marTop w:val="0"/>
          <w:marBottom w:val="0"/>
          <w:divBdr>
            <w:top w:val="none" w:sz="0" w:space="0" w:color="auto"/>
            <w:left w:val="none" w:sz="0" w:space="0" w:color="auto"/>
            <w:bottom w:val="none" w:sz="0" w:space="0" w:color="auto"/>
            <w:right w:val="none" w:sz="0" w:space="0" w:color="auto"/>
          </w:divBdr>
          <w:divsChild>
            <w:div w:id="20718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390838">
      <w:bodyDiv w:val="1"/>
      <w:marLeft w:val="0"/>
      <w:marRight w:val="0"/>
      <w:marTop w:val="0"/>
      <w:marBottom w:val="0"/>
      <w:divBdr>
        <w:top w:val="none" w:sz="0" w:space="0" w:color="auto"/>
        <w:left w:val="none" w:sz="0" w:space="0" w:color="auto"/>
        <w:bottom w:val="none" w:sz="0" w:space="0" w:color="auto"/>
        <w:right w:val="none" w:sz="0" w:space="0" w:color="auto"/>
      </w:divBdr>
    </w:div>
    <w:div w:id="606698624">
      <w:bodyDiv w:val="1"/>
      <w:marLeft w:val="0"/>
      <w:marRight w:val="0"/>
      <w:marTop w:val="0"/>
      <w:marBottom w:val="0"/>
      <w:divBdr>
        <w:top w:val="none" w:sz="0" w:space="0" w:color="auto"/>
        <w:left w:val="none" w:sz="0" w:space="0" w:color="auto"/>
        <w:bottom w:val="none" w:sz="0" w:space="0" w:color="auto"/>
        <w:right w:val="none" w:sz="0" w:space="0" w:color="auto"/>
      </w:divBdr>
      <w:divsChild>
        <w:div w:id="1593589641">
          <w:marLeft w:val="0"/>
          <w:marRight w:val="0"/>
          <w:marTop w:val="75"/>
          <w:marBottom w:val="0"/>
          <w:divBdr>
            <w:top w:val="none" w:sz="0" w:space="0" w:color="auto"/>
            <w:left w:val="none" w:sz="0" w:space="0" w:color="auto"/>
            <w:bottom w:val="none" w:sz="0" w:space="0" w:color="auto"/>
            <w:right w:val="none" w:sz="0" w:space="0" w:color="auto"/>
          </w:divBdr>
        </w:div>
        <w:div w:id="1982349187">
          <w:marLeft w:val="0"/>
          <w:marRight w:val="0"/>
          <w:marTop w:val="75"/>
          <w:marBottom w:val="0"/>
          <w:divBdr>
            <w:top w:val="none" w:sz="0" w:space="0" w:color="auto"/>
            <w:left w:val="none" w:sz="0" w:space="0" w:color="auto"/>
            <w:bottom w:val="none" w:sz="0" w:space="0" w:color="auto"/>
            <w:right w:val="none" w:sz="0" w:space="0" w:color="auto"/>
          </w:divBdr>
        </w:div>
      </w:divsChild>
    </w:div>
    <w:div w:id="679740543">
      <w:bodyDiv w:val="1"/>
      <w:marLeft w:val="0"/>
      <w:marRight w:val="0"/>
      <w:marTop w:val="0"/>
      <w:marBottom w:val="0"/>
      <w:divBdr>
        <w:top w:val="none" w:sz="0" w:space="0" w:color="auto"/>
        <w:left w:val="none" w:sz="0" w:space="0" w:color="auto"/>
        <w:bottom w:val="none" w:sz="0" w:space="0" w:color="auto"/>
        <w:right w:val="none" w:sz="0" w:space="0" w:color="auto"/>
      </w:divBdr>
      <w:divsChild>
        <w:div w:id="331106457">
          <w:marLeft w:val="0"/>
          <w:marRight w:val="0"/>
          <w:marTop w:val="0"/>
          <w:marBottom w:val="0"/>
          <w:divBdr>
            <w:top w:val="none" w:sz="0" w:space="0" w:color="auto"/>
            <w:left w:val="none" w:sz="0" w:space="0" w:color="auto"/>
            <w:bottom w:val="none" w:sz="0" w:space="0" w:color="auto"/>
            <w:right w:val="none" w:sz="0" w:space="0" w:color="auto"/>
          </w:divBdr>
          <w:divsChild>
            <w:div w:id="47449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942961">
      <w:bodyDiv w:val="1"/>
      <w:marLeft w:val="0"/>
      <w:marRight w:val="0"/>
      <w:marTop w:val="0"/>
      <w:marBottom w:val="0"/>
      <w:divBdr>
        <w:top w:val="none" w:sz="0" w:space="0" w:color="auto"/>
        <w:left w:val="none" w:sz="0" w:space="0" w:color="auto"/>
        <w:bottom w:val="none" w:sz="0" w:space="0" w:color="auto"/>
        <w:right w:val="none" w:sz="0" w:space="0" w:color="auto"/>
      </w:divBdr>
      <w:divsChild>
        <w:div w:id="348876589">
          <w:marLeft w:val="0"/>
          <w:marRight w:val="0"/>
          <w:marTop w:val="0"/>
          <w:marBottom w:val="0"/>
          <w:divBdr>
            <w:top w:val="none" w:sz="0" w:space="0" w:color="auto"/>
            <w:left w:val="none" w:sz="0" w:space="0" w:color="auto"/>
            <w:bottom w:val="none" w:sz="0" w:space="0" w:color="auto"/>
            <w:right w:val="none" w:sz="0" w:space="0" w:color="auto"/>
          </w:divBdr>
          <w:divsChild>
            <w:div w:id="18494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72435">
      <w:bodyDiv w:val="1"/>
      <w:marLeft w:val="0"/>
      <w:marRight w:val="0"/>
      <w:marTop w:val="0"/>
      <w:marBottom w:val="0"/>
      <w:divBdr>
        <w:top w:val="none" w:sz="0" w:space="0" w:color="auto"/>
        <w:left w:val="none" w:sz="0" w:space="0" w:color="auto"/>
        <w:bottom w:val="none" w:sz="0" w:space="0" w:color="auto"/>
        <w:right w:val="none" w:sz="0" w:space="0" w:color="auto"/>
      </w:divBdr>
      <w:divsChild>
        <w:div w:id="173346174">
          <w:marLeft w:val="0"/>
          <w:marRight w:val="0"/>
          <w:marTop w:val="0"/>
          <w:marBottom w:val="0"/>
          <w:divBdr>
            <w:top w:val="none" w:sz="0" w:space="0" w:color="auto"/>
            <w:left w:val="none" w:sz="0" w:space="0" w:color="auto"/>
            <w:bottom w:val="none" w:sz="0" w:space="0" w:color="auto"/>
            <w:right w:val="none" w:sz="0" w:space="0" w:color="auto"/>
          </w:divBdr>
          <w:divsChild>
            <w:div w:id="186451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038850">
      <w:bodyDiv w:val="1"/>
      <w:marLeft w:val="0"/>
      <w:marRight w:val="0"/>
      <w:marTop w:val="0"/>
      <w:marBottom w:val="0"/>
      <w:divBdr>
        <w:top w:val="none" w:sz="0" w:space="0" w:color="auto"/>
        <w:left w:val="none" w:sz="0" w:space="0" w:color="auto"/>
        <w:bottom w:val="none" w:sz="0" w:space="0" w:color="auto"/>
        <w:right w:val="none" w:sz="0" w:space="0" w:color="auto"/>
      </w:divBdr>
    </w:div>
    <w:div w:id="780539296">
      <w:bodyDiv w:val="1"/>
      <w:marLeft w:val="0"/>
      <w:marRight w:val="0"/>
      <w:marTop w:val="0"/>
      <w:marBottom w:val="0"/>
      <w:divBdr>
        <w:top w:val="none" w:sz="0" w:space="0" w:color="auto"/>
        <w:left w:val="none" w:sz="0" w:space="0" w:color="auto"/>
        <w:bottom w:val="none" w:sz="0" w:space="0" w:color="auto"/>
        <w:right w:val="none" w:sz="0" w:space="0" w:color="auto"/>
      </w:divBdr>
      <w:divsChild>
        <w:div w:id="2088113510">
          <w:marLeft w:val="0"/>
          <w:marRight w:val="0"/>
          <w:marTop w:val="0"/>
          <w:marBottom w:val="0"/>
          <w:divBdr>
            <w:top w:val="none" w:sz="0" w:space="0" w:color="auto"/>
            <w:left w:val="none" w:sz="0" w:space="0" w:color="auto"/>
            <w:bottom w:val="none" w:sz="0" w:space="0" w:color="auto"/>
            <w:right w:val="none" w:sz="0" w:space="0" w:color="auto"/>
          </w:divBdr>
        </w:div>
        <w:div w:id="81538137">
          <w:marLeft w:val="0"/>
          <w:marRight w:val="0"/>
          <w:marTop w:val="0"/>
          <w:marBottom w:val="0"/>
          <w:divBdr>
            <w:top w:val="none" w:sz="0" w:space="0" w:color="auto"/>
            <w:left w:val="none" w:sz="0" w:space="0" w:color="auto"/>
            <w:bottom w:val="none" w:sz="0" w:space="0" w:color="auto"/>
            <w:right w:val="none" w:sz="0" w:space="0" w:color="auto"/>
          </w:divBdr>
        </w:div>
        <w:div w:id="1622109600">
          <w:marLeft w:val="0"/>
          <w:marRight w:val="0"/>
          <w:marTop w:val="0"/>
          <w:marBottom w:val="0"/>
          <w:divBdr>
            <w:top w:val="none" w:sz="0" w:space="0" w:color="auto"/>
            <w:left w:val="none" w:sz="0" w:space="0" w:color="auto"/>
            <w:bottom w:val="none" w:sz="0" w:space="0" w:color="auto"/>
            <w:right w:val="none" w:sz="0" w:space="0" w:color="auto"/>
          </w:divBdr>
        </w:div>
      </w:divsChild>
    </w:div>
    <w:div w:id="825711290">
      <w:bodyDiv w:val="1"/>
      <w:marLeft w:val="0"/>
      <w:marRight w:val="0"/>
      <w:marTop w:val="0"/>
      <w:marBottom w:val="0"/>
      <w:divBdr>
        <w:top w:val="none" w:sz="0" w:space="0" w:color="auto"/>
        <w:left w:val="none" w:sz="0" w:space="0" w:color="auto"/>
        <w:bottom w:val="none" w:sz="0" w:space="0" w:color="auto"/>
        <w:right w:val="none" w:sz="0" w:space="0" w:color="auto"/>
      </w:divBdr>
      <w:divsChild>
        <w:div w:id="449738141">
          <w:marLeft w:val="0"/>
          <w:marRight w:val="0"/>
          <w:marTop w:val="0"/>
          <w:marBottom w:val="0"/>
          <w:divBdr>
            <w:top w:val="none" w:sz="0" w:space="0" w:color="auto"/>
            <w:left w:val="none" w:sz="0" w:space="0" w:color="auto"/>
            <w:bottom w:val="none" w:sz="0" w:space="0" w:color="auto"/>
            <w:right w:val="none" w:sz="0" w:space="0" w:color="auto"/>
          </w:divBdr>
          <w:divsChild>
            <w:div w:id="186694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337277">
      <w:bodyDiv w:val="1"/>
      <w:marLeft w:val="0"/>
      <w:marRight w:val="0"/>
      <w:marTop w:val="0"/>
      <w:marBottom w:val="0"/>
      <w:divBdr>
        <w:top w:val="none" w:sz="0" w:space="0" w:color="auto"/>
        <w:left w:val="none" w:sz="0" w:space="0" w:color="auto"/>
        <w:bottom w:val="none" w:sz="0" w:space="0" w:color="auto"/>
        <w:right w:val="none" w:sz="0" w:space="0" w:color="auto"/>
      </w:divBdr>
      <w:divsChild>
        <w:div w:id="1977443969">
          <w:marLeft w:val="0"/>
          <w:marRight w:val="0"/>
          <w:marTop w:val="0"/>
          <w:marBottom w:val="0"/>
          <w:divBdr>
            <w:top w:val="none" w:sz="0" w:space="0" w:color="auto"/>
            <w:left w:val="none" w:sz="0" w:space="0" w:color="auto"/>
            <w:bottom w:val="none" w:sz="0" w:space="0" w:color="auto"/>
            <w:right w:val="none" w:sz="0" w:space="0" w:color="auto"/>
          </w:divBdr>
        </w:div>
        <w:div w:id="2003044886">
          <w:marLeft w:val="0"/>
          <w:marRight w:val="0"/>
          <w:marTop w:val="0"/>
          <w:marBottom w:val="0"/>
          <w:divBdr>
            <w:top w:val="none" w:sz="0" w:space="0" w:color="auto"/>
            <w:left w:val="none" w:sz="0" w:space="0" w:color="auto"/>
            <w:bottom w:val="none" w:sz="0" w:space="0" w:color="auto"/>
            <w:right w:val="none" w:sz="0" w:space="0" w:color="auto"/>
          </w:divBdr>
        </w:div>
        <w:div w:id="163783648">
          <w:marLeft w:val="0"/>
          <w:marRight w:val="0"/>
          <w:marTop w:val="0"/>
          <w:marBottom w:val="0"/>
          <w:divBdr>
            <w:top w:val="none" w:sz="0" w:space="0" w:color="auto"/>
            <w:left w:val="none" w:sz="0" w:space="0" w:color="auto"/>
            <w:bottom w:val="none" w:sz="0" w:space="0" w:color="auto"/>
            <w:right w:val="none" w:sz="0" w:space="0" w:color="auto"/>
          </w:divBdr>
        </w:div>
        <w:div w:id="1530027099">
          <w:marLeft w:val="0"/>
          <w:marRight w:val="0"/>
          <w:marTop w:val="0"/>
          <w:marBottom w:val="0"/>
          <w:divBdr>
            <w:top w:val="none" w:sz="0" w:space="0" w:color="auto"/>
            <w:left w:val="none" w:sz="0" w:space="0" w:color="auto"/>
            <w:bottom w:val="none" w:sz="0" w:space="0" w:color="auto"/>
            <w:right w:val="none" w:sz="0" w:space="0" w:color="auto"/>
          </w:divBdr>
        </w:div>
        <w:div w:id="667291402">
          <w:marLeft w:val="0"/>
          <w:marRight w:val="0"/>
          <w:marTop w:val="0"/>
          <w:marBottom w:val="0"/>
          <w:divBdr>
            <w:top w:val="none" w:sz="0" w:space="0" w:color="auto"/>
            <w:left w:val="none" w:sz="0" w:space="0" w:color="auto"/>
            <w:bottom w:val="none" w:sz="0" w:space="0" w:color="auto"/>
            <w:right w:val="none" w:sz="0" w:space="0" w:color="auto"/>
          </w:divBdr>
        </w:div>
        <w:div w:id="1862626976">
          <w:marLeft w:val="0"/>
          <w:marRight w:val="0"/>
          <w:marTop w:val="0"/>
          <w:marBottom w:val="0"/>
          <w:divBdr>
            <w:top w:val="none" w:sz="0" w:space="0" w:color="auto"/>
            <w:left w:val="none" w:sz="0" w:space="0" w:color="auto"/>
            <w:bottom w:val="none" w:sz="0" w:space="0" w:color="auto"/>
            <w:right w:val="none" w:sz="0" w:space="0" w:color="auto"/>
          </w:divBdr>
        </w:div>
        <w:div w:id="356469020">
          <w:marLeft w:val="0"/>
          <w:marRight w:val="0"/>
          <w:marTop w:val="0"/>
          <w:marBottom w:val="0"/>
          <w:divBdr>
            <w:top w:val="none" w:sz="0" w:space="0" w:color="auto"/>
            <w:left w:val="none" w:sz="0" w:space="0" w:color="auto"/>
            <w:bottom w:val="none" w:sz="0" w:space="0" w:color="auto"/>
            <w:right w:val="none" w:sz="0" w:space="0" w:color="auto"/>
          </w:divBdr>
        </w:div>
      </w:divsChild>
    </w:div>
    <w:div w:id="1037049861">
      <w:bodyDiv w:val="1"/>
      <w:marLeft w:val="0"/>
      <w:marRight w:val="0"/>
      <w:marTop w:val="0"/>
      <w:marBottom w:val="0"/>
      <w:divBdr>
        <w:top w:val="none" w:sz="0" w:space="0" w:color="auto"/>
        <w:left w:val="none" w:sz="0" w:space="0" w:color="auto"/>
        <w:bottom w:val="none" w:sz="0" w:space="0" w:color="auto"/>
        <w:right w:val="none" w:sz="0" w:space="0" w:color="auto"/>
      </w:divBdr>
    </w:div>
    <w:div w:id="1076588894">
      <w:bodyDiv w:val="1"/>
      <w:marLeft w:val="0"/>
      <w:marRight w:val="0"/>
      <w:marTop w:val="0"/>
      <w:marBottom w:val="0"/>
      <w:divBdr>
        <w:top w:val="none" w:sz="0" w:space="0" w:color="auto"/>
        <w:left w:val="none" w:sz="0" w:space="0" w:color="auto"/>
        <w:bottom w:val="none" w:sz="0" w:space="0" w:color="auto"/>
        <w:right w:val="none" w:sz="0" w:space="0" w:color="auto"/>
      </w:divBdr>
      <w:divsChild>
        <w:div w:id="131408473">
          <w:marLeft w:val="0"/>
          <w:marRight w:val="0"/>
          <w:marTop w:val="0"/>
          <w:marBottom w:val="0"/>
          <w:divBdr>
            <w:top w:val="none" w:sz="0" w:space="0" w:color="auto"/>
            <w:left w:val="none" w:sz="0" w:space="0" w:color="auto"/>
            <w:bottom w:val="none" w:sz="0" w:space="0" w:color="auto"/>
            <w:right w:val="none" w:sz="0" w:space="0" w:color="auto"/>
          </w:divBdr>
          <w:divsChild>
            <w:div w:id="67149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131201">
      <w:bodyDiv w:val="1"/>
      <w:marLeft w:val="0"/>
      <w:marRight w:val="0"/>
      <w:marTop w:val="0"/>
      <w:marBottom w:val="0"/>
      <w:divBdr>
        <w:top w:val="none" w:sz="0" w:space="0" w:color="auto"/>
        <w:left w:val="none" w:sz="0" w:space="0" w:color="auto"/>
        <w:bottom w:val="none" w:sz="0" w:space="0" w:color="auto"/>
        <w:right w:val="none" w:sz="0" w:space="0" w:color="auto"/>
      </w:divBdr>
      <w:divsChild>
        <w:div w:id="655306178">
          <w:marLeft w:val="0"/>
          <w:marRight w:val="0"/>
          <w:marTop w:val="0"/>
          <w:marBottom w:val="0"/>
          <w:divBdr>
            <w:top w:val="none" w:sz="0" w:space="0" w:color="auto"/>
            <w:left w:val="none" w:sz="0" w:space="0" w:color="auto"/>
            <w:bottom w:val="none" w:sz="0" w:space="0" w:color="auto"/>
            <w:right w:val="none" w:sz="0" w:space="0" w:color="auto"/>
          </w:divBdr>
        </w:div>
        <w:div w:id="1941643416">
          <w:marLeft w:val="0"/>
          <w:marRight w:val="0"/>
          <w:marTop w:val="0"/>
          <w:marBottom w:val="0"/>
          <w:divBdr>
            <w:top w:val="none" w:sz="0" w:space="0" w:color="auto"/>
            <w:left w:val="none" w:sz="0" w:space="0" w:color="auto"/>
            <w:bottom w:val="none" w:sz="0" w:space="0" w:color="auto"/>
            <w:right w:val="none" w:sz="0" w:space="0" w:color="auto"/>
          </w:divBdr>
        </w:div>
        <w:div w:id="1508517989">
          <w:marLeft w:val="0"/>
          <w:marRight w:val="0"/>
          <w:marTop w:val="0"/>
          <w:marBottom w:val="0"/>
          <w:divBdr>
            <w:top w:val="none" w:sz="0" w:space="0" w:color="auto"/>
            <w:left w:val="none" w:sz="0" w:space="0" w:color="auto"/>
            <w:bottom w:val="none" w:sz="0" w:space="0" w:color="auto"/>
            <w:right w:val="none" w:sz="0" w:space="0" w:color="auto"/>
          </w:divBdr>
          <w:divsChild>
            <w:div w:id="2060281528">
              <w:marLeft w:val="0"/>
              <w:marRight w:val="0"/>
              <w:marTop w:val="0"/>
              <w:marBottom w:val="0"/>
              <w:divBdr>
                <w:top w:val="none" w:sz="0" w:space="0" w:color="auto"/>
                <w:left w:val="none" w:sz="0" w:space="0" w:color="auto"/>
                <w:bottom w:val="none" w:sz="0" w:space="0" w:color="auto"/>
                <w:right w:val="none" w:sz="0" w:space="0" w:color="auto"/>
              </w:divBdr>
            </w:div>
          </w:divsChild>
        </w:div>
        <w:div w:id="1104114508">
          <w:marLeft w:val="0"/>
          <w:marRight w:val="0"/>
          <w:marTop w:val="0"/>
          <w:marBottom w:val="0"/>
          <w:divBdr>
            <w:top w:val="none" w:sz="0" w:space="0" w:color="auto"/>
            <w:left w:val="none" w:sz="0" w:space="0" w:color="auto"/>
            <w:bottom w:val="none" w:sz="0" w:space="0" w:color="auto"/>
            <w:right w:val="none" w:sz="0" w:space="0" w:color="auto"/>
          </w:divBdr>
          <w:divsChild>
            <w:div w:id="73192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09174">
      <w:bodyDiv w:val="1"/>
      <w:marLeft w:val="0"/>
      <w:marRight w:val="0"/>
      <w:marTop w:val="0"/>
      <w:marBottom w:val="0"/>
      <w:divBdr>
        <w:top w:val="none" w:sz="0" w:space="0" w:color="auto"/>
        <w:left w:val="none" w:sz="0" w:space="0" w:color="auto"/>
        <w:bottom w:val="none" w:sz="0" w:space="0" w:color="auto"/>
        <w:right w:val="none" w:sz="0" w:space="0" w:color="auto"/>
      </w:divBdr>
      <w:divsChild>
        <w:div w:id="497158420">
          <w:marLeft w:val="0"/>
          <w:marRight w:val="0"/>
          <w:marTop w:val="0"/>
          <w:marBottom w:val="0"/>
          <w:divBdr>
            <w:top w:val="none" w:sz="0" w:space="0" w:color="auto"/>
            <w:left w:val="none" w:sz="0" w:space="0" w:color="auto"/>
            <w:bottom w:val="none" w:sz="0" w:space="0" w:color="auto"/>
            <w:right w:val="none" w:sz="0" w:space="0" w:color="auto"/>
          </w:divBdr>
          <w:divsChild>
            <w:div w:id="23404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8065">
      <w:bodyDiv w:val="1"/>
      <w:marLeft w:val="0"/>
      <w:marRight w:val="0"/>
      <w:marTop w:val="0"/>
      <w:marBottom w:val="0"/>
      <w:divBdr>
        <w:top w:val="none" w:sz="0" w:space="0" w:color="auto"/>
        <w:left w:val="none" w:sz="0" w:space="0" w:color="auto"/>
        <w:bottom w:val="none" w:sz="0" w:space="0" w:color="auto"/>
        <w:right w:val="none" w:sz="0" w:space="0" w:color="auto"/>
      </w:divBdr>
    </w:div>
    <w:div w:id="1304232990">
      <w:bodyDiv w:val="1"/>
      <w:marLeft w:val="0"/>
      <w:marRight w:val="0"/>
      <w:marTop w:val="0"/>
      <w:marBottom w:val="0"/>
      <w:divBdr>
        <w:top w:val="none" w:sz="0" w:space="0" w:color="auto"/>
        <w:left w:val="none" w:sz="0" w:space="0" w:color="auto"/>
        <w:bottom w:val="none" w:sz="0" w:space="0" w:color="auto"/>
        <w:right w:val="none" w:sz="0" w:space="0" w:color="auto"/>
      </w:divBdr>
    </w:div>
    <w:div w:id="1523742935">
      <w:bodyDiv w:val="1"/>
      <w:marLeft w:val="0"/>
      <w:marRight w:val="0"/>
      <w:marTop w:val="0"/>
      <w:marBottom w:val="0"/>
      <w:divBdr>
        <w:top w:val="none" w:sz="0" w:space="0" w:color="auto"/>
        <w:left w:val="none" w:sz="0" w:space="0" w:color="auto"/>
        <w:bottom w:val="none" w:sz="0" w:space="0" w:color="auto"/>
        <w:right w:val="none" w:sz="0" w:space="0" w:color="auto"/>
      </w:divBdr>
      <w:divsChild>
        <w:div w:id="1151366104">
          <w:marLeft w:val="0"/>
          <w:marRight w:val="0"/>
          <w:marTop w:val="0"/>
          <w:marBottom w:val="0"/>
          <w:divBdr>
            <w:top w:val="none" w:sz="0" w:space="0" w:color="auto"/>
            <w:left w:val="none" w:sz="0" w:space="0" w:color="auto"/>
            <w:bottom w:val="none" w:sz="0" w:space="0" w:color="auto"/>
            <w:right w:val="none" w:sz="0" w:space="0" w:color="auto"/>
          </w:divBdr>
        </w:div>
        <w:div w:id="1585602909">
          <w:marLeft w:val="0"/>
          <w:marRight w:val="0"/>
          <w:marTop w:val="0"/>
          <w:marBottom w:val="0"/>
          <w:divBdr>
            <w:top w:val="none" w:sz="0" w:space="0" w:color="auto"/>
            <w:left w:val="none" w:sz="0" w:space="0" w:color="auto"/>
            <w:bottom w:val="none" w:sz="0" w:space="0" w:color="auto"/>
            <w:right w:val="none" w:sz="0" w:space="0" w:color="auto"/>
          </w:divBdr>
        </w:div>
        <w:div w:id="1110778806">
          <w:marLeft w:val="0"/>
          <w:marRight w:val="0"/>
          <w:marTop w:val="0"/>
          <w:marBottom w:val="0"/>
          <w:divBdr>
            <w:top w:val="none" w:sz="0" w:space="0" w:color="auto"/>
            <w:left w:val="none" w:sz="0" w:space="0" w:color="auto"/>
            <w:bottom w:val="none" w:sz="0" w:space="0" w:color="auto"/>
            <w:right w:val="none" w:sz="0" w:space="0" w:color="auto"/>
          </w:divBdr>
        </w:div>
        <w:div w:id="131407138">
          <w:marLeft w:val="0"/>
          <w:marRight w:val="0"/>
          <w:marTop w:val="0"/>
          <w:marBottom w:val="0"/>
          <w:divBdr>
            <w:top w:val="none" w:sz="0" w:space="0" w:color="auto"/>
            <w:left w:val="none" w:sz="0" w:space="0" w:color="auto"/>
            <w:bottom w:val="none" w:sz="0" w:space="0" w:color="auto"/>
            <w:right w:val="none" w:sz="0" w:space="0" w:color="auto"/>
          </w:divBdr>
        </w:div>
        <w:div w:id="1060791544">
          <w:marLeft w:val="0"/>
          <w:marRight w:val="0"/>
          <w:marTop w:val="0"/>
          <w:marBottom w:val="0"/>
          <w:divBdr>
            <w:top w:val="none" w:sz="0" w:space="0" w:color="auto"/>
            <w:left w:val="none" w:sz="0" w:space="0" w:color="auto"/>
            <w:bottom w:val="none" w:sz="0" w:space="0" w:color="auto"/>
            <w:right w:val="none" w:sz="0" w:space="0" w:color="auto"/>
          </w:divBdr>
        </w:div>
        <w:div w:id="370766141">
          <w:marLeft w:val="0"/>
          <w:marRight w:val="0"/>
          <w:marTop w:val="0"/>
          <w:marBottom w:val="0"/>
          <w:divBdr>
            <w:top w:val="none" w:sz="0" w:space="0" w:color="auto"/>
            <w:left w:val="none" w:sz="0" w:space="0" w:color="auto"/>
            <w:bottom w:val="none" w:sz="0" w:space="0" w:color="auto"/>
            <w:right w:val="none" w:sz="0" w:space="0" w:color="auto"/>
          </w:divBdr>
        </w:div>
        <w:div w:id="1365249480">
          <w:marLeft w:val="0"/>
          <w:marRight w:val="0"/>
          <w:marTop w:val="0"/>
          <w:marBottom w:val="0"/>
          <w:divBdr>
            <w:top w:val="none" w:sz="0" w:space="0" w:color="auto"/>
            <w:left w:val="none" w:sz="0" w:space="0" w:color="auto"/>
            <w:bottom w:val="none" w:sz="0" w:space="0" w:color="auto"/>
            <w:right w:val="none" w:sz="0" w:space="0" w:color="auto"/>
          </w:divBdr>
        </w:div>
        <w:div w:id="903296052">
          <w:marLeft w:val="0"/>
          <w:marRight w:val="0"/>
          <w:marTop w:val="0"/>
          <w:marBottom w:val="0"/>
          <w:divBdr>
            <w:top w:val="none" w:sz="0" w:space="0" w:color="auto"/>
            <w:left w:val="none" w:sz="0" w:space="0" w:color="auto"/>
            <w:bottom w:val="none" w:sz="0" w:space="0" w:color="auto"/>
            <w:right w:val="none" w:sz="0" w:space="0" w:color="auto"/>
          </w:divBdr>
        </w:div>
        <w:div w:id="1255019968">
          <w:marLeft w:val="0"/>
          <w:marRight w:val="0"/>
          <w:marTop w:val="0"/>
          <w:marBottom w:val="0"/>
          <w:divBdr>
            <w:top w:val="none" w:sz="0" w:space="0" w:color="auto"/>
            <w:left w:val="none" w:sz="0" w:space="0" w:color="auto"/>
            <w:bottom w:val="none" w:sz="0" w:space="0" w:color="auto"/>
            <w:right w:val="none" w:sz="0" w:space="0" w:color="auto"/>
          </w:divBdr>
        </w:div>
        <w:div w:id="1656109125">
          <w:marLeft w:val="0"/>
          <w:marRight w:val="0"/>
          <w:marTop w:val="0"/>
          <w:marBottom w:val="0"/>
          <w:divBdr>
            <w:top w:val="none" w:sz="0" w:space="0" w:color="auto"/>
            <w:left w:val="none" w:sz="0" w:space="0" w:color="auto"/>
            <w:bottom w:val="none" w:sz="0" w:space="0" w:color="auto"/>
            <w:right w:val="none" w:sz="0" w:space="0" w:color="auto"/>
          </w:divBdr>
        </w:div>
      </w:divsChild>
    </w:div>
    <w:div w:id="1668752229">
      <w:bodyDiv w:val="1"/>
      <w:marLeft w:val="0"/>
      <w:marRight w:val="0"/>
      <w:marTop w:val="0"/>
      <w:marBottom w:val="0"/>
      <w:divBdr>
        <w:top w:val="none" w:sz="0" w:space="0" w:color="auto"/>
        <w:left w:val="none" w:sz="0" w:space="0" w:color="auto"/>
        <w:bottom w:val="none" w:sz="0" w:space="0" w:color="auto"/>
        <w:right w:val="none" w:sz="0" w:space="0" w:color="auto"/>
      </w:divBdr>
    </w:div>
    <w:div w:id="1760446210">
      <w:bodyDiv w:val="1"/>
      <w:marLeft w:val="0"/>
      <w:marRight w:val="0"/>
      <w:marTop w:val="0"/>
      <w:marBottom w:val="0"/>
      <w:divBdr>
        <w:top w:val="none" w:sz="0" w:space="0" w:color="auto"/>
        <w:left w:val="none" w:sz="0" w:space="0" w:color="auto"/>
        <w:bottom w:val="none" w:sz="0" w:space="0" w:color="auto"/>
        <w:right w:val="none" w:sz="0" w:space="0" w:color="auto"/>
      </w:divBdr>
      <w:divsChild>
        <w:div w:id="863640651">
          <w:marLeft w:val="0"/>
          <w:marRight w:val="0"/>
          <w:marTop w:val="0"/>
          <w:marBottom w:val="0"/>
          <w:divBdr>
            <w:top w:val="none" w:sz="0" w:space="0" w:color="auto"/>
            <w:left w:val="none" w:sz="0" w:space="0" w:color="auto"/>
            <w:bottom w:val="none" w:sz="0" w:space="0" w:color="auto"/>
            <w:right w:val="none" w:sz="0" w:space="0" w:color="auto"/>
          </w:divBdr>
          <w:divsChild>
            <w:div w:id="171870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96808">
      <w:bodyDiv w:val="1"/>
      <w:marLeft w:val="0"/>
      <w:marRight w:val="0"/>
      <w:marTop w:val="0"/>
      <w:marBottom w:val="0"/>
      <w:divBdr>
        <w:top w:val="none" w:sz="0" w:space="0" w:color="auto"/>
        <w:left w:val="none" w:sz="0" w:space="0" w:color="auto"/>
        <w:bottom w:val="none" w:sz="0" w:space="0" w:color="auto"/>
        <w:right w:val="none" w:sz="0" w:space="0" w:color="auto"/>
      </w:divBdr>
      <w:divsChild>
        <w:div w:id="1654529522">
          <w:marLeft w:val="0"/>
          <w:marRight w:val="0"/>
          <w:marTop w:val="0"/>
          <w:marBottom w:val="0"/>
          <w:divBdr>
            <w:top w:val="none" w:sz="0" w:space="0" w:color="auto"/>
            <w:left w:val="none" w:sz="0" w:space="0" w:color="auto"/>
            <w:bottom w:val="none" w:sz="0" w:space="0" w:color="auto"/>
            <w:right w:val="none" w:sz="0" w:space="0" w:color="auto"/>
          </w:divBdr>
          <w:divsChild>
            <w:div w:id="26839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556849">
      <w:bodyDiv w:val="1"/>
      <w:marLeft w:val="0"/>
      <w:marRight w:val="0"/>
      <w:marTop w:val="0"/>
      <w:marBottom w:val="0"/>
      <w:divBdr>
        <w:top w:val="none" w:sz="0" w:space="0" w:color="auto"/>
        <w:left w:val="none" w:sz="0" w:space="0" w:color="auto"/>
        <w:bottom w:val="none" w:sz="0" w:space="0" w:color="auto"/>
        <w:right w:val="none" w:sz="0" w:space="0" w:color="auto"/>
      </w:divBdr>
      <w:divsChild>
        <w:div w:id="2122451321">
          <w:marLeft w:val="0"/>
          <w:marRight w:val="0"/>
          <w:marTop w:val="0"/>
          <w:marBottom w:val="0"/>
          <w:divBdr>
            <w:top w:val="none" w:sz="0" w:space="0" w:color="auto"/>
            <w:left w:val="none" w:sz="0" w:space="0" w:color="auto"/>
            <w:bottom w:val="none" w:sz="0" w:space="0" w:color="auto"/>
            <w:right w:val="none" w:sz="0" w:space="0" w:color="auto"/>
          </w:divBdr>
          <w:divsChild>
            <w:div w:id="178704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0881">
      <w:bodyDiv w:val="1"/>
      <w:marLeft w:val="0"/>
      <w:marRight w:val="0"/>
      <w:marTop w:val="0"/>
      <w:marBottom w:val="0"/>
      <w:divBdr>
        <w:top w:val="none" w:sz="0" w:space="0" w:color="auto"/>
        <w:left w:val="none" w:sz="0" w:space="0" w:color="auto"/>
        <w:bottom w:val="none" w:sz="0" w:space="0" w:color="auto"/>
        <w:right w:val="none" w:sz="0" w:space="0" w:color="auto"/>
      </w:divBdr>
      <w:divsChild>
        <w:div w:id="215093118">
          <w:marLeft w:val="0"/>
          <w:marRight w:val="0"/>
          <w:marTop w:val="0"/>
          <w:marBottom w:val="0"/>
          <w:divBdr>
            <w:top w:val="none" w:sz="0" w:space="0" w:color="auto"/>
            <w:left w:val="none" w:sz="0" w:space="0" w:color="auto"/>
            <w:bottom w:val="none" w:sz="0" w:space="0" w:color="auto"/>
            <w:right w:val="none" w:sz="0" w:space="0" w:color="auto"/>
          </w:divBdr>
          <w:divsChild>
            <w:div w:id="1874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541923">
      <w:bodyDiv w:val="1"/>
      <w:marLeft w:val="0"/>
      <w:marRight w:val="0"/>
      <w:marTop w:val="0"/>
      <w:marBottom w:val="0"/>
      <w:divBdr>
        <w:top w:val="none" w:sz="0" w:space="0" w:color="auto"/>
        <w:left w:val="none" w:sz="0" w:space="0" w:color="auto"/>
        <w:bottom w:val="none" w:sz="0" w:space="0" w:color="auto"/>
        <w:right w:val="none" w:sz="0" w:space="0" w:color="auto"/>
      </w:divBdr>
      <w:divsChild>
        <w:div w:id="1647973113">
          <w:marLeft w:val="0"/>
          <w:marRight w:val="0"/>
          <w:marTop w:val="0"/>
          <w:marBottom w:val="0"/>
          <w:divBdr>
            <w:top w:val="none" w:sz="0" w:space="0" w:color="auto"/>
            <w:left w:val="none" w:sz="0" w:space="0" w:color="auto"/>
            <w:bottom w:val="none" w:sz="0" w:space="0" w:color="auto"/>
            <w:right w:val="none" w:sz="0" w:space="0" w:color="auto"/>
          </w:divBdr>
          <w:divsChild>
            <w:div w:id="18933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636900">
      <w:bodyDiv w:val="1"/>
      <w:marLeft w:val="0"/>
      <w:marRight w:val="0"/>
      <w:marTop w:val="0"/>
      <w:marBottom w:val="0"/>
      <w:divBdr>
        <w:top w:val="none" w:sz="0" w:space="0" w:color="auto"/>
        <w:left w:val="none" w:sz="0" w:space="0" w:color="auto"/>
        <w:bottom w:val="none" w:sz="0" w:space="0" w:color="auto"/>
        <w:right w:val="none" w:sz="0" w:space="0" w:color="auto"/>
      </w:divBdr>
      <w:divsChild>
        <w:div w:id="1617255593">
          <w:marLeft w:val="0"/>
          <w:marRight w:val="0"/>
          <w:marTop w:val="0"/>
          <w:marBottom w:val="0"/>
          <w:divBdr>
            <w:top w:val="none" w:sz="0" w:space="0" w:color="auto"/>
            <w:left w:val="none" w:sz="0" w:space="0" w:color="auto"/>
            <w:bottom w:val="none" w:sz="0" w:space="0" w:color="auto"/>
            <w:right w:val="none" w:sz="0" w:space="0" w:color="auto"/>
          </w:divBdr>
          <w:divsChild>
            <w:div w:id="162977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358482">
      <w:bodyDiv w:val="1"/>
      <w:marLeft w:val="0"/>
      <w:marRight w:val="0"/>
      <w:marTop w:val="0"/>
      <w:marBottom w:val="0"/>
      <w:divBdr>
        <w:top w:val="none" w:sz="0" w:space="0" w:color="auto"/>
        <w:left w:val="none" w:sz="0" w:space="0" w:color="auto"/>
        <w:bottom w:val="none" w:sz="0" w:space="0" w:color="auto"/>
        <w:right w:val="none" w:sz="0" w:space="0" w:color="auto"/>
      </w:divBdr>
    </w:div>
    <w:div w:id="1893151127">
      <w:bodyDiv w:val="1"/>
      <w:marLeft w:val="0"/>
      <w:marRight w:val="0"/>
      <w:marTop w:val="0"/>
      <w:marBottom w:val="0"/>
      <w:divBdr>
        <w:top w:val="none" w:sz="0" w:space="0" w:color="auto"/>
        <w:left w:val="none" w:sz="0" w:space="0" w:color="auto"/>
        <w:bottom w:val="none" w:sz="0" w:space="0" w:color="auto"/>
        <w:right w:val="none" w:sz="0" w:space="0" w:color="auto"/>
      </w:divBdr>
      <w:divsChild>
        <w:div w:id="728921676">
          <w:marLeft w:val="0"/>
          <w:marRight w:val="0"/>
          <w:marTop w:val="0"/>
          <w:marBottom w:val="0"/>
          <w:divBdr>
            <w:top w:val="none" w:sz="0" w:space="0" w:color="auto"/>
            <w:left w:val="none" w:sz="0" w:space="0" w:color="auto"/>
            <w:bottom w:val="none" w:sz="0" w:space="0" w:color="auto"/>
            <w:right w:val="none" w:sz="0" w:space="0" w:color="auto"/>
          </w:divBdr>
          <w:divsChild>
            <w:div w:id="12597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390">
      <w:bodyDiv w:val="1"/>
      <w:marLeft w:val="0"/>
      <w:marRight w:val="0"/>
      <w:marTop w:val="0"/>
      <w:marBottom w:val="0"/>
      <w:divBdr>
        <w:top w:val="none" w:sz="0" w:space="0" w:color="auto"/>
        <w:left w:val="none" w:sz="0" w:space="0" w:color="auto"/>
        <w:bottom w:val="none" w:sz="0" w:space="0" w:color="auto"/>
        <w:right w:val="none" w:sz="0" w:space="0" w:color="auto"/>
      </w:divBdr>
      <w:divsChild>
        <w:div w:id="2114588809">
          <w:marLeft w:val="0"/>
          <w:marRight w:val="0"/>
          <w:marTop w:val="0"/>
          <w:marBottom w:val="0"/>
          <w:divBdr>
            <w:top w:val="none" w:sz="0" w:space="0" w:color="auto"/>
            <w:left w:val="none" w:sz="0" w:space="0" w:color="auto"/>
            <w:bottom w:val="none" w:sz="0" w:space="0" w:color="auto"/>
            <w:right w:val="none" w:sz="0" w:space="0" w:color="auto"/>
          </w:divBdr>
          <w:divsChild>
            <w:div w:id="165977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11760">
      <w:bodyDiv w:val="1"/>
      <w:marLeft w:val="0"/>
      <w:marRight w:val="0"/>
      <w:marTop w:val="0"/>
      <w:marBottom w:val="0"/>
      <w:divBdr>
        <w:top w:val="none" w:sz="0" w:space="0" w:color="auto"/>
        <w:left w:val="none" w:sz="0" w:space="0" w:color="auto"/>
        <w:bottom w:val="none" w:sz="0" w:space="0" w:color="auto"/>
        <w:right w:val="none" w:sz="0" w:space="0" w:color="auto"/>
      </w:divBdr>
      <w:divsChild>
        <w:div w:id="92870510">
          <w:marLeft w:val="0"/>
          <w:marRight w:val="0"/>
          <w:marTop w:val="0"/>
          <w:marBottom w:val="0"/>
          <w:divBdr>
            <w:top w:val="none" w:sz="0" w:space="0" w:color="auto"/>
            <w:left w:val="none" w:sz="0" w:space="0" w:color="auto"/>
            <w:bottom w:val="none" w:sz="0" w:space="0" w:color="auto"/>
            <w:right w:val="none" w:sz="0" w:space="0" w:color="auto"/>
          </w:divBdr>
          <w:divsChild>
            <w:div w:id="149448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934414">
      <w:bodyDiv w:val="1"/>
      <w:marLeft w:val="0"/>
      <w:marRight w:val="0"/>
      <w:marTop w:val="0"/>
      <w:marBottom w:val="0"/>
      <w:divBdr>
        <w:top w:val="none" w:sz="0" w:space="0" w:color="auto"/>
        <w:left w:val="none" w:sz="0" w:space="0" w:color="auto"/>
        <w:bottom w:val="none" w:sz="0" w:space="0" w:color="auto"/>
        <w:right w:val="none" w:sz="0" w:space="0" w:color="auto"/>
      </w:divBdr>
    </w:div>
    <w:div w:id="1940217056">
      <w:bodyDiv w:val="1"/>
      <w:marLeft w:val="0"/>
      <w:marRight w:val="0"/>
      <w:marTop w:val="0"/>
      <w:marBottom w:val="0"/>
      <w:divBdr>
        <w:top w:val="none" w:sz="0" w:space="0" w:color="auto"/>
        <w:left w:val="none" w:sz="0" w:space="0" w:color="auto"/>
        <w:bottom w:val="none" w:sz="0" w:space="0" w:color="auto"/>
        <w:right w:val="none" w:sz="0" w:space="0" w:color="auto"/>
      </w:divBdr>
      <w:divsChild>
        <w:div w:id="582253540">
          <w:marLeft w:val="0"/>
          <w:marRight w:val="0"/>
          <w:marTop w:val="0"/>
          <w:marBottom w:val="120"/>
          <w:divBdr>
            <w:top w:val="none" w:sz="0" w:space="0" w:color="auto"/>
            <w:left w:val="none" w:sz="0" w:space="0" w:color="auto"/>
            <w:bottom w:val="none" w:sz="0" w:space="0" w:color="auto"/>
            <w:right w:val="none" w:sz="0" w:space="0" w:color="auto"/>
          </w:divBdr>
          <w:divsChild>
            <w:div w:id="1919173738">
              <w:marLeft w:val="0"/>
              <w:marRight w:val="0"/>
              <w:marTop w:val="0"/>
              <w:marBottom w:val="0"/>
              <w:divBdr>
                <w:top w:val="single" w:sz="6" w:space="16" w:color="414141"/>
                <w:left w:val="single" w:sz="6" w:space="18" w:color="414141"/>
                <w:bottom w:val="single" w:sz="6" w:space="0" w:color="414141"/>
                <w:right w:val="single" w:sz="6" w:space="31" w:color="414141"/>
              </w:divBdr>
              <w:divsChild>
                <w:div w:id="67916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582250">
      <w:bodyDiv w:val="1"/>
      <w:marLeft w:val="0"/>
      <w:marRight w:val="0"/>
      <w:marTop w:val="0"/>
      <w:marBottom w:val="0"/>
      <w:divBdr>
        <w:top w:val="none" w:sz="0" w:space="0" w:color="auto"/>
        <w:left w:val="none" w:sz="0" w:space="0" w:color="auto"/>
        <w:bottom w:val="none" w:sz="0" w:space="0" w:color="auto"/>
        <w:right w:val="none" w:sz="0" w:space="0" w:color="auto"/>
      </w:divBdr>
      <w:divsChild>
        <w:div w:id="1886332337">
          <w:marLeft w:val="0"/>
          <w:marRight w:val="0"/>
          <w:marTop w:val="0"/>
          <w:marBottom w:val="0"/>
          <w:divBdr>
            <w:top w:val="none" w:sz="0" w:space="0" w:color="auto"/>
            <w:left w:val="none" w:sz="0" w:space="0" w:color="auto"/>
            <w:bottom w:val="none" w:sz="0" w:space="0" w:color="auto"/>
            <w:right w:val="none" w:sz="0" w:space="0" w:color="auto"/>
          </w:divBdr>
          <w:divsChild>
            <w:div w:id="88568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29449">
      <w:bodyDiv w:val="1"/>
      <w:marLeft w:val="0"/>
      <w:marRight w:val="0"/>
      <w:marTop w:val="0"/>
      <w:marBottom w:val="0"/>
      <w:divBdr>
        <w:top w:val="none" w:sz="0" w:space="0" w:color="auto"/>
        <w:left w:val="none" w:sz="0" w:space="0" w:color="auto"/>
        <w:bottom w:val="none" w:sz="0" w:space="0" w:color="auto"/>
        <w:right w:val="none" w:sz="0" w:space="0" w:color="auto"/>
      </w:divBdr>
      <w:divsChild>
        <w:div w:id="109202187">
          <w:marLeft w:val="0"/>
          <w:marRight w:val="0"/>
          <w:marTop w:val="0"/>
          <w:marBottom w:val="0"/>
          <w:divBdr>
            <w:top w:val="none" w:sz="0" w:space="0" w:color="auto"/>
            <w:left w:val="none" w:sz="0" w:space="0" w:color="auto"/>
            <w:bottom w:val="none" w:sz="0" w:space="0" w:color="auto"/>
            <w:right w:val="none" w:sz="0" w:space="0" w:color="auto"/>
          </w:divBdr>
          <w:divsChild>
            <w:div w:id="149182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pearse@usgs.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isemination_x0020_Date xmlns="1720e262-164b-42d9-b8f5-1c971da2b9e2" xsi:nil="true"/>
    <RoutingRuleDescription xmlns="http://schemas.microsoft.com/sharepoint/v3">Please add std product disclaimer, and see BAO comments.</RoutingRuleDescription>
    <IP_x0020_Number xmlns="1720e262-164b-42d9-b8f5-1c971da2b9e2">IP-086359</IP_x0020_Number>
    <Document_x0020_Type xmlns="1720e262-164b-42d9-b8f5-1c971da2b9e2">Final BAO approved manuscript</Document_x0020_Type>
    <Del_Flag xmlns="1720e262-164b-42d9-b8f5-1c971da2b9e2">false</Del_Flag>
    <_dlc_DocId xmlns="1720e262-164b-42d9-b8f5-1c971da2b9e2">IP000000-33-575635</_dlc_DocId>
    <_dlc_DocIdUrl xmlns="1720e262-164b-42d9-b8f5-1c971da2b9e2">
      <Url>https://ipds.usgs.gov/_layouts/DocIdRedir.aspx?ID=IP000000-33-575635</Url>
      <Description>IP000000-33-575635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35575C2E16DD4180F647D41F93EB12" ma:contentTypeVersion="52" ma:contentTypeDescription="Create a new document." ma:contentTypeScope="" ma:versionID="31ea5b766245cb6c8e0d8dcb6411b84e">
  <xsd:schema xmlns:xsd="http://www.w3.org/2001/XMLSchema" xmlns:xs="http://www.w3.org/2001/XMLSchema" xmlns:p="http://schemas.microsoft.com/office/2006/metadata/properties" xmlns:ns1="http://schemas.microsoft.com/sharepoint/v3" xmlns:ns2="1720e262-164b-42d9-b8f5-1c971da2b9e2" targetNamespace="http://schemas.microsoft.com/office/2006/metadata/properties" ma:root="true" ma:fieldsID="33a2e4b0f6ce93ae8e0a3db706539887" ns1:_="" ns2:_="">
    <xsd:import namespace="http://schemas.microsoft.com/sharepoint/v3"/>
    <xsd:import namespace="1720e262-164b-42d9-b8f5-1c971da2b9e2"/>
    <xsd:element name="properties">
      <xsd:complexType>
        <xsd:sequence>
          <xsd:element name="documentManagement">
            <xsd:complexType>
              <xsd:all>
                <xsd:element ref="ns2:_dlc_DocId" minOccurs="0"/>
                <xsd:element ref="ns2:_dlc_DocIdUrl" minOccurs="0"/>
                <xsd:element ref="ns2:_dlc_DocIdPersistId" minOccurs="0"/>
                <xsd:element ref="ns2:Del_Flag" minOccurs="0"/>
                <xsd:element ref="ns2:IP_x0020_Number" minOccurs="0"/>
                <xsd:element ref="ns2:Document_x0020_Type"/>
                <xsd:element ref="ns1:RoutingRuleDescription" minOccurs="0"/>
                <xsd:element ref="ns2:Diseminat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14" nillable="true" ma:displayName="Description" ma:internalName="Description0"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e262-164b-42d9-b8f5-1c971da2b9e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el_Flag" ma:index="11" nillable="true" ma:displayName="Del_Flag" ma:default="0" ma:description="When set indicates list item can be deleted" ma:internalName="Del_Flag">
      <xsd:simpleType>
        <xsd:restriction base="dms:Boolean"/>
      </xsd:simpleType>
    </xsd:element>
    <xsd:element name="IP_x0020_Number" ma:index="12" nillable="true" ma:displayName="IP Number" ma:indexed="true" ma:internalName="IP_x0020_Number">
      <xsd:simpleType>
        <xsd:restriction base="dms:Text"/>
      </xsd:simpleType>
    </xsd:element>
    <xsd:element name="Document_x0020_Type" ma:index="13" ma:displayName="Document Type" ma:default="Author's original manuscript" ma:description="" ma:format="Dropdown" ma:internalName="Document_x0020_Type">
      <xsd:simpleType>
        <xsd:restriction base="dms:Choice">
          <xsd:enumeration value="Author's original manuscript"/>
          <xsd:enumeration value="SPN edited manuscript"/>
          <xsd:enumeration value="Peer review"/>
          <xsd:enumeration value="Peer review reconciliation"/>
          <xsd:enumeration value="Final manuscript for Bureau approval"/>
          <xsd:enumeration value="Final BAO approved manuscript"/>
          <xsd:enumeration value="IPPA"/>
          <xsd:enumeration value="Accepted Manuscript (only .docx file)"/>
          <xsd:enumeration value="Other"/>
        </xsd:restriction>
      </xsd:simpleType>
    </xsd:element>
    <xsd:element name="Disemination_x0020_Date" ma:index="16" nillable="true" ma:displayName="Disemination Date" ma:internalName="Diseminat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Working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370CA-96EC-493A-BF26-181572BD8B3E}">
  <ds:schemaRefs>
    <ds:schemaRef ds:uri="http://schemas.microsoft.com/sharepoint/events"/>
  </ds:schemaRefs>
</ds:datastoreItem>
</file>

<file path=customXml/itemProps2.xml><?xml version="1.0" encoding="utf-8"?>
<ds:datastoreItem xmlns:ds="http://schemas.openxmlformats.org/officeDocument/2006/customXml" ds:itemID="{6410EF7F-D257-45CA-9F19-72BDE556D7D6}">
  <ds:schemaRefs>
    <ds:schemaRef ds:uri="http://schemas.microsoft.com/office/2006/metadata/properties"/>
    <ds:schemaRef ds:uri="http://schemas.microsoft.com/office/infopath/2007/PartnerControls"/>
    <ds:schemaRef ds:uri="1720e262-164b-42d9-b8f5-1c971da2b9e2"/>
    <ds:schemaRef ds:uri="http://schemas.microsoft.com/sharepoint/v3"/>
  </ds:schemaRefs>
</ds:datastoreItem>
</file>

<file path=customXml/itemProps3.xml><?xml version="1.0" encoding="utf-8"?>
<ds:datastoreItem xmlns:ds="http://schemas.openxmlformats.org/officeDocument/2006/customXml" ds:itemID="{C6103408-C35E-4951-BC0B-BBA137DF44ED}">
  <ds:schemaRefs>
    <ds:schemaRef ds:uri="http://schemas.microsoft.com/sharepoint/v3/contenttype/forms"/>
  </ds:schemaRefs>
</ds:datastoreItem>
</file>

<file path=customXml/itemProps4.xml><?xml version="1.0" encoding="utf-8"?>
<ds:datastoreItem xmlns:ds="http://schemas.openxmlformats.org/officeDocument/2006/customXml" ds:itemID="{609D1B86-E34E-4B73-BF95-156930E8F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720e262-164b-42d9-b8f5-1c971da2b9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9DEB63-DE63-4D57-947D-DF9C56952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10821</Words>
  <Characters>61682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Ian</dc:creator>
  <cp:lastModifiedBy>Pearse, Ian Seth</cp:lastModifiedBy>
  <cp:revision>2</cp:revision>
  <cp:lastPrinted>2017-05-26T23:18:00Z</cp:lastPrinted>
  <dcterms:created xsi:type="dcterms:W3CDTF">2017-09-21T16:25:00Z</dcterms:created>
  <dcterms:modified xsi:type="dcterms:W3CDTF">2017-09-21T16:25:00Z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zotero-version="4.0.29.10"&gt;&lt;session id="cPsEcnrn"/&gt;&lt;style id="http://www.zotero.org/styles/ecology" hasBibliography="1" bibliographyStyleHasBeenSet="1"/&gt;&lt;prefs&gt;&lt;pref name="fieldType" value="Field"/&gt;&lt;pref name="storeReferences" value</vt:lpwstr>
  </property>
  <property fmtid="{D5CDD505-2E9C-101B-9397-08002B2CF9AE}" pid="3" name="ZOTERO_PREF_2">
    <vt:lpwstr>="true"/&gt;&lt;pref name="automaticJournalAbbreviations" value="true"/&gt;&lt;pref name="noteType" value=""/&gt;&lt;/prefs&gt;&lt;/data&gt;</vt:lpwstr>
  </property>
  <property fmtid="{D5CDD505-2E9C-101B-9397-08002B2CF9AE}" pid="4" name="ContentTypeId">
    <vt:lpwstr>0x010100C535575C2E16DD4180F647D41F93EB12</vt:lpwstr>
  </property>
  <property fmtid="{D5CDD505-2E9C-101B-9397-08002B2CF9AE}" pid="5" name="ItemRetentionFormula">
    <vt:lpwstr/>
  </property>
  <property fmtid="{D5CDD505-2E9C-101B-9397-08002B2CF9AE}" pid="6" name="_dlc_policyId">
    <vt:lpwstr/>
  </property>
  <property fmtid="{D5CDD505-2E9C-101B-9397-08002B2CF9AE}" pid="7" name="_dlc_DocIdItemGuid">
    <vt:lpwstr>ed67b895-1e50-4516-99c1-ac09effdd795</vt:lpwstr>
  </property>
</Properties>
</file>