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D6C30C" w14:textId="73E610E0" w:rsidR="00A9649E" w:rsidRPr="00794787" w:rsidRDefault="00A9649E" w:rsidP="00907206">
      <w:pPr>
        <w:pStyle w:val="RSCM01ReceivedAccepted"/>
      </w:pPr>
    </w:p>
    <w:p w14:paraId="11E789A1" w14:textId="04EE0E43" w:rsidR="00907206" w:rsidRPr="00907206" w:rsidRDefault="00F62C8B" w:rsidP="00907206">
      <w:pPr>
        <w:rPr>
          <w:rFonts w:ascii="Times New Roman" w:eastAsia="Times New Roman" w:hAnsi="Times New Roman" w:cs="Times New Roman"/>
          <w:sz w:val="24"/>
          <w:szCs w:val="24"/>
          <w:lang w:val="en-US"/>
        </w:rPr>
      </w:pPr>
      <w:r w:rsidRPr="004414A5">
        <w:br w:type="column"/>
      </w:r>
      <w:r w:rsidR="00907206" w:rsidRPr="005B046E">
        <w:rPr>
          <w:lang w:val="en-US"/>
        </w:rPr>
        <w:t>“</w:t>
      </w:r>
      <w:r w:rsidR="00907206" w:rsidRPr="005B046E">
        <w:rPr>
          <w:i/>
          <w:iCs/>
          <w:lang w:val="en-US"/>
        </w:rPr>
        <w:t xml:space="preserve">This is the peer-reviewed version of the following article: </w:t>
      </w:r>
      <w:r w:rsidR="00907206" w:rsidRPr="000D3FAF">
        <w:rPr>
          <w:lang w:val="en-US"/>
        </w:rPr>
        <w:t xml:space="preserve">The recognition of glycans by protein receptors. Insights from NMR </w:t>
      </w:r>
      <w:r w:rsidR="00907206" w:rsidRPr="000D3FAF">
        <w:t>spectroscopy</w:t>
      </w:r>
      <w:r w:rsidR="00907206" w:rsidRPr="005B046E">
        <w:rPr>
          <w:i/>
          <w:iCs/>
          <w:lang w:val="en-US"/>
        </w:rPr>
        <w:t>, which has been published in final form at</w:t>
      </w:r>
      <w:r w:rsidR="00907206">
        <w:rPr>
          <w:i/>
          <w:iCs/>
          <w:lang w:val="en-US"/>
        </w:rPr>
        <w:t xml:space="preserve"> </w:t>
      </w:r>
      <w:r w:rsidR="00907206" w:rsidRPr="00D67889">
        <w:rPr>
          <w:i/>
          <w:iCs/>
          <w:lang w:val="en-US"/>
        </w:rPr>
        <w:t xml:space="preserve">doi: </w:t>
      </w:r>
      <w:r w:rsidR="00907206" w:rsidRPr="00907206">
        <w:rPr>
          <w:rFonts w:ascii="Arial" w:eastAsia="Times New Roman" w:hAnsi="Arial" w:cs="Arial"/>
          <w:color w:val="000000"/>
          <w:sz w:val="18"/>
          <w:szCs w:val="18"/>
          <w:shd w:val="clear" w:color="auto" w:fill="FFFFFF"/>
          <w:lang w:val="en-US"/>
        </w:rPr>
        <w:t>10.1039/c8cc01444b</w:t>
      </w:r>
    </w:p>
    <w:p w14:paraId="7A979118" w14:textId="5B6CF131" w:rsidR="00907206" w:rsidRPr="00D67889" w:rsidRDefault="00907206" w:rsidP="00907206">
      <w:pPr>
        <w:rPr>
          <w:b/>
          <w:i/>
          <w:iCs/>
          <w:lang w:val="en-US"/>
        </w:rPr>
      </w:pPr>
      <w:r w:rsidRPr="005B046E">
        <w:rPr>
          <w:i/>
          <w:iCs/>
          <w:lang w:val="en-US"/>
        </w:rPr>
        <w:t xml:space="preserve">This article may be used for non-commercial purposes in accordance with </w:t>
      </w:r>
      <w:r>
        <w:rPr>
          <w:i/>
          <w:iCs/>
          <w:lang w:val="en-US"/>
        </w:rPr>
        <w:t>ROYAL SOCIETY OF CHEMISTRY</w:t>
      </w:r>
      <w:r w:rsidRPr="005B046E">
        <w:rPr>
          <w:i/>
          <w:iCs/>
          <w:lang w:val="en-US"/>
        </w:rPr>
        <w:t xml:space="preserve"> Terms and Conditions for Self-Archiving.</w:t>
      </w:r>
      <w:r w:rsidRPr="005B046E">
        <w:rPr>
          <w:lang w:val="en-US"/>
        </w:rPr>
        <w:t>”</w:t>
      </w:r>
    </w:p>
    <w:p w14:paraId="4CE2B588" w14:textId="77777777" w:rsidR="00907206" w:rsidRDefault="00907206">
      <w:pPr>
        <w:rPr>
          <w:b/>
          <w:sz w:val="24"/>
          <w:lang w:val="en-US"/>
        </w:rPr>
      </w:pPr>
      <w:r>
        <w:rPr>
          <w:lang w:val="en-US"/>
        </w:rPr>
        <w:br w:type="page"/>
      </w:r>
    </w:p>
    <w:p w14:paraId="6F05915A" w14:textId="6E22ECC8" w:rsidR="004414A5" w:rsidRPr="00C32EDF" w:rsidRDefault="00236CB2" w:rsidP="00907206">
      <w:pPr>
        <w:pStyle w:val="RSCB04AHeadingSection"/>
      </w:pPr>
      <w:r w:rsidRPr="000D3FAF">
        <w:rPr>
          <w:lang w:val="en-US"/>
        </w:rPr>
        <w:lastRenderedPageBreak/>
        <w:t xml:space="preserve">The recognition of glycans by protein receptors. Insights from NMR </w:t>
      </w:r>
      <w:r w:rsidR="00A02164" w:rsidRPr="000D3FAF">
        <w:t>spectroscopy</w:t>
      </w:r>
    </w:p>
    <w:p w14:paraId="43A61C69" w14:textId="77777777" w:rsidR="008125A0" w:rsidRPr="008125A0" w:rsidRDefault="006C408A" w:rsidP="008125A0">
      <w:pPr>
        <w:pStyle w:val="RSCB01ARTAbstract"/>
        <w:rPr>
          <w:rFonts w:cs="Times New Roman"/>
          <w:sz w:val="20"/>
          <w:vertAlign w:val="superscript"/>
        </w:rPr>
      </w:pPr>
      <w:r>
        <w:rPr>
          <w:rFonts w:cs="Times New Roman"/>
          <w:sz w:val="20"/>
        </w:rPr>
        <w:t>Ana Ardá</w:t>
      </w:r>
      <w:r w:rsidR="008125A0" w:rsidRPr="008125A0">
        <w:rPr>
          <w:rFonts w:cs="Times New Roman"/>
          <w:sz w:val="20"/>
          <w:vertAlign w:val="superscript"/>
        </w:rPr>
        <w:t>a</w:t>
      </w:r>
      <w:r w:rsidR="008125A0" w:rsidRPr="008125A0">
        <w:rPr>
          <w:rFonts w:cs="Times New Roman"/>
          <w:sz w:val="20"/>
        </w:rPr>
        <w:t xml:space="preserve"> and </w:t>
      </w:r>
      <w:r w:rsidRPr="006C408A">
        <w:rPr>
          <w:rFonts w:cs="Times New Roman"/>
          <w:sz w:val="20"/>
          <w:lang w:val="en-US"/>
        </w:rPr>
        <w:t>Jesús Jiménez-Barbero</w:t>
      </w:r>
      <w:r w:rsidR="0014131B">
        <w:rPr>
          <w:rFonts w:cs="Times New Roman"/>
          <w:sz w:val="20"/>
          <w:vertAlign w:val="superscript"/>
        </w:rPr>
        <w:t>a, b, c</w:t>
      </w:r>
    </w:p>
    <w:p w14:paraId="2FF8B2A0" w14:textId="77777777" w:rsidR="00907206" w:rsidRDefault="00907206" w:rsidP="00FA2DA2">
      <w:pPr>
        <w:pStyle w:val="RSCB01ARTAbstract"/>
        <w:rPr>
          <w:lang w:val="en-US"/>
        </w:rPr>
      </w:pPr>
    </w:p>
    <w:p w14:paraId="01560CA2" w14:textId="77777777" w:rsidR="00907206" w:rsidRDefault="00907206" w:rsidP="00FA2DA2">
      <w:pPr>
        <w:pStyle w:val="RSCB01ARTAbstract"/>
        <w:rPr>
          <w:lang w:val="en-US"/>
        </w:rPr>
      </w:pPr>
    </w:p>
    <w:p w14:paraId="7AF0331E" w14:textId="77777777" w:rsidR="00907206" w:rsidRDefault="00907206" w:rsidP="00FA2DA2">
      <w:pPr>
        <w:pStyle w:val="RSCB01ARTAbstract"/>
        <w:rPr>
          <w:lang w:val="en-US"/>
        </w:rPr>
      </w:pPr>
    </w:p>
    <w:p w14:paraId="71E0CF42" w14:textId="77777777" w:rsidR="00907206" w:rsidRDefault="00907206" w:rsidP="00FA2DA2">
      <w:pPr>
        <w:pStyle w:val="RSCB01ARTAbstract"/>
        <w:rPr>
          <w:lang w:val="en-US"/>
        </w:rPr>
      </w:pPr>
    </w:p>
    <w:p w14:paraId="2A97FCA3" w14:textId="77777777" w:rsidR="00907206" w:rsidRDefault="00907206" w:rsidP="00FA2DA2">
      <w:pPr>
        <w:pStyle w:val="RSCB01ARTAbstract"/>
        <w:rPr>
          <w:lang w:val="en-US"/>
        </w:rPr>
      </w:pPr>
    </w:p>
    <w:p w14:paraId="26B05DDC" w14:textId="77777777" w:rsidR="00907206" w:rsidRDefault="00907206" w:rsidP="00FA2DA2">
      <w:pPr>
        <w:pStyle w:val="RSCB01ARTAbstract"/>
        <w:rPr>
          <w:lang w:val="en-US"/>
        </w:rPr>
      </w:pPr>
    </w:p>
    <w:p w14:paraId="3DC675BB" w14:textId="77777777" w:rsidR="00907206" w:rsidRDefault="00907206" w:rsidP="00FA2DA2">
      <w:pPr>
        <w:pStyle w:val="RSCB01ARTAbstract"/>
        <w:rPr>
          <w:lang w:val="en-US"/>
        </w:rPr>
      </w:pPr>
    </w:p>
    <w:p w14:paraId="59F181DE" w14:textId="77777777" w:rsidR="00907206" w:rsidRDefault="00907206" w:rsidP="00FA2DA2">
      <w:pPr>
        <w:pStyle w:val="RSCB01ARTAbstract"/>
        <w:rPr>
          <w:lang w:val="en-US"/>
        </w:rPr>
      </w:pPr>
    </w:p>
    <w:p w14:paraId="0040843F" w14:textId="77777777" w:rsidR="00907206" w:rsidRDefault="00907206" w:rsidP="00FA2DA2">
      <w:pPr>
        <w:pStyle w:val="RSCB01ARTAbstract"/>
        <w:rPr>
          <w:lang w:val="en-US"/>
        </w:rPr>
      </w:pPr>
    </w:p>
    <w:p w14:paraId="08749DAC" w14:textId="77777777" w:rsidR="00907206" w:rsidRDefault="00907206" w:rsidP="00FA2DA2">
      <w:pPr>
        <w:pStyle w:val="RSCB01ARTAbstract"/>
        <w:rPr>
          <w:lang w:val="en-US"/>
        </w:rPr>
      </w:pPr>
    </w:p>
    <w:p w14:paraId="0F238BD1" w14:textId="77777777" w:rsidR="00907206" w:rsidRDefault="00907206" w:rsidP="00FA2DA2">
      <w:pPr>
        <w:pStyle w:val="RSCB01ARTAbstract"/>
        <w:rPr>
          <w:lang w:val="en-US"/>
        </w:rPr>
      </w:pPr>
    </w:p>
    <w:p w14:paraId="56B5C83B" w14:textId="77777777" w:rsidR="00907206" w:rsidRDefault="00907206" w:rsidP="00FA2DA2">
      <w:pPr>
        <w:pStyle w:val="RSCB01ARTAbstract"/>
        <w:rPr>
          <w:lang w:val="en-US"/>
        </w:rPr>
      </w:pPr>
    </w:p>
    <w:p w14:paraId="2AF9EB9B" w14:textId="77777777" w:rsidR="00907206" w:rsidRDefault="00907206" w:rsidP="00FA2DA2">
      <w:pPr>
        <w:pStyle w:val="RSCB01ARTAbstract"/>
        <w:rPr>
          <w:lang w:val="en-US"/>
        </w:rPr>
      </w:pPr>
    </w:p>
    <w:p w14:paraId="569CC594" w14:textId="16CF54EE" w:rsidR="00FA2DA2" w:rsidRDefault="006C408A" w:rsidP="00FA2DA2">
      <w:pPr>
        <w:pStyle w:val="RSCB01ARTAbstract"/>
        <w:rPr>
          <w:lang w:val="en-US"/>
        </w:rPr>
      </w:pPr>
      <w:r w:rsidRPr="006C408A">
        <w:rPr>
          <w:lang w:val="en-US"/>
        </w:rPr>
        <w:t>Carbohydrates (glycans, s</w:t>
      </w:r>
      <w:bookmarkStart w:id="0" w:name="_GoBack"/>
      <w:bookmarkEnd w:id="0"/>
      <w:r w:rsidRPr="006C408A">
        <w:rPr>
          <w:lang w:val="en-US"/>
        </w:rPr>
        <w:t>accharides, sugars) are everywhere.</w:t>
      </w:r>
      <w:r w:rsidRPr="006C408A">
        <w:rPr>
          <w:b/>
          <w:lang w:val="en-US"/>
        </w:rPr>
        <w:t xml:space="preserve"> </w:t>
      </w:r>
      <w:r w:rsidRPr="006C408A">
        <w:rPr>
          <w:lang w:val="en-US"/>
        </w:rPr>
        <w:t>In fact,</w:t>
      </w:r>
      <w:r w:rsidRPr="006C408A">
        <w:rPr>
          <w:b/>
          <w:lang w:val="en-US"/>
        </w:rPr>
        <w:t xml:space="preserve"> </w:t>
      </w:r>
      <w:r w:rsidRPr="006C408A">
        <w:rPr>
          <w:lang w:val="en-US"/>
        </w:rPr>
        <w:t>glycan–protein interactions are involved in many essential processes for life and disease. The understanding of the key structural details at the atomic and molecular level is of paramount importance to effectively design molecules with therapeutic purposes. Different approximations may be employed to decipher these molecular recognition processes with high resolution. Advances in cryo-electron microscopy are providing exquisite details on different biological mechanisms involving sugars, while better and better protocols for structural refinement in the application of X-ray methods for protein-sugar complexes and glycoproteins are also permitting fantastic advances in the glycoscience arena. Alternatively, NMR spectroscopy remains as one of the most rewarding techniques to explore protein-carbohydrate interactions. In fact, given the intrinsic dynamic nature of saccharides, NMR can afford exquisite structural information at the atomic detail, not accessible by other techniques. However, the access to this information is sometimes intricate, and requires careful analysis and well-defined strategies. In this review, we have highlighted these issues and presented an overview of different modern NMR approaches with a focus on the latest developments and challenges.</w:t>
      </w:r>
    </w:p>
    <w:p w14:paraId="776460F7" w14:textId="77777777" w:rsidR="00A9106D" w:rsidRPr="00FA2DA2" w:rsidRDefault="00A9106D" w:rsidP="00FA2DA2">
      <w:pPr>
        <w:pStyle w:val="RSCB01ARTAbstract"/>
        <w:sectPr w:rsidR="00A9106D" w:rsidRPr="00FA2DA2" w:rsidSect="00907206">
          <w:headerReference w:type="even" r:id="rId8"/>
          <w:headerReference w:type="default" r:id="rId9"/>
          <w:footerReference w:type="even" r:id="rId10"/>
          <w:footerReference w:type="default" r:id="rId11"/>
          <w:headerReference w:type="first" r:id="rId12"/>
          <w:footerReference w:type="first" r:id="rId13"/>
          <w:pgSz w:w="11907" w:h="16840" w:code="9"/>
          <w:pgMar w:top="1009" w:right="851" w:bottom="1758" w:left="851" w:header="851" w:footer="1049" w:gutter="0"/>
          <w:cols w:num="2" w:space="227" w:equalWidth="0">
            <w:col w:w="1985" w:space="227"/>
            <w:col w:w="7993"/>
          </w:cols>
          <w:docGrid w:linePitch="360"/>
        </w:sectPr>
      </w:pPr>
    </w:p>
    <w:p w14:paraId="5754AC03" w14:textId="77777777" w:rsidR="00FA2DA2" w:rsidRDefault="004107A7" w:rsidP="00FA2DA2">
      <w:pPr>
        <w:pStyle w:val="RSCB04AHeadingSection"/>
      </w:pPr>
      <w:r>
        <w:t>Introduction</w:t>
      </w:r>
    </w:p>
    <w:p w14:paraId="6657C27C" w14:textId="77777777" w:rsidR="00FA2DA2" w:rsidRPr="00017239" w:rsidRDefault="00FA2DA2" w:rsidP="00FA2DA2">
      <w:pPr>
        <w:pStyle w:val="08ArticleText"/>
        <w:spacing w:line="240" w:lineRule="auto"/>
      </w:pPr>
    </w:p>
    <w:p w14:paraId="4FCCEF41" w14:textId="4E362BD9" w:rsidR="004107A7" w:rsidRPr="000F596D" w:rsidRDefault="004107A7" w:rsidP="004107A7">
      <w:pPr>
        <w:pStyle w:val="RSCB02ArticleText"/>
        <w:rPr>
          <w:vertAlign w:val="superscript"/>
          <w:lang w:val="en-US"/>
        </w:rPr>
      </w:pPr>
      <w:r w:rsidRPr="004107A7">
        <w:rPr>
          <w:lang w:val="en-US"/>
        </w:rPr>
        <w:t>Molecular recognition events between protein receptors and carbohydrates are key phenomena in diverse biological processes. Indeed, the glycans attached to either proteins or lipids can act as recognition points in biomolecular interactions that lead to a specific biological response. The lack or malfuncti</w:t>
      </w:r>
      <w:r w:rsidR="00A9106D">
        <w:rPr>
          <w:lang w:val="en-US"/>
        </w:rPr>
        <w:t xml:space="preserve">on of either player can have </w:t>
      </w:r>
      <w:r w:rsidRPr="004107A7">
        <w:rPr>
          <w:lang w:val="en-US"/>
        </w:rPr>
        <w:t xml:space="preserve">important consequences for life. Uncovering the roles that these interactions play in essential biological processes such as pathogen recognition, immune modulation, molecular trafficking, cell </w:t>
      </w:r>
      <w:r w:rsidR="008F530D" w:rsidRPr="004107A7">
        <w:rPr>
          <w:lang w:val="en-US"/>
        </w:rPr>
        <w:t>migration</w:t>
      </w:r>
      <w:r w:rsidR="008F530D">
        <w:rPr>
          <w:lang w:val="en-US"/>
        </w:rPr>
        <w:t>,</w:t>
      </w:r>
      <w:r w:rsidR="008F530D" w:rsidRPr="004107A7">
        <w:rPr>
          <w:lang w:val="en-US"/>
        </w:rPr>
        <w:t xml:space="preserve"> </w:t>
      </w:r>
      <w:r w:rsidR="008F530D">
        <w:rPr>
          <w:lang w:val="en-US"/>
        </w:rPr>
        <w:t>proliferation and</w:t>
      </w:r>
      <w:r w:rsidRPr="004107A7">
        <w:rPr>
          <w:lang w:val="en-US"/>
        </w:rPr>
        <w:t xml:space="preserve"> differentiation</w:t>
      </w:r>
      <w:r w:rsidR="008F530D">
        <w:rPr>
          <w:lang w:val="en-US"/>
        </w:rPr>
        <w:t>,</w:t>
      </w:r>
      <w:r w:rsidR="000F596D">
        <w:rPr>
          <w:vertAlign w:val="superscript"/>
          <w:lang w:val="en-US"/>
        </w:rPr>
        <w:t>1</w:t>
      </w:r>
      <w:r w:rsidRPr="004107A7">
        <w:rPr>
          <w:lang w:val="en-US"/>
        </w:rPr>
        <w:t xml:space="preserve"> or tumor growth is fundamental, and urge the study of the molecular and supramolecular basis that govern them.</w:t>
      </w:r>
      <w:r w:rsidR="000F596D">
        <w:rPr>
          <w:vertAlign w:val="superscript"/>
          <w:lang w:val="en-US"/>
        </w:rPr>
        <w:t>2</w:t>
      </w:r>
    </w:p>
    <w:p w14:paraId="04037326" w14:textId="77777777" w:rsidR="00372D8F" w:rsidRDefault="00372D8F" w:rsidP="004107A7">
      <w:pPr>
        <w:pStyle w:val="RSCB02ArticleText"/>
        <w:rPr>
          <w:lang w:val="en-US"/>
        </w:rPr>
      </w:pPr>
    </w:p>
    <w:p w14:paraId="136526D0" w14:textId="77777777" w:rsidR="004107A7" w:rsidRPr="00372D8F" w:rsidRDefault="00372D8F" w:rsidP="004107A7">
      <w:pPr>
        <w:pStyle w:val="RSCB06BHeadingSub-Section"/>
      </w:pPr>
      <w:r w:rsidRPr="00372D8F">
        <w:rPr>
          <w:lang w:val="en-US"/>
        </w:rPr>
        <w:t>The scientific problem. Why carbohydrate-protein interactions are important?</w:t>
      </w:r>
    </w:p>
    <w:p w14:paraId="2A8EC145" w14:textId="77777777" w:rsidR="004107A7" w:rsidRPr="00017239" w:rsidRDefault="004107A7" w:rsidP="004107A7">
      <w:pPr>
        <w:pStyle w:val="08ArticleText"/>
        <w:spacing w:line="240" w:lineRule="auto"/>
      </w:pPr>
    </w:p>
    <w:p w14:paraId="41994763" w14:textId="77777777" w:rsidR="00BA1FC2" w:rsidRPr="000D3FAF" w:rsidRDefault="00952240" w:rsidP="00372D8F">
      <w:pPr>
        <w:pStyle w:val="RSCB02ArticleText"/>
        <w:rPr>
          <w:lang w:val="en-US"/>
        </w:rPr>
      </w:pPr>
      <w:r w:rsidRPr="000D3FAF">
        <w:rPr>
          <w:lang w:val="en-US"/>
        </w:rPr>
        <w:t>Glycans are usually linked to lipids or proteins to form glycolipids and glycoproteins. The carbohydrate moieties in these biomolecules confer important chemical properties, like increase</w:t>
      </w:r>
      <w:r w:rsidR="0083066F" w:rsidRPr="000D3FAF">
        <w:rPr>
          <w:lang w:val="en-US"/>
        </w:rPr>
        <w:t>d</w:t>
      </w:r>
      <w:r w:rsidRPr="000D3FAF">
        <w:rPr>
          <w:lang w:val="en-US"/>
        </w:rPr>
        <w:t xml:space="preserve"> solubility and stability, and have been </w:t>
      </w:r>
      <w:r w:rsidR="00C61263" w:rsidRPr="000D3FAF">
        <w:rPr>
          <w:lang w:val="en-US"/>
        </w:rPr>
        <w:t>described to</w:t>
      </w:r>
      <w:r w:rsidRPr="000D3FAF">
        <w:rPr>
          <w:lang w:val="en-US"/>
        </w:rPr>
        <w:t xml:space="preserve"> play different functional roles. </w:t>
      </w:r>
      <w:r w:rsidR="00BA1FC2" w:rsidRPr="000D3FAF">
        <w:rPr>
          <w:lang w:val="en-US"/>
        </w:rPr>
        <w:t xml:space="preserve">One of them is to participate in the molecular interaction with </w:t>
      </w:r>
      <w:r w:rsidR="00136C01" w:rsidRPr="000D3FAF">
        <w:rPr>
          <w:lang w:val="en-US"/>
        </w:rPr>
        <w:t>carbohydrate binding proteins</w:t>
      </w:r>
      <w:r w:rsidR="00BA1FC2" w:rsidRPr="000D3FAF">
        <w:rPr>
          <w:lang w:val="en-US"/>
        </w:rPr>
        <w:t xml:space="preserve">, namely lectins and antibodies. </w:t>
      </w:r>
    </w:p>
    <w:p w14:paraId="30547A35" w14:textId="77777777" w:rsidR="008C0D07" w:rsidRPr="002318FD" w:rsidRDefault="00BA1FC2" w:rsidP="00372D8F">
      <w:pPr>
        <w:pStyle w:val="RSCB02ArticleText"/>
        <w:rPr>
          <w:vertAlign w:val="superscript"/>
          <w:lang w:val="en-US"/>
        </w:rPr>
      </w:pPr>
      <w:r w:rsidRPr="000D3FAF">
        <w:rPr>
          <w:lang w:val="en-US"/>
        </w:rPr>
        <w:t xml:space="preserve">In fact, </w:t>
      </w:r>
      <w:r w:rsidR="0083066F" w:rsidRPr="000D3FAF">
        <w:rPr>
          <w:lang w:val="en-US"/>
        </w:rPr>
        <w:t xml:space="preserve">protein </w:t>
      </w:r>
      <w:r w:rsidRPr="000D3FAF">
        <w:rPr>
          <w:lang w:val="en-US"/>
        </w:rPr>
        <w:t>g</w:t>
      </w:r>
      <w:r w:rsidR="00372D8F" w:rsidRPr="000D3FAF">
        <w:rPr>
          <w:lang w:val="en-US"/>
        </w:rPr>
        <w:t>lycosylation</w:t>
      </w:r>
      <w:r w:rsidRPr="000D3FAF">
        <w:rPr>
          <w:lang w:val="en-US"/>
        </w:rPr>
        <w:t xml:space="preserve"> is known to regulate protein function </w:t>
      </w:r>
      <w:r w:rsidR="00372D8F" w:rsidRPr="000D3FAF">
        <w:rPr>
          <w:lang w:val="en-US"/>
        </w:rPr>
        <w:t>through modulating the interact</w:t>
      </w:r>
      <w:r w:rsidRPr="000D3FAF">
        <w:rPr>
          <w:lang w:val="en-US"/>
        </w:rPr>
        <w:t xml:space="preserve">ion with these carbohydrate </w:t>
      </w:r>
      <w:r w:rsidR="00136C01" w:rsidRPr="000D3FAF">
        <w:rPr>
          <w:lang w:val="en-US"/>
        </w:rPr>
        <w:t>receptors</w:t>
      </w:r>
      <w:r w:rsidR="00372D8F" w:rsidRPr="000D3FAF">
        <w:rPr>
          <w:lang w:val="en-US"/>
        </w:rPr>
        <w:t>.</w:t>
      </w:r>
      <w:r w:rsidR="00D50FE3" w:rsidRPr="000D3FAF">
        <w:rPr>
          <w:lang w:val="en-US"/>
        </w:rPr>
        <w:t xml:space="preserve"> </w:t>
      </w:r>
      <w:r w:rsidR="00372D8F" w:rsidRPr="000D3FAF">
        <w:rPr>
          <w:lang w:val="en-US"/>
        </w:rPr>
        <w:t>There are several paradigmat</w:t>
      </w:r>
      <w:r w:rsidR="00D50FE3" w:rsidRPr="000D3FAF">
        <w:rPr>
          <w:lang w:val="en-US"/>
        </w:rPr>
        <w:t>ic examples on this regulation.</w:t>
      </w:r>
      <w:r w:rsidRPr="000D3FAF">
        <w:rPr>
          <w:lang w:val="en-US"/>
        </w:rPr>
        <w:t xml:space="preserve"> </w:t>
      </w:r>
      <w:r w:rsidR="00FA061B" w:rsidRPr="000D3FAF">
        <w:rPr>
          <w:lang w:val="en-US"/>
        </w:rPr>
        <w:t>Some of them are gathered in a recent review article.</w:t>
      </w:r>
      <w:r w:rsidR="006A6F1D" w:rsidRPr="000D3FAF">
        <w:rPr>
          <w:vertAlign w:val="superscript"/>
          <w:lang w:val="en-US"/>
        </w:rPr>
        <w:t>3</w:t>
      </w:r>
      <w:r w:rsidR="00FA061B" w:rsidRPr="000D3FAF">
        <w:rPr>
          <w:lang w:val="en-US"/>
        </w:rPr>
        <w:t xml:space="preserve"> </w:t>
      </w:r>
      <w:r w:rsidR="00D35967" w:rsidRPr="000D3FAF">
        <w:rPr>
          <w:lang w:val="en-US"/>
        </w:rPr>
        <w:t xml:space="preserve">For instance, </w:t>
      </w:r>
      <w:r w:rsidR="00372D8F" w:rsidRPr="000D3FAF">
        <w:rPr>
          <w:lang w:val="en-US"/>
        </w:rPr>
        <w:t xml:space="preserve">the </w:t>
      </w:r>
      <w:r w:rsidR="00D35967" w:rsidRPr="000D3FAF">
        <w:rPr>
          <w:lang w:val="en-US"/>
        </w:rPr>
        <w:t xml:space="preserve">transmembrane protein </w:t>
      </w:r>
      <w:r w:rsidR="00372D8F" w:rsidRPr="000D3FAF">
        <w:rPr>
          <w:lang w:val="en-US"/>
        </w:rPr>
        <w:t>Epid</w:t>
      </w:r>
      <w:r w:rsidR="00CD3F9C" w:rsidRPr="000D3FAF">
        <w:rPr>
          <w:lang w:val="en-US"/>
        </w:rPr>
        <w:t>ermal Growth Factor Receptor (E</w:t>
      </w:r>
      <w:r w:rsidR="00372D8F" w:rsidRPr="000D3FAF">
        <w:rPr>
          <w:lang w:val="en-US"/>
        </w:rPr>
        <w:t>G</w:t>
      </w:r>
      <w:r w:rsidR="00CD3F9C" w:rsidRPr="000D3FAF">
        <w:rPr>
          <w:lang w:val="en-US"/>
        </w:rPr>
        <w:t>F</w:t>
      </w:r>
      <w:r w:rsidR="00372D8F" w:rsidRPr="000D3FAF">
        <w:rPr>
          <w:lang w:val="en-US"/>
        </w:rPr>
        <w:t>R)</w:t>
      </w:r>
      <w:r w:rsidR="00D35967" w:rsidRPr="000D3FAF">
        <w:rPr>
          <w:lang w:val="en-US"/>
        </w:rPr>
        <w:t xml:space="preserve"> is an important cell </w:t>
      </w:r>
      <w:r w:rsidR="00D35967" w:rsidRPr="000D3FAF">
        <w:rPr>
          <w:lang w:val="en-US"/>
        </w:rPr>
        <w:t>surface receptor</w:t>
      </w:r>
      <w:r w:rsidR="008C0D07" w:rsidRPr="000D3FAF">
        <w:rPr>
          <w:lang w:val="en-US"/>
        </w:rPr>
        <w:t xml:space="preserve"> that through the interaction with different protein ligands initiates </w:t>
      </w:r>
      <w:r w:rsidR="00136C01" w:rsidRPr="000D3FAF">
        <w:rPr>
          <w:lang w:val="en-US"/>
        </w:rPr>
        <w:t>diverse</w:t>
      </w:r>
      <w:r w:rsidR="00D35967" w:rsidRPr="000D3FAF">
        <w:rPr>
          <w:lang w:val="en-US"/>
        </w:rPr>
        <w:t xml:space="preserve"> signaling pathways</w:t>
      </w:r>
      <w:r w:rsidR="008C0D07" w:rsidRPr="000D3FAF">
        <w:rPr>
          <w:lang w:val="en-US"/>
        </w:rPr>
        <w:t xml:space="preserve"> that regulate cell life</w:t>
      </w:r>
      <w:r w:rsidR="00D35967" w:rsidRPr="000D3FAF">
        <w:rPr>
          <w:lang w:val="en-US"/>
        </w:rPr>
        <w:t xml:space="preserve">. </w:t>
      </w:r>
      <w:r w:rsidR="008C0D07" w:rsidRPr="000D3FAF">
        <w:rPr>
          <w:lang w:val="en-US"/>
        </w:rPr>
        <w:t xml:space="preserve">The extracellular portion of </w:t>
      </w:r>
      <w:r w:rsidR="00CD3F9C" w:rsidRPr="000D3FAF">
        <w:rPr>
          <w:lang w:val="en-US"/>
        </w:rPr>
        <w:t>E</w:t>
      </w:r>
      <w:r w:rsidR="008C0D07" w:rsidRPr="000D3FAF">
        <w:rPr>
          <w:lang w:val="en-US"/>
        </w:rPr>
        <w:t>G</w:t>
      </w:r>
      <w:r w:rsidR="00CD3F9C" w:rsidRPr="000D3FAF">
        <w:rPr>
          <w:lang w:val="en-US"/>
        </w:rPr>
        <w:t>F</w:t>
      </w:r>
      <w:r w:rsidR="008C0D07" w:rsidRPr="000D3FAF">
        <w:rPr>
          <w:lang w:val="en-US"/>
        </w:rPr>
        <w:t xml:space="preserve">R is </w:t>
      </w:r>
      <w:r w:rsidR="008C0D07" w:rsidRPr="000D3FAF">
        <w:t xml:space="preserve">heavily N-glycosylated, which </w:t>
      </w:r>
      <w:r w:rsidR="008C0D07" w:rsidRPr="000D3FAF">
        <w:rPr>
          <w:lang w:val="en-US"/>
        </w:rPr>
        <w:t>is</w:t>
      </w:r>
      <w:r w:rsidR="0083066F" w:rsidRPr="000D3FAF">
        <w:rPr>
          <w:lang w:val="en-US"/>
        </w:rPr>
        <w:t xml:space="preserve"> known to strongly influence</w:t>
      </w:r>
      <w:r w:rsidR="00372D8F" w:rsidRPr="000D3FAF">
        <w:rPr>
          <w:lang w:val="en-US"/>
        </w:rPr>
        <w:t xml:space="preserve"> the</w:t>
      </w:r>
      <w:r w:rsidR="0083066F" w:rsidRPr="000D3FAF">
        <w:rPr>
          <w:lang w:val="en-US"/>
        </w:rPr>
        <w:t>se</w:t>
      </w:r>
      <w:r w:rsidR="00372D8F" w:rsidRPr="000D3FAF">
        <w:rPr>
          <w:lang w:val="en-US"/>
        </w:rPr>
        <w:t xml:space="preserve"> signaling processes. In particular, the recognition of the oligomannose N-glycans by the</w:t>
      </w:r>
      <w:r w:rsidR="00B36B78" w:rsidRPr="000D3FAF">
        <w:rPr>
          <w:lang w:val="en-US"/>
        </w:rPr>
        <w:t xml:space="preserve"> pulmonary</w:t>
      </w:r>
      <w:r w:rsidR="00372D8F" w:rsidRPr="000D3FAF">
        <w:rPr>
          <w:lang w:val="en-US"/>
        </w:rPr>
        <w:t xml:space="preserve"> surfactant protein D (SP-D)</w:t>
      </w:r>
      <w:r w:rsidR="000F601A" w:rsidRPr="000D3FAF">
        <w:rPr>
          <w:vertAlign w:val="superscript"/>
          <w:lang w:val="en-US"/>
        </w:rPr>
        <w:t>4</w:t>
      </w:r>
      <w:r w:rsidR="00B36B78" w:rsidRPr="000D3FAF">
        <w:rPr>
          <w:lang w:val="en-US"/>
        </w:rPr>
        <w:t xml:space="preserve"> </w:t>
      </w:r>
      <w:r w:rsidR="00372D8F" w:rsidRPr="000D3FAF">
        <w:rPr>
          <w:lang w:val="en-US"/>
        </w:rPr>
        <w:t xml:space="preserve">interferes in the interaction with the </w:t>
      </w:r>
      <w:r w:rsidR="008C0D07" w:rsidRPr="000D3FAF">
        <w:rPr>
          <w:lang w:val="en-US"/>
        </w:rPr>
        <w:t xml:space="preserve">ligand </w:t>
      </w:r>
      <w:r w:rsidR="00CD3F9C" w:rsidRPr="000D3FAF">
        <w:rPr>
          <w:lang w:val="en-US"/>
        </w:rPr>
        <w:t>epidermal growth factor (E</w:t>
      </w:r>
      <w:r w:rsidR="00372D8F" w:rsidRPr="000D3FAF">
        <w:rPr>
          <w:lang w:val="en-US"/>
        </w:rPr>
        <w:t>G</w:t>
      </w:r>
      <w:r w:rsidR="00CD3F9C" w:rsidRPr="000D3FAF">
        <w:rPr>
          <w:lang w:val="en-US"/>
        </w:rPr>
        <w:t>F</w:t>
      </w:r>
      <w:r w:rsidR="00372D8F" w:rsidRPr="000D3FAF">
        <w:rPr>
          <w:lang w:val="en-US"/>
        </w:rPr>
        <w:t>)</w:t>
      </w:r>
      <w:r w:rsidR="00B36B78" w:rsidRPr="000D3FAF">
        <w:rPr>
          <w:lang w:val="en-US"/>
        </w:rPr>
        <w:t>, and</w:t>
      </w:r>
      <w:r w:rsidR="008C0D07" w:rsidRPr="000D3FAF">
        <w:rPr>
          <w:lang w:val="en-US"/>
        </w:rPr>
        <w:t xml:space="preserve"> a</w:t>
      </w:r>
      <w:r w:rsidR="00861208" w:rsidRPr="000D3FAF">
        <w:rPr>
          <w:lang w:val="en-US"/>
        </w:rPr>
        <w:t>s</w:t>
      </w:r>
      <w:r w:rsidR="008C0D07" w:rsidRPr="000D3FAF">
        <w:rPr>
          <w:lang w:val="en-US"/>
        </w:rPr>
        <w:t xml:space="preserve"> consequence</w:t>
      </w:r>
      <w:r w:rsidR="00B36B78" w:rsidRPr="000D3FAF">
        <w:rPr>
          <w:lang w:val="en-US"/>
        </w:rPr>
        <w:t xml:space="preserve"> EGF signaling </w:t>
      </w:r>
      <w:r w:rsidR="00372D8F" w:rsidRPr="000D3FAF">
        <w:rPr>
          <w:lang w:val="en-US"/>
        </w:rPr>
        <w:t xml:space="preserve">is </w:t>
      </w:r>
      <w:r w:rsidR="00136C01" w:rsidRPr="000D3FAF">
        <w:rPr>
          <w:lang w:val="en-US"/>
        </w:rPr>
        <w:t>downregulate</w:t>
      </w:r>
      <w:r w:rsidR="00B36B78" w:rsidRPr="000D3FAF">
        <w:rPr>
          <w:lang w:val="en-US"/>
        </w:rPr>
        <w:t>d</w:t>
      </w:r>
      <w:r w:rsidR="00372D8F" w:rsidRPr="000D3FAF">
        <w:rPr>
          <w:lang w:val="en-US"/>
        </w:rPr>
        <w:t>.</w:t>
      </w:r>
      <w:r w:rsidR="000F601A" w:rsidRPr="000D3FAF">
        <w:rPr>
          <w:vertAlign w:val="superscript"/>
          <w:lang w:val="en-US"/>
        </w:rPr>
        <w:t>5</w:t>
      </w:r>
      <w:r w:rsidR="00372D8F" w:rsidRPr="000D3FAF">
        <w:rPr>
          <w:lang w:val="en-US"/>
        </w:rPr>
        <w:t xml:space="preserve"> On the other hand, the interaction of gal</w:t>
      </w:r>
      <w:r w:rsidR="00CD3F9C" w:rsidRPr="000D3FAF">
        <w:rPr>
          <w:lang w:val="en-US"/>
        </w:rPr>
        <w:t>ectin-3 (gal-3) with the E</w:t>
      </w:r>
      <w:r w:rsidR="00372D8F" w:rsidRPr="000D3FAF">
        <w:rPr>
          <w:lang w:val="en-US"/>
        </w:rPr>
        <w:t>G</w:t>
      </w:r>
      <w:r w:rsidR="00CD3F9C" w:rsidRPr="000D3FAF">
        <w:rPr>
          <w:lang w:val="en-US"/>
        </w:rPr>
        <w:t>F</w:t>
      </w:r>
      <w:r w:rsidR="00372D8F" w:rsidRPr="000D3FAF">
        <w:rPr>
          <w:lang w:val="en-US"/>
        </w:rPr>
        <w:t>R poly-N-acetyllactosamine N-glycans see</w:t>
      </w:r>
      <w:r w:rsidR="00AE6C9A" w:rsidRPr="000D3FAF">
        <w:rPr>
          <w:lang w:val="en-US"/>
        </w:rPr>
        <w:t>ms to regulate EGFR surface residency by avoiding its endocytosis.</w:t>
      </w:r>
      <w:r w:rsidR="006E31E8" w:rsidRPr="000D3FAF">
        <w:rPr>
          <w:vertAlign w:val="superscript"/>
          <w:lang w:val="en-US"/>
        </w:rPr>
        <w:t>6</w:t>
      </w:r>
    </w:p>
    <w:p w14:paraId="33E1038B" w14:textId="77777777" w:rsidR="005D57E9" w:rsidRDefault="00372D8F" w:rsidP="001E2499">
      <w:pPr>
        <w:pStyle w:val="RSCB02ArticleText"/>
        <w:rPr>
          <w:lang w:val="en-US"/>
        </w:rPr>
      </w:pPr>
      <w:r w:rsidRPr="00372D8F">
        <w:rPr>
          <w:lang w:val="en-US"/>
        </w:rPr>
        <w:t xml:space="preserve">The implication of </w:t>
      </w:r>
      <w:r w:rsidRPr="00264DC4">
        <w:rPr>
          <w:lang w:val="en-US"/>
        </w:rPr>
        <w:t>galectins</w:t>
      </w:r>
      <w:r w:rsidR="001E2499" w:rsidRPr="00264DC4">
        <w:rPr>
          <w:lang w:val="en-US"/>
        </w:rPr>
        <w:t>,</w:t>
      </w:r>
      <w:r w:rsidR="003613F6" w:rsidRPr="00264DC4">
        <w:rPr>
          <w:vertAlign w:val="superscript"/>
          <w:lang w:val="en-US"/>
        </w:rPr>
        <w:t>7</w:t>
      </w:r>
      <w:r w:rsidRPr="00264DC4">
        <w:rPr>
          <w:lang w:val="en-US"/>
        </w:rPr>
        <w:t xml:space="preserve"> C-type lectins</w:t>
      </w:r>
      <w:r w:rsidR="00EF2387" w:rsidRPr="00264DC4">
        <w:rPr>
          <w:lang w:val="en-US"/>
        </w:rPr>
        <w:t>,</w:t>
      </w:r>
      <w:r w:rsidR="008B7AD3" w:rsidRPr="00264DC4">
        <w:rPr>
          <w:vertAlign w:val="superscript"/>
          <w:lang w:val="en-US"/>
        </w:rPr>
        <w:t>8</w:t>
      </w:r>
      <w:r w:rsidRPr="00264DC4">
        <w:rPr>
          <w:lang w:val="en-US"/>
        </w:rPr>
        <w:t xml:space="preserve"> and sialic acid-binding immunoglobulin-type lectins (Siglecs)</w:t>
      </w:r>
      <w:r w:rsidR="008B7AD3" w:rsidRPr="00264DC4">
        <w:rPr>
          <w:vertAlign w:val="superscript"/>
          <w:lang w:val="en-US"/>
        </w:rPr>
        <w:t>9</w:t>
      </w:r>
      <w:r w:rsidR="00EF2387" w:rsidRPr="00264DC4">
        <w:rPr>
          <w:lang w:val="en-US"/>
        </w:rPr>
        <w:t xml:space="preserve"> </w:t>
      </w:r>
      <w:r w:rsidR="00264DC4">
        <w:rPr>
          <w:lang w:val="en-US"/>
        </w:rPr>
        <w:t xml:space="preserve">in the immune homeostasis and </w:t>
      </w:r>
      <w:r w:rsidRPr="00264DC4">
        <w:rPr>
          <w:lang w:val="en-US"/>
        </w:rPr>
        <w:t>cancer developmen</w:t>
      </w:r>
      <w:r w:rsidR="00FA061B" w:rsidRPr="00264DC4">
        <w:rPr>
          <w:lang w:val="en-US"/>
        </w:rPr>
        <w:t>t is becoming</w:t>
      </w:r>
      <w:r w:rsidRPr="00264DC4">
        <w:rPr>
          <w:lang w:val="en-US"/>
        </w:rPr>
        <w:t xml:space="preserve"> more and more evident.</w:t>
      </w:r>
      <w:r w:rsidR="00264DC4" w:rsidRPr="00264DC4">
        <w:rPr>
          <w:vertAlign w:val="superscript"/>
          <w:lang w:val="en-US"/>
        </w:rPr>
        <w:t>10,11</w:t>
      </w:r>
      <w:r w:rsidRPr="00264DC4">
        <w:rPr>
          <w:lang w:val="en-US"/>
        </w:rPr>
        <w:t xml:space="preserve"> These lectins are known to bind the carbohydrate antigens on immune cell surface receptors, such as</w:t>
      </w:r>
      <w:r w:rsidR="00FA061B" w:rsidRPr="00264DC4">
        <w:rPr>
          <w:lang w:val="en-US"/>
        </w:rPr>
        <w:t xml:space="preserve"> for </w:t>
      </w:r>
      <w:r w:rsidR="00CD3F9C" w:rsidRPr="00264DC4">
        <w:rPr>
          <w:lang w:val="en-US"/>
        </w:rPr>
        <w:t>instance</w:t>
      </w:r>
      <w:r w:rsidRPr="00264DC4">
        <w:rPr>
          <w:lang w:val="en-US"/>
        </w:rPr>
        <w:t xml:space="preserve"> the B-cell</w:t>
      </w:r>
      <w:r w:rsidR="00C66B02" w:rsidRPr="00264DC4">
        <w:rPr>
          <w:lang w:val="en-US"/>
        </w:rPr>
        <w:t xml:space="preserve"> receptor (BCR),</w:t>
      </w:r>
      <w:r w:rsidR="00021A20">
        <w:rPr>
          <w:vertAlign w:val="superscript"/>
          <w:lang w:val="en-US"/>
        </w:rPr>
        <w:t>12</w:t>
      </w:r>
      <w:r w:rsidR="00C66B02" w:rsidRPr="00264DC4">
        <w:rPr>
          <w:lang w:val="en-US"/>
        </w:rPr>
        <w:t xml:space="preserve"> t</w:t>
      </w:r>
      <w:r w:rsidR="00C66B02">
        <w:rPr>
          <w:lang w:val="en-US"/>
        </w:rPr>
        <w:t xml:space="preserve">he </w:t>
      </w:r>
      <w:r w:rsidRPr="00372D8F">
        <w:rPr>
          <w:lang w:val="en-US"/>
        </w:rPr>
        <w:t>T-cell receptor</w:t>
      </w:r>
      <w:r w:rsidR="00C66B02">
        <w:rPr>
          <w:lang w:val="en-US"/>
        </w:rPr>
        <w:t xml:space="preserve"> (</w:t>
      </w:r>
      <w:r w:rsidRPr="00372D8F">
        <w:rPr>
          <w:lang w:val="en-US"/>
        </w:rPr>
        <w:t>TCR),</w:t>
      </w:r>
      <w:r w:rsidR="00F14170">
        <w:rPr>
          <w:lang w:val="en-US"/>
        </w:rPr>
        <w:t xml:space="preserve"> CD43</w:t>
      </w:r>
      <w:r w:rsidRPr="00372D8F">
        <w:rPr>
          <w:lang w:val="en-US"/>
        </w:rPr>
        <w:t xml:space="preserve"> </w:t>
      </w:r>
      <w:r w:rsidR="00C66B02">
        <w:rPr>
          <w:lang w:val="en-US"/>
        </w:rPr>
        <w:t xml:space="preserve">or </w:t>
      </w:r>
      <w:r w:rsidR="00FA061B">
        <w:rPr>
          <w:lang w:val="en-US"/>
        </w:rPr>
        <w:t xml:space="preserve">the </w:t>
      </w:r>
      <w:r w:rsidR="00FA061B">
        <w:t>cytotoxic T-Lymphocyte Antigen 4</w:t>
      </w:r>
      <w:r w:rsidR="00FA061B" w:rsidRPr="00372D8F">
        <w:rPr>
          <w:lang w:val="en-US"/>
        </w:rPr>
        <w:t xml:space="preserve"> </w:t>
      </w:r>
      <w:r w:rsidR="00FA061B">
        <w:rPr>
          <w:lang w:val="en-US"/>
        </w:rPr>
        <w:t>(</w:t>
      </w:r>
      <w:r w:rsidRPr="00372D8F">
        <w:rPr>
          <w:lang w:val="en-US"/>
        </w:rPr>
        <w:t>CTLA4</w:t>
      </w:r>
      <w:r w:rsidR="00FA061B">
        <w:rPr>
          <w:lang w:val="en-US"/>
        </w:rPr>
        <w:t>)</w:t>
      </w:r>
      <w:r w:rsidR="007B6BD7">
        <w:rPr>
          <w:lang w:val="en-US"/>
        </w:rPr>
        <w:t>.</w:t>
      </w:r>
      <w:r w:rsidR="00021A20">
        <w:rPr>
          <w:vertAlign w:val="superscript"/>
          <w:lang w:val="en-US"/>
        </w:rPr>
        <w:t>10</w:t>
      </w:r>
      <w:r w:rsidRPr="00372D8F">
        <w:rPr>
          <w:lang w:val="en-US"/>
        </w:rPr>
        <w:t xml:space="preserve"> Thus, the regulatory role of </w:t>
      </w:r>
      <w:r w:rsidR="00FA061B">
        <w:rPr>
          <w:lang w:val="en-US"/>
        </w:rPr>
        <w:t xml:space="preserve">these </w:t>
      </w:r>
      <w:r w:rsidRPr="00372D8F">
        <w:rPr>
          <w:lang w:val="en-US"/>
        </w:rPr>
        <w:t>lectins seems to rely on their binding to receptors, and thus modifying the interactions of these receptors with the particular signaling molecules.</w:t>
      </w:r>
    </w:p>
    <w:p w14:paraId="5A51BF7D" w14:textId="34ED3DDA" w:rsidR="00372D8F" w:rsidRPr="00372D8F" w:rsidRDefault="00372D8F" w:rsidP="00372D8F">
      <w:pPr>
        <w:pStyle w:val="RSCB02ArticleText"/>
        <w:rPr>
          <w:lang w:val="en-US"/>
        </w:rPr>
      </w:pPr>
      <w:r w:rsidRPr="00372D8F">
        <w:rPr>
          <w:lang w:val="en-US"/>
        </w:rPr>
        <w:t>Antibody regulation is also strongly influenced by glycosylation. Due to their potential use</w:t>
      </w:r>
      <w:r w:rsidR="00A9106D">
        <w:rPr>
          <w:lang w:val="en-US"/>
        </w:rPr>
        <w:t>s</w:t>
      </w:r>
      <w:r w:rsidRPr="00372D8F">
        <w:rPr>
          <w:lang w:val="en-US"/>
        </w:rPr>
        <w:t xml:space="preserve"> as biopharmaceuticals, antibody</w:t>
      </w:r>
      <w:r w:rsidR="00EC3E18">
        <w:rPr>
          <w:lang w:val="en-US"/>
        </w:rPr>
        <w:t xml:space="preserve"> (Ab)</w:t>
      </w:r>
      <w:r w:rsidRPr="00372D8F">
        <w:rPr>
          <w:lang w:val="en-US"/>
        </w:rPr>
        <w:t xml:space="preserve"> glycosylation, in particular </w:t>
      </w:r>
      <w:r w:rsidR="00EC3E18" w:rsidRPr="00EC3E18">
        <w:rPr>
          <w:lang w:val="en-US"/>
        </w:rPr>
        <w:t>Immunoglobulin</w:t>
      </w:r>
      <w:r w:rsidR="00EC3E18">
        <w:rPr>
          <w:lang w:val="en-US"/>
        </w:rPr>
        <w:t xml:space="preserve"> G</w:t>
      </w:r>
      <w:r w:rsidR="00EC3E18" w:rsidRPr="00EC3E18">
        <w:rPr>
          <w:lang w:val="en-US"/>
        </w:rPr>
        <w:t xml:space="preserve"> </w:t>
      </w:r>
      <w:r w:rsidR="00EC3E18">
        <w:rPr>
          <w:lang w:val="en-US"/>
        </w:rPr>
        <w:t>(</w:t>
      </w:r>
      <w:r w:rsidRPr="00372D8F">
        <w:rPr>
          <w:lang w:val="en-US"/>
        </w:rPr>
        <w:t>IgG</w:t>
      </w:r>
      <w:r w:rsidR="00EC3E18">
        <w:rPr>
          <w:lang w:val="en-US"/>
        </w:rPr>
        <w:t>), has</w:t>
      </w:r>
      <w:r w:rsidRPr="00372D8F">
        <w:rPr>
          <w:lang w:val="en-US"/>
        </w:rPr>
        <w:t xml:space="preserve"> attracted much attention.</w:t>
      </w:r>
      <w:r w:rsidR="00021A20">
        <w:rPr>
          <w:vertAlign w:val="superscript"/>
          <w:lang w:val="en-US"/>
        </w:rPr>
        <w:t>13</w:t>
      </w:r>
      <w:r w:rsidRPr="00372D8F">
        <w:rPr>
          <w:lang w:val="en-US"/>
        </w:rPr>
        <w:t xml:space="preserve"> There are in fact, several monoclonal Ab (mAb) already in the market for the treatment of cancer and autoimmune diseases, while many others are currently under investigation. Thus, many studies have evidenced the positive effect that IgG core defucosylation has in its interaction with the Fc</w:t>
      </w:r>
      <w:r w:rsidRPr="000F596D">
        <w:rPr>
          <w:rFonts w:ascii="Symbol" w:hAnsi="Symbol"/>
          <w:lang w:val="en-US"/>
        </w:rPr>
        <w:t></w:t>
      </w:r>
      <w:r w:rsidRPr="00372D8F">
        <w:rPr>
          <w:lang w:val="en-US"/>
        </w:rPr>
        <w:t>IIa receptor</w:t>
      </w:r>
      <w:r w:rsidR="00B82523">
        <w:rPr>
          <w:lang w:val="en-US"/>
        </w:rPr>
        <w:t xml:space="preserve"> (</w:t>
      </w:r>
      <w:r w:rsidR="00B82523" w:rsidRPr="00372D8F">
        <w:rPr>
          <w:lang w:val="en-US"/>
        </w:rPr>
        <w:t>Fc</w:t>
      </w:r>
      <w:r w:rsidR="00B82523" w:rsidRPr="000F596D">
        <w:rPr>
          <w:rFonts w:ascii="Symbol" w:hAnsi="Symbol"/>
          <w:lang w:val="en-US"/>
        </w:rPr>
        <w:t></w:t>
      </w:r>
      <w:r w:rsidR="00B82523" w:rsidRPr="00372D8F">
        <w:rPr>
          <w:lang w:val="en-US"/>
        </w:rPr>
        <w:t>IIa</w:t>
      </w:r>
      <w:r w:rsidR="00B82523">
        <w:rPr>
          <w:lang w:val="en-US"/>
        </w:rPr>
        <w:t>R)</w:t>
      </w:r>
      <w:r w:rsidRPr="00372D8F">
        <w:rPr>
          <w:lang w:val="en-US"/>
        </w:rPr>
        <w:t>, with the consequent improvement in the antibody-dependent cellular cytotoxicity (ADCC).</w:t>
      </w:r>
      <w:r w:rsidR="006E32D5">
        <w:rPr>
          <w:vertAlign w:val="superscript"/>
          <w:lang w:val="en-US"/>
        </w:rPr>
        <w:t>14,15,16</w:t>
      </w:r>
      <w:r w:rsidRPr="00372D8F">
        <w:rPr>
          <w:lang w:val="en-US"/>
        </w:rPr>
        <w:t xml:space="preserve"> Other glycan modifications, including </w:t>
      </w:r>
      <w:r w:rsidRPr="00372D8F">
        <w:rPr>
          <w:lang w:val="en-US"/>
        </w:rPr>
        <w:lastRenderedPageBreak/>
        <w:t xml:space="preserve">the addition or removal of galactose, sialic acid, and </w:t>
      </w:r>
      <w:r w:rsidR="00A9106D">
        <w:rPr>
          <w:lang w:val="en-US"/>
        </w:rPr>
        <w:t xml:space="preserve">N-acetyl </w:t>
      </w:r>
      <w:r w:rsidRPr="00372D8F">
        <w:rPr>
          <w:lang w:val="en-US"/>
        </w:rPr>
        <w:t>glucosamine (GlcNAc) moieties also modulate antibody functions, although the mechanisms are not yet known.</w:t>
      </w:r>
      <w:r w:rsidR="00B4090A">
        <w:rPr>
          <w:vertAlign w:val="superscript"/>
          <w:lang w:val="en-US"/>
        </w:rPr>
        <w:t>13</w:t>
      </w:r>
      <w:r w:rsidR="0071175E">
        <w:rPr>
          <w:vertAlign w:val="superscript"/>
          <w:lang w:val="en-US"/>
        </w:rPr>
        <w:t xml:space="preserve"> </w:t>
      </w:r>
      <w:r w:rsidRPr="00372D8F">
        <w:rPr>
          <w:lang w:val="en-US"/>
        </w:rPr>
        <w:t>One of the mechanisms of action of antibodies involves their interaction with the immunoglobulin receptors Fc</w:t>
      </w:r>
      <w:r w:rsidRPr="000F596D">
        <w:rPr>
          <w:rFonts w:ascii="Symbol" w:hAnsi="Symbol"/>
          <w:lang w:val="en-US"/>
        </w:rPr>
        <w:t></w:t>
      </w:r>
      <w:r w:rsidRPr="00372D8F">
        <w:rPr>
          <w:lang w:val="en-US"/>
        </w:rPr>
        <w:t xml:space="preserve"> (Fc</w:t>
      </w:r>
      <w:r w:rsidRPr="000F596D">
        <w:rPr>
          <w:rFonts w:ascii="Symbol" w:hAnsi="Symbol"/>
          <w:lang w:val="en-US"/>
        </w:rPr>
        <w:t></w:t>
      </w:r>
      <w:r w:rsidRPr="00372D8F">
        <w:rPr>
          <w:lang w:val="en-US"/>
        </w:rPr>
        <w:t>R)</w:t>
      </w:r>
      <w:r w:rsidR="000F596D" w:rsidRPr="00372D8F">
        <w:rPr>
          <w:lang w:val="en-US"/>
        </w:rPr>
        <w:t xml:space="preserve"> </w:t>
      </w:r>
      <w:r w:rsidRPr="00372D8F">
        <w:rPr>
          <w:lang w:val="en-US"/>
        </w:rPr>
        <w:t xml:space="preserve">on effector cells, many of which are themselves glycosylated. The role </w:t>
      </w:r>
      <w:r w:rsidRPr="00297C8C">
        <w:rPr>
          <w:lang w:val="en-US"/>
        </w:rPr>
        <w:t>of glyc</w:t>
      </w:r>
      <w:r w:rsidR="00CD3F9C" w:rsidRPr="00297C8C">
        <w:rPr>
          <w:lang w:val="en-US"/>
        </w:rPr>
        <w:t>osylation</w:t>
      </w:r>
      <w:r w:rsidRPr="00297C8C">
        <w:rPr>
          <w:lang w:val="en-US"/>
        </w:rPr>
        <w:t xml:space="preserve"> in these events has been so far underestimated.</w:t>
      </w:r>
      <w:r w:rsidR="00F636EF" w:rsidRPr="00297C8C">
        <w:rPr>
          <w:vertAlign w:val="superscript"/>
          <w:lang w:val="en-US"/>
        </w:rPr>
        <w:t>17</w:t>
      </w:r>
      <w:r w:rsidRPr="00297C8C">
        <w:rPr>
          <w:lang w:val="en-US"/>
        </w:rPr>
        <w:t xml:space="preserve"> Additionally,</w:t>
      </w:r>
      <w:r w:rsidRPr="00372D8F">
        <w:rPr>
          <w:lang w:val="en-US"/>
        </w:rPr>
        <w:t xml:space="preserve"> antibodies interact also with non-canonical receptors, </w:t>
      </w:r>
      <w:r w:rsidR="00C00B85">
        <w:rPr>
          <w:lang w:val="en-US"/>
        </w:rPr>
        <w:t>like</w:t>
      </w:r>
      <w:r w:rsidRPr="00372D8F">
        <w:rPr>
          <w:lang w:val="en-US"/>
        </w:rPr>
        <w:t xml:space="preserve"> </w:t>
      </w:r>
      <w:r w:rsidR="003C5403" w:rsidRPr="00372D8F">
        <w:rPr>
          <w:lang w:val="en-US"/>
        </w:rPr>
        <w:t>dectin-1,</w:t>
      </w:r>
      <w:r w:rsidR="00F636EF">
        <w:rPr>
          <w:vertAlign w:val="superscript"/>
          <w:lang w:val="en-US"/>
        </w:rPr>
        <w:t>18</w:t>
      </w:r>
      <w:r w:rsidR="003C5403" w:rsidRPr="00372D8F">
        <w:rPr>
          <w:lang w:val="en-US"/>
        </w:rPr>
        <w:t xml:space="preserve"> gal-3</w:t>
      </w:r>
      <w:r w:rsidR="003C5403">
        <w:rPr>
          <w:lang w:val="en-US"/>
        </w:rPr>
        <w:t>,</w:t>
      </w:r>
      <w:r w:rsidR="00F636EF">
        <w:rPr>
          <w:vertAlign w:val="superscript"/>
          <w:lang w:val="en-US"/>
        </w:rPr>
        <w:t>19</w:t>
      </w:r>
      <w:r w:rsidR="003C5403">
        <w:rPr>
          <w:lang w:val="en-US"/>
        </w:rPr>
        <w:t xml:space="preserve"> mannose-binding lectin (MBL)</w:t>
      </w:r>
      <w:r w:rsidR="00F636EF">
        <w:rPr>
          <w:vertAlign w:val="superscript"/>
          <w:lang w:val="en-US"/>
        </w:rPr>
        <w:t>20</w:t>
      </w:r>
      <w:r w:rsidR="003C5403">
        <w:rPr>
          <w:vertAlign w:val="superscript"/>
          <w:lang w:val="en-US"/>
        </w:rPr>
        <w:t xml:space="preserve"> </w:t>
      </w:r>
      <w:r w:rsidR="003C5403">
        <w:rPr>
          <w:lang w:val="en-US"/>
        </w:rPr>
        <w:t>or</w:t>
      </w:r>
      <w:r w:rsidR="003C5403" w:rsidRPr="00372D8F">
        <w:rPr>
          <w:lang w:val="en-US"/>
        </w:rPr>
        <w:t xml:space="preserve"> </w:t>
      </w:r>
      <w:r w:rsidRPr="00372D8F">
        <w:rPr>
          <w:lang w:val="en-US"/>
        </w:rPr>
        <w:t>C</w:t>
      </w:r>
      <w:r w:rsidR="003C5403">
        <w:rPr>
          <w:lang w:val="en-US"/>
        </w:rPr>
        <w:t>-type lectins</w:t>
      </w:r>
      <w:r w:rsidR="00655063">
        <w:rPr>
          <w:lang w:val="en-US"/>
        </w:rPr>
        <w:t xml:space="preserve"> </w:t>
      </w:r>
      <w:r w:rsidR="00C00B85">
        <w:rPr>
          <w:lang w:val="en-US"/>
        </w:rPr>
        <w:t>such as</w:t>
      </w:r>
      <w:r w:rsidRPr="00372D8F">
        <w:rPr>
          <w:lang w:val="en-US"/>
        </w:rPr>
        <w:t xml:space="preserve"> </w:t>
      </w:r>
      <w:r w:rsidR="003C5403">
        <w:rPr>
          <w:lang w:val="en-US"/>
        </w:rPr>
        <w:t xml:space="preserve">the </w:t>
      </w:r>
      <w:r w:rsidR="00655063" w:rsidRPr="00655063">
        <w:rPr>
          <w:lang w:val="en-US"/>
        </w:rPr>
        <w:t xml:space="preserve">Dendritic Cell-Specific Intercellular adhesion molecule-3-Grabbing Non-integrin </w:t>
      </w:r>
      <w:r w:rsidR="00655063">
        <w:rPr>
          <w:lang w:val="en-US"/>
        </w:rPr>
        <w:t>(</w:t>
      </w:r>
      <w:r w:rsidRPr="00372D8F">
        <w:rPr>
          <w:lang w:val="en-US"/>
        </w:rPr>
        <w:t>DC-SIGN</w:t>
      </w:r>
      <w:r w:rsidR="00655063">
        <w:rPr>
          <w:lang w:val="en-US"/>
        </w:rPr>
        <w:t>),</w:t>
      </w:r>
      <w:r w:rsidRPr="00372D8F">
        <w:rPr>
          <w:lang w:val="en-US"/>
        </w:rPr>
        <w:t xml:space="preserve"> although the partic</w:t>
      </w:r>
      <w:r w:rsidR="003C5403">
        <w:rPr>
          <w:lang w:val="en-US"/>
        </w:rPr>
        <w:t>ular details of the mechanism are</w:t>
      </w:r>
      <w:r w:rsidRPr="00372D8F">
        <w:rPr>
          <w:lang w:val="en-US"/>
        </w:rPr>
        <w:t xml:space="preserve"> not known.</w:t>
      </w:r>
    </w:p>
    <w:p w14:paraId="0D2C1001" w14:textId="59F07885" w:rsidR="00372D8F" w:rsidRPr="000F596D" w:rsidRDefault="00372D8F" w:rsidP="00372D8F">
      <w:pPr>
        <w:pStyle w:val="RSCB02ArticleText"/>
        <w:rPr>
          <w:vertAlign w:val="superscript"/>
          <w:lang w:val="en-US"/>
        </w:rPr>
      </w:pPr>
      <w:r w:rsidRPr="00372D8F">
        <w:rPr>
          <w:lang w:val="en-US"/>
        </w:rPr>
        <w:t>Thus, a plethora of biological events essential for life are regulated by glycosylation, but the exact mechanisms in most cases are still poorly understood. On the other hand, more and more studies evidence the connection between glycosylation and disease. Altered glycosylation is a long-standing known hallmark of cancer cells</w:t>
      </w:r>
      <w:r w:rsidR="00A9106D">
        <w:rPr>
          <w:lang w:val="en-US"/>
        </w:rPr>
        <w:t>,</w:t>
      </w:r>
      <w:r w:rsidR="007D7A4C">
        <w:rPr>
          <w:vertAlign w:val="superscript"/>
          <w:lang w:val="en-US"/>
        </w:rPr>
        <w:t>21</w:t>
      </w:r>
      <w:r w:rsidRPr="00372D8F">
        <w:rPr>
          <w:vertAlign w:val="superscript"/>
          <w:lang w:val="en-US"/>
        </w:rPr>
        <w:t>,</w:t>
      </w:r>
      <w:r w:rsidR="007D7A4C">
        <w:rPr>
          <w:vertAlign w:val="superscript"/>
          <w:lang w:val="en-US"/>
        </w:rPr>
        <w:t>22</w:t>
      </w:r>
      <w:r w:rsidRPr="00372D8F">
        <w:rPr>
          <w:lang w:val="en-US"/>
        </w:rPr>
        <w:t xml:space="preserve"> </w:t>
      </w:r>
      <w:r w:rsidR="00A9106D">
        <w:rPr>
          <w:lang w:val="en-US"/>
        </w:rPr>
        <w:t>and</w:t>
      </w:r>
      <w:r w:rsidRPr="00372D8F">
        <w:rPr>
          <w:lang w:val="en-US"/>
        </w:rPr>
        <w:t xml:space="preserve"> it is also related to other pathologies.</w:t>
      </w:r>
      <w:r w:rsidR="0018102F">
        <w:rPr>
          <w:vertAlign w:val="superscript"/>
          <w:lang w:val="en-US"/>
        </w:rPr>
        <w:t>23</w:t>
      </w:r>
      <w:r w:rsidRPr="00372D8F">
        <w:rPr>
          <w:lang w:val="en-US"/>
        </w:rPr>
        <w:t xml:space="preserve"> Whether this altered glycosylation is a consequence or the cause of the disease is not yet clear for most cases. In either case, this altered glycosylation phenomenon can be exploited to search for biomarkers of a particular disease and as target</w:t>
      </w:r>
      <w:r w:rsidR="00A9106D">
        <w:rPr>
          <w:lang w:val="en-US"/>
        </w:rPr>
        <w:t>s</w:t>
      </w:r>
      <w:r w:rsidRPr="00372D8F">
        <w:rPr>
          <w:lang w:val="en-US"/>
        </w:rPr>
        <w:t xml:space="preserve"> for biotherapeutics.</w:t>
      </w:r>
      <w:r w:rsidR="0018102F">
        <w:rPr>
          <w:vertAlign w:val="superscript"/>
          <w:lang w:val="en-US"/>
        </w:rPr>
        <w:t>24</w:t>
      </w:r>
      <w:r w:rsidRPr="00372D8F">
        <w:rPr>
          <w:vertAlign w:val="superscript"/>
          <w:lang w:val="en-US"/>
        </w:rPr>
        <w:t>,</w:t>
      </w:r>
      <w:r w:rsidR="0018102F">
        <w:rPr>
          <w:vertAlign w:val="superscript"/>
          <w:lang w:val="en-US"/>
        </w:rPr>
        <w:t>25</w:t>
      </w:r>
    </w:p>
    <w:p w14:paraId="6E6EB7EC" w14:textId="064D5F73" w:rsidR="00372D8F" w:rsidRPr="00372D8F" w:rsidRDefault="00A9106D" w:rsidP="00372D8F">
      <w:pPr>
        <w:pStyle w:val="RSCB02ArticleText"/>
        <w:rPr>
          <w:lang w:val="en-US"/>
        </w:rPr>
      </w:pPr>
      <w:r>
        <w:rPr>
          <w:lang w:val="en-US"/>
        </w:rPr>
        <w:t>Therefore</w:t>
      </w:r>
      <w:r w:rsidR="00372D8F" w:rsidRPr="00372D8F">
        <w:rPr>
          <w:lang w:val="en-US"/>
        </w:rPr>
        <w:t xml:space="preserve">, deciphering the molecular requirements governing these glycan / protein interactions is a piece of the puzzle in the understanding of the molecular events modulated by glycosylation, and it is essential for the aim of exploiting them with therapeutic purposes. </w:t>
      </w:r>
    </w:p>
    <w:p w14:paraId="2892D677" w14:textId="77777777" w:rsidR="00372D8F" w:rsidRDefault="00372D8F" w:rsidP="00372D8F">
      <w:pPr>
        <w:pStyle w:val="RSCB06BHeadingSub-Section"/>
      </w:pPr>
    </w:p>
    <w:p w14:paraId="243A6547" w14:textId="77777777" w:rsidR="00372D8F" w:rsidRPr="00372D8F" w:rsidRDefault="00372D8F" w:rsidP="00372D8F">
      <w:pPr>
        <w:pStyle w:val="RSCB06BHeadingSub-Section"/>
      </w:pPr>
      <w:r w:rsidRPr="00372D8F">
        <w:rPr>
          <w:lang w:val="en-US"/>
        </w:rPr>
        <w:t>Chemical features of protein-glycan interactions. Thermodynamics.</w:t>
      </w:r>
    </w:p>
    <w:p w14:paraId="6F4C2AA9" w14:textId="77777777" w:rsidR="00372D8F" w:rsidRPr="00017239" w:rsidRDefault="00372D8F" w:rsidP="00372D8F">
      <w:pPr>
        <w:pStyle w:val="08ArticleText"/>
        <w:spacing w:line="240" w:lineRule="auto"/>
      </w:pPr>
    </w:p>
    <w:p w14:paraId="580D7560" w14:textId="3E81E93A" w:rsidR="00372D8F" w:rsidRPr="000F596D" w:rsidRDefault="00372D8F" w:rsidP="00372D8F">
      <w:pPr>
        <w:pStyle w:val="RSCB02ArticleText"/>
        <w:rPr>
          <w:vertAlign w:val="superscript"/>
          <w:lang w:val="en-US"/>
        </w:rPr>
      </w:pPr>
      <w:r w:rsidRPr="00372D8F">
        <w:rPr>
          <w:lang w:val="en-US"/>
        </w:rPr>
        <w:t>Usually, from the thermodynamic perspective, carbohydrate-protein interactions are weak. Carbohydrates are hydrophilic molecules that feel themselves very comfortable in water. The interaction with the receptors requires the payment of an enthalpic penalty due to desolvation, which is usually compensated by the enthalpically favored interactions established with the receptor. For neutral glycans, these interactions are basically hydrogen bonding and CH-</w:t>
      </w:r>
      <w:r w:rsidRPr="000F596D">
        <w:rPr>
          <w:rFonts w:ascii="Symbol" w:hAnsi="Symbol"/>
          <w:lang w:val="en-US"/>
        </w:rPr>
        <w:t></w:t>
      </w:r>
      <w:r w:rsidRPr="00372D8F">
        <w:rPr>
          <w:lang w:val="en-US"/>
        </w:rPr>
        <w:t xml:space="preserve"> interactions, which have a similar strength from an energetic point of view, ca. 5-10 kJ/mol.</w:t>
      </w:r>
      <w:r w:rsidR="00D84C73">
        <w:rPr>
          <w:vertAlign w:val="superscript"/>
          <w:lang w:val="en-US"/>
        </w:rPr>
        <w:t>26</w:t>
      </w:r>
      <w:r w:rsidRPr="00372D8F">
        <w:rPr>
          <w:lang w:val="en-US"/>
        </w:rPr>
        <w:t xml:space="preserve"> Glycan-receptor interactions typically display an enthalpy-entropy compensation behavior.</w:t>
      </w:r>
      <w:r w:rsidR="00BC4639">
        <w:rPr>
          <w:vertAlign w:val="superscript"/>
          <w:lang w:val="en-US"/>
        </w:rPr>
        <w:t>27</w:t>
      </w:r>
      <w:r w:rsidRPr="00372D8F">
        <w:rPr>
          <w:lang w:val="en-US"/>
        </w:rPr>
        <w:t xml:space="preserve"> However, the origin of the entropic contributions is elusive and rather difficult to evaluate. In general, protein-carbohydrate interactions are defined to be entropically opposed, due to the reduced translational and rotational motions</w:t>
      </w:r>
      <w:r w:rsidR="00D366CE">
        <w:rPr>
          <w:lang w:val="en-US"/>
        </w:rPr>
        <w:t>,</w:t>
      </w:r>
      <w:r w:rsidRPr="00372D8F">
        <w:rPr>
          <w:lang w:val="en-US"/>
        </w:rPr>
        <w:t xml:space="preserve"> as well as the loss of certain conformational flexibility upon binding for both partners. </w:t>
      </w:r>
      <w:r w:rsidR="0069132B" w:rsidRPr="0069132B">
        <w:rPr>
          <w:lang w:val="en-US"/>
        </w:rPr>
        <w:t>Still</w:t>
      </w:r>
      <w:r w:rsidRPr="0069132B">
        <w:rPr>
          <w:lang w:val="en-US"/>
        </w:rPr>
        <w:t>,</w:t>
      </w:r>
      <w:r w:rsidRPr="00372D8F">
        <w:rPr>
          <w:lang w:val="en-US"/>
        </w:rPr>
        <w:t xml:space="preserve"> a positive contribution may be provided by the release of water molecules from the solvation shell to the bulk. </w:t>
      </w:r>
      <w:r w:rsidR="00B82523" w:rsidRPr="00297C8C">
        <w:rPr>
          <w:lang w:val="en-US"/>
        </w:rPr>
        <w:t>A</w:t>
      </w:r>
      <w:r w:rsidRPr="00297C8C">
        <w:rPr>
          <w:lang w:val="en-US"/>
        </w:rPr>
        <w:t xml:space="preserve"> few interesting</w:t>
      </w:r>
      <w:r w:rsidRPr="00372D8F">
        <w:rPr>
          <w:lang w:val="en-US"/>
        </w:rPr>
        <w:t xml:space="preserve"> cases display deviations from this assumed scenario. A remarkable example is that of the interaction between sialyl Lewis</w:t>
      </w:r>
      <w:r w:rsidRPr="00372D8F">
        <w:rPr>
          <w:vertAlign w:val="superscript"/>
          <w:lang w:val="en-US"/>
        </w:rPr>
        <w:t>x</w:t>
      </w:r>
      <w:r w:rsidRPr="00372D8F">
        <w:rPr>
          <w:lang w:val="en-US"/>
        </w:rPr>
        <w:t xml:space="preserve"> (sLe</w:t>
      </w:r>
      <w:r w:rsidRPr="00372D8F">
        <w:rPr>
          <w:vertAlign w:val="superscript"/>
          <w:lang w:val="en-US"/>
        </w:rPr>
        <w:t>x</w:t>
      </w:r>
      <w:r w:rsidRPr="00372D8F">
        <w:rPr>
          <w:lang w:val="en-US"/>
        </w:rPr>
        <w:t xml:space="preserve">) and E-selectin. This phenomenon is driven by entropy, and disfavored by enthalpy. In this very well characterized system, the beneficial entropy term has been </w:t>
      </w:r>
      <w:r w:rsidRPr="00372D8F">
        <w:rPr>
          <w:lang w:val="en-US"/>
        </w:rPr>
        <w:t>attributed to the release of bound water molecules to the bulk and to the negligible ligand conformational changes upon binding.</w:t>
      </w:r>
      <w:r w:rsidR="00BC4639">
        <w:rPr>
          <w:vertAlign w:val="superscript"/>
          <w:lang w:val="en-US"/>
        </w:rPr>
        <w:t>28</w:t>
      </w:r>
    </w:p>
    <w:p w14:paraId="175CD7F1" w14:textId="227A2B66" w:rsidR="00372D8F" w:rsidRPr="00372D8F" w:rsidRDefault="00372D8F" w:rsidP="00372D8F">
      <w:pPr>
        <w:pStyle w:val="RSCB02ArticleText"/>
        <w:rPr>
          <w:lang w:val="en-US"/>
        </w:rPr>
      </w:pPr>
      <w:r w:rsidRPr="00372D8F">
        <w:rPr>
          <w:lang w:val="en-US"/>
        </w:rPr>
        <w:t>Thus, except for a few cases (b</w:t>
      </w:r>
      <w:r w:rsidR="00215522">
        <w:rPr>
          <w:lang w:val="en-US"/>
        </w:rPr>
        <w:t>acterial lectins, for instance),</w:t>
      </w:r>
      <w:r w:rsidR="00215522">
        <w:rPr>
          <w:vertAlign w:val="superscript"/>
          <w:lang w:val="en-US"/>
        </w:rPr>
        <w:t>29</w:t>
      </w:r>
      <w:r w:rsidRPr="00372D8F">
        <w:rPr>
          <w:lang w:val="en-US"/>
        </w:rPr>
        <w:t xml:space="preserve"> the affinities between oligosaccharides and lectins are usually </w:t>
      </w:r>
      <w:r w:rsidR="00D35967" w:rsidRPr="00297C8C">
        <w:rPr>
          <w:lang w:val="en-US"/>
        </w:rPr>
        <w:t xml:space="preserve">weak with </w:t>
      </w:r>
      <w:r w:rsidR="003973B6" w:rsidRPr="00297C8C">
        <w:rPr>
          <w:lang w:val="en-US"/>
        </w:rPr>
        <w:t>dissociation constants (</w:t>
      </w:r>
      <w:r w:rsidR="00D35967" w:rsidRPr="00297C8C">
        <w:rPr>
          <w:lang w:val="en-US"/>
        </w:rPr>
        <w:t>K</w:t>
      </w:r>
      <w:r w:rsidR="00D35967" w:rsidRPr="00297C8C">
        <w:rPr>
          <w:vertAlign w:val="subscript"/>
          <w:lang w:val="en-US"/>
        </w:rPr>
        <w:t>D</w:t>
      </w:r>
      <w:r w:rsidR="003973B6" w:rsidRPr="00297C8C">
        <w:rPr>
          <w:lang w:val="en-US"/>
        </w:rPr>
        <w:t>)</w:t>
      </w:r>
      <w:r w:rsidR="00D35967" w:rsidRPr="00297C8C">
        <w:rPr>
          <w:lang w:val="en-US"/>
        </w:rPr>
        <w:t xml:space="preserve"> </w:t>
      </w:r>
      <w:r w:rsidRPr="00297C8C">
        <w:rPr>
          <w:lang w:val="en-US"/>
        </w:rPr>
        <w:t xml:space="preserve">in the </w:t>
      </w:r>
      <w:r w:rsidR="00D35967" w:rsidRPr="00297C8C">
        <w:rPr>
          <w:rFonts w:ascii="Symbol" w:hAnsi="Symbol"/>
          <w:lang w:val="en-US"/>
        </w:rPr>
        <w:t></w:t>
      </w:r>
      <w:r w:rsidRPr="00297C8C">
        <w:rPr>
          <w:lang w:val="en-US"/>
        </w:rPr>
        <w:t>M-mM</w:t>
      </w:r>
      <w:r w:rsidR="00D35967" w:rsidRPr="00297C8C">
        <w:rPr>
          <w:lang w:val="en-US"/>
        </w:rPr>
        <w:t xml:space="preserve"> range</w:t>
      </w:r>
      <w:r w:rsidRPr="00297C8C">
        <w:rPr>
          <w:lang w:val="en-US"/>
        </w:rPr>
        <w:t>. In</w:t>
      </w:r>
      <w:r w:rsidRPr="00372D8F">
        <w:rPr>
          <w:lang w:val="en-US"/>
        </w:rPr>
        <w:t xml:space="preserve"> order to overcome these weak affinities, lectins in nature use multivalence to recognize sugars, which allows to significantly amplifying the affinities and even reaching the nM range. The origin of this phenomenon has been widely discussed and applied from the chemical perspective.</w:t>
      </w:r>
      <w:r w:rsidR="00215522">
        <w:rPr>
          <w:vertAlign w:val="superscript"/>
          <w:lang w:val="en-US"/>
        </w:rPr>
        <w:t>30,31</w:t>
      </w:r>
      <w:r w:rsidRPr="00372D8F">
        <w:rPr>
          <w:lang w:val="en-US"/>
        </w:rPr>
        <w:t xml:space="preserve"> This effect involves the clustering of either one or both players, the lectin receptors and glycan epitopes, where due to the proximity of the binding partners the entropic penalties are reduced after the first lectin/epitope encounter. In fact, the epitope density has been proposed as an additional mechanism, apart from epitope selectivity, regulating immunity by lectins</w:t>
      </w:r>
      <w:r w:rsidR="000F596D">
        <w:rPr>
          <w:lang w:val="en-US"/>
        </w:rPr>
        <w:t>.</w:t>
      </w:r>
      <w:r w:rsidR="00DD02B0">
        <w:rPr>
          <w:vertAlign w:val="superscript"/>
          <w:lang w:val="en-US"/>
        </w:rPr>
        <w:t>32</w:t>
      </w:r>
      <w:r w:rsidRPr="00372D8F">
        <w:rPr>
          <w:lang w:val="en-US"/>
        </w:rPr>
        <w:t xml:space="preserve"> Thus, multivalence not only enhance</w:t>
      </w:r>
      <w:r w:rsidR="00FF6B15">
        <w:rPr>
          <w:lang w:val="en-US"/>
        </w:rPr>
        <w:t>s</w:t>
      </w:r>
      <w:r w:rsidRPr="00372D8F">
        <w:rPr>
          <w:lang w:val="en-US"/>
        </w:rPr>
        <w:t xml:space="preserve"> the poor affinities of glycan-protein interactions, but also participate</w:t>
      </w:r>
      <w:r w:rsidR="00FF6B15">
        <w:rPr>
          <w:lang w:val="en-US"/>
        </w:rPr>
        <w:t>s</w:t>
      </w:r>
      <w:r w:rsidRPr="00372D8F">
        <w:rPr>
          <w:lang w:val="en-US"/>
        </w:rPr>
        <w:t xml:space="preserve"> in the selectivity of the process.</w:t>
      </w:r>
      <w:r w:rsidR="00565354">
        <w:rPr>
          <w:vertAlign w:val="superscript"/>
          <w:lang w:val="en-US"/>
        </w:rPr>
        <w:t>33</w:t>
      </w:r>
      <w:r w:rsidRPr="00372D8F">
        <w:rPr>
          <w:lang w:val="en-US"/>
        </w:rPr>
        <w:t xml:space="preserve"> However, not always carbohydrates cluster together in molecular recognition processes. Glycans are sometimes isolated in specific glycosylation sites, especially in N-glycosylated proteins. In these cases, carbohydrate-protein interactions join together with protein-protein, and even with the weaker carbohydrate-carbohydrate interactions,</w:t>
      </w:r>
      <w:r w:rsidR="00565354">
        <w:rPr>
          <w:vertAlign w:val="superscript"/>
          <w:lang w:val="en-US"/>
        </w:rPr>
        <w:t>34</w:t>
      </w:r>
      <w:r w:rsidRPr="00372D8F">
        <w:rPr>
          <w:lang w:val="en-US"/>
        </w:rPr>
        <w:t xml:space="preserve"> again in order to create a stronger and more specific molecular recognition event. In any case, from a chemical perspective, the interactions between proteins and carbohydrates are not different to other molecular recognition events.</w:t>
      </w:r>
      <w:r w:rsidR="00565354">
        <w:rPr>
          <w:vertAlign w:val="superscript"/>
          <w:lang w:val="en-US"/>
        </w:rPr>
        <w:t>35</w:t>
      </w:r>
    </w:p>
    <w:p w14:paraId="5FD4F9E3" w14:textId="77777777" w:rsidR="00372D8F" w:rsidRDefault="00372D8F" w:rsidP="00372D8F">
      <w:pPr>
        <w:pStyle w:val="RSCB02ArticleText"/>
      </w:pPr>
      <w:r w:rsidRPr="00372D8F">
        <w:rPr>
          <w:lang w:val="en-US"/>
        </w:rPr>
        <w:t>Herein, we will focus on recent advances that are contributing to shed light into the chemical and molecular aspects governing the biological processes regulated by glycosylation, with special emphasis on NMR methods.</w:t>
      </w:r>
    </w:p>
    <w:p w14:paraId="0883624B" w14:textId="77777777" w:rsidR="00A56448" w:rsidRDefault="00A56448" w:rsidP="00A56448">
      <w:pPr>
        <w:pStyle w:val="RSCB04AHeadingSection"/>
      </w:pPr>
      <w:r w:rsidRPr="00A56448">
        <w:rPr>
          <w:lang w:val="en-US"/>
        </w:rPr>
        <w:t>Determining the structure of protein-carbohydrate complexes.</w:t>
      </w:r>
    </w:p>
    <w:p w14:paraId="335E8F25" w14:textId="77777777" w:rsidR="00A56448" w:rsidRDefault="00A56448" w:rsidP="00A56448">
      <w:pPr>
        <w:pStyle w:val="RSCB02ArticleText"/>
        <w:rPr>
          <w:lang w:val="en-US"/>
        </w:rPr>
      </w:pPr>
    </w:p>
    <w:p w14:paraId="4DA64540" w14:textId="115492BD" w:rsidR="00A56448" w:rsidRPr="00A56448" w:rsidRDefault="00A56448" w:rsidP="00A56448">
      <w:pPr>
        <w:pStyle w:val="RSCB02ArticleText"/>
        <w:rPr>
          <w:lang w:val="en-US"/>
        </w:rPr>
      </w:pPr>
      <w:r w:rsidRPr="00A56448">
        <w:rPr>
          <w:lang w:val="en-US"/>
        </w:rPr>
        <w:t>The determination of the three-dimensional structure of protein carbohydrate complexes is of paramount importance for understanding the concomitant biological events and trying to modulate them from the chemical perspective. Thus, electron cryo-microscopy (cryo-</w:t>
      </w:r>
      <w:r w:rsidR="000A0867">
        <w:rPr>
          <w:lang w:val="en-US"/>
        </w:rPr>
        <w:t>EM), X-ray crystallography and nuclear magnetic resonance (NMR)</w:t>
      </w:r>
      <w:r w:rsidRPr="00A56448">
        <w:rPr>
          <w:lang w:val="en-US"/>
        </w:rPr>
        <w:t xml:space="preserve"> methods can be employed to unravel the structural features of the recognition event at different levels of resolution and details. A brief account </w:t>
      </w:r>
      <w:r w:rsidR="00D366CE">
        <w:rPr>
          <w:lang w:val="en-US"/>
        </w:rPr>
        <w:t xml:space="preserve">of recent </w:t>
      </w:r>
      <w:r w:rsidRPr="00A56448">
        <w:rPr>
          <w:lang w:val="en-US"/>
        </w:rPr>
        <w:t xml:space="preserve">key advances in cryo-EM and X-Ray will </w:t>
      </w:r>
      <w:r w:rsidR="0037158B">
        <w:rPr>
          <w:lang w:val="en-US"/>
        </w:rPr>
        <w:t xml:space="preserve">be </w:t>
      </w:r>
      <w:r w:rsidRPr="00A56448">
        <w:rPr>
          <w:lang w:val="en-US"/>
        </w:rPr>
        <w:t>first presented, followed by a more detailed description of the latest advances in the application of NMR methods.</w:t>
      </w:r>
    </w:p>
    <w:p w14:paraId="7EBB74AC" w14:textId="77777777" w:rsidR="00372D8F" w:rsidRDefault="00A56448" w:rsidP="00372D8F">
      <w:pPr>
        <w:pStyle w:val="RSCB02ArticleText"/>
        <w:rPr>
          <w:rStyle w:val="06CHeading"/>
          <w:rFonts w:asciiTheme="minorHAnsi" w:hAnsiTheme="minorHAnsi"/>
          <w:b w:val="0"/>
          <w:smallCaps w:val="0"/>
        </w:rPr>
      </w:pPr>
      <w:r>
        <w:t xml:space="preserve"> </w:t>
      </w:r>
    </w:p>
    <w:p w14:paraId="7877F52C" w14:textId="77777777" w:rsidR="00223959" w:rsidRPr="00223959" w:rsidRDefault="00223959" w:rsidP="00223959">
      <w:pPr>
        <w:pStyle w:val="RSCB06BHeadingSub-Section"/>
      </w:pPr>
      <w:r w:rsidRPr="00223959">
        <w:rPr>
          <w:rFonts w:cs="Times New Roman"/>
          <w:w w:val="108"/>
          <w:szCs w:val="18"/>
          <w:lang w:val="en-US"/>
        </w:rPr>
        <w:t>Cryo-EM</w:t>
      </w:r>
    </w:p>
    <w:p w14:paraId="2D05A195" w14:textId="1DDF716E" w:rsidR="00A56448" w:rsidRPr="00A56448" w:rsidRDefault="00A56448" w:rsidP="00A56448">
      <w:pPr>
        <w:pStyle w:val="RSCB02ArticleText"/>
        <w:rPr>
          <w:lang w:val="en-US"/>
        </w:rPr>
      </w:pPr>
      <w:r w:rsidRPr="00A56448">
        <w:rPr>
          <w:lang w:val="en-US"/>
        </w:rPr>
        <w:t xml:space="preserve">The so-called </w:t>
      </w:r>
      <w:r w:rsidRPr="00A56448">
        <w:rPr>
          <w:i/>
          <w:lang w:val="en-US"/>
        </w:rPr>
        <w:t>resolution revolution</w:t>
      </w:r>
      <w:r w:rsidR="00565354">
        <w:rPr>
          <w:vertAlign w:val="superscript"/>
          <w:lang w:val="en-US"/>
        </w:rPr>
        <w:t>36</w:t>
      </w:r>
      <w:r w:rsidRPr="00A56448">
        <w:rPr>
          <w:lang w:val="en-US"/>
        </w:rPr>
        <w:t xml:space="preserve"> experienced by cryo-EM in the last few years, fostered by different technical advances, has brought the resolution limit closer to 3 Å, with the highest reported resolution at 2.2 Å. This breakthrough implies a boost in the number of molecular complexes determined by this </w:t>
      </w:r>
      <w:r w:rsidRPr="00A56448">
        <w:rPr>
          <w:lang w:val="en-US"/>
        </w:rPr>
        <w:lastRenderedPageBreak/>
        <w:t>technique at near-atomic resolution.</w:t>
      </w:r>
      <w:r w:rsidR="003049C4">
        <w:rPr>
          <w:vertAlign w:val="superscript"/>
          <w:lang w:val="en-US"/>
        </w:rPr>
        <w:t>37</w:t>
      </w:r>
      <w:r w:rsidRPr="00A56448">
        <w:rPr>
          <w:lang w:val="en-US"/>
        </w:rPr>
        <w:t xml:space="preserve"> This improvement in resolution has also directly impacted the glycoscience field, allowing the observation of glycans, so often inaccessible by X-Ray crystallography. Due to their inherent flexibility, glycans, or parts of them, are very often </w:t>
      </w:r>
      <w:r w:rsidRPr="00A56448">
        <w:rPr>
          <w:i/>
          <w:lang w:val="en-US"/>
        </w:rPr>
        <w:t>invisible</w:t>
      </w:r>
      <w:r w:rsidRPr="00A56448">
        <w:rPr>
          <w:lang w:val="en-US"/>
        </w:rPr>
        <w:t xml:space="preserve"> for X-ray analysis or even impede the crystallization process. Thus, it is interesting to see a growing number of cryo-EM structures of macromolecular complexes in which the whole glycan component is clearly observable in the cryo-EM density, providing insights into their functional roles. This has been the case for the Zika virus</w:t>
      </w:r>
      <w:r w:rsidR="003049C4">
        <w:rPr>
          <w:vertAlign w:val="superscript"/>
          <w:lang w:val="en-US"/>
        </w:rPr>
        <w:t>38</w:t>
      </w:r>
      <w:r w:rsidR="00081ED6">
        <w:rPr>
          <w:vertAlign w:val="superscript"/>
          <w:lang w:val="en-US"/>
        </w:rPr>
        <w:t xml:space="preserve"> </w:t>
      </w:r>
      <w:r w:rsidRPr="00A56448">
        <w:rPr>
          <w:lang w:val="en-US"/>
        </w:rPr>
        <w:t>whose recent structure by cryo-EM at 3.8 Å resolution reveals observable glycan density protruding from the virus surface at the single glycosylation site. This observation permits to hypothesize that it could function as an attachment point for the virus to the host cell, highlighting the significance of glycosylation in Zika infection, as also pointed out by other studies.</w:t>
      </w:r>
      <w:r w:rsidR="003049C4">
        <w:rPr>
          <w:vertAlign w:val="superscript"/>
          <w:lang w:val="en-US"/>
        </w:rPr>
        <w:t>39</w:t>
      </w:r>
      <w:r w:rsidRPr="00A56448">
        <w:rPr>
          <w:lang w:val="en-US"/>
        </w:rPr>
        <w:t xml:space="preserve"> In fact, glycans have been suggested to be used by certain viruses for receptor host binding and thus for evading immune surveillance. One of the binding targets prior to cell entry by many viruses has been reported to be DC-SIGN, a C-type lectin receptor expressed in immature</w:t>
      </w:r>
      <w:r w:rsidR="00FF6B15">
        <w:rPr>
          <w:lang w:val="en-US"/>
        </w:rPr>
        <w:t xml:space="preserve"> dendritic cells. The cryo-EM reconstruction</w:t>
      </w:r>
      <w:r w:rsidRPr="00A56448">
        <w:rPr>
          <w:lang w:val="en-US"/>
        </w:rPr>
        <w:t xml:space="preserve"> of the complex between Dengue virus and the Carbohydrate Recognition Domain (CRD) of DC-SIGN has shown that the lectin binds to two glycosylation sites on the viral envelope, leaving a third one vacant.</w:t>
      </w:r>
      <w:r w:rsidR="00C6320C">
        <w:rPr>
          <w:vertAlign w:val="superscript"/>
          <w:lang w:val="en-US"/>
        </w:rPr>
        <w:t>40</w:t>
      </w:r>
      <w:r w:rsidRPr="00A56448">
        <w:rPr>
          <w:lang w:val="en-US"/>
        </w:rPr>
        <w:t xml:space="preserve"> Another virus for which glycosylation is of paramount importance is HIV. Indeed, for the trimeric HIV-1 envelope protein Env, glycans represent up to 50% of its weight. It has been shown that some of these glycans mask the epitope for CD4 binding, preventing the initiation of a broadly neutralizing Antibody (bnAb) response, while other bnAbs have been shown to bind to oligosaccharide epitopes on the viral component gp120.</w:t>
      </w:r>
      <w:r w:rsidR="007F4121">
        <w:rPr>
          <w:vertAlign w:val="superscript"/>
          <w:lang w:val="en-US"/>
        </w:rPr>
        <w:t>41</w:t>
      </w:r>
      <w:r w:rsidRPr="00A56448">
        <w:rPr>
          <w:lang w:val="en-US"/>
        </w:rPr>
        <w:t xml:space="preserve"> In this scenario, the recent low resolution cryo-EM structures of natively glycosylated Env trimer</w:t>
      </w:r>
      <w:r w:rsidR="007F4121">
        <w:rPr>
          <w:vertAlign w:val="superscript"/>
          <w:lang w:val="en-US"/>
        </w:rPr>
        <w:t>42</w:t>
      </w:r>
      <w:r w:rsidRPr="00A56448">
        <w:rPr>
          <w:lang w:val="en-US"/>
        </w:rPr>
        <w:t xml:space="preserve"> and its complexes with bnAb is a step forward in the understanding of the functional role of this dense glycan shield, although higher resolution will be needed to fully characterize the role of these glycans.</w:t>
      </w:r>
      <w:r w:rsidR="007F4121">
        <w:rPr>
          <w:vertAlign w:val="superscript"/>
          <w:lang w:val="en-US"/>
        </w:rPr>
        <w:t>33</w:t>
      </w:r>
      <w:r w:rsidRPr="00A56448">
        <w:rPr>
          <w:vertAlign w:val="superscript"/>
          <w:lang w:val="en-US"/>
        </w:rPr>
        <w:t>,</w:t>
      </w:r>
      <w:r w:rsidR="00081ED6">
        <w:rPr>
          <w:vertAlign w:val="superscript"/>
          <w:lang w:val="en-US"/>
        </w:rPr>
        <w:t>3</w:t>
      </w:r>
      <w:r w:rsidR="007F4121">
        <w:rPr>
          <w:vertAlign w:val="superscript"/>
          <w:lang w:val="en-US"/>
        </w:rPr>
        <w:t>4</w:t>
      </w:r>
      <w:r w:rsidRPr="00A56448">
        <w:rPr>
          <w:vertAlign w:val="superscript"/>
          <w:lang w:val="en-US"/>
        </w:rPr>
        <w:t>,</w:t>
      </w:r>
      <w:r w:rsidR="00081ED6">
        <w:rPr>
          <w:vertAlign w:val="superscript"/>
          <w:lang w:val="en-US"/>
        </w:rPr>
        <w:t>3</w:t>
      </w:r>
      <w:r w:rsidR="007F4121">
        <w:rPr>
          <w:vertAlign w:val="superscript"/>
          <w:lang w:val="en-US"/>
        </w:rPr>
        <w:t>5</w:t>
      </w:r>
      <w:r w:rsidRPr="00A56448">
        <w:rPr>
          <w:vertAlign w:val="superscript"/>
          <w:lang w:val="en-US"/>
        </w:rPr>
        <w:t>,</w:t>
      </w:r>
      <w:r w:rsidR="00081ED6">
        <w:rPr>
          <w:vertAlign w:val="superscript"/>
          <w:lang w:val="en-US"/>
        </w:rPr>
        <w:t>3</w:t>
      </w:r>
      <w:r w:rsidR="007F4121">
        <w:rPr>
          <w:vertAlign w:val="superscript"/>
          <w:lang w:val="en-US"/>
        </w:rPr>
        <w:t>6</w:t>
      </w:r>
      <w:r w:rsidRPr="00A56448">
        <w:rPr>
          <w:lang w:val="en-US"/>
        </w:rPr>
        <w:t xml:space="preserve"> The interaction between a tissue culture adapted foot-and-mouth disease virus (FMDV) and the host glycoprotein receptor integrin </w:t>
      </w:r>
      <w:r w:rsidRPr="00081ED6">
        <w:rPr>
          <w:rFonts w:ascii="Symbol" w:hAnsi="Symbol"/>
          <w:lang w:val="en-US"/>
        </w:rPr>
        <w:t></w:t>
      </w:r>
      <w:r w:rsidRPr="00A56448">
        <w:rPr>
          <w:lang w:val="en-US"/>
        </w:rPr>
        <w:t>v</w:t>
      </w:r>
      <w:r w:rsidRPr="00081ED6">
        <w:rPr>
          <w:rFonts w:ascii="Symbol" w:hAnsi="Symbol"/>
          <w:lang w:val="en-US"/>
        </w:rPr>
        <w:t></w:t>
      </w:r>
      <w:r w:rsidRPr="00A56448">
        <w:rPr>
          <w:lang w:val="en-US"/>
        </w:rPr>
        <w:t xml:space="preserve">6 has </w:t>
      </w:r>
      <w:r w:rsidR="00FF6B15">
        <w:rPr>
          <w:lang w:val="en-US"/>
        </w:rPr>
        <w:t>also</w:t>
      </w:r>
      <w:r w:rsidR="00642EDA">
        <w:rPr>
          <w:lang w:val="en-US"/>
        </w:rPr>
        <w:t xml:space="preserve"> </w:t>
      </w:r>
      <w:r w:rsidRPr="00A56448">
        <w:rPr>
          <w:lang w:val="en-US"/>
        </w:rPr>
        <w:t>been studied by cryo-EM. In this case, electron density was observed for the N-linked glycan of the host receptor, which fittingly b</w:t>
      </w:r>
      <w:r w:rsidR="00585487">
        <w:rPr>
          <w:lang w:val="en-US"/>
        </w:rPr>
        <w:t>inds to a previously described heparan s</w:t>
      </w:r>
      <w:r w:rsidRPr="00A56448">
        <w:rPr>
          <w:lang w:val="en-US"/>
        </w:rPr>
        <w:t>ulfate (HS) binding site on the virus.</w:t>
      </w:r>
      <w:r w:rsidR="00AD495C">
        <w:rPr>
          <w:vertAlign w:val="superscript"/>
          <w:lang w:val="en-US"/>
        </w:rPr>
        <w:t>47</w:t>
      </w:r>
      <w:r w:rsidRPr="00A56448">
        <w:rPr>
          <w:lang w:val="en-US"/>
        </w:rPr>
        <w:t xml:space="preserve"> </w:t>
      </w:r>
    </w:p>
    <w:p w14:paraId="4C1489B3" w14:textId="77777777" w:rsidR="00A56448" w:rsidRDefault="00A56448" w:rsidP="00A56448">
      <w:pPr>
        <w:pStyle w:val="RSCB02ArticleText"/>
        <w:rPr>
          <w:lang w:val="en-US"/>
        </w:rPr>
      </w:pPr>
      <w:r w:rsidRPr="00A56448">
        <w:rPr>
          <w:lang w:val="en-US"/>
        </w:rPr>
        <w:t>As a major achievement, the cryo-EM structure of the yeast oligosaccharyltransferase macromolecular complex has been recently solved, providing important insights into the eukaryotic N-glycosylation process.</w:t>
      </w:r>
      <w:r w:rsidR="00AD495C">
        <w:rPr>
          <w:vertAlign w:val="superscript"/>
          <w:lang w:val="en-US"/>
        </w:rPr>
        <w:t>48</w:t>
      </w:r>
      <w:r w:rsidRPr="00A56448">
        <w:rPr>
          <w:lang w:val="en-US"/>
        </w:rPr>
        <w:t xml:space="preserve"> This complex, in charge of transferring the Glc</w:t>
      </w:r>
      <w:r w:rsidRPr="00A56448">
        <w:rPr>
          <w:vertAlign w:val="subscript"/>
          <w:lang w:val="en-US"/>
        </w:rPr>
        <w:t>3</w:t>
      </w:r>
      <w:r w:rsidRPr="00A56448">
        <w:rPr>
          <w:lang w:val="en-US"/>
        </w:rPr>
        <w:t>Man</w:t>
      </w:r>
      <w:r w:rsidRPr="00A56448">
        <w:rPr>
          <w:vertAlign w:val="subscript"/>
          <w:lang w:val="en-US"/>
        </w:rPr>
        <w:t>9</w:t>
      </w:r>
      <w:r w:rsidRPr="00A56448">
        <w:rPr>
          <w:lang w:val="en-US"/>
        </w:rPr>
        <w:t>GlcANc</w:t>
      </w:r>
      <w:r w:rsidRPr="00A56448">
        <w:rPr>
          <w:vertAlign w:val="subscript"/>
          <w:lang w:val="en-US"/>
        </w:rPr>
        <w:t>2</w:t>
      </w:r>
      <w:r w:rsidRPr="00A56448">
        <w:rPr>
          <w:lang w:val="en-US"/>
        </w:rPr>
        <w:t xml:space="preserve"> glycan from the lipid dolichol pyrophosphate (DolPP) to the nascent polypeptide chain has a conserved subunit architecture. The structure revealed a cavity suitable for harboring the Glc</w:t>
      </w:r>
      <w:r w:rsidRPr="00A56448">
        <w:rPr>
          <w:vertAlign w:val="subscript"/>
          <w:lang w:val="en-US"/>
        </w:rPr>
        <w:t>3</w:t>
      </w:r>
      <w:r w:rsidRPr="00A56448">
        <w:rPr>
          <w:lang w:val="en-US"/>
        </w:rPr>
        <w:t>Man</w:t>
      </w:r>
      <w:r w:rsidRPr="00A56448">
        <w:rPr>
          <w:vertAlign w:val="subscript"/>
          <w:lang w:val="en-US"/>
        </w:rPr>
        <w:t>9</w:t>
      </w:r>
      <w:r w:rsidRPr="00A56448">
        <w:rPr>
          <w:lang w:val="en-US"/>
        </w:rPr>
        <w:t>GlcANc</w:t>
      </w:r>
      <w:r w:rsidRPr="00A56448">
        <w:rPr>
          <w:vertAlign w:val="subscript"/>
          <w:lang w:val="en-US"/>
        </w:rPr>
        <w:t xml:space="preserve">2 </w:t>
      </w:r>
      <w:r w:rsidRPr="00A56448">
        <w:rPr>
          <w:lang w:val="en-US"/>
        </w:rPr>
        <w:t>oligosaccharide linked to the DolPP, formed by three different subunits and an ordered N-glycan that would contribute to define substrate specificity. Interestingly, the comparison of the yeast catalytic subunit with the bacterial one provides a molecular explanation of the differences in acceptor peptide specificities.</w:t>
      </w:r>
    </w:p>
    <w:p w14:paraId="4AF37730" w14:textId="77777777" w:rsidR="00A56448" w:rsidRDefault="00A56448" w:rsidP="00A56448">
      <w:pPr>
        <w:pStyle w:val="RSCB02ArticleText"/>
        <w:rPr>
          <w:lang w:val="en-US"/>
        </w:rPr>
      </w:pPr>
    </w:p>
    <w:p w14:paraId="79303A23" w14:textId="77777777" w:rsidR="00223959" w:rsidRPr="00223959" w:rsidRDefault="00223959" w:rsidP="00223959">
      <w:pPr>
        <w:pStyle w:val="RSCB06BHeadingSub-Section"/>
        <w:rPr>
          <w:rFonts w:cs="Times New Roman"/>
          <w:w w:val="108"/>
          <w:szCs w:val="18"/>
        </w:rPr>
      </w:pPr>
      <w:r w:rsidRPr="00223959">
        <w:rPr>
          <w:rFonts w:cs="Times New Roman"/>
          <w:w w:val="108"/>
          <w:szCs w:val="18"/>
          <w:lang w:val="en-US"/>
        </w:rPr>
        <w:t>X-Ray</w:t>
      </w:r>
      <w:r w:rsidRPr="00223959">
        <w:t xml:space="preserve"> crystallography</w:t>
      </w:r>
    </w:p>
    <w:p w14:paraId="4A33386A" w14:textId="7F31E05E" w:rsidR="00A56448" w:rsidRDefault="00A56448" w:rsidP="00A56448">
      <w:pPr>
        <w:pStyle w:val="RSCB02ArticleText"/>
        <w:rPr>
          <w:lang w:val="en-US"/>
        </w:rPr>
      </w:pPr>
      <w:r w:rsidRPr="00A56448">
        <w:rPr>
          <w:i/>
          <w:lang w:val="en-US"/>
        </w:rPr>
        <w:t xml:space="preserve"> </w:t>
      </w:r>
      <w:r w:rsidRPr="00A56448">
        <w:rPr>
          <w:lang w:val="en-US"/>
        </w:rPr>
        <w:t>The level of atomic detail provided by X-Ray crystallography methods ha</w:t>
      </w:r>
      <w:r w:rsidR="00642EDA">
        <w:rPr>
          <w:lang w:val="en-US"/>
        </w:rPr>
        <w:t>s</w:t>
      </w:r>
      <w:r w:rsidRPr="00A56448">
        <w:rPr>
          <w:lang w:val="en-US"/>
        </w:rPr>
        <w:t xml:space="preserve"> made it the reference technique </w:t>
      </w:r>
      <w:r w:rsidR="00642EDA">
        <w:rPr>
          <w:lang w:val="en-US"/>
        </w:rPr>
        <w:t>for</w:t>
      </w:r>
      <w:r w:rsidRPr="00A56448">
        <w:rPr>
          <w:lang w:val="en-US"/>
        </w:rPr>
        <w:t xml:space="preserve"> structural biology </w:t>
      </w:r>
      <w:r w:rsidR="00642EDA">
        <w:rPr>
          <w:lang w:val="en-US"/>
        </w:rPr>
        <w:t xml:space="preserve">studies </w:t>
      </w:r>
      <w:r w:rsidRPr="00A56448">
        <w:rPr>
          <w:lang w:val="en-US"/>
        </w:rPr>
        <w:t>for decades. The number of deposited X-Ray structures containing carbohydrates in the PDB steadily represents the 10% of the annual total ones.</w:t>
      </w:r>
      <w:r w:rsidR="00A53F70">
        <w:rPr>
          <w:vertAlign w:val="superscript"/>
          <w:lang w:val="en-US"/>
        </w:rPr>
        <w:t>49</w:t>
      </w:r>
      <w:r w:rsidRPr="00A56448">
        <w:rPr>
          <w:lang w:val="en-US"/>
        </w:rPr>
        <w:t xml:space="preserve"> Most of them represent complexes with carbohydrate ligands. However, thanks to the advances in glycoprotein production</w:t>
      </w:r>
      <w:r w:rsidR="00A53F70">
        <w:rPr>
          <w:vertAlign w:val="superscript"/>
          <w:lang w:val="en-US"/>
        </w:rPr>
        <w:t>50</w:t>
      </w:r>
      <w:r w:rsidRPr="00A56448">
        <w:rPr>
          <w:lang w:val="en-US"/>
        </w:rPr>
        <w:t xml:space="preserve"> as well as in crystallization, the percentage of depo</w:t>
      </w:r>
      <w:r w:rsidR="0037158B">
        <w:rPr>
          <w:lang w:val="en-US"/>
        </w:rPr>
        <w:t>sited glycosylated proteins has</w:t>
      </w:r>
      <w:r w:rsidRPr="00A56448">
        <w:rPr>
          <w:lang w:val="en-US"/>
        </w:rPr>
        <w:t xml:space="preserve"> recently increased in a significant manner. However, as pointed out by experts, more is not better, and the PDB can be considered as a “</w:t>
      </w:r>
      <w:r w:rsidRPr="00A56448">
        <w:rPr>
          <w:i/>
          <w:lang w:val="en-US"/>
        </w:rPr>
        <w:t>polluted database in glycochemical terms</w:t>
      </w:r>
      <w:r w:rsidRPr="00A56448">
        <w:rPr>
          <w:lang w:val="en-US"/>
        </w:rPr>
        <w:t>”,</w:t>
      </w:r>
      <w:r w:rsidR="00A53F70">
        <w:rPr>
          <w:vertAlign w:val="superscript"/>
          <w:lang w:val="en-US"/>
        </w:rPr>
        <w:t>51</w:t>
      </w:r>
      <w:r w:rsidRPr="00A56448">
        <w:rPr>
          <w:lang w:val="en-US"/>
        </w:rPr>
        <w:t xml:space="preserve"> due to the high number of incorrect glycan structures deposited. Important efforts from the community are providing robust tools to overcome this situation.</w:t>
      </w:r>
      <w:r w:rsidR="00A53F70">
        <w:rPr>
          <w:vertAlign w:val="superscript"/>
          <w:lang w:val="en-US"/>
        </w:rPr>
        <w:t>52</w:t>
      </w:r>
      <w:r w:rsidRPr="00A56448">
        <w:rPr>
          <w:lang w:val="en-US"/>
        </w:rPr>
        <w:t xml:space="preserve"> Still, in spite of these important concerns that need to be always taken into account, X-ray crystallography is of paramount importance for providing complete atomic details of the interactions between proteins and carbohydrates.</w:t>
      </w:r>
    </w:p>
    <w:p w14:paraId="2A082356" w14:textId="77777777" w:rsidR="00223959" w:rsidRDefault="00223959" w:rsidP="00223959">
      <w:pPr>
        <w:pStyle w:val="RSCB06BHeadingSub-Section"/>
      </w:pPr>
    </w:p>
    <w:p w14:paraId="15405224" w14:textId="77777777" w:rsidR="00223959" w:rsidRPr="00223959" w:rsidRDefault="00223959" w:rsidP="00223959">
      <w:pPr>
        <w:pStyle w:val="RSCB06BHeadingSub-Section"/>
      </w:pPr>
      <w:r>
        <w:t>NMR</w:t>
      </w:r>
    </w:p>
    <w:p w14:paraId="5F9BF5E2" w14:textId="77777777" w:rsidR="00864D02" w:rsidRDefault="00A56448" w:rsidP="00A56448">
      <w:pPr>
        <w:pStyle w:val="RSCB02ArticleText"/>
        <w:rPr>
          <w:lang w:val="en-US"/>
        </w:rPr>
      </w:pPr>
      <w:r w:rsidRPr="00A56448">
        <w:rPr>
          <w:lang w:val="en-US"/>
        </w:rPr>
        <w:t xml:space="preserve">Solution NMR spectroscopy is a powerful technique for the study of glycan/protein interactions considering that it allows to monitor the event in solution where the partners keep their dynamic behavior. It can provide fine atomic details not accessible by other techniques (for instance, protons are invisible for X-Ray) and combined with </w:t>
      </w:r>
      <w:r w:rsidR="00580A83">
        <w:rPr>
          <w:lang w:val="en-US"/>
        </w:rPr>
        <w:t xml:space="preserve">molecular </w:t>
      </w:r>
      <w:r w:rsidRPr="00A56448">
        <w:rPr>
          <w:lang w:val="en-US"/>
        </w:rPr>
        <w:t>modeling tools may allow to have a dynamic picture of the recognition event.</w:t>
      </w:r>
      <w:r w:rsidR="00934785">
        <w:rPr>
          <w:vertAlign w:val="superscript"/>
          <w:lang w:val="en-US"/>
        </w:rPr>
        <w:t>53</w:t>
      </w:r>
      <w:r w:rsidRPr="00A56448">
        <w:rPr>
          <w:lang w:val="en-US"/>
        </w:rPr>
        <w:t xml:space="preserve"> Despite the advances in sensitivity and labeling strategies, the use of NMR imposes however certain limitations, in particular related to the size of the system and, depending on the type of desired information, on the availability of specific labelling strategies.</w:t>
      </w:r>
      <w:r w:rsidR="00934785">
        <w:rPr>
          <w:vertAlign w:val="superscript"/>
          <w:lang w:val="en-US"/>
        </w:rPr>
        <w:t>54</w:t>
      </w:r>
      <w:r w:rsidRPr="00A56448">
        <w:rPr>
          <w:lang w:val="en-US"/>
        </w:rPr>
        <w:t xml:space="preserve"> </w:t>
      </w:r>
    </w:p>
    <w:p w14:paraId="7D34D1E3" w14:textId="1E810F0D" w:rsidR="00662BC7" w:rsidRDefault="00A56448" w:rsidP="00A56448">
      <w:pPr>
        <w:pStyle w:val="RSCB02ArticleText"/>
        <w:rPr>
          <w:vertAlign w:val="superscript"/>
          <w:lang w:val="en-US"/>
        </w:rPr>
      </w:pPr>
      <w:r w:rsidRPr="00A56448">
        <w:rPr>
          <w:lang w:val="en-US"/>
        </w:rPr>
        <w:t xml:space="preserve">Thus, traditionally NMR-based strategies have employed a chemical-reductionist approach in which the ligand/s are small or medium-size </w:t>
      </w:r>
      <w:r w:rsidRPr="00297C8C">
        <w:rPr>
          <w:lang w:val="en-US"/>
        </w:rPr>
        <w:t>oligosaccharides.</w:t>
      </w:r>
      <w:r w:rsidR="0069132B" w:rsidRPr="00297C8C">
        <w:rPr>
          <w:lang w:val="en-US"/>
        </w:rPr>
        <w:t xml:space="preserve"> In this scenario, and p</w:t>
      </w:r>
      <w:r w:rsidRPr="00297C8C">
        <w:rPr>
          <w:lang w:val="en-US"/>
        </w:rPr>
        <w:t xml:space="preserve">rovided that the interaction is </w:t>
      </w:r>
      <w:r w:rsidR="00FF6B15" w:rsidRPr="00297C8C">
        <w:rPr>
          <w:lang w:val="en-US"/>
        </w:rPr>
        <w:t xml:space="preserve">in </w:t>
      </w:r>
      <w:r w:rsidRPr="00297C8C">
        <w:rPr>
          <w:lang w:val="en-US"/>
        </w:rPr>
        <w:t>the fast exchange regim</w:t>
      </w:r>
      <w:r w:rsidR="00642EDA" w:rsidRPr="00297C8C">
        <w:rPr>
          <w:lang w:val="en-US"/>
        </w:rPr>
        <w:t>e, ligand-based strategies</w:t>
      </w:r>
      <w:r w:rsidR="0069132B" w:rsidRPr="00297C8C">
        <w:rPr>
          <w:lang w:val="en-US"/>
        </w:rPr>
        <w:t xml:space="preserve"> exploit</w:t>
      </w:r>
      <w:r w:rsidR="004C60AC" w:rsidRPr="00297C8C">
        <w:rPr>
          <w:lang w:val="en-US"/>
        </w:rPr>
        <w:t xml:space="preserve"> saturation transfer difference (S</w:t>
      </w:r>
      <w:r w:rsidRPr="00297C8C">
        <w:rPr>
          <w:lang w:val="en-US"/>
        </w:rPr>
        <w:t>TD</w:t>
      </w:r>
      <w:r w:rsidR="004C60AC" w:rsidRPr="00297C8C">
        <w:rPr>
          <w:lang w:val="en-US"/>
        </w:rPr>
        <w:t>)</w:t>
      </w:r>
      <w:r w:rsidRPr="00297C8C">
        <w:rPr>
          <w:lang w:val="en-US"/>
        </w:rPr>
        <w:t xml:space="preserve"> and tr</w:t>
      </w:r>
      <w:r w:rsidR="004C60AC" w:rsidRPr="00297C8C">
        <w:rPr>
          <w:lang w:val="en-US"/>
        </w:rPr>
        <w:t xml:space="preserve">ansfer </w:t>
      </w:r>
      <w:r w:rsidRPr="00297C8C">
        <w:rPr>
          <w:lang w:val="en-US"/>
        </w:rPr>
        <w:t>NOE</w:t>
      </w:r>
      <w:r w:rsidR="004C60AC" w:rsidRPr="00297C8C">
        <w:rPr>
          <w:lang w:val="en-US"/>
        </w:rPr>
        <w:t xml:space="preserve"> (trNOE)</w:t>
      </w:r>
      <w:r w:rsidRPr="00297C8C">
        <w:rPr>
          <w:lang w:val="en-US"/>
        </w:rPr>
        <w:t xml:space="preserve"> </w:t>
      </w:r>
      <w:r w:rsidR="0069132B" w:rsidRPr="00297C8C">
        <w:rPr>
          <w:lang w:val="en-US"/>
        </w:rPr>
        <w:t>NMR</w:t>
      </w:r>
      <w:r w:rsidR="00642EDA" w:rsidRPr="00297C8C">
        <w:rPr>
          <w:lang w:val="en-US"/>
        </w:rPr>
        <w:t>-</w:t>
      </w:r>
      <w:r w:rsidR="004C60AC" w:rsidRPr="00297C8C">
        <w:rPr>
          <w:lang w:val="en-US"/>
        </w:rPr>
        <w:t xml:space="preserve">type </w:t>
      </w:r>
      <w:r w:rsidR="0069132B" w:rsidRPr="00297C8C">
        <w:rPr>
          <w:lang w:val="en-US"/>
        </w:rPr>
        <w:t xml:space="preserve">experiments in order to obtain </w:t>
      </w:r>
      <w:r w:rsidRPr="00297C8C">
        <w:rPr>
          <w:lang w:val="en-US"/>
        </w:rPr>
        <w:t>informatio</w:t>
      </w:r>
      <w:r w:rsidRPr="00A56448">
        <w:rPr>
          <w:lang w:val="en-US"/>
        </w:rPr>
        <w:t>n about the ligand epitope and bound conformation.</w:t>
      </w:r>
      <w:r w:rsidR="00F95043">
        <w:rPr>
          <w:vertAlign w:val="superscript"/>
          <w:lang w:val="en-US"/>
        </w:rPr>
        <w:t>55</w:t>
      </w:r>
      <w:r w:rsidRPr="00A56448">
        <w:rPr>
          <w:lang w:val="en-US"/>
        </w:rPr>
        <w:t xml:space="preserve"> In those cases where the </w:t>
      </w:r>
      <w:r w:rsidR="00676364" w:rsidRPr="00676364">
        <w:rPr>
          <w:highlight w:val="lightGray"/>
          <w:lang w:val="en-US"/>
        </w:rPr>
        <w:t>protein</w:t>
      </w:r>
      <w:r w:rsidR="00676364">
        <w:rPr>
          <w:lang w:val="en-US"/>
        </w:rPr>
        <w:t xml:space="preserve"> receptor</w:t>
      </w:r>
      <w:r w:rsidRPr="00A56448">
        <w:rPr>
          <w:lang w:val="en-US"/>
        </w:rPr>
        <w:t xml:space="preserve"> size is suitable for NMR studies and can be obtained in labeled form (uniformly </w:t>
      </w:r>
      <w:r w:rsidRPr="00A56448">
        <w:rPr>
          <w:vertAlign w:val="superscript"/>
          <w:lang w:val="en-US"/>
        </w:rPr>
        <w:t>15</w:t>
      </w:r>
      <w:r w:rsidRPr="00A56448">
        <w:rPr>
          <w:lang w:val="en-US"/>
        </w:rPr>
        <w:t>N/</w:t>
      </w:r>
      <w:r w:rsidRPr="00A56448">
        <w:rPr>
          <w:vertAlign w:val="superscript"/>
          <w:lang w:val="en-US"/>
        </w:rPr>
        <w:t>13</w:t>
      </w:r>
      <w:r w:rsidRPr="00A56448">
        <w:rPr>
          <w:lang w:val="en-US"/>
        </w:rPr>
        <w:t>C or site-specific</w:t>
      </w:r>
      <w:r w:rsidR="00F95043">
        <w:rPr>
          <w:vertAlign w:val="superscript"/>
          <w:lang w:val="en-US"/>
        </w:rPr>
        <w:t>56</w:t>
      </w:r>
      <w:r w:rsidRPr="00A56448">
        <w:rPr>
          <w:vertAlign w:val="superscript"/>
          <w:lang w:val="en-US"/>
        </w:rPr>
        <w:t>,</w:t>
      </w:r>
      <w:r w:rsidR="00F95043">
        <w:rPr>
          <w:vertAlign w:val="superscript"/>
          <w:lang w:val="en-US"/>
        </w:rPr>
        <w:t>57</w:t>
      </w:r>
      <w:r w:rsidRPr="00A56448">
        <w:rPr>
          <w:lang w:val="en-US"/>
        </w:rPr>
        <w:t>) information about the receptor</w:t>
      </w:r>
      <w:r w:rsidR="00864D02">
        <w:rPr>
          <w:lang w:val="en-US"/>
        </w:rPr>
        <w:t>´</w:t>
      </w:r>
      <w:r w:rsidR="00FF6B15">
        <w:rPr>
          <w:lang w:val="en-US"/>
        </w:rPr>
        <w:t>s binding site and flexibility</w:t>
      </w:r>
      <w:r w:rsidRPr="00A56448">
        <w:rPr>
          <w:lang w:val="en-US"/>
        </w:rPr>
        <w:t xml:space="preserve"> is also accessible. Depending on the affinity and kinetics of the interaction, the complex can be even fully characterized through specific intermolecular distance restraints provided by intermolecular NOEs. This protocol has </w:t>
      </w:r>
      <w:r w:rsidRPr="00297C8C">
        <w:rPr>
          <w:lang w:val="en-US"/>
        </w:rPr>
        <w:t>been</w:t>
      </w:r>
      <w:r w:rsidR="00662BC7" w:rsidRPr="00297C8C">
        <w:rPr>
          <w:lang w:val="en-US"/>
        </w:rPr>
        <w:t xml:space="preserve"> recently</w:t>
      </w:r>
      <w:r w:rsidRPr="00297C8C">
        <w:rPr>
          <w:lang w:val="en-US"/>
        </w:rPr>
        <w:t xml:space="preserve"> used to deduce the structure of the complex between </w:t>
      </w:r>
      <w:r w:rsidR="00532161" w:rsidRPr="00297C8C">
        <w:rPr>
          <w:lang w:val="en-US"/>
        </w:rPr>
        <w:t>S</w:t>
      </w:r>
      <w:r w:rsidRPr="00297C8C">
        <w:rPr>
          <w:lang w:val="en-US"/>
        </w:rPr>
        <w:t>iglec</w:t>
      </w:r>
      <w:r w:rsidR="00532161" w:rsidRPr="00297C8C">
        <w:rPr>
          <w:lang w:val="en-US"/>
        </w:rPr>
        <w:t>-</w:t>
      </w:r>
      <w:r w:rsidRPr="00297C8C">
        <w:rPr>
          <w:lang w:val="en-US"/>
        </w:rPr>
        <w:t xml:space="preserve">8 and </w:t>
      </w:r>
      <w:r w:rsidR="004C60AC" w:rsidRPr="00297C8C">
        <w:rPr>
          <w:lang w:val="en-US"/>
        </w:rPr>
        <w:t>its</w:t>
      </w:r>
      <w:r w:rsidRPr="00297C8C">
        <w:rPr>
          <w:lang w:val="en-US"/>
        </w:rPr>
        <w:t xml:space="preserve"> high affinity ligand</w:t>
      </w:r>
      <w:r w:rsidR="00532161" w:rsidRPr="00297C8C">
        <w:rPr>
          <w:lang w:val="en-US"/>
        </w:rPr>
        <w:t xml:space="preserve"> </w:t>
      </w:r>
      <w:r w:rsidR="008F4BD3" w:rsidRPr="00297C8C">
        <w:rPr>
          <w:lang w:val="en-US"/>
        </w:rPr>
        <w:t>6´-sulfo sLe</w:t>
      </w:r>
      <w:r w:rsidR="008F4BD3" w:rsidRPr="00297C8C">
        <w:rPr>
          <w:vertAlign w:val="superscript"/>
          <w:lang w:val="en-US"/>
        </w:rPr>
        <w:t>X</w:t>
      </w:r>
      <w:r w:rsidRPr="00297C8C">
        <w:rPr>
          <w:lang w:val="en-US"/>
        </w:rPr>
        <w:t>.</w:t>
      </w:r>
      <w:r w:rsidR="001656F6" w:rsidRPr="00297C8C">
        <w:rPr>
          <w:vertAlign w:val="superscript"/>
          <w:lang w:val="en-US"/>
        </w:rPr>
        <w:t>58</w:t>
      </w:r>
    </w:p>
    <w:p w14:paraId="6E64FC28" w14:textId="02D3CDA5" w:rsidR="00A56448" w:rsidRDefault="00A56448" w:rsidP="00A56448">
      <w:pPr>
        <w:pStyle w:val="RSCB02ArticleText"/>
        <w:rPr>
          <w:lang w:val="en-US"/>
        </w:rPr>
      </w:pPr>
      <w:r w:rsidRPr="00A56448">
        <w:rPr>
          <w:lang w:val="en-US"/>
        </w:rPr>
        <w:t xml:space="preserve">However, the observed NMR parameters are the average of the different dynamics states that might take place in the recognition event in solution and thus, data analysis might be misleading if </w:t>
      </w:r>
      <w:r w:rsidR="00642EDA">
        <w:rPr>
          <w:lang w:val="en-US"/>
        </w:rPr>
        <w:t>conformational averaging</w:t>
      </w:r>
      <w:r w:rsidRPr="00A56448">
        <w:rPr>
          <w:lang w:val="en-US"/>
        </w:rPr>
        <w:t xml:space="preserve"> </w:t>
      </w:r>
      <w:r w:rsidR="00642EDA">
        <w:rPr>
          <w:lang w:val="en-US"/>
        </w:rPr>
        <w:t>is</w:t>
      </w:r>
      <w:r w:rsidRPr="00A56448">
        <w:rPr>
          <w:lang w:val="en-US"/>
        </w:rPr>
        <w:t xml:space="preserve"> not considered. For instance, different binding modes can be identified if the experimental STD intensities cannot be explained by a single </w:t>
      </w:r>
      <w:r w:rsidRPr="00A56448">
        <w:rPr>
          <w:lang w:val="en-US"/>
        </w:rPr>
        <w:lastRenderedPageBreak/>
        <w:t>complex structure. CORCEMA-ST</w:t>
      </w:r>
      <w:r w:rsidR="005243DB">
        <w:rPr>
          <w:vertAlign w:val="superscript"/>
          <w:lang w:val="en-US"/>
        </w:rPr>
        <w:t>59</w:t>
      </w:r>
      <w:r w:rsidRPr="00A56448">
        <w:rPr>
          <w:vertAlign w:val="superscript"/>
          <w:lang w:val="en-US"/>
        </w:rPr>
        <w:t>,</w:t>
      </w:r>
      <w:r w:rsidR="005243DB">
        <w:rPr>
          <w:vertAlign w:val="superscript"/>
          <w:lang w:val="en-US"/>
        </w:rPr>
        <w:t>60</w:t>
      </w:r>
      <w:r w:rsidRPr="00A56448">
        <w:rPr>
          <w:lang w:val="en-US"/>
        </w:rPr>
        <w:t xml:space="preserve"> can assist in this analysis by computing the theoretical STD effect expected for a given complex </w:t>
      </w:r>
      <w:r w:rsidRPr="00297C8C">
        <w:rPr>
          <w:lang w:val="en-US"/>
        </w:rPr>
        <w:t>structure, as</w:t>
      </w:r>
      <w:r w:rsidR="00864D02" w:rsidRPr="00297C8C">
        <w:rPr>
          <w:lang w:val="en-US"/>
        </w:rPr>
        <w:t xml:space="preserve"> </w:t>
      </w:r>
      <w:r w:rsidRPr="00297C8C">
        <w:rPr>
          <w:lang w:val="en-US"/>
        </w:rPr>
        <w:t>reported for the recognition of Gal and GalNAc monosaccharides by the human macrophage galactose-type lectin (MGL),</w:t>
      </w:r>
      <w:r w:rsidR="005243DB" w:rsidRPr="00297C8C">
        <w:rPr>
          <w:vertAlign w:val="superscript"/>
          <w:lang w:val="en-US"/>
        </w:rPr>
        <w:t>61</w:t>
      </w:r>
      <w:r w:rsidRPr="00297C8C">
        <w:rPr>
          <w:lang w:val="en-US"/>
        </w:rPr>
        <w:t xml:space="preserve"> or the interaction of mannose ligands with DC-SIGN.</w:t>
      </w:r>
      <w:r w:rsidR="00F337C2" w:rsidRPr="00297C8C">
        <w:rPr>
          <w:vertAlign w:val="superscript"/>
          <w:lang w:val="en-US"/>
        </w:rPr>
        <w:t>62</w:t>
      </w:r>
      <w:r w:rsidRPr="00297C8C">
        <w:rPr>
          <w:lang w:val="en-US"/>
        </w:rPr>
        <w:t xml:space="preserve"> </w:t>
      </w:r>
      <w:r w:rsidR="00662BC7" w:rsidRPr="00297C8C">
        <w:rPr>
          <w:lang w:val="en-US"/>
        </w:rPr>
        <w:t>Additionally</w:t>
      </w:r>
      <w:r w:rsidRPr="00297C8C">
        <w:rPr>
          <w:lang w:val="en-US"/>
        </w:rPr>
        <w:t xml:space="preserve">, subtle </w:t>
      </w:r>
      <w:r w:rsidR="00662BC7" w:rsidRPr="00297C8C">
        <w:rPr>
          <w:lang w:val="en-US"/>
        </w:rPr>
        <w:t xml:space="preserve">structural </w:t>
      </w:r>
      <w:r w:rsidRPr="00297C8C">
        <w:rPr>
          <w:lang w:val="en-US"/>
        </w:rPr>
        <w:t>details dramatically influence the recognition of longer oligosaccharides by lectins. For instance,</w:t>
      </w:r>
      <w:r w:rsidR="004C60AC" w:rsidRPr="00297C8C">
        <w:rPr>
          <w:lang w:val="en-US"/>
        </w:rPr>
        <w:t xml:space="preserve"> we have demonstrated that </w:t>
      </w:r>
      <w:r w:rsidRPr="00A56448">
        <w:rPr>
          <w:i/>
          <w:lang w:val="en-US"/>
        </w:rPr>
        <w:t>Pisum sativum</w:t>
      </w:r>
      <w:r w:rsidRPr="00A56448">
        <w:rPr>
          <w:lang w:val="en-US"/>
        </w:rPr>
        <w:t xml:space="preserve"> agglutinin (PSA) recognizes both mannose units at the </w:t>
      </w:r>
      <w:r w:rsidRPr="00081ED6">
        <w:rPr>
          <w:rFonts w:ascii="Symbol" w:hAnsi="Symbol"/>
          <w:lang w:val="en-US"/>
        </w:rPr>
        <w:t></w:t>
      </w:r>
      <w:r w:rsidRPr="00A56448">
        <w:rPr>
          <w:lang w:val="en-US"/>
        </w:rPr>
        <w:t xml:space="preserve">1-3 and </w:t>
      </w:r>
      <w:r w:rsidRPr="00081ED6">
        <w:rPr>
          <w:rFonts w:ascii="Symbol" w:hAnsi="Symbol"/>
          <w:lang w:val="en-US"/>
        </w:rPr>
        <w:t></w:t>
      </w:r>
      <w:r w:rsidRPr="00A56448">
        <w:rPr>
          <w:lang w:val="en-US"/>
        </w:rPr>
        <w:t>1-6 branches of a heptaccharide N-glycan, providin</w:t>
      </w:r>
      <w:r w:rsidR="004C60AC">
        <w:rPr>
          <w:lang w:val="en-US"/>
        </w:rPr>
        <w:t>g two alternative binding modes (Figure 1).</w:t>
      </w:r>
      <w:r w:rsidRPr="00A56448">
        <w:rPr>
          <w:lang w:val="en-US"/>
        </w:rPr>
        <w:t xml:space="preserve"> However, this lectin displays higher affinity for </w:t>
      </w:r>
      <w:r w:rsidRPr="00081ED6">
        <w:rPr>
          <w:rFonts w:ascii="Symbol" w:hAnsi="Symbol"/>
          <w:lang w:val="en-US"/>
        </w:rPr>
        <w:t></w:t>
      </w:r>
      <w:r w:rsidRPr="00A56448">
        <w:rPr>
          <w:lang w:val="en-US"/>
        </w:rPr>
        <w:t xml:space="preserve">1-6 core fucosylated N-glycans. Detailed NMR studies showed that upon </w:t>
      </w:r>
      <w:r w:rsidRPr="00081ED6">
        <w:rPr>
          <w:rFonts w:ascii="Symbol" w:hAnsi="Symbol"/>
          <w:lang w:val="en-US"/>
        </w:rPr>
        <w:t></w:t>
      </w:r>
      <w:r w:rsidRPr="00A56448">
        <w:rPr>
          <w:lang w:val="en-US"/>
        </w:rPr>
        <w:t xml:space="preserve">1-6 core fucosylation, the receptor exclusively recognizes the </w:t>
      </w:r>
      <w:r w:rsidRPr="00081ED6">
        <w:rPr>
          <w:rFonts w:ascii="Symbol" w:hAnsi="Symbol"/>
          <w:lang w:val="en-US"/>
        </w:rPr>
        <w:t></w:t>
      </w:r>
      <w:r w:rsidRPr="00A56448">
        <w:rPr>
          <w:lang w:val="en-US"/>
        </w:rPr>
        <w:t>1-3</w:t>
      </w:r>
      <w:r w:rsidR="009915C0">
        <w:rPr>
          <w:lang w:val="en-US"/>
        </w:rPr>
        <w:t xml:space="preserve"> arm</w:t>
      </w:r>
      <w:r w:rsidRPr="00A56448">
        <w:rPr>
          <w:lang w:val="en-US"/>
        </w:rPr>
        <w:t>, although the new and key stabilizing intermolecular contacts do not take place at this site, but are provided by the core Fuc residue at a remote protein locus (Figure 1).</w:t>
      </w:r>
      <w:r w:rsidR="00F337C2">
        <w:rPr>
          <w:vertAlign w:val="superscript"/>
          <w:lang w:val="en-US"/>
        </w:rPr>
        <w:t>63</w:t>
      </w:r>
      <w:r w:rsidRPr="00A56448">
        <w:rPr>
          <w:lang w:val="en-US"/>
        </w:rPr>
        <w:t xml:space="preserve"> </w:t>
      </w:r>
    </w:p>
    <w:p w14:paraId="505C2935" w14:textId="00C3F73C" w:rsidR="00834FB0" w:rsidRDefault="00C33F7C" w:rsidP="00A56448">
      <w:pPr>
        <w:pStyle w:val="RSCB02ArticleText"/>
        <w:rPr>
          <w:lang w:val="en-US"/>
        </w:rPr>
      </w:pPr>
      <w:r>
        <w:rPr>
          <w:noProof/>
          <w:lang w:val="en-US"/>
        </w:rPr>
        <w:drawing>
          <wp:anchor distT="0" distB="0" distL="114300" distR="114300" simplePos="0" relativeHeight="251663360" behindDoc="1" locked="0" layoutInCell="1" allowOverlap="1" wp14:anchorId="2FE51464" wp14:editId="7C07681C">
            <wp:simplePos x="0" y="0"/>
            <wp:positionH relativeFrom="margin">
              <wp:align>left</wp:align>
            </wp:positionH>
            <wp:positionV relativeFrom="paragraph">
              <wp:posOffset>137668</wp:posOffset>
            </wp:positionV>
            <wp:extent cx="3168015" cy="2436495"/>
            <wp:effectExtent l="0" t="0" r="0" b="1905"/>
            <wp:wrapTight wrapText="bothSides">
              <wp:wrapPolygon edited="0">
                <wp:start x="18054" y="0"/>
                <wp:lineTo x="390" y="507"/>
                <wp:lineTo x="3767" y="2702"/>
                <wp:lineTo x="260" y="3378"/>
                <wp:lineTo x="130" y="3547"/>
                <wp:lineTo x="1559" y="5404"/>
                <wp:lineTo x="1429" y="8106"/>
                <wp:lineTo x="260" y="9289"/>
                <wp:lineTo x="260" y="9626"/>
                <wp:lineTo x="1429" y="10808"/>
                <wp:lineTo x="0" y="13511"/>
                <wp:lineTo x="0" y="20772"/>
                <wp:lineTo x="5975" y="21448"/>
                <wp:lineTo x="12339" y="21448"/>
                <wp:lineTo x="20522" y="20941"/>
                <wp:lineTo x="20912" y="20266"/>
                <wp:lineTo x="20132" y="18915"/>
                <wp:lineTo x="21041" y="16719"/>
                <wp:lineTo x="21431" y="13511"/>
                <wp:lineTo x="21431" y="6924"/>
                <wp:lineTo x="20912" y="4898"/>
                <wp:lineTo x="20392" y="4391"/>
                <wp:lineTo x="17145" y="2702"/>
                <wp:lineTo x="18444" y="2702"/>
                <wp:lineTo x="19743" y="1351"/>
                <wp:lineTo x="19613" y="0"/>
                <wp:lineTo x="18054" y="0"/>
              </wp:wrapPolygon>
            </wp:wrapTight>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1.emf"/>
                    <pic:cNvPicPr/>
                  </pic:nvPicPr>
                  <pic:blipFill>
                    <a:blip r:embed="rId14">
                      <a:extLst>
                        <a:ext uri="{28A0092B-C50C-407E-A947-70E740481C1C}">
                          <a14:useLocalDpi xmlns:a14="http://schemas.microsoft.com/office/drawing/2010/main" val="0"/>
                        </a:ext>
                      </a:extLst>
                    </a:blip>
                    <a:stretch>
                      <a:fillRect/>
                    </a:stretch>
                  </pic:blipFill>
                  <pic:spPr>
                    <a:xfrm>
                      <a:off x="0" y="0"/>
                      <a:ext cx="3168015" cy="2436495"/>
                    </a:xfrm>
                    <a:prstGeom prst="rect">
                      <a:avLst/>
                    </a:prstGeom>
                  </pic:spPr>
                </pic:pic>
              </a:graphicData>
            </a:graphic>
            <wp14:sizeRelH relativeFrom="page">
              <wp14:pctWidth>0</wp14:pctWidth>
            </wp14:sizeRelH>
            <wp14:sizeRelV relativeFrom="page">
              <wp14:pctHeight>0</wp14:pctHeight>
            </wp14:sizeRelV>
          </wp:anchor>
        </w:drawing>
      </w:r>
    </w:p>
    <w:p w14:paraId="7AA5C25F" w14:textId="4145102C" w:rsidR="00834FB0" w:rsidRDefault="00834FB0" w:rsidP="0007191B">
      <w:pPr>
        <w:pStyle w:val="RSCI05CaptiontoFigureSchemeChartwithbottombar"/>
        <w:rPr>
          <w:lang w:val="en-US"/>
        </w:rPr>
      </w:pPr>
    </w:p>
    <w:p w14:paraId="441EBAD6" w14:textId="6628824B" w:rsidR="00834FB0" w:rsidRDefault="00C33F7C" w:rsidP="00941964">
      <w:pPr>
        <w:pStyle w:val="RSCI05CaptiontoFigureSchemeChartwithbottombar"/>
        <w:rPr>
          <w:lang w:val="en-US"/>
        </w:rPr>
      </w:pPr>
      <w:r>
        <w:rPr>
          <w:lang w:val="en-US"/>
        </w:rPr>
        <w:t xml:space="preserve">Figure 1. </w:t>
      </w:r>
      <w:r w:rsidR="00E80DC2" w:rsidRPr="00E80DC2">
        <w:t>The ro</w:t>
      </w:r>
      <w:r w:rsidR="00E80DC2">
        <w:t>l</w:t>
      </w:r>
      <w:r w:rsidR="00E80DC2" w:rsidRPr="00E80DC2">
        <w:t xml:space="preserve">e of core fucosylation in N-glycans: On the left, data for the heptasaccharide N-glycan, and on the right, data for the fucosylated octasaccharide N-glycan. A. Structure of the heptasaccharide N-glycan, which binds PSA with two alternative binding modes, through the epitopes highlighted with the dashed squares. The fucosylated N-glycan, however, binds through a single binding mode with the epitope highlighted with red squares. B. Relative STD intensities for the interaction with PSA. C. STD (in black) and reference (in red) NMR spectra. D. 3D structural models for the complexes. Adapted from reference 63. </w:t>
      </w:r>
    </w:p>
    <w:p w14:paraId="332A6CC3" w14:textId="0096A5A6" w:rsidR="00A56448" w:rsidRPr="00A56448" w:rsidRDefault="00A56448" w:rsidP="00A56448">
      <w:pPr>
        <w:pStyle w:val="RSCB02ArticleText"/>
        <w:rPr>
          <w:lang w:val="en-US"/>
        </w:rPr>
      </w:pPr>
      <w:r w:rsidRPr="00A56448">
        <w:rPr>
          <w:lang w:val="en-US"/>
        </w:rPr>
        <w:t>Novel challenges have been tackled by NMR methods in the last years. The interaction between norovirus capsid protein (VP1) and virus-like particles (VLP) with histo-blood group antigens has been shown by NMR to be a complex process implying multi-step cooperative binding events. These antigens are known to significantly enhance human infection by noroviruses, which serve as attachment factors for VP1. NMR studies, using P-dimers</w:t>
      </w:r>
      <w:r w:rsidR="00AA483C">
        <w:rPr>
          <w:vertAlign w:val="superscript"/>
          <w:lang w:val="en-US"/>
        </w:rPr>
        <w:t>64</w:t>
      </w:r>
      <w:r w:rsidRPr="00A56448">
        <w:rPr>
          <w:lang w:val="en-US"/>
        </w:rPr>
        <w:t xml:space="preserve"> (truncated form of VP1) and VLP</w:t>
      </w:r>
      <w:r w:rsidR="00AA483C">
        <w:rPr>
          <w:vertAlign w:val="superscript"/>
          <w:lang w:val="en-US"/>
        </w:rPr>
        <w:t>65</w:t>
      </w:r>
      <w:r w:rsidRPr="00A56448">
        <w:rPr>
          <w:lang w:val="en-US"/>
        </w:rPr>
        <w:t xml:space="preserve"> were based on both </w:t>
      </w:r>
      <w:r w:rsidRPr="00A56448">
        <w:rPr>
          <w:vertAlign w:val="superscript"/>
          <w:lang w:val="en-US"/>
        </w:rPr>
        <w:t>1</w:t>
      </w:r>
      <w:r w:rsidRPr="00A56448">
        <w:rPr>
          <w:lang w:val="en-US"/>
        </w:rPr>
        <w:t>H-</w:t>
      </w:r>
      <w:r w:rsidRPr="00A56448">
        <w:rPr>
          <w:vertAlign w:val="superscript"/>
          <w:lang w:val="en-US"/>
        </w:rPr>
        <w:t>15</w:t>
      </w:r>
      <w:r w:rsidRPr="00A56448">
        <w:rPr>
          <w:lang w:val="en-US"/>
        </w:rPr>
        <w:t xml:space="preserve">N HSQC and STD titrations. Recently, also based on </w:t>
      </w:r>
      <w:r w:rsidRPr="00A56448">
        <w:rPr>
          <w:vertAlign w:val="superscript"/>
          <w:lang w:val="en-US"/>
        </w:rPr>
        <w:t>1</w:t>
      </w:r>
      <w:r w:rsidRPr="00A56448">
        <w:rPr>
          <w:lang w:val="en-US"/>
        </w:rPr>
        <w:t>H-</w:t>
      </w:r>
      <w:r w:rsidRPr="00A56448">
        <w:rPr>
          <w:vertAlign w:val="superscript"/>
          <w:lang w:val="en-US"/>
        </w:rPr>
        <w:t>15</w:t>
      </w:r>
      <w:r w:rsidRPr="00A56448">
        <w:rPr>
          <w:lang w:val="en-US"/>
        </w:rPr>
        <w:t xml:space="preserve">N HSQC titrations, receptor allosterism upon secondary ligand </w:t>
      </w:r>
      <w:r w:rsidRPr="00297C8C">
        <w:rPr>
          <w:lang w:val="en-US"/>
        </w:rPr>
        <w:t xml:space="preserve">binding (to </w:t>
      </w:r>
      <w:r w:rsidR="008E1E98" w:rsidRPr="00297C8C">
        <w:rPr>
          <w:lang w:val="en-US"/>
        </w:rPr>
        <w:t>hepara</w:t>
      </w:r>
      <w:r w:rsidRPr="00297C8C">
        <w:rPr>
          <w:lang w:val="en-US"/>
        </w:rPr>
        <w:t>n oligosaccharides</w:t>
      </w:r>
      <w:r w:rsidRPr="00A56448">
        <w:rPr>
          <w:lang w:val="en-US"/>
        </w:rPr>
        <w:t>) has been proposed as a mechanism for modulating the conformation at the primary calcium binding site of langerin.</w:t>
      </w:r>
      <w:r w:rsidR="00AA483C">
        <w:rPr>
          <w:vertAlign w:val="superscript"/>
          <w:lang w:val="en-US"/>
        </w:rPr>
        <w:t>66</w:t>
      </w:r>
      <w:r w:rsidRPr="00A56448">
        <w:rPr>
          <w:lang w:val="en-US"/>
        </w:rPr>
        <w:t xml:space="preserve"> Indeed, this C-type lectin receptor, which recognizes Man-based glycans through its primary calcium binding site, has been also shown to recognize </w:t>
      </w:r>
      <w:r w:rsidRPr="00A56448">
        <w:rPr>
          <w:lang w:val="en-US"/>
        </w:rPr>
        <w:t>heparin oligosaccharides,</w:t>
      </w:r>
      <w:r w:rsidR="00AA483C">
        <w:rPr>
          <w:vertAlign w:val="superscript"/>
          <w:lang w:val="en-US"/>
        </w:rPr>
        <w:t>67</w:t>
      </w:r>
      <w:r w:rsidRPr="00A56448">
        <w:rPr>
          <w:lang w:val="en-US"/>
        </w:rPr>
        <w:t xml:space="preserve"> for which different binding sites, depending on the oligosaccharide size, have been observed based on ligand-based NMR experiments.</w:t>
      </w:r>
      <w:r w:rsidR="00B75B8D">
        <w:rPr>
          <w:vertAlign w:val="superscript"/>
          <w:lang w:val="en-US"/>
        </w:rPr>
        <w:t>68</w:t>
      </w:r>
      <w:r w:rsidRPr="00A56448">
        <w:rPr>
          <w:lang w:val="en-US"/>
        </w:rPr>
        <w:t xml:space="preserve"> </w:t>
      </w:r>
    </w:p>
    <w:p w14:paraId="7D9B53C5" w14:textId="76BA9D4A" w:rsidR="00A56448" w:rsidRPr="00A56448" w:rsidRDefault="00A56448" w:rsidP="00A56448">
      <w:pPr>
        <w:pStyle w:val="RSCB02ArticleText"/>
        <w:rPr>
          <w:lang w:val="en-US"/>
        </w:rPr>
      </w:pPr>
      <w:r w:rsidRPr="00A56448">
        <w:rPr>
          <w:lang w:val="en-US"/>
        </w:rPr>
        <w:t>Motion is of paramount importance in binding events. Usually, receptor conformational changes upon binding are not a common feature for lectins or antibodies. However, it is frequently found in the processing of glycan substrates by enzymes. Understanding whether induced fit or conformatio</w:t>
      </w:r>
      <w:r w:rsidR="009915C0">
        <w:rPr>
          <w:lang w:val="en-US"/>
        </w:rPr>
        <w:t>nal selection mechanisms govern</w:t>
      </w:r>
      <w:r w:rsidRPr="00A56448">
        <w:rPr>
          <w:lang w:val="en-US"/>
        </w:rPr>
        <w:t xml:space="preserve"> these conformational changes has been the aim of NMR methods for years. For inst</w:t>
      </w:r>
      <w:r w:rsidR="00585487">
        <w:rPr>
          <w:lang w:val="en-US"/>
        </w:rPr>
        <w:t>ance, line-shape analysis in HSQ</w:t>
      </w:r>
      <w:r w:rsidRPr="00A56448">
        <w:rPr>
          <w:lang w:val="en-US"/>
        </w:rPr>
        <w:t>C titration experiments has permitted to deduce the existence of an induced-fit mechanism in substrate recognition by the glycoside hydrolase chitinase.</w:t>
      </w:r>
      <w:r w:rsidR="00B75B8D">
        <w:rPr>
          <w:vertAlign w:val="superscript"/>
          <w:lang w:val="en-US"/>
        </w:rPr>
        <w:t>69</w:t>
      </w:r>
      <w:r w:rsidRPr="00A56448">
        <w:rPr>
          <w:lang w:val="en-US"/>
        </w:rPr>
        <w:t xml:space="preserve"> The application of paramagnetic NMR studies, combined with MD simulations has permitted to characterize the dynamic behavior of the glucose/galactose binding protein (GGBP) and propose that substrate binding is mainly governed by a conformational selection mechanism, in contrast to previous postulates.</w:t>
      </w:r>
      <w:r w:rsidR="00B75B8D">
        <w:rPr>
          <w:vertAlign w:val="superscript"/>
          <w:lang w:val="en-US"/>
        </w:rPr>
        <w:t>70</w:t>
      </w:r>
      <w:r w:rsidRPr="00A56448">
        <w:rPr>
          <w:lang w:val="en-US"/>
        </w:rPr>
        <w:t xml:space="preserve"> </w:t>
      </w:r>
    </w:p>
    <w:p w14:paraId="4AE9B217" w14:textId="1B28A162" w:rsidR="000131B2" w:rsidRDefault="00A56448" w:rsidP="00A56448">
      <w:pPr>
        <w:pStyle w:val="RSCB02ArticleText"/>
        <w:rPr>
          <w:lang w:val="en-US"/>
        </w:rPr>
      </w:pPr>
      <w:r w:rsidRPr="00A56448">
        <w:rPr>
          <w:lang w:val="en-US"/>
        </w:rPr>
        <w:t>Thus, NMR provide</w:t>
      </w:r>
      <w:r w:rsidR="009915C0">
        <w:rPr>
          <w:lang w:val="en-US"/>
        </w:rPr>
        <w:t>s</w:t>
      </w:r>
      <w:r w:rsidRPr="00A56448">
        <w:rPr>
          <w:lang w:val="en-US"/>
        </w:rPr>
        <w:t xml:space="preserve"> very valuable information that allows the characterization of the binding event as a dynamic process, yielding information at the atomic level. However one of challenges is to deal with the real complexity of the interacting partners. Indeed, there are now compelling evidences that show that the recognition event is very much influenced by the context in which the glycan epitope/s are presented,</w:t>
      </w:r>
      <w:r w:rsidR="00CE5487">
        <w:rPr>
          <w:vertAlign w:val="superscript"/>
          <w:lang w:val="en-US"/>
        </w:rPr>
        <w:t>71</w:t>
      </w:r>
      <w:r w:rsidRPr="00A56448">
        <w:rPr>
          <w:vertAlign w:val="superscript"/>
          <w:lang w:val="en-US"/>
        </w:rPr>
        <w:t>,</w:t>
      </w:r>
      <w:r w:rsidR="00CE5487">
        <w:rPr>
          <w:vertAlign w:val="superscript"/>
          <w:lang w:val="en-US"/>
        </w:rPr>
        <w:t>72</w:t>
      </w:r>
      <w:r w:rsidR="000131B2">
        <w:rPr>
          <w:vertAlign w:val="superscript"/>
          <w:lang w:val="en-US"/>
        </w:rPr>
        <w:t>,63</w:t>
      </w:r>
      <w:r w:rsidRPr="00A56448">
        <w:rPr>
          <w:lang w:val="en-US"/>
        </w:rPr>
        <w:t xml:space="preserve"> as well as by the receptor´s oligomeric state.</w:t>
      </w:r>
      <w:r w:rsidR="00CE5487">
        <w:rPr>
          <w:vertAlign w:val="superscript"/>
          <w:lang w:val="en-US"/>
        </w:rPr>
        <w:t>72</w:t>
      </w:r>
      <w:r w:rsidRPr="00A56448">
        <w:rPr>
          <w:lang w:val="en-US"/>
        </w:rPr>
        <w:t xml:space="preserve"> However, large glycans represent a challenge for NMR studies, due to their inherent flexibility and the severe signal overlapping that hampers the detailed analyses of the NMR spectra. In this sense, paramagnetic tags attached to the glycan</w:t>
      </w:r>
      <w:r w:rsidR="00CE5487">
        <w:rPr>
          <w:vertAlign w:val="superscript"/>
          <w:lang w:val="en-US"/>
        </w:rPr>
        <w:t>73</w:t>
      </w:r>
      <w:r w:rsidRPr="00A56448">
        <w:rPr>
          <w:lang w:val="en-US"/>
        </w:rPr>
        <w:t xml:space="preserve"> produce a larger dispersion of the resonances</w:t>
      </w:r>
      <w:r w:rsidR="00FB471E">
        <w:rPr>
          <w:lang w:val="en-US"/>
        </w:rPr>
        <w:t xml:space="preserve"> </w:t>
      </w:r>
      <w:r w:rsidR="00FB471E" w:rsidRPr="00297C8C">
        <w:rPr>
          <w:lang w:val="en-US"/>
        </w:rPr>
        <w:t xml:space="preserve">due to the </w:t>
      </w:r>
      <w:r w:rsidR="00FB471E" w:rsidRPr="00297C8C">
        <w:t>pseudocontact shift</w:t>
      </w:r>
      <w:r w:rsidR="000131B2" w:rsidRPr="00297C8C">
        <w:t xml:space="preserve"> (PCS)</w:t>
      </w:r>
      <w:r w:rsidR="00FB471E" w:rsidRPr="00297C8C">
        <w:t xml:space="preserve"> </w:t>
      </w:r>
      <w:r w:rsidR="002C6D1F" w:rsidRPr="00297C8C">
        <w:t>effect</w:t>
      </w:r>
      <w:r w:rsidRPr="00297C8C">
        <w:rPr>
          <w:lang w:val="en-US"/>
        </w:rPr>
        <w:t>, which allow</w:t>
      </w:r>
      <w:r w:rsidR="000131B2" w:rsidRPr="00297C8C">
        <w:rPr>
          <w:lang w:val="en-US"/>
        </w:rPr>
        <w:t>s</w:t>
      </w:r>
      <w:r w:rsidRPr="00297C8C">
        <w:rPr>
          <w:lang w:val="en-US"/>
        </w:rPr>
        <w:t xml:space="preserve"> not only the characterization of</w:t>
      </w:r>
      <w:r w:rsidRPr="00A56448">
        <w:rPr>
          <w:lang w:val="en-US"/>
        </w:rPr>
        <w:t xml:space="preserve"> the dynamic behavior </w:t>
      </w:r>
      <w:r w:rsidR="0051753C">
        <w:rPr>
          <w:lang w:val="en-US"/>
        </w:rPr>
        <w:t xml:space="preserve">of </w:t>
      </w:r>
      <w:r w:rsidRPr="00A56448">
        <w:rPr>
          <w:lang w:val="en-US"/>
        </w:rPr>
        <w:t>the complex glycan structures,</w:t>
      </w:r>
      <w:r w:rsidR="00CE5487">
        <w:rPr>
          <w:vertAlign w:val="superscript"/>
          <w:lang w:val="en-US"/>
        </w:rPr>
        <w:t>74</w:t>
      </w:r>
      <w:r w:rsidRPr="00A56448">
        <w:rPr>
          <w:vertAlign w:val="superscript"/>
          <w:lang w:val="en-US"/>
        </w:rPr>
        <w:t>,</w:t>
      </w:r>
      <w:r w:rsidR="00CE5487">
        <w:rPr>
          <w:vertAlign w:val="superscript"/>
          <w:lang w:val="en-US"/>
        </w:rPr>
        <w:t>75</w:t>
      </w:r>
      <w:r w:rsidRPr="00A56448">
        <w:rPr>
          <w:vertAlign w:val="superscript"/>
          <w:lang w:val="en-US"/>
        </w:rPr>
        <w:t>,</w:t>
      </w:r>
      <w:r w:rsidR="00CE5487">
        <w:rPr>
          <w:vertAlign w:val="superscript"/>
          <w:lang w:val="en-US"/>
        </w:rPr>
        <w:t>76</w:t>
      </w:r>
      <w:r w:rsidRPr="00A56448">
        <w:rPr>
          <w:vertAlign w:val="superscript"/>
          <w:lang w:val="en-US"/>
        </w:rPr>
        <w:t>,</w:t>
      </w:r>
      <w:r w:rsidR="00CE5487">
        <w:rPr>
          <w:vertAlign w:val="superscript"/>
          <w:lang w:val="en-US"/>
        </w:rPr>
        <w:t>77</w:t>
      </w:r>
      <w:r w:rsidRPr="00A56448">
        <w:rPr>
          <w:lang w:val="en-US"/>
        </w:rPr>
        <w:t xml:space="preserve"> but also to address their interaction with receptors.</w:t>
      </w:r>
      <w:r w:rsidR="00CE5487">
        <w:rPr>
          <w:vertAlign w:val="superscript"/>
          <w:lang w:val="en-US"/>
        </w:rPr>
        <w:t>78</w:t>
      </w:r>
      <w:r w:rsidRPr="00A56448">
        <w:rPr>
          <w:vertAlign w:val="superscript"/>
          <w:lang w:val="en-US"/>
        </w:rPr>
        <w:t xml:space="preserve"> </w:t>
      </w:r>
      <w:r w:rsidRPr="00A56448">
        <w:rPr>
          <w:lang w:val="en-US"/>
        </w:rPr>
        <w:t>Recently, the chemical shift dispersion produced by a paramagnetic tag attached to a tetra-antennary N-glycan has permitted to evaluate individually the involvement of each of the four arms in the interaction with two different lectins (Figure 2).</w:t>
      </w:r>
      <w:r w:rsidR="00776BC0">
        <w:rPr>
          <w:vertAlign w:val="superscript"/>
          <w:lang w:val="en-US"/>
        </w:rPr>
        <w:t>79</w:t>
      </w:r>
      <w:r w:rsidRPr="00A56448">
        <w:rPr>
          <w:lang w:val="en-US"/>
        </w:rPr>
        <w:t xml:space="preserve"> This is an important breakthrough, since under normal NMR conditions, the </w:t>
      </w:r>
      <w:r w:rsidRPr="00297C8C">
        <w:rPr>
          <w:lang w:val="en-US"/>
        </w:rPr>
        <w:t xml:space="preserve">four </w:t>
      </w:r>
      <w:r w:rsidR="00FB471E" w:rsidRPr="00297C8C">
        <w:rPr>
          <w:lang w:val="en-US"/>
        </w:rPr>
        <w:t>terminal</w:t>
      </w:r>
      <w:r w:rsidR="00FB471E">
        <w:rPr>
          <w:lang w:val="en-US"/>
        </w:rPr>
        <w:t xml:space="preserve"> </w:t>
      </w:r>
      <w:r w:rsidRPr="00A56448">
        <w:rPr>
          <w:lang w:val="en-US"/>
        </w:rPr>
        <w:t xml:space="preserve">Gal moieties at the end of N-glycan arms are isochronous and thus indistinguishable. </w:t>
      </w:r>
    </w:p>
    <w:p w14:paraId="6C1EC438" w14:textId="77777777" w:rsidR="005C1172" w:rsidRDefault="005C1172" w:rsidP="00A56448">
      <w:pPr>
        <w:pStyle w:val="RSCB02ArticleText"/>
        <w:rPr>
          <w:lang w:val="en-US"/>
        </w:rPr>
      </w:pPr>
    </w:p>
    <w:p w14:paraId="735A94DF" w14:textId="77777777" w:rsidR="005C1172" w:rsidRDefault="005C1172" w:rsidP="00A56448">
      <w:pPr>
        <w:pStyle w:val="RSCB02ArticleText"/>
        <w:rPr>
          <w:lang w:val="en-US"/>
        </w:rPr>
      </w:pPr>
    </w:p>
    <w:p w14:paraId="750E2B04" w14:textId="77777777" w:rsidR="005C1172" w:rsidRDefault="005C1172" w:rsidP="00A56448">
      <w:pPr>
        <w:pStyle w:val="RSCB02ArticleText"/>
        <w:rPr>
          <w:lang w:val="en-US"/>
        </w:rPr>
      </w:pPr>
    </w:p>
    <w:p w14:paraId="3B9529F8" w14:textId="77777777" w:rsidR="005C1172" w:rsidRDefault="005C1172" w:rsidP="00A56448">
      <w:pPr>
        <w:pStyle w:val="RSCB02ArticleText"/>
        <w:rPr>
          <w:lang w:val="en-US"/>
        </w:rPr>
      </w:pPr>
    </w:p>
    <w:p w14:paraId="6477F020" w14:textId="38662417" w:rsidR="005C1172" w:rsidRDefault="001E59B2" w:rsidP="00A56448">
      <w:pPr>
        <w:pStyle w:val="RSCB02ArticleText"/>
        <w:rPr>
          <w:lang w:val="en-US"/>
        </w:rPr>
      </w:pPr>
      <w:r>
        <w:rPr>
          <w:noProof/>
          <w:lang w:val="en-US"/>
        </w:rPr>
        <w:lastRenderedPageBreak/>
        <w:drawing>
          <wp:anchor distT="0" distB="0" distL="114300" distR="114300" simplePos="0" relativeHeight="251667456" behindDoc="1" locked="0" layoutInCell="1" allowOverlap="1" wp14:anchorId="493F8FE9" wp14:editId="30BE9C3B">
            <wp:simplePos x="0" y="0"/>
            <wp:positionH relativeFrom="column">
              <wp:posOffset>940</wp:posOffset>
            </wp:positionH>
            <wp:positionV relativeFrom="paragraph">
              <wp:posOffset>-330</wp:posOffset>
            </wp:positionV>
            <wp:extent cx="3168015" cy="2443480"/>
            <wp:effectExtent l="0" t="0" r="0" b="0"/>
            <wp:wrapTight wrapText="bothSides">
              <wp:wrapPolygon edited="0">
                <wp:start x="5715" y="0"/>
                <wp:lineTo x="260" y="168"/>
                <wp:lineTo x="390" y="2694"/>
                <wp:lineTo x="4676" y="3200"/>
                <wp:lineTo x="4546" y="5389"/>
                <wp:lineTo x="5585" y="5557"/>
                <wp:lineTo x="390" y="6399"/>
                <wp:lineTo x="130" y="6568"/>
                <wp:lineTo x="779" y="8252"/>
                <wp:lineTo x="779" y="12798"/>
                <wp:lineTo x="2468" y="13640"/>
                <wp:lineTo x="260" y="13640"/>
                <wp:lineTo x="260" y="16335"/>
                <wp:lineTo x="1818" y="16503"/>
                <wp:lineTo x="1429" y="17850"/>
                <wp:lineTo x="2728" y="19029"/>
                <wp:lineTo x="1169" y="19871"/>
                <wp:lineTo x="1169" y="20208"/>
                <wp:lineTo x="2728" y="21387"/>
                <wp:lineTo x="9352" y="21387"/>
                <wp:lineTo x="16366" y="21218"/>
                <wp:lineTo x="21431" y="20376"/>
                <wp:lineTo x="21431" y="17008"/>
                <wp:lineTo x="10781" y="16335"/>
                <wp:lineTo x="20652" y="16335"/>
                <wp:lineTo x="20782" y="15493"/>
                <wp:lineTo x="15067" y="13640"/>
                <wp:lineTo x="18704" y="13640"/>
                <wp:lineTo x="20912" y="12630"/>
                <wp:lineTo x="21041" y="7578"/>
                <wp:lineTo x="19873" y="6904"/>
                <wp:lineTo x="15976" y="5557"/>
                <wp:lineTo x="16366" y="4210"/>
                <wp:lineTo x="15327" y="3705"/>
                <wp:lineTo x="10001" y="2358"/>
                <wp:lineTo x="9222" y="1179"/>
                <wp:lineTo x="8053" y="0"/>
                <wp:lineTo x="5715"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2.emf"/>
                    <pic:cNvPicPr/>
                  </pic:nvPicPr>
                  <pic:blipFill>
                    <a:blip r:embed="rId15">
                      <a:extLst>
                        <a:ext uri="{28A0092B-C50C-407E-A947-70E740481C1C}">
                          <a14:useLocalDpi xmlns:a14="http://schemas.microsoft.com/office/drawing/2010/main" val="0"/>
                        </a:ext>
                      </a:extLst>
                    </a:blip>
                    <a:stretch>
                      <a:fillRect/>
                    </a:stretch>
                  </pic:blipFill>
                  <pic:spPr>
                    <a:xfrm>
                      <a:off x="0" y="0"/>
                      <a:ext cx="3168015" cy="2443480"/>
                    </a:xfrm>
                    <a:prstGeom prst="rect">
                      <a:avLst/>
                    </a:prstGeom>
                  </pic:spPr>
                </pic:pic>
              </a:graphicData>
            </a:graphic>
            <wp14:sizeRelH relativeFrom="page">
              <wp14:pctWidth>0</wp14:pctWidth>
            </wp14:sizeRelH>
            <wp14:sizeRelV relativeFrom="page">
              <wp14:pctHeight>0</wp14:pctHeight>
            </wp14:sizeRelV>
          </wp:anchor>
        </w:drawing>
      </w:r>
    </w:p>
    <w:p w14:paraId="6843DE14" w14:textId="2B18766D" w:rsidR="005C1172" w:rsidRDefault="005C1172" w:rsidP="00A56448">
      <w:pPr>
        <w:pStyle w:val="RSCB02ArticleText"/>
        <w:rPr>
          <w:lang w:val="en-US"/>
        </w:rPr>
      </w:pPr>
    </w:p>
    <w:p w14:paraId="0EAB9908" w14:textId="17691AA9" w:rsidR="005C1172" w:rsidRDefault="005C1172" w:rsidP="00A56448">
      <w:pPr>
        <w:pStyle w:val="RSCB02ArticleText"/>
        <w:rPr>
          <w:lang w:val="en-US"/>
        </w:rPr>
      </w:pPr>
    </w:p>
    <w:p w14:paraId="681A93BB" w14:textId="507F2583" w:rsidR="005C1172" w:rsidRDefault="005C1172" w:rsidP="00A56448">
      <w:pPr>
        <w:pStyle w:val="RSCB02ArticleText"/>
        <w:rPr>
          <w:lang w:val="en-US"/>
        </w:rPr>
      </w:pPr>
    </w:p>
    <w:p w14:paraId="5EA2663E" w14:textId="2B6D64F2" w:rsidR="005C1172" w:rsidRDefault="005C1172" w:rsidP="00A56448">
      <w:pPr>
        <w:pStyle w:val="RSCB02ArticleText"/>
        <w:rPr>
          <w:lang w:val="en-US"/>
        </w:rPr>
      </w:pPr>
    </w:p>
    <w:p w14:paraId="6D5FF972" w14:textId="77777777" w:rsidR="005C1172" w:rsidRDefault="005C1172" w:rsidP="00A56448">
      <w:pPr>
        <w:pStyle w:val="RSCB02ArticleText"/>
        <w:rPr>
          <w:lang w:val="en-US"/>
        </w:rPr>
      </w:pPr>
    </w:p>
    <w:p w14:paraId="603F0EDD" w14:textId="0D6268DC" w:rsidR="005C1172" w:rsidRDefault="005C1172" w:rsidP="00E80DC2">
      <w:pPr>
        <w:pStyle w:val="RSCI05CaptiontoFigureSchemeChartwithbottombar"/>
        <w:rPr>
          <w:lang w:val="en-US"/>
        </w:rPr>
      </w:pPr>
      <w:r>
        <w:rPr>
          <w:lang w:val="en-US"/>
        </w:rPr>
        <w:t xml:space="preserve">Figure 2. </w:t>
      </w:r>
      <w:r w:rsidR="00E80DC2" w:rsidRPr="00E80DC2">
        <w:t xml:space="preserve">Figure 2. A. Tetra-antennary N-glycan with a metal chelating moiety at the reducing end. B. </w:t>
      </w:r>
      <w:r w:rsidR="00E80DC2" w:rsidRPr="00E80DC2">
        <w:rPr>
          <w:vertAlign w:val="superscript"/>
        </w:rPr>
        <w:t>1</w:t>
      </w:r>
      <w:r w:rsidR="00E80DC2" w:rsidRPr="00E80DC2">
        <w:t>H-</w:t>
      </w:r>
      <w:r w:rsidR="00E80DC2" w:rsidRPr="00E80DC2">
        <w:rPr>
          <w:vertAlign w:val="superscript"/>
        </w:rPr>
        <w:t>13</w:t>
      </w:r>
      <w:r w:rsidR="00E80DC2" w:rsidRPr="00E80DC2">
        <w:t>C HSQC spectra at the anomeric region of the N-glycan: on the left, chelated with La</w:t>
      </w:r>
      <w:r w:rsidR="00E80DC2" w:rsidRPr="00E80DC2">
        <w:rPr>
          <w:vertAlign w:val="superscript"/>
        </w:rPr>
        <w:t>+3</w:t>
      </w:r>
      <w:r w:rsidR="00E80DC2" w:rsidRPr="00E80DC2">
        <w:t>, which is diamagnetic; on the right, chetaled with Dy</w:t>
      </w:r>
      <w:r w:rsidR="00E80DC2" w:rsidRPr="00E80DC2">
        <w:rPr>
          <w:vertAlign w:val="superscript"/>
        </w:rPr>
        <w:t>+3</w:t>
      </w:r>
      <w:r w:rsidR="00E80DC2" w:rsidRPr="00E80DC2">
        <w:t>, which is paramagnetic. C. The pseudocontact shifts (PCS) produce a higher chemical shift dispersion, which allows to study the involvement of each of the four arms of the N-glycan in the interaction with receptors in an independent manner. Besides, it facilitates the conformational characterization of the N-glycan in solut</w:t>
      </w:r>
      <w:r w:rsidR="00E80DC2">
        <w:t>ion. Adapted from reference 79.</w:t>
      </w:r>
    </w:p>
    <w:p w14:paraId="0261EA36" w14:textId="64A3495E" w:rsidR="00A56448" w:rsidRPr="00A56448" w:rsidRDefault="00A56448" w:rsidP="00A56448">
      <w:pPr>
        <w:pStyle w:val="RSCB02ArticleText"/>
        <w:rPr>
          <w:lang w:val="en-US"/>
        </w:rPr>
      </w:pPr>
      <w:r w:rsidRPr="00A56448">
        <w:rPr>
          <w:lang w:val="en-US"/>
        </w:rPr>
        <w:t>The alternative strategy implies placing the paramagnetic tag on the protein, an approach that has been long used for protein structural studies</w:t>
      </w:r>
      <w:r w:rsidR="00E7401C">
        <w:rPr>
          <w:vertAlign w:val="superscript"/>
          <w:lang w:val="en-US"/>
        </w:rPr>
        <w:t>80</w:t>
      </w:r>
      <w:r w:rsidRPr="00A56448">
        <w:rPr>
          <w:lang w:val="en-US"/>
        </w:rPr>
        <w:t xml:space="preserve"> and that requires the attachment of the paramagnetic center, which can be either a spin-label or a paramagnetic ion, to the protein. For the latter option, a metal binding site for hosting the paramagnetic ion should be introduced into the protein, which implies a careful design of the system. In the case of the interaction between lactose and the</w:t>
      </w:r>
      <w:r w:rsidR="000131B2">
        <w:rPr>
          <w:lang w:val="en-US"/>
        </w:rPr>
        <w:t xml:space="preserve"> lectin</w:t>
      </w:r>
      <w:r w:rsidRPr="00A56448">
        <w:rPr>
          <w:lang w:val="en-US"/>
        </w:rPr>
        <w:t xml:space="preserve"> gal-3, used as a model system, the paramagnetic ion was introduced by a short lanthanide-binding peptide that was added to the C-terminus of the lectin by using a fusion construct for protein expression. This design allowed to obtai</w:t>
      </w:r>
      <w:r w:rsidR="000131B2">
        <w:rPr>
          <w:lang w:val="en-US"/>
        </w:rPr>
        <w:t>n two types of NMR restraints: r</w:t>
      </w:r>
      <w:r w:rsidR="00797F5B">
        <w:rPr>
          <w:lang w:val="en-US"/>
        </w:rPr>
        <w:t xml:space="preserve">esidual </w:t>
      </w:r>
      <w:r w:rsidR="000131B2">
        <w:rPr>
          <w:lang w:val="en-US"/>
        </w:rPr>
        <w:t>d</w:t>
      </w:r>
      <w:r w:rsidR="00797F5B">
        <w:rPr>
          <w:lang w:val="en-US"/>
        </w:rPr>
        <w:t xml:space="preserve">ipolar </w:t>
      </w:r>
      <w:r w:rsidR="000131B2" w:rsidRPr="00297C8C">
        <w:rPr>
          <w:lang w:val="en-US"/>
        </w:rPr>
        <w:t>c</w:t>
      </w:r>
      <w:r w:rsidR="00797F5B" w:rsidRPr="00297C8C">
        <w:rPr>
          <w:lang w:val="en-US"/>
        </w:rPr>
        <w:t>ouplings (RDC</w:t>
      </w:r>
      <w:r w:rsidR="000131B2" w:rsidRPr="00297C8C">
        <w:rPr>
          <w:lang w:val="en-US"/>
        </w:rPr>
        <w:t>s</w:t>
      </w:r>
      <w:r w:rsidR="00797F5B" w:rsidRPr="00297C8C">
        <w:rPr>
          <w:lang w:val="en-US"/>
        </w:rPr>
        <w:t>)</w:t>
      </w:r>
      <w:r w:rsidRPr="00297C8C">
        <w:rPr>
          <w:lang w:val="en-US"/>
        </w:rPr>
        <w:t xml:space="preserve"> without the necessity of introducing an alignment media, and PCS</w:t>
      </w:r>
      <w:r w:rsidR="00797F5B" w:rsidRPr="00297C8C">
        <w:rPr>
          <w:lang w:val="en-US"/>
        </w:rPr>
        <w:t>s</w:t>
      </w:r>
      <w:r w:rsidRPr="00297C8C">
        <w:rPr>
          <w:lang w:val="en-US"/>
        </w:rPr>
        <w:t xml:space="preserve"> both for</w:t>
      </w:r>
      <w:r w:rsidRPr="00A56448">
        <w:rPr>
          <w:lang w:val="en-US"/>
        </w:rPr>
        <w:t xml:space="preserve"> the ligand and the receptor. All these data were used to obtain a 3D structural model for the complex.</w:t>
      </w:r>
      <w:r w:rsidR="00E7401C">
        <w:rPr>
          <w:vertAlign w:val="superscript"/>
          <w:lang w:val="en-US"/>
        </w:rPr>
        <w:t>81</w:t>
      </w:r>
      <w:r w:rsidR="00081ED6">
        <w:rPr>
          <w:vertAlign w:val="superscript"/>
          <w:lang w:val="en-US"/>
        </w:rPr>
        <w:t xml:space="preserve"> </w:t>
      </w:r>
      <w:r w:rsidRPr="00A56448">
        <w:rPr>
          <w:lang w:val="en-US"/>
        </w:rPr>
        <w:t>A different strategy was used with the aim of monitoring IgG glycan dynamics. In this case, a known IgG binding protein was redesigned to incorporate a well-defined lanthanide-binding peptide that was inserted between two helixes, replaci</w:t>
      </w:r>
      <w:r w:rsidR="000C7CC3">
        <w:rPr>
          <w:lang w:val="en-US"/>
        </w:rPr>
        <w:t xml:space="preserve">ng a loop of the protein. </w:t>
      </w:r>
      <w:r w:rsidR="000C7CC3" w:rsidRPr="00297C8C">
        <w:rPr>
          <w:lang w:val="en-US"/>
        </w:rPr>
        <w:t xml:space="preserve">This system allowed to deduced </w:t>
      </w:r>
      <w:r w:rsidRPr="00297C8C">
        <w:rPr>
          <w:lang w:val="en-US"/>
        </w:rPr>
        <w:t>an important dynamic behavior of the glycan termini</w:t>
      </w:r>
      <w:r w:rsidR="000C7CC3" w:rsidRPr="00297C8C">
        <w:rPr>
          <w:lang w:val="en-US"/>
        </w:rPr>
        <w:t xml:space="preserve"> of Fc glycans</w:t>
      </w:r>
      <w:r w:rsidRPr="00297C8C">
        <w:rPr>
          <w:lang w:val="en-US"/>
        </w:rPr>
        <w:t>.</w:t>
      </w:r>
      <w:r w:rsidR="00E7401C" w:rsidRPr="00297C8C">
        <w:rPr>
          <w:vertAlign w:val="superscript"/>
          <w:lang w:val="en-US"/>
        </w:rPr>
        <w:t>82</w:t>
      </w:r>
      <w:r w:rsidRPr="00297C8C">
        <w:rPr>
          <w:lang w:val="en-US"/>
        </w:rPr>
        <w:t xml:space="preserve"> A similar </w:t>
      </w:r>
      <w:r w:rsidR="000131B2" w:rsidRPr="00297C8C">
        <w:rPr>
          <w:lang w:val="en-US"/>
        </w:rPr>
        <w:t>approach</w:t>
      </w:r>
      <w:r w:rsidRPr="00297C8C">
        <w:rPr>
          <w:lang w:val="en-US"/>
        </w:rPr>
        <w:t xml:space="preserve"> has been recently used for generating a model for the complex between the cell surface signaling</w:t>
      </w:r>
      <w:r w:rsidRPr="00A56448">
        <w:rPr>
          <w:lang w:val="en-US"/>
        </w:rPr>
        <w:t xml:space="preserve"> glycoprotein Robo1-Ig1-2, sparsely labeled with stable NMR-active isotopes, and </w:t>
      </w:r>
      <w:r w:rsidRPr="00297C8C">
        <w:rPr>
          <w:lang w:val="en-US"/>
        </w:rPr>
        <w:t>a</w:t>
      </w:r>
      <w:r w:rsidRPr="002C6D1F">
        <w:rPr>
          <w:highlight w:val="lightGray"/>
          <w:lang w:val="en-US"/>
        </w:rPr>
        <w:t xml:space="preserve"> </w:t>
      </w:r>
      <w:r w:rsidRPr="00297C8C">
        <w:rPr>
          <w:lang w:val="en-US"/>
        </w:rPr>
        <w:t>hepar</w:t>
      </w:r>
      <w:r w:rsidR="008E1E98" w:rsidRPr="00297C8C">
        <w:rPr>
          <w:lang w:val="en-US"/>
        </w:rPr>
        <w:t>a</w:t>
      </w:r>
      <w:r w:rsidRPr="00297C8C">
        <w:rPr>
          <w:lang w:val="en-US"/>
        </w:rPr>
        <w:t>n</w:t>
      </w:r>
      <w:r w:rsidRPr="00A56448">
        <w:rPr>
          <w:lang w:val="en-US"/>
        </w:rPr>
        <w:t xml:space="preserve"> sulfate tetramer.</w:t>
      </w:r>
      <w:r w:rsidR="00854F04">
        <w:rPr>
          <w:vertAlign w:val="superscript"/>
          <w:lang w:val="en-US"/>
        </w:rPr>
        <w:t>83</w:t>
      </w:r>
      <w:r w:rsidRPr="00A56448">
        <w:rPr>
          <w:lang w:val="en-US"/>
        </w:rPr>
        <w:t xml:space="preserve"> </w:t>
      </w:r>
    </w:p>
    <w:p w14:paraId="0162C288" w14:textId="12C0D283" w:rsidR="00A56448" w:rsidRPr="00A56448" w:rsidRDefault="00A56448" w:rsidP="00A56448">
      <w:pPr>
        <w:pStyle w:val="RSCB02ArticleText"/>
        <w:rPr>
          <w:lang w:val="en-US"/>
        </w:rPr>
      </w:pPr>
      <w:r w:rsidRPr="00A56448">
        <w:rPr>
          <w:lang w:val="en-US"/>
        </w:rPr>
        <w:t xml:space="preserve">The paramagnetic effect can alternatively be provided by a spin-label, although in this case, only the </w:t>
      </w:r>
      <w:r w:rsidR="000131B2">
        <w:rPr>
          <w:lang w:val="en-US"/>
        </w:rPr>
        <w:t>paramagnetic r</w:t>
      </w:r>
      <w:r w:rsidR="000131B2" w:rsidRPr="000131B2">
        <w:rPr>
          <w:lang w:val="en-US"/>
        </w:rPr>
        <w:t xml:space="preserve">elaxation </w:t>
      </w:r>
      <w:r w:rsidR="000131B2">
        <w:rPr>
          <w:lang w:val="en-US"/>
        </w:rPr>
        <w:t>e</w:t>
      </w:r>
      <w:r w:rsidR="000131B2" w:rsidRPr="000131B2">
        <w:rPr>
          <w:lang w:val="en-US"/>
        </w:rPr>
        <w:t xml:space="preserve">nhancement </w:t>
      </w:r>
      <w:r w:rsidR="000131B2">
        <w:rPr>
          <w:lang w:val="en-US"/>
        </w:rPr>
        <w:t>(</w:t>
      </w:r>
      <w:r w:rsidRPr="00A56448">
        <w:rPr>
          <w:lang w:val="en-US"/>
        </w:rPr>
        <w:t>PRE</w:t>
      </w:r>
      <w:r w:rsidR="000131B2">
        <w:rPr>
          <w:lang w:val="en-US"/>
        </w:rPr>
        <w:t>)</w:t>
      </w:r>
      <w:r w:rsidRPr="00A56448">
        <w:rPr>
          <w:lang w:val="en-US"/>
        </w:rPr>
        <w:t xml:space="preserve"> effect will take place. This phenomenon </w:t>
      </w:r>
      <w:r w:rsidR="009915C0">
        <w:rPr>
          <w:lang w:val="en-US"/>
        </w:rPr>
        <w:t>was</w:t>
      </w:r>
      <w:r w:rsidRPr="00A56448">
        <w:rPr>
          <w:lang w:val="en-US"/>
        </w:rPr>
        <w:t xml:space="preserve"> exploited in the </w:t>
      </w:r>
      <w:r w:rsidR="009915C0">
        <w:rPr>
          <w:lang w:val="en-US"/>
        </w:rPr>
        <w:t xml:space="preserve">early </w:t>
      </w:r>
      <w:r w:rsidRPr="00A56448">
        <w:rPr>
          <w:lang w:val="en-US"/>
        </w:rPr>
        <w:t>study of the binding between N-acetyllactosamine and gal-3,</w:t>
      </w:r>
      <w:r w:rsidR="00E93133">
        <w:rPr>
          <w:vertAlign w:val="superscript"/>
          <w:lang w:val="en-US"/>
        </w:rPr>
        <w:t>84</w:t>
      </w:r>
      <w:r w:rsidRPr="00A56448">
        <w:rPr>
          <w:lang w:val="en-US"/>
        </w:rPr>
        <w:t xml:space="preserve"> as well as for investigating the recognition features of a glycan acceptor mimic and </w:t>
      </w:r>
      <w:r w:rsidRPr="00081ED6">
        <w:rPr>
          <w:rFonts w:ascii="Symbol" w:hAnsi="Symbol"/>
          <w:lang w:val="en-US"/>
        </w:rPr>
        <w:t></w:t>
      </w:r>
      <w:r w:rsidRPr="00A56448">
        <w:rPr>
          <w:lang w:val="en-US"/>
        </w:rPr>
        <w:t>-2,6-</w:t>
      </w:r>
      <w:r w:rsidRPr="00A56448">
        <w:rPr>
          <w:lang w:val="en-US"/>
        </w:rPr>
        <w:t>sialyltransferase (ST6Gal-I).</w:t>
      </w:r>
      <w:r w:rsidR="00E93133">
        <w:rPr>
          <w:vertAlign w:val="superscript"/>
          <w:lang w:val="en-US"/>
        </w:rPr>
        <w:t>85</w:t>
      </w:r>
      <w:r w:rsidRPr="00A56448">
        <w:rPr>
          <w:lang w:val="en-US"/>
        </w:rPr>
        <w:t xml:space="preserve"> In this particular cases, the spin label was introduced on the ligand. A similar strategy has been employed for exploring the dynamic behavior of a high-mannose undecasaccharide N-glycan.</w:t>
      </w:r>
      <w:r w:rsidR="00E93133">
        <w:rPr>
          <w:vertAlign w:val="superscript"/>
          <w:lang w:val="en-US"/>
        </w:rPr>
        <w:t>86</w:t>
      </w:r>
    </w:p>
    <w:p w14:paraId="44CD95A1" w14:textId="2E5D7F89" w:rsidR="007851AE" w:rsidRDefault="00A56448" w:rsidP="00A56448">
      <w:pPr>
        <w:pStyle w:val="RSCB02ArticleText"/>
        <w:rPr>
          <w:lang w:val="en-US"/>
        </w:rPr>
      </w:pPr>
      <w:r w:rsidRPr="00A56448">
        <w:rPr>
          <w:lang w:val="en-US"/>
        </w:rPr>
        <w:t xml:space="preserve">Another interesting strategy is the use of labeled glycans with stable NMR-active isotopes. For instance, studies with </w:t>
      </w:r>
      <w:r w:rsidRPr="00A56448">
        <w:rPr>
          <w:vertAlign w:val="superscript"/>
          <w:lang w:val="en-US"/>
        </w:rPr>
        <w:t>13</w:t>
      </w:r>
      <w:r w:rsidRPr="00A56448">
        <w:rPr>
          <w:lang w:val="en-US"/>
        </w:rPr>
        <w:t xml:space="preserve">C-labeled glycans take advantage from the large signal dispersion provided by the </w:t>
      </w:r>
      <w:r w:rsidRPr="00A56448">
        <w:rPr>
          <w:vertAlign w:val="superscript"/>
          <w:lang w:val="en-US"/>
        </w:rPr>
        <w:t>13</w:t>
      </w:r>
      <w:r w:rsidRPr="00A56448">
        <w:rPr>
          <w:lang w:val="en-US"/>
        </w:rPr>
        <w:t xml:space="preserve">C nuclei as well as from the higher sensitivity. Furthermore, the use of </w:t>
      </w:r>
      <w:r w:rsidRPr="00A56448">
        <w:rPr>
          <w:vertAlign w:val="superscript"/>
          <w:lang w:val="en-US"/>
        </w:rPr>
        <w:t>13</w:t>
      </w:r>
      <w:r w:rsidRPr="00A56448">
        <w:rPr>
          <w:lang w:val="en-US"/>
        </w:rPr>
        <w:t>C-labeling sugars do</w:t>
      </w:r>
      <w:r w:rsidR="008E1E98">
        <w:rPr>
          <w:lang w:val="en-US"/>
        </w:rPr>
        <w:t>es</w:t>
      </w:r>
      <w:r w:rsidRPr="00A56448">
        <w:rPr>
          <w:lang w:val="en-US"/>
        </w:rPr>
        <w:t xml:space="preserve"> not limit ligand observation to fast exchange complexes in the NMR chemical shift timescales. This approach was first used for the study of natural polysaccharides that were metabolically produced by the </w:t>
      </w:r>
      <w:r w:rsidR="003C53DB" w:rsidRPr="00297C8C">
        <w:rPr>
          <w:lang w:val="en-US"/>
        </w:rPr>
        <w:t>glycan producing</w:t>
      </w:r>
      <w:r w:rsidR="003C53DB">
        <w:rPr>
          <w:lang w:val="en-US"/>
        </w:rPr>
        <w:t xml:space="preserve"> </w:t>
      </w:r>
      <w:r w:rsidRPr="00A56448">
        <w:rPr>
          <w:lang w:val="en-US"/>
        </w:rPr>
        <w:t xml:space="preserve">organism grown in rich medium supplemented by </w:t>
      </w:r>
      <w:r w:rsidRPr="00A56448">
        <w:rPr>
          <w:vertAlign w:val="superscript"/>
          <w:lang w:val="en-US"/>
        </w:rPr>
        <w:t>13</w:t>
      </w:r>
      <w:r w:rsidRPr="00A56448">
        <w:rPr>
          <w:lang w:val="en-US"/>
        </w:rPr>
        <w:t>C-glucose,</w:t>
      </w:r>
      <w:r w:rsidR="00007C7C">
        <w:rPr>
          <w:vertAlign w:val="superscript"/>
          <w:lang w:val="en-US"/>
        </w:rPr>
        <w:t>87</w:t>
      </w:r>
      <w:r w:rsidR="00081ED6">
        <w:rPr>
          <w:vertAlign w:val="superscript"/>
          <w:lang w:val="en-US"/>
        </w:rPr>
        <w:t>,</w:t>
      </w:r>
      <w:r w:rsidR="00007C7C">
        <w:rPr>
          <w:vertAlign w:val="superscript"/>
          <w:lang w:val="en-US"/>
        </w:rPr>
        <w:t>88</w:t>
      </w:r>
      <w:r w:rsidRPr="00A56448">
        <w:rPr>
          <w:lang w:val="en-US"/>
        </w:rPr>
        <w:t xml:space="preserve"> or UDP-</w:t>
      </w:r>
      <w:r w:rsidRPr="00A56448">
        <w:rPr>
          <w:vertAlign w:val="superscript"/>
          <w:lang w:val="en-US"/>
        </w:rPr>
        <w:t>13</w:t>
      </w:r>
      <w:r w:rsidRPr="00A56448">
        <w:rPr>
          <w:lang w:val="en-US"/>
        </w:rPr>
        <w:t>C-Glc as a precursor.</w:t>
      </w:r>
      <w:r w:rsidR="00007C7C">
        <w:rPr>
          <w:vertAlign w:val="superscript"/>
          <w:lang w:val="en-US"/>
        </w:rPr>
        <w:t>89</w:t>
      </w:r>
      <w:r w:rsidRPr="00A56448">
        <w:rPr>
          <w:vertAlign w:val="superscript"/>
          <w:lang w:val="en-US"/>
        </w:rPr>
        <w:t>,</w:t>
      </w:r>
      <w:r w:rsidR="00007C7C">
        <w:rPr>
          <w:vertAlign w:val="superscript"/>
          <w:lang w:val="en-US"/>
        </w:rPr>
        <w:t>90</w:t>
      </w:r>
      <w:r w:rsidRPr="00A56448">
        <w:rPr>
          <w:lang w:val="en-US"/>
        </w:rPr>
        <w:t xml:space="preserve"> </w:t>
      </w:r>
    </w:p>
    <w:p w14:paraId="1DF21122" w14:textId="77777777" w:rsidR="007851AE" w:rsidRDefault="00A56448" w:rsidP="00A56448">
      <w:pPr>
        <w:pStyle w:val="RSCB02ArticleText"/>
        <w:rPr>
          <w:lang w:val="en-US"/>
        </w:rPr>
      </w:pPr>
      <w:r w:rsidRPr="00A56448">
        <w:rPr>
          <w:lang w:val="en-US"/>
        </w:rPr>
        <w:t xml:space="preserve">But more interesting is the development of protocols for the metabolic production of specific glycans by overexpression on genetically engineered production systems. Thus, uniformly </w:t>
      </w:r>
      <w:r w:rsidRPr="00A56448">
        <w:rPr>
          <w:vertAlign w:val="superscript"/>
          <w:lang w:val="en-US"/>
        </w:rPr>
        <w:t>13</w:t>
      </w:r>
      <w:r w:rsidRPr="00A56448">
        <w:rPr>
          <w:lang w:val="en-US"/>
        </w:rPr>
        <w:t xml:space="preserve">C-labeled Man9 and Man8D have been produced by using a genetically engineered yeast cultivated with </w:t>
      </w:r>
      <w:r w:rsidRPr="00A56448">
        <w:rPr>
          <w:vertAlign w:val="superscript"/>
          <w:lang w:val="en-US"/>
        </w:rPr>
        <w:t>13</w:t>
      </w:r>
      <w:r w:rsidRPr="00A56448">
        <w:rPr>
          <w:lang w:val="en-US"/>
        </w:rPr>
        <w:t>C-glucose as the carbon source.</w:t>
      </w:r>
      <w:r w:rsidR="00BA60BA">
        <w:rPr>
          <w:vertAlign w:val="superscript"/>
          <w:lang w:val="en-US"/>
        </w:rPr>
        <w:t>91</w:t>
      </w:r>
      <w:r w:rsidRPr="00A56448">
        <w:rPr>
          <w:vertAlign w:val="superscript"/>
          <w:lang w:val="en-US"/>
        </w:rPr>
        <w:t>,</w:t>
      </w:r>
      <w:r w:rsidR="00BA60BA">
        <w:rPr>
          <w:vertAlign w:val="superscript"/>
          <w:lang w:val="en-US"/>
        </w:rPr>
        <w:t>92</w:t>
      </w:r>
      <w:r w:rsidRPr="00A56448">
        <w:rPr>
          <w:lang w:val="en-US"/>
        </w:rPr>
        <w:t xml:space="preserve"> A different protocol for the production of Man9 has been described, based on an adenovirus-based expression system that was used to monitor its interaction with the lectins microvirin and DC-SIGN.</w:t>
      </w:r>
      <w:r w:rsidR="00BA60BA">
        <w:rPr>
          <w:vertAlign w:val="superscript"/>
          <w:lang w:val="en-US"/>
        </w:rPr>
        <w:t>93</w:t>
      </w:r>
      <w:r w:rsidRPr="00A56448">
        <w:rPr>
          <w:lang w:val="en-US"/>
        </w:rPr>
        <w:t xml:space="preserve"> As an alternative, </w:t>
      </w:r>
      <w:r w:rsidRPr="00A56448">
        <w:rPr>
          <w:i/>
          <w:lang w:val="en-US"/>
        </w:rPr>
        <w:t>in vitro</w:t>
      </w:r>
      <w:r w:rsidRPr="00A56448">
        <w:rPr>
          <w:lang w:val="en-US"/>
        </w:rPr>
        <w:t xml:space="preserve"> chemoenzymatic labeling approaches have also been successfully developed. In this case, however, the corresponding sugar nucleotide donor has to be available in its </w:t>
      </w:r>
      <w:r w:rsidRPr="00A56448">
        <w:rPr>
          <w:vertAlign w:val="superscript"/>
          <w:lang w:val="en-US"/>
        </w:rPr>
        <w:t>13</w:t>
      </w:r>
      <w:r w:rsidRPr="00A56448">
        <w:rPr>
          <w:lang w:val="en-US"/>
        </w:rPr>
        <w:t xml:space="preserve">C-labeled form. By using this potent methodology, </w:t>
      </w:r>
      <w:r w:rsidRPr="00A56448">
        <w:rPr>
          <w:vertAlign w:val="superscript"/>
          <w:lang w:val="en-US"/>
        </w:rPr>
        <w:t>13</w:t>
      </w:r>
      <w:r w:rsidRPr="00A56448">
        <w:rPr>
          <w:lang w:val="en-US"/>
        </w:rPr>
        <w:t>C-labeled Neu5Ac,</w:t>
      </w:r>
      <w:r w:rsidR="00857BB2">
        <w:rPr>
          <w:vertAlign w:val="superscript"/>
          <w:lang w:val="en-US"/>
        </w:rPr>
        <w:t>94</w:t>
      </w:r>
      <w:r w:rsidRPr="00A56448">
        <w:rPr>
          <w:vertAlign w:val="superscript"/>
          <w:lang w:val="en-US"/>
        </w:rPr>
        <w:t>,</w:t>
      </w:r>
      <w:r w:rsidR="00857BB2">
        <w:rPr>
          <w:vertAlign w:val="superscript"/>
          <w:lang w:val="en-US"/>
        </w:rPr>
        <w:t>95</w:t>
      </w:r>
      <w:r w:rsidRPr="00A56448">
        <w:rPr>
          <w:lang w:val="en-US"/>
        </w:rPr>
        <w:t xml:space="preserve"> Gal,</w:t>
      </w:r>
      <w:r w:rsidR="00857BB2">
        <w:rPr>
          <w:vertAlign w:val="superscript"/>
          <w:lang w:val="en-US"/>
        </w:rPr>
        <w:t>96</w:t>
      </w:r>
      <w:r w:rsidRPr="00A56448">
        <w:rPr>
          <w:lang w:val="en-US"/>
        </w:rPr>
        <w:t xml:space="preserve"> GlcNAc,</w:t>
      </w:r>
      <w:r w:rsidR="00857BB2">
        <w:rPr>
          <w:vertAlign w:val="superscript"/>
          <w:lang w:val="en-US"/>
        </w:rPr>
        <w:t>97</w:t>
      </w:r>
      <w:r w:rsidRPr="00A56448">
        <w:rPr>
          <w:lang w:val="en-US"/>
        </w:rPr>
        <w:t xml:space="preserve"> and</w:t>
      </w:r>
      <w:r w:rsidR="00247753">
        <w:rPr>
          <w:lang w:val="en-US"/>
        </w:rPr>
        <w:t xml:space="preserve"> </w:t>
      </w:r>
      <w:r w:rsidRPr="00A56448">
        <w:rPr>
          <w:lang w:val="en-US"/>
        </w:rPr>
        <w:t>Glc</w:t>
      </w:r>
      <w:r w:rsidR="00857BB2">
        <w:rPr>
          <w:vertAlign w:val="superscript"/>
          <w:lang w:val="en-US"/>
        </w:rPr>
        <w:t>98</w:t>
      </w:r>
      <w:r w:rsidRPr="00A56448">
        <w:rPr>
          <w:lang w:val="en-US"/>
        </w:rPr>
        <w:t xml:space="preserve"> residues have been added to terminal positions of N-glycans. This smart enzymatic glycan remodeling strategies allows thus to obtain well defined and homogeneous glycoforms (devoid of the typical glycosylation heterogeneity) labeled at specific positions, opening promising possibilities for being used as probes in glycan-protein interactions. The dynamic behavior of the N-glycan termini of IgG</w:t>
      </w:r>
      <w:r w:rsidR="00561FCA">
        <w:rPr>
          <w:vertAlign w:val="superscript"/>
          <w:lang w:val="en-US"/>
        </w:rPr>
        <w:t>99</w:t>
      </w:r>
      <w:r w:rsidRPr="00A56448">
        <w:rPr>
          <w:lang w:val="en-US"/>
        </w:rPr>
        <w:t xml:space="preserve"> has been characterized in this way.</w:t>
      </w:r>
    </w:p>
    <w:p w14:paraId="6A880F4E" w14:textId="650B89CB" w:rsidR="00A56448" w:rsidRPr="00A56448" w:rsidRDefault="00A56448" w:rsidP="00A56448">
      <w:pPr>
        <w:pStyle w:val="RSCB02ArticleText"/>
        <w:rPr>
          <w:lang w:val="en-US"/>
        </w:rPr>
      </w:pPr>
      <w:r w:rsidRPr="00A56448">
        <w:rPr>
          <w:lang w:val="en-US"/>
        </w:rPr>
        <w:t xml:space="preserve"> Alternatively,</w:t>
      </w:r>
      <w:r w:rsidR="00E341A8">
        <w:rPr>
          <w:lang w:val="en-US"/>
        </w:rPr>
        <w:t xml:space="preserve"> the whole </w:t>
      </w:r>
      <w:r w:rsidR="00E341A8" w:rsidRPr="00297C8C">
        <w:rPr>
          <w:lang w:val="en-US"/>
        </w:rPr>
        <w:t>glycoprotein can</w:t>
      </w:r>
      <w:r w:rsidRPr="00297C8C">
        <w:rPr>
          <w:lang w:val="en-US"/>
        </w:rPr>
        <w:t xml:space="preserve"> be metabolically produced by growing the selected expression system (provided with glycosylation machinery) in specific labeled media</w:t>
      </w:r>
      <w:r w:rsidR="00CF0CE9" w:rsidRPr="00297C8C">
        <w:rPr>
          <w:lang w:val="en-US"/>
        </w:rPr>
        <w:t>. The</w:t>
      </w:r>
      <w:r w:rsidR="00AB4C59" w:rsidRPr="00297C8C">
        <w:rPr>
          <w:lang w:val="en-US"/>
        </w:rPr>
        <w:t xml:space="preserve"> </w:t>
      </w:r>
      <w:r w:rsidR="00CF0CE9" w:rsidRPr="00297C8C">
        <w:rPr>
          <w:lang w:val="en-US"/>
        </w:rPr>
        <w:t>obtained fully labeled glycoprotein can be subsequently submitted to the above mentioned glycan remodeling steps</w:t>
      </w:r>
      <w:r w:rsidRPr="00297C8C">
        <w:rPr>
          <w:lang w:val="en-US"/>
        </w:rPr>
        <w:t xml:space="preserve"> </w:t>
      </w:r>
      <w:r w:rsidR="00CF0CE9" w:rsidRPr="00297C8C">
        <w:rPr>
          <w:lang w:val="en-US"/>
        </w:rPr>
        <w:t xml:space="preserve">to </w:t>
      </w:r>
      <w:r w:rsidRPr="00297C8C">
        <w:rPr>
          <w:lang w:val="en-US"/>
        </w:rPr>
        <w:t>produce</w:t>
      </w:r>
      <w:r w:rsidR="00B24744" w:rsidRPr="00297C8C">
        <w:rPr>
          <w:lang w:val="en-US"/>
        </w:rPr>
        <w:t xml:space="preserve"> homogeneous</w:t>
      </w:r>
      <w:r w:rsidR="00D5343A" w:rsidRPr="00297C8C">
        <w:rPr>
          <w:lang w:val="en-US"/>
        </w:rPr>
        <w:t>ly</w:t>
      </w:r>
      <w:r w:rsidR="00B24744" w:rsidRPr="00297C8C">
        <w:rPr>
          <w:lang w:val="en-US"/>
        </w:rPr>
        <w:t xml:space="preserve"> glycosylated labeled</w:t>
      </w:r>
      <w:r w:rsidRPr="00297C8C">
        <w:rPr>
          <w:lang w:val="en-US"/>
        </w:rPr>
        <w:t xml:space="preserve"> </w:t>
      </w:r>
      <w:r w:rsidR="00CF0CE9" w:rsidRPr="00297C8C">
        <w:rPr>
          <w:lang w:val="en-US"/>
        </w:rPr>
        <w:t xml:space="preserve">glycoproteins with </w:t>
      </w:r>
      <w:r w:rsidRPr="00297C8C">
        <w:rPr>
          <w:lang w:val="en-US"/>
        </w:rPr>
        <w:t>different labeling schemes</w:t>
      </w:r>
      <w:r w:rsidR="00CF0CE9" w:rsidRPr="00297C8C">
        <w:rPr>
          <w:lang w:val="en-US"/>
        </w:rPr>
        <w:t xml:space="preserve"> on the carbohydrate moieties</w:t>
      </w:r>
      <w:r w:rsidRPr="00297C8C">
        <w:rPr>
          <w:lang w:val="en-US"/>
        </w:rPr>
        <w:t>.</w:t>
      </w:r>
      <w:r w:rsidR="00D5343A" w:rsidRPr="00297C8C">
        <w:rPr>
          <w:vertAlign w:val="superscript"/>
          <w:lang w:val="en-US"/>
        </w:rPr>
        <w:t>100</w:t>
      </w:r>
      <w:r w:rsidRPr="00297C8C">
        <w:rPr>
          <w:lang w:val="en-US"/>
        </w:rPr>
        <w:t xml:space="preserve"> T</w:t>
      </w:r>
      <w:r w:rsidRPr="00A56448">
        <w:rPr>
          <w:lang w:val="en-US"/>
        </w:rPr>
        <w:t>his approach has been employed for human IgG, for which glycosylation is known to have a dramatic influence on their effector functions. Indeed, diverse labeling strategies have been explored for the production of tailored glycosylated forms of human IgG1-Fc with different labeling schemes.</w:t>
      </w:r>
      <w:r w:rsidR="00E6578D">
        <w:rPr>
          <w:vertAlign w:val="superscript"/>
          <w:lang w:val="en-US"/>
        </w:rPr>
        <w:t>101</w:t>
      </w:r>
      <w:r w:rsidRPr="00A56448">
        <w:rPr>
          <w:lang w:val="en-US"/>
        </w:rPr>
        <w:t xml:space="preserve"> For instance, uniformly </w:t>
      </w:r>
      <w:r w:rsidRPr="00A56448">
        <w:rPr>
          <w:vertAlign w:val="superscript"/>
          <w:lang w:val="en-US"/>
        </w:rPr>
        <w:t>15</w:t>
      </w:r>
      <w:r w:rsidRPr="00A56448">
        <w:rPr>
          <w:lang w:val="en-US"/>
        </w:rPr>
        <w:t>N/</w:t>
      </w:r>
      <w:r w:rsidRPr="00A56448">
        <w:rPr>
          <w:vertAlign w:val="superscript"/>
          <w:lang w:val="en-US"/>
        </w:rPr>
        <w:t>13</w:t>
      </w:r>
      <w:r w:rsidRPr="00A56448">
        <w:rPr>
          <w:lang w:val="en-US"/>
        </w:rPr>
        <w:t xml:space="preserve">C-labeled, as well as amino acid-selective-labeled IgG1 have been expressed in </w:t>
      </w:r>
      <w:r w:rsidR="00AB4C59">
        <w:rPr>
          <w:lang w:val="en-US"/>
        </w:rPr>
        <w:t>c</w:t>
      </w:r>
      <w:r w:rsidR="00AB4C59" w:rsidRPr="00AB4C59">
        <w:rPr>
          <w:lang w:val="en-US"/>
        </w:rPr>
        <w:t>hinese hamster ovary (CHO) cells</w:t>
      </w:r>
      <w:r w:rsidRPr="00A56448">
        <w:rPr>
          <w:lang w:val="en-US"/>
        </w:rPr>
        <w:t>.</w:t>
      </w:r>
      <w:r w:rsidR="00E6578D">
        <w:rPr>
          <w:vertAlign w:val="superscript"/>
          <w:lang w:val="en-US"/>
        </w:rPr>
        <w:t>102</w:t>
      </w:r>
      <w:r w:rsidRPr="00A56448">
        <w:rPr>
          <w:lang w:val="en-US"/>
        </w:rPr>
        <w:t xml:space="preserve"> The heterogeneously glycosylated Fc fragment was isolated and subjected to different glyco-enzymatic remodeling steps to produce Fc with tailored glycoforms, which were studied by </w:t>
      </w:r>
      <w:r w:rsidRPr="00A56448">
        <w:rPr>
          <w:vertAlign w:val="superscript"/>
          <w:lang w:val="en-US"/>
        </w:rPr>
        <w:t>1</w:t>
      </w:r>
      <w:r w:rsidRPr="00A56448">
        <w:rPr>
          <w:lang w:val="en-US"/>
        </w:rPr>
        <w:t>H-</w:t>
      </w:r>
      <w:r w:rsidRPr="00A56448">
        <w:rPr>
          <w:vertAlign w:val="superscript"/>
          <w:lang w:val="en-US"/>
        </w:rPr>
        <w:t>15</w:t>
      </w:r>
      <w:r w:rsidRPr="00A56448">
        <w:rPr>
          <w:lang w:val="en-US"/>
        </w:rPr>
        <w:t>N HSQC NMR. In this way, the influence of these different glycoforms in the Fc peptidic fragment was evaluated.</w:t>
      </w:r>
      <w:r w:rsidR="00E6578D">
        <w:rPr>
          <w:vertAlign w:val="superscript"/>
          <w:lang w:val="en-US"/>
        </w:rPr>
        <w:t>103</w:t>
      </w:r>
      <w:r w:rsidRPr="00A56448">
        <w:rPr>
          <w:lang w:val="en-US"/>
        </w:rPr>
        <w:t xml:space="preserve"> The analysis of the interaction with the human soluble Fc</w:t>
      </w:r>
      <w:r w:rsidRPr="0095681C">
        <w:rPr>
          <w:rFonts w:ascii="Symbol" w:hAnsi="Symbol"/>
          <w:lang w:val="en-US"/>
        </w:rPr>
        <w:t></w:t>
      </w:r>
      <w:r w:rsidR="0095681C">
        <w:rPr>
          <w:lang w:val="en-US"/>
        </w:rPr>
        <w:t>R</w:t>
      </w:r>
      <w:r w:rsidRPr="00A56448">
        <w:rPr>
          <w:lang w:val="en-US"/>
        </w:rPr>
        <w:t xml:space="preserve"> and with the </w:t>
      </w:r>
      <w:r w:rsidRPr="00A56448">
        <w:rPr>
          <w:lang w:val="en-US"/>
        </w:rPr>
        <w:lastRenderedPageBreak/>
        <w:t>staphylococcal protein A revealed that the carbohydrate moieties on IgG-Fc are essential for maintaining the structural integrity of the Fc</w:t>
      </w:r>
      <w:r w:rsidRPr="00555A16">
        <w:rPr>
          <w:rFonts w:ascii="Symbol" w:hAnsi="Symbol"/>
          <w:lang w:val="en-US"/>
        </w:rPr>
        <w:t></w:t>
      </w:r>
      <w:r w:rsidRPr="00A56448">
        <w:rPr>
          <w:lang w:val="en-US"/>
        </w:rPr>
        <w:t>R binding site. The specific role of fucosylation has been also addressed.</w:t>
      </w:r>
      <w:r w:rsidR="00E6578D">
        <w:rPr>
          <w:vertAlign w:val="superscript"/>
          <w:lang w:val="en-US"/>
        </w:rPr>
        <w:t>104</w:t>
      </w:r>
      <w:r w:rsidRPr="00A56448">
        <w:rPr>
          <w:lang w:val="en-US"/>
        </w:rPr>
        <w:t xml:space="preserve"> In this case, uniformly and amino acid-selective-labeled forms of nonfucosylated IgG1-Fc glycoprotein were produced from genetically engineered FUT8-/-CHO cell lines, and compared with the corresponding fucosylated glycoprotein. The interpretation of the </w:t>
      </w:r>
      <w:r w:rsidRPr="00A56448">
        <w:rPr>
          <w:vertAlign w:val="superscript"/>
          <w:lang w:val="en-US"/>
        </w:rPr>
        <w:t>1</w:t>
      </w:r>
      <w:r w:rsidRPr="00A56448">
        <w:rPr>
          <w:lang w:val="en-US"/>
        </w:rPr>
        <w:t>H-</w:t>
      </w:r>
      <w:r w:rsidRPr="00A56448">
        <w:rPr>
          <w:vertAlign w:val="superscript"/>
          <w:lang w:val="en-US"/>
        </w:rPr>
        <w:t>15</w:t>
      </w:r>
      <w:r w:rsidRPr="00A56448">
        <w:rPr>
          <w:lang w:val="en-US"/>
        </w:rPr>
        <w:t>N HSQC spectra showed that the Fc peptide region affected by fucosylation is limited to a very few amino acids, indicating that the effect implies a subtle conformational alteration. In particular, the authors identified a local conformational fluctuation around residue Y296, which would be more flexible and thus adjustable for Fc</w:t>
      </w:r>
      <w:r w:rsidRPr="007D6FD0">
        <w:rPr>
          <w:rFonts w:ascii="Symbol" w:hAnsi="Symbol"/>
          <w:lang w:val="en-US"/>
        </w:rPr>
        <w:t></w:t>
      </w:r>
      <w:r w:rsidRPr="00A56448">
        <w:rPr>
          <w:lang w:val="en-US"/>
        </w:rPr>
        <w:t>R binding in the non-fucosylated form compared to the fuco</w:t>
      </w:r>
      <w:r w:rsidR="009915C0">
        <w:rPr>
          <w:lang w:val="en-US"/>
        </w:rPr>
        <w:t>sy</w:t>
      </w:r>
      <w:r w:rsidRPr="00A56448">
        <w:rPr>
          <w:lang w:val="en-US"/>
        </w:rPr>
        <w:t>lated one. Recently, this hypothesis has been reinforced by molecular dynamics simulations based on the available X-ray crystallographic structures.</w:t>
      </w:r>
      <w:r w:rsidR="00E6578D">
        <w:rPr>
          <w:vertAlign w:val="superscript"/>
          <w:lang w:val="en-US"/>
        </w:rPr>
        <w:t>105</w:t>
      </w:r>
      <w:r w:rsidRPr="00A56448">
        <w:rPr>
          <w:lang w:val="en-US"/>
        </w:rPr>
        <w:t xml:space="preserve"> Thus, access to different glycoprotein labeling schemes opens new opportunities to study the structural role of glycans, either by participating in direct contacts with receptors or by modulating protein conformation. Other expression systems for the stable-isotope-labeling of eukaryotic glycoproteins are also available.</w:t>
      </w:r>
      <w:r w:rsidR="00F824EF">
        <w:rPr>
          <w:vertAlign w:val="superscript"/>
          <w:lang w:val="en-US"/>
        </w:rPr>
        <w:t>106</w:t>
      </w:r>
    </w:p>
    <w:p w14:paraId="00C007E5" w14:textId="7CA1A76A" w:rsidR="00A56448" w:rsidRDefault="00A56448" w:rsidP="00A56448">
      <w:pPr>
        <w:pStyle w:val="RSCB02ArticleText"/>
        <w:rPr>
          <w:lang w:val="en-US"/>
        </w:rPr>
      </w:pPr>
      <w:r w:rsidRPr="00A56448">
        <w:rPr>
          <w:lang w:val="en-US"/>
        </w:rPr>
        <w:t xml:space="preserve">Chemical synthesis can also provide </w:t>
      </w:r>
      <w:r w:rsidRPr="00A56448">
        <w:rPr>
          <w:vertAlign w:val="superscript"/>
          <w:lang w:val="en-US"/>
        </w:rPr>
        <w:t>13</w:t>
      </w:r>
      <w:r w:rsidRPr="00A56448">
        <w:rPr>
          <w:lang w:val="en-US"/>
        </w:rPr>
        <w:t xml:space="preserve">C-labeled oligosaccharides, although in principle less complex structures are accessible in this way. An elegant example is provided by the investigation of the structural and dynamic details of the interaction of </w:t>
      </w:r>
      <w:r w:rsidRPr="00A56448">
        <w:rPr>
          <w:vertAlign w:val="superscript"/>
          <w:lang w:val="en-US"/>
        </w:rPr>
        <w:t>13</w:t>
      </w:r>
      <w:r w:rsidRPr="00A56448">
        <w:rPr>
          <w:lang w:val="en-US"/>
        </w:rPr>
        <w:t>C-labeled version of the Man</w:t>
      </w:r>
      <w:r w:rsidRPr="008A6B96">
        <w:rPr>
          <w:rFonts w:ascii="Symbol" w:hAnsi="Symbol"/>
          <w:lang w:val="en-US"/>
        </w:rPr>
        <w:t></w:t>
      </w:r>
      <w:r w:rsidRPr="00A56448">
        <w:rPr>
          <w:lang w:val="en-US"/>
        </w:rPr>
        <w:t>1-2Man</w:t>
      </w:r>
      <w:r w:rsidRPr="008A6B96">
        <w:rPr>
          <w:rFonts w:ascii="Symbol" w:hAnsi="Symbol"/>
          <w:lang w:val="en-US"/>
        </w:rPr>
        <w:t></w:t>
      </w:r>
      <w:r w:rsidRPr="00A56448">
        <w:rPr>
          <w:lang w:val="en-US"/>
        </w:rPr>
        <w:t>1-2Man</w:t>
      </w:r>
      <w:r w:rsidRPr="008A6B96">
        <w:rPr>
          <w:rFonts w:ascii="Symbol" w:hAnsi="Symbol"/>
          <w:lang w:val="en-US"/>
        </w:rPr>
        <w:t></w:t>
      </w:r>
      <w:r w:rsidRPr="00A56448">
        <w:rPr>
          <w:lang w:val="en-US"/>
        </w:rPr>
        <w:t>OMe trisaccharide with the antiviral lectin cyanovirin-N (CN-V), an interaction which is in the slow chemical shift timescale regime.</w:t>
      </w:r>
      <w:r w:rsidR="00C172E6">
        <w:rPr>
          <w:vertAlign w:val="superscript"/>
          <w:lang w:val="en-US"/>
        </w:rPr>
        <w:t>107</w:t>
      </w:r>
      <w:r w:rsidRPr="00A56448">
        <w:rPr>
          <w:lang w:val="en-US"/>
        </w:rPr>
        <w:t xml:space="preserve"> </w:t>
      </w:r>
      <w:r w:rsidR="00F55336">
        <w:rPr>
          <w:lang w:val="en-US"/>
        </w:rPr>
        <w:t>C</w:t>
      </w:r>
      <w:r w:rsidR="00F55336" w:rsidRPr="00A56448">
        <w:rPr>
          <w:lang w:val="en-US"/>
        </w:rPr>
        <w:t>onsequently</w:t>
      </w:r>
      <w:r w:rsidRPr="00A56448">
        <w:rPr>
          <w:lang w:val="en-US"/>
        </w:rPr>
        <w:t xml:space="preserve">, classical trNOE and STD cannot be applied. Thus, the authors employed a wise combination of </w:t>
      </w:r>
      <w:r w:rsidRPr="00A56448">
        <w:rPr>
          <w:vertAlign w:val="superscript"/>
          <w:lang w:val="en-US"/>
        </w:rPr>
        <w:t>13</w:t>
      </w:r>
      <w:r w:rsidRPr="00A56448">
        <w:rPr>
          <w:lang w:val="en-US"/>
        </w:rPr>
        <w:t xml:space="preserve">C and </w:t>
      </w:r>
      <w:r w:rsidRPr="00A56448">
        <w:rPr>
          <w:vertAlign w:val="superscript"/>
          <w:lang w:val="en-US"/>
        </w:rPr>
        <w:t>15</w:t>
      </w:r>
      <w:r w:rsidRPr="00A56448">
        <w:rPr>
          <w:lang w:val="en-US"/>
        </w:rPr>
        <w:t>N filtered/edited NOESY experiments to characterize the bound conformation of the carbohydrate and to map the binding interface on the protein. More recently,</w:t>
      </w:r>
      <w:r w:rsidR="001D6CE6">
        <w:rPr>
          <w:vertAlign w:val="superscript"/>
          <w:lang w:val="en-US"/>
        </w:rPr>
        <w:t>108</w:t>
      </w:r>
      <w:r w:rsidR="001B69BF">
        <w:rPr>
          <w:lang w:val="en-US"/>
        </w:rPr>
        <w:t xml:space="preserve"> the</w:t>
      </w:r>
      <w:r w:rsidRPr="00A56448">
        <w:rPr>
          <w:lang w:val="en-US"/>
        </w:rPr>
        <w:t xml:space="preserve"> direct detection of the carbohydrate hydroxyl proton resonances has been reported for the same complex. The </w:t>
      </w:r>
      <w:r w:rsidR="001B69BF" w:rsidRPr="001B69BF">
        <w:rPr>
          <w:highlight w:val="lightGray"/>
          <w:lang w:val="en-US"/>
        </w:rPr>
        <w:t xml:space="preserve">use of the fully </w:t>
      </w:r>
      <w:r w:rsidRPr="001B69BF">
        <w:rPr>
          <w:highlight w:val="lightGray"/>
          <w:vertAlign w:val="superscript"/>
          <w:lang w:val="en-US"/>
        </w:rPr>
        <w:t>13</w:t>
      </w:r>
      <w:r w:rsidRPr="001B69BF">
        <w:rPr>
          <w:highlight w:val="lightGray"/>
          <w:lang w:val="en-US"/>
        </w:rPr>
        <w:t>C-labeled</w:t>
      </w:r>
      <w:r w:rsidR="001B69BF" w:rsidRPr="001B69BF">
        <w:rPr>
          <w:highlight w:val="lightGray"/>
          <w:lang w:val="en-US"/>
        </w:rPr>
        <w:t xml:space="preserve"> form of</w:t>
      </w:r>
      <w:r w:rsidRPr="001B69BF">
        <w:rPr>
          <w:highlight w:val="lightGray"/>
          <w:lang w:val="en-US"/>
        </w:rPr>
        <w:t xml:space="preserve"> carbohydrate</w:t>
      </w:r>
      <w:r w:rsidRPr="00A56448">
        <w:rPr>
          <w:lang w:val="en-US"/>
        </w:rPr>
        <w:t xml:space="preserve"> greatly facilitated the NMR analysis and allowed obtaining a key set of intramolecular NOE for the OH </w:t>
      </w:r>
      <w:r w:rsidR="009915C0">
        <w:rPr>
          <w:lang w:val="en-US"/>
        </w:rPr>
        <w:t xml:space="preserve">groups </w:t>
      </w:r>
      <w:r w:rsidRPr="00A56448">
        <w:rPr>
          <w:lang w:val="en-US"/>
        </w:rPr>
        <w:t xml:space="preserve">of the bound </w:t>
      </w:r>
      <w:r w:rsidR="009915C0">
        <w:rPr>
          <w:lang w:val="en-US"/>
        </w:rPr>
        <w:t>sugar</w:t>
      </w:r>
      <w:r w:rsidRPr="00A56448">
        <w:rPr>
          <w:lang w:val="en-US"/>
        </w:rPr>
        <w:t xml:space="preserve"> through 2D-</w:t>
      </w:r>
      <w:r w:rsidRPr="00A56448">
        <w:rPr>
          <w:vertAlign w:val="superscript"/>
          <w:lang w:val="en-US"/>
        </w:rPr>
        <w:t>1</w:t>
      </w:r>
      <w:r w:rsidRPr="00A56448">
        <w:rPr>
          <w:lang w:val="en-US"/>
        </w:rPr>
        <w:t>H,</w:t>
      </w:r>
      <w:r w:rsidRPr="00A56448">
        <w:rPr>
          <w:vertAlign w:val="superscript"/>
          <w:lang w:val="en-US"/>
        </w:rPr>
        <w:t>13</w:t>
      </w:r>
      <w:r w:rsidRPr="00A56448">
        <w:rPr>
          <w:lang w:val="en-US"/>
        </w:rPr>
        <w:t xml:space="preserve">C-HSQC-NOESY, thus even allowing to define their spatial orientation. Since the hydroxyl groups of the carbohydrates are always involved in the interactions with the receptors, the access to this information opens new avenues in the field. Additionally, intermolecular NOEs between sugar OH and amide protein protons could be detected through </w:t>
      </w:r>
      <w:r w:rsidRPr="00A56448">
        <w:rPr>
          <w:vertAlign w:val="superscript"/>
          <w:lang w:val="en-US"/>
        </w:rPr>
        <w:t>13</w:t>
      </w:r>
      <w:r w:rsidRPr="00A56448">
        <w:rPr>
          <w:lang w:val="en-US"/>
        </w:rPr>
        <w:t>C/</w:t>
      </w:r>
      <w:r w:rsidRPr="00A56448">
        <w:rPr>
          <w:vertAlign w:val="superscript"/>
          <w:lang w:val="en-US"/>
        </w:rPr>
        <w:t>15</w:t>
      </w:r>
      <w:r w:rsidRPr="00A56448">
        <w:rPr>
          <w:lang w:val="en-US"/>
        </w:rPr>
        <w:t>N-filtered-NOESY-</w:t>
      </w:r>
      <w:r w:rsidRPr="00A56448">
        <w:rPr>
          <w:vertAlign w:val="superscript"/>
          <w:lang w:val="en-US"/>
        </w:rPr>
        <w:t>1</w:t>
      </w:r>
      <w:r w:rsidRPr="00A56448">
        <w:rPr>
          <w:lang w:val="en-US"/>
        </w:rPr>
        <w:t>H,</w:t>
      </w:r>
      <w:r w:rsidRPr="00A56448">
        <w:rPr>
          <w:vertAlign w:val="superscript"/>
          <w:lang w:val="en-US"/>
        </w:rPr>
        <w:t>15</w:t>
      </w:r>
      <w:r w:rsidRPr="00A56448">
        <w:rPr>
          <w:lang w:val="en-US"/>
        </w:rPr>
        <w:t xml:space="preserve">N-HSQC experiment (the protein in its </w:t>
      </w:r>
      <w:r w:rsidRPr="007D6FD0">
        <w:rPr>
          <w:vertAlign w:val="superscript"/>
          <w:lang w:val="en-US"/>
        </w:rPr>
        <w:t>13</w:t>
      </w:r>
      <w:r w:rsidRPr="00A56448">
        <w:rPr>
          <w:lang w:val="en-US"/>
        </w:rPr>
        <w:t>C/</w:t>
      </w:r>
      <w:r w:rsidRPr="007D6FD0">
        <w:rPr>
          <w:vertAlign w:val="superscript"/>
          <w:lang w:val="en-US"/>
        </w:rPr>
        <w:t>15</w:t>
      </w:r>
      <w:r w:rsidRPr="00A56448">
        <w:rPr>
          <w:lang w:val="en-US"/>
        </w:rPr>
        <w:t xml:space="preserve">N-labeled form) allowing to build the hydrogen bonding network responsible for the complex specificity (Figure 3). </w:t>
      </w:r>
    </w:p>
    <w:p w14:paraId="64BE9F46" w14:textId="77777777" w:rsidR="00AC27D2" w:rsidRDefault="00A56448" w:rsidP="00A56448">
      <w:pPr>
        <w:pStyle w:val="RSCB02ArticleText"/>
        <w:rPr>
          <w:lang w:val="en-US"/>
        </w:rPr>
      </w:pPr>
      <w:r w:rsidRPr="00A56448">
        <w:rPr>
          <w:lang w:val="en-US"/>
        </w:rPr>
        <w:t xml:space="preserve">As </w:t>
      </w:r>
      <w:r w:rsidR="002F0CC9">
        <w:rPr>
          <w:lang w:val="en-US"/>
        </w:rPr>
        <w:t xml:space="preserve">an </w:t>
      </w:r>
      <w:r w:rsidRPr="00A56448">
        <w:rPr>
          <w:lang w:val="en-US"/>
        </w:rPr>
        <w:t xml:space="preserve">alternative, </w:t>
      </w:r>
      <w:r w:rsidRPr="00A56448">
        <w:rPr>
          <w:vertAlign w:val="superscript"/>
          <w:lang w:val="en-US"/>
        </w:rPr>
        <w:t>19</w:t>
      </w:r>
      <w:r w:rsidRPr="00A56448">
        <w:rPr>
          <w:lang w:val="en-US"/>
        </w:rPr>
        <w:t xml:space="preserve">F nuclei can also be used as NMR probes for reporting on biomolecular interactions. Indeed, ligand-based </w:t>
      </w:r>
      <w:r w:rsidRPr="00A56448">
        <w:rPr>
          <w:vertAlign w:val="superscript"/>
          <w:lang w:val="en-US"/>
        </w:rPr>
        <w:t>19</w:t>
      </w:r>
      <w:r w:rsidRPr="00A56448">
        <w:rPr>
          <w:lang w:val="en-US"/>
        </w:rPr>
        <w:t>F NMR strategies have been long used for the drug discovery process, especially for screening molecular libraries.</w:t>
      </w:r>
      <w:r w:rsidR="001D6CE6">
        <w:rPr>
          <w:vertAlign w:val="superscript"/>
          <w:lang w:val="en-US"/>
        </w:rPr>
        <w:t>109</w:t>
      </w:r>
      <w:r w:rsidRPr="00A56448">
        <w:rPr>
          <w:lang w:val="en-US"/>
        </w:rPr>
        <w:t xml:space="preserve"> Although the first applications to the molecular recognition of carbohydrates were reported quite some time ago,</w:t>
      </w:r>
      <w:r w:rsidR="001D6CE6">
        <w:rPr>
          <w:vertAlign w:val="superscript"/>
          <w:lang w:val="en-US"/>
        </w:rPr>
        <w:t>110</w:t>
      </w:r>
      <w:r w:rsidRPr="00A56448">
        <w:rPr>
          <w:vertAlign w:val="superscript"/>
          <w:lang w:val="en-US"/>
        </w:rPr>
        <w:t>,</w:t>
      </w:r>
      <w:r w:rsidR="001D6CE6">
        <w:rPr>
          <w:vertAlign w:val="superscript"/>
          <w:lang w:val="en-US"/>
        </w:rPr>
        <w:t>111,112</w:t>
      </w:r>
      <w:r w:rsidRPr="00A56448">
        <w:rPr>
          <w:lang w:val="en-US"/>
        </w:rPr>
        <w:t xml:space="preserve"> more recent works have highlighted the benefits that the </w:t>
      </w:r>
    </w:p>
    <w:p w14:paraId="618383FA" w14:textId="7223E0B4" w:rsidR="00AC27D2" w:rsidRDefault="00CB20F6" w:rsidP="00A56448">
      <w:pPr>
        <w:pStyle w:val="RSCB02ArticleText"/>
        <w:rPr>
          <w:lang w:val="en-US"/>
        </w:rPr>
      </w:pPr>
      <w:r>
        <w:rPr>
          <w:noProof/>
          <w:lang w:val="en-US"/>
        </w:rPr>
        <w:drawing>
          <wp:anchor distT="0" distB="0" distL="114300" distR="114300" simplePos="0" relativeHeight="251665408" behindDoc="1" locked="0" layoutInCell="1" allowOverlap="1" wp14:anchorId="6F4B468A" wp14:editId="0108A0AB">
            <wp:simplePos x="0" y="0"/>
            <wp:positionH relativeFrom="column">
              <wp:posOffset>2565</wp:posOffset>
            </wp:positionH>
            <wp:positionV relativeFrom="paragraph">
              <wp:posOffset>-25</wp:posOffset>
            </wp:positionV>
            <wp:extent cx="3168015" cy="1714500"/>
            <wp:effectExtent l="0" t="0" r="0" b="0"/>
            <wp:wrapTight wrapText="bothSides">
              <wp:wrapPolygon edited="0">
                <wp:start x="7533" y="0"/>
                <wp:lineTo x="390" y="1440"/>
                <wp:lineTo x="390" y="2400"/>
                <wp:lineTo x="5975" y="3840"/>
                <wp:lineTo x="0" y="5040"/>
                <wp:lineTo x="0" y="16560"/>
                <wp:lineTo x="4416" y="19200"/>
                <wp:lineTo x="6235" y="19680"/>
                <wp:lineTo x="7274" y="21120"/>
                <wp:lineTo x="7533" y="21360"/>
                <wp:lineTo x="20002" y="21360"/>
                <wp:lineTo x="20262" y="21120"/>
                <wp:lineTo x="21301" y="19200"/>
                <wp:lineTo x="21431" y="16800"/>
                <wp:lineTo x="21431" y="2400"/>
                <wp:lineTo x="20782" y="720"/>
                <wp:lineTo x="20002" y="0"/>
                <wp:lineTo x="7533"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e3.emf"/>
                    <pic:cNvPicPr/>
                  </pic:nvPicPr>
                  <pic:blipFill>
                    <a:blip r:embed="rId16">
                      <a:extLst>
                        <a:ext uri="{28A0092B-C50C-407E-A947-70E740481C1C}">
                          <a14:useLocalDpi xmlns:a14="http://schemas.microsoft.com/office/drawing/2010/main" val="0"/>
                        </a:ext>
                      </a:extLst>
                    </a:blip>
                    <a:stretch>
                      <a:fillRect/>
                    </a:stretch>
                  </pic:blipFill>
                  <pic:spPr>
                    <a:xfrm>
                      <a:off x="0" y="0"/>
                      <a:ext cx="3168015" cy="1714500"/>
                    </a:xfrm>
                    <a:prstGeom prst="rect">
                      <a:avLst/>
                    </a:prstGeom>
                  </pic:spPr>
                </pic:pic>
              </a:graphicData>
            </a:graphic>
          </wp:anchor>
        </w:drawing>
      </w:r>
    </w:p>
    <w:p w14:paraId="5D1572E8" w14:textId="77777777" w:rsidR="00AC27D2" w:rsidRDefault="00AC27D2" w:rsidP="00A56448">
      <w:pPr>
        <w:pStyle w:val="RSCB02ArticleText"/>
        <w:rPr>
          <w:lang w:val="en-US"/>
        </w:rPr>
      </w:pPr>
    </w:p>
    <w:p w14:paraId="1AE60859" w14:textId="5D4445E4" w:rsidR="00AC27D2" w:rsidRDefault="00AC27D2" w:rsidP="00CB20F6">
      <w:pPr>
        <w:pStyle w:val="RSCI05CaptiontoFigureSchemeChartwithbottombar"/>
        <w:rPr>
          <w:lang w:val="en-US"/>
        </w:rPr>
      </w:pPr>
      <w:r>
        <w:rPr>
          <w:lang w:val="en-US"/>
        </w:rPr>
        <w:t xml:space="preserve">Figure 3. </w:t>
      </w:r>
      <w:r w:rsidR="00E80DC2" w:rsidRPr="00E80DC2">
        <w:t xml:space="preserve">The </w:t>
      </w:r>
      <w:r w:rsidR="00E80DC2" w:rsidRPr="00E80DC2">
        <w:rPr>
          <w:vertAlign w:val="superscript"/>
        </w:rPr>
        <w:t>13</w:t>
      </w:r>
      <w:r w:rsidR="00E80DC2" w:rsidRPr="00E80DC2">
        <w:t>C-labeled version of the Manα(1-</w:t>
      </w:r>
      <w:proofErr w:type="gramStart"/>
      <w:r w:rsidR="00E80DC2" w:rsidRPr="00E80DC2">
        <w:t>2)Man</w:t>
      </w:r>
      <w:proofErr w:type="gramEnd"/>
      <w:r w:rsidR="00E80DC2" w:rsidRPr="00E80DC2">
        <w:t>α(1-2)Manα</w:t>
      </w:r>
      <w:r w:rsidR="00E80DC2" w:rsidRPr="00E80DC2">
        <w:rPr>
          <w:i/>
          <w:iCs/>
        </w:rPr>
        <w:t>O</w:t>
      </w:r>
      <w:r w:rsidR="00E80DC2" w:rsidRPr="00E80DC2">
        <w:t>Me trisaccharide was used to study its interaction with cyanovirin-N. Inter- and intramolecular NOEs of the hydroxyl protons OH3 and OH4 of the reducing-end and middle Man residues allowed the definition of the orientation of these hydroxyl groups and to define the hydrogen bonding network between the ligand and the receptor. Adapted from reference 107.</w:t>
      </w:r>
    </w:p>
    <w:p w14:paraId="61FB8686" w14:textId="41E603A9" w:rsidR="00A56448" w:rsidRDefault="00A56448" w:rsidP="00A56448">
      <w:pPr>
        <w:pStyle w:val="RSCB02ArticleText"/>
        <w:rPr>
          <w:lang w:val="en-US"/>
        </w:rPr>
      </w:pPr>
      <w:r w:rsidRPr="00A56448">
        <w:rPr>
          <w:lang w:val="en-US"/>
        </w:rPr>
        <w:t xml:space="preserve">introduction of fluorine atoms in carbohydrate ligands can provide for the NMR characterization of their interactions with receptors. These advantages are related to the intrinsic NMR characteristics of the </w:t>
      </w:r>
      <w:r w:rsidRPr="00A56448">
        <w:rPr>
          <w:vertAlign w:val="superscript"/>
          <w:lang w:val="en-US"/>
        </w:rPr>
        <w:t>19</w:t>
      </w:r>
      <w:r w:rsidRPr="00A56448">
        <w:rPr>
          <w:lang w:val="en-US"/>
        </w:rPr>
        <w:t xml:space="preserve">F nuclei, namely its high sensitivity and large chemical shift dispersion along with high sensitivity to the chemical environment. But also to the great simplification of the NMR spectra that is translated into the straightforward interpretation of the results, what can be very revealing for analyzing complex binding processes, including the possibility of resolving the highly severe crowding of the </w:t>
      </w:r>
      <w:r w:rsidRPr="00A56448">
        <w:rPr>
          <w:vertAlign w:val="superscript"/>
          <w:lang w:val="en-US"/>
        </w:rPr>
        <w:t>1</w:t>
      </w:r>
      <w:r w:rsidRPr="00A56448">
        <w:rPr>
          <w:lang w:val="en-US"/>
        </w:rPr>
        <w:t xml:space="preserve">H and </w:t>
      </w:r>
      <w:r w:rsidRPr="00A56448">
        <w:rPr>
          <w:vertAlign w:val="superscript"/>
          <w:lang w:val="en-US"/>
        </w:rPr>
        <w:t>13</w:t>
      </w:r>
      <w:r w:rsidRPr="00A56448">
        <w:rPr>
          <w:lang w:val="en-US"/>
        </w:rPr>
        <w:t xml:space="preserve">C NMR signals. From a chemical perspective, the substitution of a hydroxyl group of the carbohydrate by a </w:t>
      </w:r>
      <w:r w:rsidRPr="00A56448">
        <w:rPr>
          <w:vertAlign w:val="superscript"/>
          <w:lang w:val="en-US"/>
        </w:rPr>
        <w:t>19</w:t>
      </w:r>
      <w:r w:rsidRPr="00A56448">
        <w:rPr>
          <w:lang w:val="en-US"/>
        </w:rPr>
        <w:t>F atom can provide information about its implication in direct interactions with the receptor.</w:t>
      </w:r>
      <w:r w:rsidR="00AE291B">
        <w:rPr>
          <w:vertAlign w:val="superscript"/>
          <w:lang w:val="en-US"/>
        </w:rPr>
        <w:t>113</w:t>
      </w:r>
      <w:r w:rsidRPr="00A56448">
        <w:rPr>
          <w:lang w:val="en-US"/>
        </w:rPr>
        <w:t xml:space="preserve"> As an example of the remarkable sensitivity and specificity offered by </w:t>
      </w:r>
      <w:r w:rsidRPr="00A56448">
        <w:rPr>
          <w:vertAlign w:val="superscript"/>
          <w:lang w:val="en-US"/>
        </w:rPr>
        <w:t>19</w:t>
      </w:r>
      <w:r w:rsidRPr="00A56448">
        <w:rPr>
          <w:lang w:val="en-US"/>
        </w:rPr>
        <w:t>F NMR, anomeric selectivity could be deduced for the lectin binding of different fluorinated ligands</w:t>
      </w:r>
      <w:r w:rsidR="00AE291B">
        <w:rPr>
          <w:vertAlign w:val="superscript"/>
          <w:lang w:val="en-US"/>
        </w:rPr>
        <w:t>114</w:t>
      </w:r>
      <w:r w:rsidRPr="00A56448">
        <w:rPr>
          <w:vertAlign w:val="superscript"/>
          <w:lang w:val="en-US"/>
        </w:rPr>
        <w:t>,</w:t>
      </w:r>
      <w:r w:rsidR="00AE291B">
        <w:rPr>
          <w:vertAlign w:val="superscript"/>
          <w:lang w:val="en-US"/>
        </w:rPr>
        <w:t>115</w:t>
      </w:r>
      <w:r w:rsidRPr="00A56448">
        <w:rPr>
          <w:lang w:val="en-US"/>
        </w:rPr>
        <w:t xml:space="preserve"> by employing new developed </w:t>
      </w:r>
      <w:r w:rsidRPr="00A56448">
        <w:rPr>
          <w:vertAlign w:val="superscript"/>
          <w:lang w:val="en-US"/>
        </w:rPr>
        <w:t>19</w:t>
      </w:r>
      <w:r w:rsidRPr="00A56448">
        <w:rPr>
          <w:lang w:val="en-US"/>
        </w:rPr>
        <w:t>F-observed STD experiments</w:t>
      </w:r>
      <w:r w:rsidR="008E1E98">
        <w:rPr>
          <w:lang w:val="en-US"/>
        </w:rPr>
        <w:t xml:space="preserve"> (figure 4A)</w:t>
      </w:r>
      <w:r w:rsidRPr="00A56448">
        <w:rPr>
          <w:lang w:val="en-US"/>
        </w:rPr>
        <w:t>.</w:t>
      </w:r>
      <w:r w:rsidR="00AE291B">
        <w:rPr>
          <w:vertAlign w:val="superscript"/>
          <w:lang w:val="en-US"/>
        </w:rPr>
        <w:t>116</w:t>
      </w:r>
      <w:r w:rsidRPr="00A56448">
        <w:rPr>
          <w:lang w:val="en-US"/>
        </w:rPr>
        <w:t xml:space="preserve"> In </w:t>
      </w:r>
      <w:r w:rsidR="00555A16" w:rsidRPr="00A56448">
        <w:rPr>
          <w:lang w:val="en-US"/>
        </w:rPr>
        <w:t>an</w:t>
      </w:r>
      <w:r w:rsidRPr="00A56448">
        <w:rPr>
          <w:lang w:val="en-US"/>
        </w:rPr>
        <w:t xml:space="preserve"> elegant example, </w:t>
      </w:r>
      <w:r w:rsidRPr="00A56448">
        <w:rPr>
          <w:vertAlign w:val="superscript"/>
          <w:lang w:val="en-US"/>
        </w:rPr>
        <w:t>19</w:t>
      </w:r>
      <w:r w:rsidRPr="00A56448">
        <w:rPr>
          <w:lang w:val="en-US"/>
        </w:rPr>
        <w:t>F atoms on monofluorinated di-Man</w:t>
      </w:r>
      <w:r w:rsidRPr="00555A16">
        <w:rPr>
          <w:rFonts w:ascii="Symbol" w:hAnsi="Symbol"/>
          <w:lang w:val="en-US"/>
        </w:rPr>
        <w:t></w:t>
      </w:r>
      <w:r w:rsidRPr="00A56448">
        <w:rPr>
          <w:lang w:val="en-US"/>
        </w:rPr>
        <w:t>1-2 and tri-Man</w:t>
      </w:r>
      <w:r w:rsidRPr="00555A16">
        <w:rPr>
          <w:rFonts w:ascii="Symbol" w:hAnsi="Symbol"/>
          <w:lang w:val="en-US"/>
        </w:rPr>
        <w:t></w:t>
      </w:r>
      <w:r w:rsidRPr="00A56448">
        <w:rPr>
          <w:lang w:val="en-US"/>
        </w:rPr>
        <w:t>1-2 glycans were used to monitor their interaction with the lectin CV-N</w:t>
      </w:r>
      <w:r w:rsidR="008E1E98">
        <w:rPr>
          <w:lang w:val="en-US"/>
        </w:rPr>
        <w:t xml:space="preserve"> (Figure 4B)</w:t>
      </w:r>
      <w:r w:rsidRPr="00A56448">
        <w:rPr>
          <w:lang w:val="en-US"/>
        </w:rPr>
        <w:t>, known to have two carbohydrate-binding sites. The employment of the fluorine-containing mimics allowed revealing a second binding mode for the trisacch</w:t>
      </w:r>
      <w:r w:rsidR="00D77E54">
        <w:rPr>
          <w:lang w:val="en-US"/>
        </w:rPr>
        <w:t>aride in one of the two binding</w:t>
      </w:r>
      <w:r w:rsidRPr="00A56448">
        <w:rPr>
          <w:lang w:val="en-US"/>
        </w:rPr>
        <w:t xml:space="preserve"> sites. Moreover, from the kinetic perspective, the NMR experiments afforded the chemical exchange rate constants for the two binding sites.</w:t>
      </w:r>
      <w:r w:rsidR="007F3C83">
        <w:rPr>
          <w:vertAlign w:val="superscript"/>
          <w:lang w:val="en-US"/>
        </w:rPr>
        <w:t>117</w:t>
      </w:r>
      <w:r w:rsidRPr="00A56448">
        <w:rPr>
          <w:lang w:val="en-US"/>
        </w:rPr>
        <w:t xml:space="preserve"> Also, fluorinated ligands can be used in NMR competition experiments to estimate affinity </w:t>
      </w:r>
      <w:r w:rsidRPr="00297C8C">
        <w:rPr>
          <w:lang w:val="en-US"/>
        </w:rPr>
        <w:t>constants.</w:t>
      </w:r>
      <w:r w:rsidR="007F3C83" w:rsidRPr="00297C8C">
        <w:rPr>
          <w:vertAlign w:val="superscript"/>
          <w:lang w:val="en-US"/>
        </w:rPr>
        <w:t>109</w:t>
      </w:r>
      <w:r w:rsidRPr="00297C8C">
        <w:rPr>
          <w:lang w:val="en-US"/>
        </w:rPr>
        <w:t xml:space="preserve"> More recently, these competition experiments, based on </w:t>
      </w:r>
      <w:r w:rsidRPr="00297C8C">
        <w:rPr>
          <w:vertAlign w:val="superscript"/>
          <w:lang w:val="en-US"/>
        </w:rPr>
        <w:t>19</w:t>
      </w:r>
      <w:r w:rsidRPr="00297C8C">
        <w:rPr>
          <w:lang w:val="en-US"/>
        </w:rPr>
        <w:t>F R</w:t>
      </w:r>
      <w:r w:rsidRPr="00297C8C">
        <w:rPr>
          <w:vertAlign w:val="subscript"/>
          <w:lang w:val="en-US"/>
        </w:rPr>
        <w:t>2</w:t>
      </w:r>
      <w:r w:rsidRPr="00297C8C">
        <w:rPr>
          <w:lang w:val="en-US"/>
        </w:rPr>
        <w:t>- NMR, have been used for designing new glycomimetic ligands for the lectin langerin</w:t>
      </w:r>
      <w:r w:rsidR="008E1E98" w:rsidRPr="00297C8C">
        <w:rPr>
          <w:lang w:val="en-US"/>
        </w:rPr>
        <w:t xml:space="preserve"> (Figure 4C)</w:t>
      </w:r>
      <w:r w:rsidRPr="00297C8C">
        <w:rPr>
          <w:lang w:val="en-US"/>
        </w:rPr>
        <w:t>.</w:t>
      </w:r>
      <w:r w:rsidR="008E1E98" w:rsidRPr="00297C8C">
        <w:rPr>
          <w:vertAlign w:val="superscript"/>
          <w:lang w:val="en-US"/>
        </w:rPr>
        <w:t>118</w:t>
      </w:r>
      <w:r w:rsidRPr="00297C8C">
        <w:rPr>
          <w:lang w:val="en-US"/>
        </w:rPr>
        <w:t xml:space="preserve"> </w:t>
      </w:r>
      <w:r w:rsidR="009915C0" w:rsidRPr="00297C8C">
        <w:rPr>
          <w:lang w:val="en-US"/>
        </w:rPr>
        <w:t>W</w:t>
      </w:r>
      <w:r w:rsidR="00D219E2" w:rsidRPr="00297C8C">
        <w:rPr>
          <w:lang w:val="en-US"/>
        </w:rPr>
        <w:t>e have explored t</w:t>
      </w:r>
      <w:r w:rsidRPr="00297C8C">
        <w:rPr>
          <w:lang w:val="en-US"/>
        </w:rPr>
        <w:t xml:space="preserve">he introduction of </w:t>
      </w:r>
      <w:r w:rsidRPr="00297C8C">
        <w:rPr>
          <w:vertAlign w:val="superscript"/>
          <w:lang w:val="en-US"/>
        </w:rPr>
        <w:t>19</w:t>
      </w:r>
      <w:r w:rsidRPr="00297C8C">
        <w:rPr>
          <w:lang w:val="en-US"/>
        </w:rPr>
        <w:t>F on the acetamide group of the ubiquitous N-acetylated</w:t>
      </w:r>
      <w:r w:rsidRPr="00A56448">
        <w:rPr>
          <w:lang w:val="en-US"/>
        </w:rPr>
        <w:t xml:space="preserve"> sugars</w:t>
      </w:r>
      <w:r w:rsidR="00D219E2">
        <w:rPr>
          <w:lang w:val="en-US"/>
        </w:rPr>
        <w:t>.</w:t>
      </w:r>
      <w:r w:rsidRPr="00A56448">
        <w:rPr>
          <w:lang w:val="en-US"/>
        </w:rPr>
        <w:t xml:space="preserve"> Thus, the use of the CHF</w:t>
      </w:r>
      <w:r w:rsidRPr="00A56448">
        <w:rPr>
          <w:vertAlign w:val="subscript"/>
          <w:lang w:val="en-US"/>
        </w:rPr>
        <w:t>2</w:t>
      </w:r>
      <w:r w:rsidRPr="00A56448">
        <w:rPr>
          <w:lang w:val="en-US"/>
        </w:rPr>
        <w:t>CONH- moiety in chitobiose and chitotriose analogues permitted to easily identify the non-reducing-end as the key epitope in their interactions with the lectin</w:t>
      </w:r>
      <w:r w:rsidR="00994508">
        <w:rPr>
          <w:lang w:val="en-US"/>
        </w:rPr>
        <w:t xml:space="preserve"> w</w:t>
      </w:r>
      <w:r w:rsidR="00994508" w:rsidRPr="00994508">
        <w:rPr>
          <w:lang w:val="en-US"/>
        </w:rPr>
        <w:t>heat germ agglutinin</w:t>
      </w:r>
      <w:r w:rsidRPr="00A56448">
        <w:rPr>
          <w:lang w:val="en-US"/>
        </w:rPr>
        <w:t xml:space="preserve"> </w:t>
      </w:r>
      <w:r w:rsidR="00994508">
        <w:rPr>
          <w:lang w:val="en-US"/>
        </w:rPr>
        <w:t>(</w:t>
      </w:r>
      <w:r w:rsidRPr="00A56448">
        <w:rPr>
          <w:lang w:val="en-US"/>
        </w:rPr>
        <w:t>WGA</w:t>
      </w:r>
      <w:r w:rsidR="00994508">
        <w:rPr>
          <w:lang w:val="en-US"/>
        </w:rPr>
        <w:t>)</w:t>
      </w:r>
      <w:r w:rsidR="008E1E98">
        <w:rPr>
          <w:lang w:val="en-US"/>
        </w:rPr>
        <w:t xml:space="preserve"> (Figure 4D)</w:t>
      </w:r>
      <w:r w:rsidRPr="00A56448">
        <w:rPr>
          <w:lang w:val="en-US"/>
        </w:rPr>
        <w:t>.</w:t>
      </w:r>
      <w:r w:rsidR="008E1E98">
        <w:rPr>
          <w:vertAlign w:val="superscript"/>
          <w:lang w:val="en-US"/>
        </w:rPr>
        <w:t>119</w:t>
      </w:r>
      <w:r w:rsidRPr="00A56448">
        <w:rPr>
          <w:lang w:val="en-US"/>
        </w:rPr>
        <w:t xml:space="preserve"> Additionally, different </w:t>
      </w:r>
      <w:r w:rsidRPr="00A56448">
        <w:rPr>
          <w:vertAlign w:val="superscript"/>
          <w:lang w:val="en-US"/>
        </w:rPr>
        <w:t>19</w:t>
      </w:r>
      <w:r w:rsidRPr="00A56448">
        <w:rPr>
          <w:lang w:val="en-US"/>
        </w:rPr>
        <w:t>F-containing substitution patterns in the acetamide fragment were explored, for which their affinities towards WGA</w:t>
      </w:r>
      <w:r w:rsidR="008E1E98">
        <w:rPr>
          <w:vertAlign w:val="superscript"/>
          <w:lang w:val="en-US"/>
        </w:rPr>
        <w:t>120</w:t>
      </w:r>
      <w:r w:rsidRPr="00A56448">
        <w:rPr>
          <w:lang w:val="en-US"/>
        </w:rPr>
        <w:t xml:space="preserve"> were found to be in perfect agreement with complementary </w:t>
      </w:r>
      <w:r w:rsidRPr="00A56448">
        <w:rPr>
          <w:lang w:val="en-US"/>
        </w:rPr>
        <w:lastRenderedPageBreak/>
        <w:t>theoretical calculations that predicted a better interaction for the -CHF</w:t>
      </w:r>
      <w:r w:rsidRPr="00A56448">
        <w:rPr>
          <w:vertAlign w:val="subscript"/>
          <w:lang w:val="en-US"/>
        </w:rPr>
        <w:t>2</w:t>
      </w:r>
      <w:r w:rsidRPr="00A56448">
        <w:rPr>
          <w:lang w:val="en-US"/>
        </w:rPr>
        <w:t xml:space="preserve"> than for the -CH</w:t>
      </w:r>
      <w:r w:rsidRPr="00A56448">
        <w:rPr>
          <w:vertAlign w:val="subscript"/>
          <w:lang w:val="en-US"/>
        </w:rPr>
        <w:t>2</w:t>
      </w:r>
      <w:r w:rsidRPr="00A56448">
        <w:rPr>
          <w:lang w:val="en-US"/>
        </w:rPr>
        <w:t>F and –CF</w:t>
      </w:r>
      <w:r w:rsidRPr="00A56448">
        <w:rPr>
          <w:vertAlign w:val="subscript"/>
          <w:lang w:val="en-US"/>
        </w:rPr>
        <w:t>3</w:t>
      </w:r>
      <w:r w:rsidRPr="00A56448">
        <w:rPr>
          <w:lang w:val="en-US"/>
        </w:rPr>
        <w:t xml:space="preserve"> moieties. Indeed, the methyl group of the acetamide group is known to be involved in CH-</w:t>
      </w:r>
      <w:r w:rsidRPr="00555A16">
        <w:rPr>
          <w:rFonts w:ascii="Symbol" w:hAnsi="Symbol"/>
          <w:lang w:val="en-US"/>
        </w:rPr>
        <w:t></w:t>
      </w:r>
      <w:r w:rsidRPr="00A56448">
        <w:rPr>
          <w:lang w:val="en-US"/>
        </w:rPr>
        <w:t xml:space="preserve"> interactions with an aromatic residue on the protein, which is enhanced due to the higher polarization of the CH bond in -CHF</w:t>
      </w:r>
      <w:r w:rsidRPr="00A56448">
        <w:rPr>
          <w:vertAlign w:val="subscript"/>
          <w:lang w:val="en-US"/>
        </w:rPr>
        <w:t>2</w:t>
      </w:r>
      <w:r w:rsidRPr="00A56448">
        <w:rPr>
          <w:lang w:val="en-US"/>
        </w:rPr>
        <w:t>.</w:t>
      </w:r>
    </w:p>
    <w:p w14:paraId="14BDB7EA" w14:textId="302734CD" w:rsidR="000A4EC7" w:rsidRDefault="00613567" w:rsidP="000A4EC7">
      <w:pPr>
        <w:pStyle w:val="RSCI05CaptiontoFigureSchemeChartwithbottombar"/>
        <w:rPr>
          <w:lang w:val="en-US"/>
        </w:rPr>
      </w:pPr>
      <w:r>
        <w:rPr>
          <w:noProof/>
          <w:lang w:val="en-US"/>
        </w:rPr>
        <w:drawing>
          <wp:anchor distT="0" distB="0" distL="114300" distR="114300" simplePos="0" relativeHeight="251666432" behindDoc="1" locked="0" layoutInCell="1" allowOverlap="1" wp14:anchorId="2FB4DE58" wp14:editId="71258C61">
            <wp:simplePos x="0" y="0"/>
            <wp:positionH relativeFrom="column">
              <wp:align>right</wp:align>
            </wp:positionH>
            <wp:positionV relativeFrom="paragraph">
              <wp:posOffset>132632</wp:posOffset>
            </wp:positionV>
            <wp:extent cx="3168015" cy="5307330"/>
            <wp:effectExtent l="0" t="0" r="0" b="7620"/>
            <wp:wrapTight wrapText="bothSides">
              <wp:wrapPolygon edited="0">
                <wp:start x="0" y="0"/>
                <wp:lineTo x="0" y="21553"/>
                <wp:lineTo x="21431" y="21553"/>
                <wp:lineTo x="21431"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igure4.emf"/>
                    <pic:cNvPicPr/>
                  </pic:nvPicPr>
                  <pic:blipFill>
                    <a:blip r:embed="rId17">
                      <a:extLst>
                        <a:ext uri="{28A0092B-C50C-407E-A947-70E740481C1C}">
                          <a14:useLocalDpi xmlns:a14="http://schemas.microsoft.com/office/drawing/2010/main" val="0"/>
                        </a:ext>
                      </a:extLst>
                    </a:blip>
                    <a:stretch>
                      <a:fillRect/>
                    </a:stretch>
                  </pic:blipFill>
                  <pic:spPr>
                    <a:xfrm>
                      <a:off x="0" y="0"/>
                      <a:ext cx="3168015" cy="5307330"/>
                    </a:xfrm>
                    <a:prstGeom prst="rect">
                      <a:avLst/>
                    </a:prstGeom>
                  </pic:spPr>
                </pic:pic>
              </a:graphicData>
            </a:graphic>
          </wp:anchor>
        </w:drawing>
      </w:r>
    </w:p>
    <w:p w14:paraId="43086A15" w14:textId="655F2321" w:rsidR="00CB20F6" w:rsidRDefault="00CB20F6" w:rsidP="00B7526A">
      <w:pPr>
        <w:pStyle w:val="RSCI05CaptiontoFigureSchemeChartwithbottombar"/>
        <w:rPr>
          <w:lang w:val="en-US"/>
        </w:rPr>
      </w:pPr>
      <w:r>
        <w:rPr>
          <w:lang w:val="en-US"/>
        </w:rPr>
        <w:t xml:space="preserve">Figure 4. </w:t>
      </w:r>
      <w:r w:rsidR="000A4EC7">
        <w:rPr>
          <w:lang w:val="en-US"/>
        </w:rPr>
        <w:t xml:space="preserve">Different applications of </w:t>
      </w:r>
      <w:r w:rsidR="000A4EC7" w:rsidRPr="000A4EC7">
        <w:rPr>
          <w:vertAlign w:val="superscript"/>
          <w:lang w:val="en-US"/>
        </w:rPr>
        <w:t>19</w:t>
      </w:r>
      <w:r w:rsidR="000A4EC7">
        <w:rPr>
          <w:lang w:val="en-US"/>
        </w:rPr>
        <w:t>F NMR to report on carbohydrate – protein interactions. A)</w:t>
      </w:r>
      <w:r w:rsidR="00106B1B">
        <w:rPr>
          <w:lang w:val="en-US"/>
        </w:rPr>
        <w:t xml:space="preserve"> Comparison between </w:t>
      </w:r>
      <w:r w:rsidR="00106B1B" w:rsidRPr="007C198B">
        <w:rPr>
          <w:vertAlign w:val="superscript"/>
          <w:lang w:val="en-US"/>
        </w:rPr>
        <w:t>1</w:t>
      </w:r>
      <w:r w:rsidR="00106B1B">
        <w:rPr>
          <w:lang w:val="en-US"/>
        </w:rPr>
        <w:t xml:space="preserve">H STD and </w:t>
      </w:r>
      <w:r w:rsidR="00106B1B" w:rsidRPr="007C198B">
        <w:rPr>
          <w:vertAlign w:val="superscript"/>
          <w:lang w:val="en-US"/>
        </w:rPr>
        <w:t>19</w:t>
      </w:r>
      <w:r w:rsidR="00106B1B">
        <w:rPr>
          <w:lang w:val="en-US"/>
        </w:rPr>
        <w:t xml:space="preserve">F STD NMR experiments for the interaction </w:t>
      </w:r>
      <w:r w:rsidR="007C198B">
        <w:rPr>
          <w:lang w:val="en-US"/>
        </w:rPr>
        <w:t xml:space="preserve">of </w:t>
      </w:r>
      <w:r w:rsidR="00106B1B">
        <w:rPr>
          <w:lang w:val="en-US"/>
        </w:rPr>
        <w:t xml:space="preserve">2-deoxi-2F-Glucose with the lectin concanavalin A. Anomeric selectivity for the </w:t>
      </w:r>
      <w:r w:rsidR="00106B1B" w:rsidRPr="00106B1B">
        <w:rPr>
          <w:rFonts w:ascii="Symbol" w:hAnsi="Symbol"/>
          <w:lang w:val="en-US"/>
        </w:rPr>
        <w:t></w:t>
      </w:r>
      <w:r w:rsidR="00106B1B">
        <w:rPr>
          <w:lang w:val="en-US"/>
        </w:rPr>
        <w:t>-anomer is clear from</w:t>
      </w:r>
      <w:r w:rsidR="007C198B">
        <w:rPr>
          <w:lang w:val="en-US"/>
        </w:rPr>
        <w:t xml:space="preserve"> the</w:t>
      </w:r>
      <w:r w:rsidR="00106B1B">
        <w:rPr>
          <w:lang w:val="en-US"/>
        </w:rPr>
        <w:t xml:space="preserve"> </w:t>
      </w:r>
      <w:r w:rsidR="00106B1B" w:rsidRPr="007C198B">
        <w:rPr>
          <w:vertAlign w:val="superscript"/>
          <w:lang w:val="en-US"/>
        </w:rPr>
        <w:t>19</w:t>
      </w:r>
      <w:r w:rsidR="007C198B">
        <w:rPr>
          <w:lang w:val="en-US"/>
        </w:rPr>
        <w:t>F STD spectrum</w:t>
      </w:r>
      <w:r w:rsidR="00106B1B">
        <w:rPr>
          <w:lang w:val="en-US"/>
        </w:rPr>
        <w:t xml:space="preserve"> (adapted from reference 116). B) The interaction between the monofluorinated </w:t>
      </w:r>
      <w:r w:rsidR="00106B1B" w:rsidRPr="00A56448">
        <w:rPr>
          <w:lang w:val="en-US"/>
        </w:rPr>
        <w:t>tri-Man</w:t>
      </w:r>
      <w:r w:rsidR="00106B1B" w:rsidRPr="00555A16">
        <w:rPr>
          <w:rFonts w:ascii="Symbol" w:hAnsi="Symbol"/>
          <w:lang w:val="en-US"/>
        </w:rPr>
        <w:t></w:t>
      </w:r>
      <w:r w:rsidR="00106B1B" w:rsidRPr="00A56448">
        <w:rPr>
          <w:lang w:val="en-US"/>
        </w:rPr>
        <w:t>1-2</w:t>
      </w:r>
      <w:r w:rsidR="00106B1B">
        <w:rPr>
          <w:lang w:val="en-US"/>
        </w:rPr>
        <w:t xml:space="preserve"> ligand and cyanovirin is in the </w:t>
      </w:r>
      <w:r w:rsidR="00106B1B" w:rsidRPr="00A56448">
        <w:rPr>
          <w:lang w:val="en-US"/>
        </w:rPr>
        <w:t>in t</w:t>
      </w:r>
      <w:r w:rsidR="007C198B">
        <w:rPr>
          <w:lang w:val="en-US"/>
        </w:rPr>
        <w:t xml:space="preserve">he NMR chemical shift timescale (adapted form reference 108). C) The use of a fluorinated ligand as a spy molecule to screen a compound library for langerin binding (adapted from reference 118). D) The introduction of </w:t>
      </w:r>
      <w:r w:rsidR="007C198B" w:rsidRPr="007C198B">
        <w:rPr>
          <w:vertAlign w:val="superscript"/>
          <w:lang w:val="en-US"/>
        </w:rPr>
        <w:t>19</w:t>
      </w:r>
      <w:r w:rsidR="007C198B">
        <w:rPr>
          <w:lang w:val="en-US"/>
        </w:rPr>
        <w:t>F in the acetamide moiety of chito</w:t>
      </w:r>
      <w:r w:rsidR="00016050">
        <w:rPr>
          <w:lang w:val="en-US"/>
        </w:rPr>
        <w:t>biose.</w:t>
      </w:r>
      <w:r w:rsidR="007C198B">
        <w:rPr>
          <w:lang w:val="en-US"/>
        </w:rPr>
        <w:t xml:space="preserve"> </w:t>
      </w:r>
      <w:r w:rsidR="007C198B" w:rsidRPr="007C198B">
        <w:rPr>
          <w:vertAlign w:val="superscript"/>
          <w:lang w:val="en-US"/>
        </w:rPr>
        <w:t>19</w:t>
      </w:r>
      <w:r w:rsidR="007C198B">
        <w:rPr>
          <w:lang w:val="en-US"/>
        </w:rPr>
        <w:t>F line broadening in the presence of the protein is clearly more pronounced for the non-reducing end unit, in agreem</w:t>
      </w:r>
      <w:r w:rsidR="00E80DC2">
        <w:rPr>
          <w:lang w:val="en-US"/>
        </w:rPr>
        <w:t>ent with the known binding mode (right).</w:t>
      </w:r>
    </w:p>
    <w:p w14:paraId="0964B493" w14:textId="77777777" w:rsidR="00E61949" w:rsidRPr="00A61D3E" w:rsidRDefault="00223959" w:rsidP="00AF4737">
      <w:pPr>
        <w:pStyle w:val="RSCB04AHeadingSection"/>
      </w:pPr>
      <w:r>
        <w:t>Perspectives</w:t>
      </w:r>
    </w:p>
    <w:p w14:paraId="77702DF0" w14:textId="746E175D" w:rsidR="00223959" w:rsidRDefault="00223959" w:rsidP="00223959">
      <w:pPr>
        <w:pStyle w:val="RSCB02ArticleText"/>
        <w:rPr>
          <w:lang w:val="en-US"/>
        </w:rPr>
      </w:pPr>
      <w:r w:rsidRPr="00A56448">
        <w:rPr>
          <w:lang w:val="en-US"/>
        </w:rPr>
        <w:t>Glycan – protein interactions are key elements in the molecular recognition events that regulate essential biological processes.</w:t>
      </w:r>
      <w:r w:rsidR="009915C0">
        <w:rPr>
          <w:lang w:val="en-US"/>
        </w:rPr>
        <w:t xml:space="preserve"> Uncovering their contributions</w:t>
      </w:r>
      <w:r w:rsidRPr="00A56448">
        <w:rPr>
          <w:lang w:val="en-US"/>
        </w:rPr>
        <w:t xml:space="preserve"> and understanding the fine </w:t>
      </w:r>
      <w:r w:rsidRPr="00A56448">
        <w:rPr>
          <w:lang w:val="en-US"/>
        </w:rPr>
        <w:t xml:space="preserve">structural atomic and molecular details that govern them is essential to fully understand the delicate regulation of these biomolecular interactions, and crucial for therapeutic purposes. NMR spectroscopy can afford exquisite structural information at the atomic detail, not </w:t>
      </w:r>
      <w:r w:rsidRPr="00297C8C">
        <w:rPr>
          <w:lang w:val="en-US"/>
        </w:rPr>
        <w:t>accessible by other techniques.</w:t>
      </w:r>
      <w:r w:rsidR="004621DC" w:rsidRPr="00297C8C">
        <w:rPr>
          <w:lang w:val="en-US"/>
        </w:rPr>
        <w:t xml:space="preserve"> It is unique for instance in addressing both ligand and protein´s flexibility in solution, and in yielding dynamic information about the binding event, allowing to reveal complex dynamic binding processes.</w:t>
      </w:r>
      <w:r w:rsidRPr="00297C8C">
        <w:rPr>
          <w:lang w:val="en-US"/>
        </w:rPr>
        <w:t xml:space="preserve"> However, the access to this information is sometimes intricate, and requires careful analysis and well-defined strategies. In this </w:t>
      </w:r>
      <w:r w:rsidR="009915C0" w:rsidRPr="00297C8C">
        <w:rPr>
          <w:lang w:val="en-US"/>
        </w:rPr>
        <w:t>article</w:t>
      </w:r>
      <w:r w:rsidRPr="00297C8C">
        <w:rPr>
          <w:lang w:val="en-US"/>
        </w:rPr>
        <w:t>, we have emphasized these points, describing the state-of-the-art of the NMR approaches, pointing out the latest advances in the field.</w:t>
      </w:r>
      <w:r w:rsidR="004441EC" w:rsidRPr="00297C8C">
        <w:rPr>
          <w:lang w:val="en-US"/>
        </w:rPr>
        <w:t xml:space="preserve"> </w:t>
      </w:r>
      <w:r w:rsidR="004441EC" w:rsidRPr="00297C8C">
        <w:rPr>
          <w:shd w:val="clear" w:color="auto" w:fill="BFBFBF" w:themeFill="background1" w:themeFillShade="BF"/>
          <w:lang w:val="en-US"/>
        </w:rPr>
        <w:t xml:space="preserve">In particular, </w:t>
      </w:r>
      <w:r w:rsidR="00834345" w:rsidRPr="00297C8C">
        <w:rPr>
          <w:shd w:val="clear" w:color="auto" w:fill="BFBFBF" w:themeFill="background1" w:themeFillShade="BF"/>
          <w:lang w:val="en-US"/>
        </w:rPr>
        <w:t>the introduction of paramagnetic tags into the glycan structure represent</w:t>
      </w:r>
      <w:r w:rsidR="00DB7541" w:rsidRPr="00297C8C">
        <w:rPr>
          <w:shd w:val="clear" w:color="auto" w:fill="BFBFBF" w:themeFill="background1" w:themeFillShade="BF"/>
          <w:lang w:val="en-US"/>
        </w:rPr>
        <w:t>s</w:t>
      </w:r>
      <w:r w:rsidR="00D83774" w:rsidRPr="00297C8C">
        <w:rPr>
          <w:shd w:val="clear" w:color="auto" w:fill="BFBFBF" w:themeFill="background1" w:themeFillShade="BF"/>
          <w:lang w:val="en-US"/>
        </w:rPr>
        <w:t xml:space="preserve"> a promising approach</w:t>
      </w:r>
      <w:r w:rsidR="00834345" w:rsidRPr="00297C8C">
        <w:rPr>
          <w:shd w:val="clear" w:color="auto" w:fill="BFBFBF" w:themeFill="background1" w:themeFillShade="BF"/>
          <w:lang w:val="en-US"/>
        </w:rPr>
        <w:t xml:space="preserve"> to expand the reduced chemical shift window of carbohydrates, and overcome the severe signal overlapping and even isochronicity. </w:t>
      </w:r>
      <w:r w:rsidR="00A967C8" w:rsidRPr="00297C8C">
        <w:rPr>
          <w:shd w:val="clear" w:color="auto" w:fill="BFBFBF" w:themeFill="background1" w:themeFillShade="BF"/>
          <w:lang w:val="en-US"/>
        </w:rPr>
        <w:t>Likewise, glycan</w:t>
      </w:r>
      <w:r w:rsidR="00834345" w:rsidRPr="00297C8C">
        <w:rPr>
          <w:shd w:val="clear" w:color="auto" w:fill="BFBFBF" w:themeFill="background1" w:themeFillShade="BF"/>
          <w:lang w:val="en-US"/>
        </w:rPr>
        <w:t xml:space="preserve"> </w:t>
      </w:r>
      <w:r w:rsidR="00834345" w:rsidRPr="00297C8C">
        <w:rPr>
          <w:shd w:val="clear" w:color="auto" w:fill="BFBFBF" w:themeFill="background1" w:themeFillShade="BF"/>
          <w:vertAlign w:val="superscript"/>
          <w:lang w:val="en-US"/>
        </w:rPr>
        <w:t>13</w:t>
      </w:r>
      <w:r w:rsidR="00834345" w:rsidRPr="00297C8C">
        <w:rPr>
          <w:shd w:val="clear" w:color="auto" w:fill="BFBFBF" w:themeFill="background1" w:themeFillShade="BF"/>
          <w:lang w:val="en-US"/>
        </w:rPr>
        <w:t xml:space="preserve">C labeling </w:t>
      </w:r>
      <w:r w:rsidR="00A967C8" w:rsidRPr="00297C8C">
        <w:rPr>
          <w:shd w:val="clear" w:color="auto" w:fill="BFBFBF" w:themeFill="background1" w:themeFillShade="BF"/>
          <w:lang w:val="en-US"/>
        </w:rPr>
        <w:t>open</w:t>
      </w:r>
      <w:r w:rsidR="009915C0" w:rsidRPr="00297C8C">
        <w:rPr>
          <w:shd w:val="clear" w:color="auto" w:fill="BFBFBF" w:themeFill="background1" w:themeFillShade="BF"/>
          <w:lang w:val="en-US"/>
        </w:rPr>
        <w:t>s</w:t>
      </w:r>
      <w:r w:rsidR="00A967C8" w:rsidRPr="00297C8C">
        <w:rPr>
          <w:shd w:val="clear" w:color="auto" w:fill="BFBFBF" w:themeFill="background1" w:themeFillShade="BF"/>
          <w:lang w:val="en-US"/>
        </w:rPr>
        <w:t xml:space="preserve"> the door to new </w:t>
      </w:r>
      <w:r w:rsidR="00DB7541" w:rsidRPr="00297C8C">
        <w:rPr>
          <w:shd w:val="clear" w:color="auto" w:fill="BFBFBF" w:themeFill="background1" w:themeFillShade="BF"/>
          <w:lang w:val="en-US"/>
        </w:rPr>
        <w:t>NMR strategies, while providing</w:t>
      </w:r>
      <w:r w:rsidR="00A967C8" w:rsidRPr="00297C8C">
        <w:rPr>
          <w:shd w:val="clear" w:color="auto" w:fill="BFBFBF" w:themeFill="background1" w:themeFillShade="BF"/>
          <w:lang w:val="en-US"/>
        </w:rPr>
        <w:t xml:space="preserve"> increased s</w:t>
      </w:r>
      <w:r w:rsidR="00DB7541" w:rsidRPr="00297C8C">
        <w:rPr>
          <w:shd w:val="clear" w:color="auto" w:fill="BFBFBF" w:themeFill="background1" w:themeFillShade="BF"/>
          <w:lang w:val="en-US"/>
        </w:rPr>
        <w:t>ensitivity</w:t>
      </w:r>
      <w:r w:rsidR="00A967C8" w:rsidRPr="00297C8C">
        <w:rPr>
          <w:shd w:val="clear" w:color="auto" w:fill="BFBFBF" w:themeFill="background1" w:themeFillShade="BF"/>
          <w:lang w:val="en-US"/>
        </w:rPr>
        <w:t xml:space="preserve">. Of particular interest is the metabolic production </w:t>
      </w:r>
      <w:r w:rsidR="00DB7541" w:rsidRPr="00297C8C">
        <w:rPr>
          <w:shd w:val="clear" w:color="auto" w:fill="BFBFBF" w:themeFill="background1" w:themeFillShade="BF"/>
          <w:lang w:val="en-US"/>
        </w:rPr>
        <w:t xml:space="preserve">of </w:t>
      </w:r>
      <w:r w:rsidR="00A967C8" w:rsidRPr="00297C8C">
        <w:rPr>
          <w:shd w:val="clear" w:color="auto" w:fill="BFBFBF" w:themeFill="background1" w:themeFillShade="BF"/>
          <w:lang w:val="en-US"/>
        </w:rPr>
        <w:t xml:space="preserve">glycans and </w:t>
      </w:r>
      <w:r w:rsidR="00DB7541" w:rsidRPr="00297C8C">
        <w:rPr>
          <w:shd w:val="clear" w:color="auto" w:fill="BFBFBF" w:themeFill="background1" w:themeFillShade="BF"/>
          <w:lang w:val="en-US"/>
        </w:rPr>
        <w:t>its</w:t>
      </w:r>
      <w:r w:rsidR="00A967C8" w:rsidRPr="00297C8C">
        <w:rPr>
          <w:shd w:val="clear" w:color="auto" w:fill="BFBFBF" w:themeFill="background1" w:themeFillShade="BF"/>
          <w:lang w:val="en-US"/>
        </w:rPr>
        <w:t xml:space="preserve"> combination with enzymatic glycan remodeling</w:t>
      </w:r>
      <w:r w:rsidR="00DB7541" w:rsidRPr="00297C8C">
        <w:rPr>
          <w:shd w:val="clear" w:color="auto" w:fill="BFBFBF" w:themeFill="background1" w:themeFillShade="BF"/>
          <w:lang w:val="en-US"/>
        </w:rPr>
        <w:t xml:space="preserve"> steps that provide access to complex glycan structures with different labeling schemes. </w:t>
      </w:r>
      <w:r w:rsidR="009915C0" w:rsidRPr="00297C8C">
        <w:rPr>
          <w:shd w:val="clear" w:color="auto" w:fill="BFBFBF" w:themeFill="background1" w:themeFillShade="BF"/>
          <w:lang w:val="en-US"/>
        </w:rPr>
        <w:t>T</w:t>
      </w:r>
      <w:r w:rsidR="00DB7541" w:rsidRPr="00297C8C">
        <w:rPr>
          <w:shd w:val="clear" w:color="auto" w:fill="BFBFBF" w:themeFill="background1" w:themeFillShade="BF"/>
          <w:lang w:val="en-US"/>
        </w:rPr>
        <w:t xml:space="preserve">he </w:t>
      </w:r>
      <w:r w:rsidR="009915C0" w:rsidRPr="00297C8C">
        <w:rPr>
          <w:shd w:val="clear" w:color="auto" w:fill="BFBFBF" w:themeFill="background1" w:themeFillShade="BF"/>
          <w:lang w:val="en-US"/>
        </w:rPr>
        <w:t xml:space="preserve">simultaneous </w:t>
      </w:r>
      <w:r w:rsidR="00DB7541" w:rsidRPr="00297C8C">
        <w:rPr>
          <w:shd w:val="clear" w:color="auto" w:fill="BFBFBF" w:themeFill="background1" w:themeFillShade="BF"/>
          <w:lang w:val="en-US"/>
        </w:rPr>
        <w:t xml:space="preserve">utilization of these methodologies </w:t>
      </w:r>
      <w:r w:rsidR="0064770B" w:rsidRPr="00297C8C">
        <w:rPr>
          <w:shd w:val="clear" w:color="auto" w:fill="BFBFBF" w:themeFill="background1" w:themeFillShade="BF"/>
          <w:lang w:val="en-US"/>
        </w:rPr>
        <w:t>for</w:t>
      </w:r>
      <w:r w:rsidR="00DB7541" w:rsidRPr="00297C8C">
        <w:rPr>
          <w:shd w:val="clear" w:color="auto" w:fill="BFBFBF" w:themeFill="background1" w:themeFillShade="BF"/>
          <w:lang w:val="en-US"/>
        </w:rPr>
        <w:t xml:space="preserve"> </w:t>
      </w:r>
      <w:r w:rsidR="009915C0" w:rsidRPr="00297C8C">
        <w:rPr>
          <w:shd w:val="clear" w:color="auto" w:fill="BFBFBF" w:themeFill="background1" w:themeFillShade="BF"/>
          <w:lang w:val="en-US"/>
        </w:rPr>
        <w:t xml:space="preserve">NMR-based </w:t>
      </w:r>
      <w:r w:rsidR="00DB7541" w:rsidRPr="00297C8C">
        <w:rPr>
          <w:shd w:val="clear" w:color="auto" w:fill="BFBFBF" w:themeFill="background1" w:themeFillShade="BF"/>
          <w:lang w:val="en-US"/>
        </w:rPr>
        <w:t>protein-glycan interaction</w:t>
      </w:r>
      <w:r w:rsidR="009915C0" w:rsidRPr="00297C8C">
        <w:rPr>
          <w:shd w:val="clear" w:color="auto" w:fill="BFBFBF" w:themeFill="background1" w:themeFillShade="BF"/>
          <w:lang w:val="en-US"/>
        </w:rPr>
        <w:t xml:space="preserve"> studie</w:t>
      </w:r>
      <w:r w:rsidR="00DB7541" w:rsidRPr="00297C8C">
        <w:rPr>
          <w:shd w:val="clear" w:color="auto" w:fill="BFBFBF" w:themeFill="background1" w:themeFillShade="BF"/>
          <w:lang w:val="en-US"/>
        </w:rPr>
        <w:t xml:space="preserve">s </w:t>
      </w:r>
      <w:r w:rsidR="0064770B" w:rsidRPr="00297C8C">
        <w:rPr>
          <w:shd w:val="clear" w:color="auto" w:fill="BFBFBF" w:themeFill="background1" w:themeFillShade="BF"/>
          <w:lang w:val="en-US"/>
        </w:rPr>
        <w:t>opens enormous possibilities</w:t>
      </w:r>
      <w:r w:rsidR="009915C0" w:rsidRPr="00297C8C">
        <w:rPr>
          <w:shd w:val="clear" w:color="auto" w:fill="BFBFBF" w:themeFill="background1" w:themeFillShade="BF"/>
          <w:lang w:val="en-US"/>
        </w:rPr>
        <w:t xml:space="preserve"> in the glycoscience field and therefore, in general chemical biology</w:t>
      </w:r>
      <w:r w:rsidR="00DB7541" w:rsidRPr="00297C8C">
        <w:rPr>
          <w:shd w:val="clear" w:color="auto" w:fill="BFBFBF" w:themeFill="background1" w:themeFillShade="BF"/>
          <w:lang w:val="en-US"/>
        </w:rPr>
        <w:t xml:space="preserve">. </w:t>
      </w:r>
      <w:r w:rsidR="0064770B" w:rsidRPr="00297C8C">
        <w:rPr>
          <w:shd w:val="clear" w:color="auto" w:fill="BFBFBF" w:themeFill="background1" w:themeFillShade="BF"/>
          <w:lang w:val="en-US"/>
        </w:rPr>
        <w:t xml:space="preserve">As additional tool, the introduction of versatile </w:t>
      </w:r>
      <w:r w:rsidR="00DB7541" w:rsidRPr="00297C8C">
        <w:rPr>
          <w:shd w:val="clear" w:color="auto" w:fill="BFBFBF" w:themeFill="background1" w:themeFillShade="BF"/>
          <w:vertAlign w:val="superscript"/>
          <w:lang w:val="en-US"/>
        </w:rPr>
        <w:t>19</w:t>
      </w:r>
      <w:r w:rsidR="00DB7541" w:rsidRPr="00297C8C">
        <w:rPr>
          <w:shd w:val="clear" w:color="auto" w:fill="BFBFBF" w:themeFill="background1" w:themeFillShade="BF"/>
          <w:lang w:val="en-US"/>
        </w:rPr>
        <w:t xml:space="preserve">F NMR </w:t>
      </w:r>
      <w:r w:rsidR="0064770B" w:rsidRPr="00297C8C">
        <w:rPr>
          <w:shd w:val="clear" w:color="auto" w:fill="BFBFBF" w:themeFill="background1" w:themeFillShade="BF"/>
          <w:lang w:val="en-US"/>
        </w:rPr>
        <w:t xml:space="preserve">labels </w:t>
      </w:r>
      <w:r w:rsidR="00D83774" w:rsidRPr="00297C8C">
        <w:rPr>
          <w:shd w:val="clear" w:color="auto" w:fill="BFBFBF" w:themeFill="background1" w:themeFillShade="BF"/>
          <w:lang w:val="en-US"/>
        </w:rPr>
        <w:t xml:space="preserve">into the glycan structure can </w:t>
      </w:r>
      <w:r w:rsidR="0064770B" w:rsidRPr="00297C8C">
        <w:rPr>
          <w:shd w:val="clear" w:color="auto" w:fill="BFBFBF" w:themeFill="background1" w:themeFillShade="BF"/>
          <w:lang w:val="en-US"/>
        </w:rPr>
        <w:t xml:space="preserve">also </w:t>
      </w:r>
      <w:r w:rsidR="00D83774" w:rsidRPr="00297C8C">
        <w:rPr>
          <w:shd w:val="clear" w:color="auto" w:fill="BFBFBF" w:themeFill="background1" w:themeFillShade="BF"/>
          <w:lang w:val="en-US"/>
        </w:rPr>
        <w:t xml:space="preserve">be exploited </w:t>
      </w:r>
      <w:r w:rsidR="0064770B" w:rsidRPr="00297C8C">
        <w:rPr>
          <w:shd w:val="clear" w:color="auto" w:fill="BFBFBF" w:themeFill="background1" w:themeFillShade="BF"/>
          <w:lang w:val="en-US"/>
        </w:rPr>
        <w:t>to probe complex binding events</w:t>
      </w:r>
      <w:r w:rsidR="00D83774" w:rsidRPr="00297C8C">
        <w:rPr>
          <w:lang w:val="en-US"/>
        </w:rPr>
        <w:t>.</w:t>
      </w:r>
      <w:r w:rsidR="00DB7541" w:rsidRPr="00297C8C">
        <w:rPr>
          <w:lang w:val="en-US"/>
        </w:rPr>
        <w:t xml:space="preserve"> </w:t>
      </w:r>
      <w:r w:rsidRPr="00297C8C">
        <w:rPr>
          <w:lang w:val="en-US"/>
        </w:rPr>
        <w:t>It is expected that the global application of these tremendous possibilities, associated to the latest developments in computing methods, and in other techniques, especially cryo-EM, will contribute to a better understanding of the biological and biomedical significance of glycans and their recognition by receptors.</w:t>
      </w:r>
      <w:r>
        <w:rPr>
          <w:lang w:val="en-US"/>
        </w:rPr>
        <w:t xml:space="preserve"> </w:t>
      </w:r>
    </w:p>
    <w:p w14:paraId="259F356B" w14:textId="404784E3" w:rsidR="00FA2DA2" w:rsidRDefault="00FA2DA2" w:rsidP="00E61949">
      <w:pPr>
        <w:pStyle w:val="RSCB02ArticleText"/>
      </w:pPr>
    </w:p>
    <w:p w14:paraId="67D10CA1" w14:textId="77777777" w:rsidR="00C9557D" w:rsidRDefault="00C9557D" w:rsidP="00C9557D">
      <w:pPr>
        <w:pStyle w:val="RSCB04AHeadingSection"/>
      </w:pPr>
      <w:r>
        <w:t>Conflict</w:t>
      </w:r>
      <w:r w:rsidR="00F05C18">
        <w:t>s</w:t>
      </w:r>
      <w:r>
        <w:t xml:space="preserve"> of interest</w:t>
      </w:r>
    </w:p>
    <w:p w14:paraId="59DE769F" w14:textId="77777777" w:rsidR="00A05364" w:rsidRDefault="00223959" w:rsidP="00A05364">
      <w:pPr>
        <w:rPr>
          <w:rFonts w:cs="Times New Roman"/>
          <w:w w:val="108"/>
          <w:sz w:val="18"/>
          <w:szCs w:val="18"/>
        </w:rPr>
      </w:pPr>
      <w:r>
        <w:rPr>
          <w:rFonts w:cs="Times New Roman"/>
          <w:w w:val="108"/>
          <w:sz w:val="18"/>
          <w:szCs w:val="18"/>
        </w:rPr>
        <w:t xml:space="preserve">The authors </w:t>
      </w:r>
      <w:r w:rsidR="00A05364" w:rsidRPr="00A05364">
        <w:rPr>
          <w:rFonts w:cs="Times New Roman"/>
          <w:w w:val="108"/>
          <w:sz w:val="18"/>
          <w:szCs w:val="18"/>
        </w:rPr>
        <w:t xml:space="preserve">state that </w:t>
      </w:r>
      <w:r>
        <w:rPr>
          <w:rFonts w:cs="Times New Roman"/>
          <w:w w:val="108"/>
          <w:sz w:val="18"/>
          <w:szCs w:val="18"/>
        </w:rPr>
        <w:t>t</w:t>
      </w:r>
      <w:r w:rsidR="00A05364" w:rsidRPr="00A05364">
        <w:rPr>
          <w:rFonts w:cs="Times New Roman"/>
          <w:w w:val="108"/>
          <w:sz w:val="18"/>
          <w:szCs w:val="18"/>
        </w:rPr>
        <w:t>here a</w:t>
      </w:r>
      <w:r>
        <w:rPr>
          <w:rFonts w:cs="Times New Roman"/>
          <w:w w:val="108"/>
          <w:sz w:val="18"/>
          <w:szCs w:val="18"/>
        </w:rPr>
        <w:t>re no conflicts to declare</w:t>
      </w:r>
      <w:r w:rsidR="00A05364" w:rsidRPr="00A05364">
        <w:rPr>
          <w:rFonts w:cs="Times New Roman"/>
          <w:w w:val="108"/>
          <w:sz w:val="18"/>
          <w:szCs w:val="18"/>
        </w:rPr>
        <w:t>.</w:t>
      </w:r>
    </w:p>
    <w:p w14:paraId="46798E73" w14:textId="77777777" w:rsidR="00FA2DA2" w:rsidRDefault="00FA2DA2" w:rsidP="00FA2DA2">
      <w:pPr>
        <w:pStyle w:val="RSCB04AHeadingSection"/>
      </w:pPr>
      <w:r>
        <w:t>Acknowledgements</w:t>
      </w:r>
    </w:p>
    <w:p w14:paraId="405A9FB4" w14:textId="65941100" w:rsidR="00FA2DA2" w:rsidRPr="00236CB2" w:rsidRDefault="00223959" w:rsidP="00FA2DA2">
      <w:pPr>
        <w:pStyle w:val="RSCB02ArticleText"/>
        <w:rPr>
          <w:lang w:val="en-US"/>
        </w:rPr>
      </w:pPr>
      <w:r w:rsidRPr="00223959">
        <w:rPr>
          <w:lang w:val="en-US"/>
        </w:rPr>
        <w:t>We thank MINECO of Spain for Grant</w:t>
      </w:r>
      <w:r w:rsidR="0064770B">
        <w:rPr>
          <w:lang w:val="en-US"/>
        </w:rPr>
        <w:t xml:space="preserve"> </w:t>
      </w:r>
      <w:r w:rsidR="0064770B" w:rsidRPr="00236CB2">
        <w:rPr>
          <w:lang w:val="en-US"/>
        </w:rPr>
        <w:t>CTQ2015-64597-C2-1-P</w:t>
      </w:r>
      <w:r w:rsidRPr="00223959">
        <w:rPr>
          <w:lang w:val="en-US"/>
        </w:rPr>
        <w:t>, for the Severo Ochoa Excellence Acreditation (SEV-2016-0644) and for a Ramón y Cajal contract to Ana Ardá</w:t>
      </w:r>
      <w:r w:rsidR="0064770B">
        <w:rPr>
          <w:lang w:val="en-US"/>
        </w:rPr>
        <w:t xml:space="preserve"> (</w:t>
      </w:r>
      <w:r w:rsidR="0064770B" w:rsidRPr="0064770B">
        <w:rPr>
          <w:lang w:val="en-US"/>
        </w:rPr>
        <w:t>RYC-2014-15969</w:t>
      </w:r>
      <w:r w:rsidR="0064770B">
        <w:rPr>
          <w:lang w:val="en-US"/>
        </w:rPr>
        <w:t>)</w:t>
      </w:r>
      <w:r w:rsidRPr="00223959">
        <w:rPr>
          <w:lang w:val="en-US"/>
        </w:rPr>
        <w:t>.</w:t>
      </w:r>
      <w:r w:rsidR="00FA2DA2" w:rsidRPr="00702742">
        <w:t xml:space="preserve"> </w:t>
      </w:r>
    </w:p>
    <w:p w14:paraId="6FAD92A1" w14:textId="77777777" w:rsidR="00D010E8" w:rsidRDefault="00E61949" w:rsidP="00EF6BD4">
      <w:pPr>
        <w:pStyle w:val="RSCB04AHeadingSection"/>
      </w:pPr>
      <w:r w:rsidRPr="00EF6BD4">
        <w:t>Notes and references</w:t>
      </w:r>
    </w:p>
    <w:p w14:paraId="70DF2D4F" w14:textId="77777777" w:rsidR="00F04D9C" w:rsidRPr="00A36199" w:rsidRDefault="00F04D9C" w:rsidP="00F04D9C">
      <w:pPr>
        <w:pStyle w:val="RSCR02References"/>
        <w:rPr>
          <w:rFonts w:cstheme="minorHAnsi"/>
          <w:lang w:val="en-US"/>
        </w:rPr>
      </w:pPr>
      <w:r w:rsidRPr="00A36199">
        <w:rPr>
          <w:rFonts w:cstheme="minorHAnsi"/>
          <w:lang w:val="en-US"/>
        </w:rPr>
        <w:t xml:space="preserve">K. S. Lau, E. A. Partridge, A. Grigorian, C. I. Silvescu, V. N. Reinhold, M. Demetriou, J. W. Dennis, </w:t>
      </w:r>
      <w:r w:rsidRPr="00A36199">
        <w:rPr>
          <w:rFonts w:cstheme="minorHAnsi"/>
          <w:i/>
          <w:lang w:val="en-US"/>
        </w:rPr>
        <w:t>Cell</w:t>
      </w:r>
      <w:r w:rsidRPr="00A36199">
        <w:rPr>
          <w:rFonts w:cstheme="minorHAnsi"/>
          <w:lang w:val="en-US"/>
        </w:rPr>
        <w:t xml:space="preserve">, 2007, </w:t>
      </w:r>
      <w:r w:rsidRPr="00A36199">
        <w:rPr>
          <w:rFonts w:cstheme="minorHAnsi"/>
          <w:b/>
          <w:lang w:val="en-US"/>
        </w:rPr>
        <w:t>129</w:t>
      </w:r>
      <w:r w:rsidRPr="00A36199">
        <w:rPr>
          <w:rFonts w:cstheme="minorHAnsi"/>
          <w:lang w:val="en-US"/>
        </w:rPr>
        <w:t>, 123–134.</w:t>
      </w:r>
    </w:p>
    <w:p w14:paraId="3CDA3599" w14:textId="77777777" w:rsidR="00F04D9C" w:rsidRDefault="00F04D9C" w:rsidP="00F04D9C">
      <w:pPr>
        <w:pStyle w:val="RSCR02References"/>
        <w:rPr>
          <w:rFonts w:cstheme="minorHAnsi"/>
          <w:lang w:val="en-US"/>
        </w:rPr>
      </w:pPr>
      <w:r w:rsidRPr="00A36199">
        <w:rPr>
          <w:rFonts w:cstheme="minorHAnsi"/>
          <w:lang w:val="en-US"/>
        </w:rPr>
        <w:t xml:space="preserve">L. L. Kiessling, C. R. Bertozzi, </w:t>
      </w:r>
      <w:r w:rsidRPr="00A36199">
        <w:rPr>
          <w:rFonts w:cstheme="minorHAnsi"/>
          <w:i/>
          <w:lang w:val="en-US"/>
        </w:rPr>
        <w:t>Science</w:t>
      </w:r>
      <w:r w:rsidRPr="00A36199">
        <w:rPr>
          <w:rFonts w:cstheme="minorHAnsi"/>
          <w:lang w:val="en-US"/>
        </w:rPr>
        <w:t xml:space="preserve"> 2001, </w:t>
      </w:r>
      <w:r w:rsidRPr="00A36199">
        <w:rPr>
          <w:rFonts w:cstheme="minorHAnsi"/>
          <w:b/>
          <w:lang w:val="en-US"/>
        </w:rPr>
        <w:t>291</w:t>
      </w:r>
      <w:r w:rsidRPr="00A36199">
        <w:rPr>
          <w:rFonts w:cstheme="minorHAnsi"/>
          <w:lang w:val="en-US"/>
        </w:rPr>
        <w:t>, 2357-2364.</w:t>
      </w:r>
    </w:p>
    <w:p w14:paraId="1A46F8D7" w14:textId="77777777" w:rsidR="006A6F1D" w:rsidRPr="00A36199" w:rsidRDefault="006A6F1D" w:rsidP="00F04D9C">
      <w:pPr>
        <w:pStyle w:val="RSCR02References"/>
        <w:rPr>
          <w:rFonts w:cstheme="minorHAnsi"/>
          <w:lang w:val="en-US"/>
        </w:rPr>
      </w:pPr>
      <w:r w:rsidRPr="00861208">
        <w:rPr>
          <w:rFonts w:cstheme="minorHAnsi"/>
          <w:lang w:val="en-US"/>
        </w:rPr>
        <w:t xml:space="preserve">M. Takahashi, Y. Kizuka, K. Ohtsubo, J. Gu, N. Taniguchi, </w:t>
      </w:r>
      <w:r w:rsidRPr="00861208">
        <w:rPr>
          <w:rFonts w:cstheme="minorHAnsi"/>
          <w:i/>
          <w:lang w:val="en-US"/>
        </w:rPr>
        <w:t xml:space="preserve">Mol. </w:t>
      </w:r>
      <w:r w:rsidRPr="00D50FE3">
        <w:rPr>
          <w:rFonts w:cstheme="minorHAnsi"/>
          <w:i/>
          <w:lang w:val="en-US"/>
        </w:rPr>
        <w:t>Aspects Med</w:t>
      </w:r>
      <w:r>
        <w:rPr>
          <w:rFonts w:cstheme="minorHAnsi"/>
          <w:i/>
          <w:lang w:val="en-US"/>
        </w:rPr>
        <w:t>.</w:t>
      </w:r>
      <w:r w:rsidRPr="00D50FE3">
        <w:rPr>
          <w:rFonts w:cstheme="minorHAnsi"/>
          <w:lang w:val="en-US"/>
        </w:rPr>
        <w:t>,</w:t>
      </w:r>
      <w:r>
        <w:rPr>
          <w:rFonts w:cstheme="minorHAnsi"/>
          <w:lang w:val="en-US"/>
        </w:rPr>
        <w:t xml:space="preserve"> 2016, </w:t>
      </w:r>
      <w:r w:rsidRPr="00D50FE3">
        <w:rPr>
          <w:rFonts w:cstheme="minorHAnsi"/>
          <w:b/>
          <w:lang w:val="en-US"/>
        </w:rPr>
        <w:t>51</w:t>
      </w:r>
      <w:r w:rsidRPr="00D50FE3">
        <w:rPr>
          <w:rFonts w:cstheme="minorHAnsi"/>
          <w:lang w:val="en-US"/>
        </w:rPr>
        <w:t>,</w:t>
      </w:r>
      <w:r>
        <w:rPr>
          <w:rFonts w:cstheme="minorHAnsi"/>
          <w:lang w:val="en-US"/>
        </w:rPr>
        <w:t xml:space="preserve"> </w:t>
      </w:r>
      <w:r w:rsidRPr="00D50FE3">
        <w:rPr>
          <w:rFonts w:cstheme="minorHAnsi"/>
          <w:lang w:val="en-US"/>
        </w:rPr>
        <w:t>56-70</w:t>
      </w:r>
      <w:r>
        <w:rPr>
          <w:rFonts w:cstheme="minorHAnsi"/>
          <w:lang w:val="en-US"/>
        </w:rPr>
        <w:t>.</w:t>
      </w:r>
    </w:p>
    <w:p w14:paraId="2FC503CF" w14:textId="77777777" w:rsidR="00F04D9C" w:rsidRDefault="00F04D9C" w:rsidP="00F04D9C">
      <w:pPr>
        <w:pStyle w:val="RSCR02References"/>
        <w:rPr>
          <w:rFonts w:cstheme="minorHAnsi"/>
          <w:lang w:val="en-US"/>
        </w:rPr>
      </w:pPr>
      <w:r w:rsidRPr="00A36199">
        <w:rPr>
          <w:rFonts w:cstheme="minorHAnsi"/>
          <w:bCs/>
          <w:lang w:val="en-US"/>
        </w:rPr>
        <w:t>Y. Hasegawa</w:t>
      </w:r>
      <w:r w:rsidRPr="00A36199">
        <w:rPr>
          <w:rFonts w:cstheme="minorHAnsi"/>
          <w:lang w:val="en-US"/>
        </w:rPr>
        <w:t xml:space="preserve">, M. Takahashi, S. Ariki, D. Asakawa, M. Tajiri, Y. Wada, Y. Yamaguchi, C. Nishitani, R. Takamiya, A. Saito, Y. Uehara, J. Hashimoto, Y. Kurimura, H. Takahashi, Y. Kuroki, </w:t>
      </w:r>
      <w:r w:rsidRPr="00A36199">
        <w:rPr>
          <w:rFonts w:cstheme="minorHAnsi"/>
          <w:bCs/>
          <w:i/>
          <w:lang w:val="en-US"/>
        </w:rPr>
        <w:t>Oncogene</w:t>
      </w:r>
      <w:r w:rsidRPr="00A36199">
        <w:rPr>
          <w:rFonts w:cstheme="minorHAnsi"/>
          <w:lang w:val="en-US"/>
        </w:rPr>
        <w:t xml:space="preserve">, 2015, </w:t>
      </w:r>
      <w:r w:rsidRPr="00A36199">
        <w:rPr>
          <w:rFonts w:cstheme="minorHAnsi"/>
          <w:b/>
          <w:lang w:val="en-US"/>
        </w:rPr>
        <w:t>34</w:t>
      </w:r>
      <w:r w:rsidRPr="00A36199">
        <w:rPr>
          <w:rFonts w:cstheme="minorHAnsi"/>
          <w:lang w:val="en-US"/>
        </w:rPr>
        <w:t xml:space="preserve">, 4285-4286. </w:t>
      </w:r>
    </w:p>
    <w:p w14:paraId="342FDC6A" w14:textId="77777777" w:rsidR="000F601A" w:rsidRPr="00A36199" w:rsidRDefault="000F601A" w:rsidP="00F04D9C">
      <w:pPr>
        <w:pStyle w:val="RSCR02References"/>
        <w:rPr>
          <w:rFonts w:cstheme="minorHAnsi"/>
          <w:lang w:val="en-US"/>
        </w:rPr>
      </w:pPr>
      <w:r w:rsidRPr="00861208">
        <w:rPr>
          <w:rFonts w:cstheme="minorHAnsi"/>
          <w:lang w:val="en-US"/>
        </w:rPr>
        <w:lastRenderedPageBreak/>
        <w:t xml:space="preserve">Y. Hasegawa, M. Takahashi, S. Ariki, D. Asakawa, M. Tajiri, Y. Wada, Y. Yamaguchi, C. Nishitani, R. Takamiya, A. Saito, Y. Uehara, J. Hashimoto, Y. Kurimura, H. Takahashi, </w:t>
      </w:r>
      <w:r>
        <w:rPr>
          <w:rFonts w:cstheme="minorHAnsi"/>
          <w:lang w:val="en-US"/>
        </w:rPr>
        <w:t>Y.</w:t>
      </w:r>
      <w:r w:rsidRPr="00861208">
        <w:rPr>
          <w:rFonts w:cstheme="minorHAnsi"/>
          <w:lang w:val="en-US"/>
        </w:rPr>
        <w:t xml:space="preserve"> Kuroki,</w:t>
      </w:r>
      <w:r>
        <w:rPr>
          <w:rFonts w:cstheme="minorHAnsi"/>
          <w:lang w:val="en-US"/>
        </w:rPr>
        <w:t xml:space="preserve"> </w:t>
      </w:r>
      <w:r w:rsidRPr="00861208">
        <w:rPr>
          <w:rFonts w:cstheme="minorHAnsi"/>
          <w:i/>
          <w:iCs/>
        </w:rPr>
        <w:t>Oncogene</w:t>
      </w:r>
      <w:r>
        <w:rPr>
          <w:rFonts w:cstheme="minorHAnsi"/>
          <w:iCs/>
        </w:rPr>
        <w:t>, 2015,</w:t>
      </w:r>
      <w:r w:rsidRPr="00861208">
        <w:rPr>
          <w:rFonts w:cstheme="minorHAnsi"/>
          <w:b/>
          <w:bCs/>
        </w:rPr>
        <w:t xml:space="preserve"> 34</w:t>
      </w:r>
      <w:r w:rsidRPr="00861208">
        <w:rPr>
          <w:rFonts w:cstheme="minorHAnsi"/>
        </w:rPr>
        <w:t>, 838–845</w:t>
      </w:r>
      <w:r>
        <w:rPr>
          <w:rFonts w:cstheme="minorHAnsi"/>
        </w:rPr>
        <w:t>.</w:t>
      </w:r>
    </w:p>
    <w:p w14:paraId="2B279B89" w14:textId="77777777" w:rsidR="00F04D9C" w:rsidRDefault="00F04D9C" w:rsidP="00F04D9C">
      <w:pPr>
        <w:pStyle w:val="RSCR02References"/>
        <w:rPr>
          <w:rFonts w:cstheme="minorHAnsi"/>
          <w:lang w:val="en-US" w:eastAsia="es-ES_tradnl"/>
        </w:rPr>
      </w:pPr>
      <w:r w:rsidRPr="00A36199">
        <w:rPr>
          <w:rFonts w:cstheme="minorHAnsi"/>
          <w:lang w:val="en-US" w:eastAsia="es-ES_tradnl"/>
        </w:rPr>
        <w:t xml:space="preserve">M. Takahashi, Y. Hasegawa, C. Gao, Y. Kuroki, N. Taniguchi, </w:t>
      </w:r>
      <w:r w:rsidRPr="00A36199">
        <w:rPr>
          <w:rFonts w:cstheme="minorHAnsi"/>
          <w:i/>
          <w:lang w:val="en-US"/>
        </w:rPr>
        <w:t>Clin. Sci</w:t>
      </w:r>
      <w:r w:rsidRPr="00A36199">
        <w:rPr>
          <w:rFonts w:cstheme="minorHAnsi"/>
          <w:lang w:val="en-US"/>
        </w:rPr>
        <w:t xml:space="preserve">., 2016, </w:t>
      </w:r>
      <w:r w:rsidRPr="00A36199">
        <w:rPr>
          <w:rFonts w:cstheme="minorHAnsi"/>
          <w:b/>
          <w:lang w:val="en-US"/>
        </w:rPr>
        <w:t>130</w:t>
      </w:r>
      <w:r w:rsidRPr="00A36199">
        <w:rPr>
          <w:rFonts w:cstheme="minorHAnsi"/>
          <w:lang w:val="en-US"/>
        </w:rPr>
        <w:t>, 1781-1792.</w:t>
      </w:r>
    </w:p>
    <w:p w14:paraId="2986A61F" w14:textId="77777777" w:rsidR="001A366B" w:rsidRPr="00024752" w:rsidRDefault="001A366B" w:rsidP="00F04D9C">
      <w:pPr>
        <w:pStyle w:val="RSCR02References"/>
        <w:rPr>
          <w:rFonts w:cstheme="minorHAnsi"/>
          <w:lang w:val="en-US" w:eastAsia="es-ES_tradnl"/>
        </w:rPr>
      </w:pPr>
      <w:r w:rsidRPr="001E2499">
        <w:rPr>
          <w:lang w:val="es-ES"/>
        </w:rPr>
        <w:t xml:space="preserve">G. A. </w:t>
      </w:r>
      <w:r w:rsidRPr="001E2499">
        <w:rPr>
          <w:w w:val="108"/>
          <w:lang w:val="es-ES"/>
        </w:rPr>
        <w:t>Rabinovich</w:t>
      </w:r>
      <w:r w:rsidRPr="001E2499">
        <w:rPr>
          <w:lang w:val="es-ES"/>
        </w:rPr>
        <w:t xml:space="preserve">, M. A. Toscano, </w:t>
      </w:r>
      <w:r w:rsidRPr="001E2499">
        <w:rPr>
          <w:i/>
          <w:iCs/>
          <w:lang w:val="es-ES"/>
        </w:rPr>
        <w:t xml:space="preserve">Nat. </w:t>
      </w:r>
      <w:r w:rsidRPr="001E2499">
        <w:rPr>
          <w:i/>
          <w:iCs/>
          <w:lang w:val="en-US"/>
        </w:rPr>
        <w:t>Rev. Immunol</w:t>
      </w:r>
      <w:r w:rsidRPr="001E2499">
        <w:rPr>
          <w:iCs/>
          <w:lang w:val="en-US"/>
        </w:rPr>
        <w:t xml:space="preserve">., 2009, </w:t>
      </w:r>
      <w:r w:rsidRPr="001E2499">
        <w:rPr>
          <w:b/>
          <w:lang w:val="en-US"/>
        </w:rPr>
        <w:t>9</w:t>
      </w:r>
      <w:r>
        <w:rPr>
          <w:lang w:val="en-US"/>
        </w:rPr>
        <w:t xml:space="preserve">, </w:t>
      </w:r>
      <w:r w:rsidRPr="001E2499">
        <w:rPr>
          <w:lang w:val="en-US"/>
        </w:rPr>
        <w:t>338–</w:t>
      </w:r>
      <w:r>
        <w:rPr>
          <w:lang w:val="en-US"/>
        </w:rPr>
        <w:t>3</w:t>
      </w:r>
      <w:r w:rsidRPr="001E2499">
        <w:rPr>
          <w:lang w:val="en-US"/>
        </w:rPr>
        <w:t>52</w:t>
      </w:r>
      <w:r>
        <w:rPr>
          <w:lang w:val="en-US"/>
        </w:rPr>
        <w:t>.</w:t>
      </w:r>
    </w:p>
    <w:p w14:paraId="2D9FB473" w14:textId="77777777" w:rsidR="00024752" w:rsidRPr="008B7AD3" w:rsidRDefault="00024752" w:rsidP="00F04D9C">
      <w:pPr>
        <w:pStyle w:val="RSCR02References"/>
        <w:rPr>
          <w:rFonts w:cstheme="minorHAnsi"/>
          <w:lang w:val="en-US" w:eastAsia="es-ES_tradnl"/>
        </w:rPr>
      </w:pPr>
      <w:r w:rsidRPr="00024752">
        <w:rPr>
          <w:lang w:val="es-ES"/>
        </w:rPr>
        <w:t xml:space="preserve">H. Yan, N. Ohno, N. M. Tsuji, </w:t>
      </w:r>
      <w:r w:rsidRPr="00024752">
        <w:rPr>
          <w:i/>
          <w:lang w:val="es-ES"/>
        </w:rPr>
        <w:t xml:space="preserve">Int. </w:t>
      </w:r>
      <w:r w:rsidRPr="001E2499">
        <w:rPr>
          <w:i/>
        </w:rPr>
        <w:t>Immunopharmacol.</w:t>
      </w:r>
      <w:r>
        <w:t xml:space="preserve">, 2013, </w:t>
      </w:r>
      <w:r>
        <w:rPr>
          <w:b/>
        </w:rPr>
        <w:t>16</w:t>
      </w:r>
      <w:r>
        <w:t>, 353-357.</w:t>
      </w:r>
    </w:p>
    <w:p w14:paraId="62DA7AAA" w14:textId="77777777" w:rsidR="008B7AD3" w:rsidRPr="007713E4" w:rsidRDefault="008B7AD3" w:rsidP="00F04D9C">
      <w:pPr>
        <w:pStyle w:val="RSCR02References"/>
        <w:rPr>
          <w:rFonts w:cstheme="minorHAnsi"/>
          <w:lang w:val="en-US" w:eastAsia="es-ES_tradnl"/>
        </w:rPr>
      </w:pPr>
      <w:r w:rsidRPr="001E2499">
        <w:rPr>
          <w:lang w:val="en-US"/>
        </w:rPr>
        <w:t>M.</w:t>
      </w:r>
      <w:r w:rsidRPr="001E2499">
        <w:rPr>
          <w:iCs/>
          <w:lang w:val="en-US"/>
        </w:rPr>
        <w:t xml:space="preserve"> S. Macauley, P</w:t>
      </w:r>
      <w:r>
        <w:rPr>
          <w:iCs/>
          <w:lang w:val="en-US"/>
        </w:rPr>
        <w:t>.</w:t>
      </w:r>
      <w:r w:rsidRPr="001E2499">
        <w:rPr>
          <w:iCs/>
          <w:lang w:val="en-US"/>
        </w:rPr>
        <w:t xml:space="preserve"> R. Crocker</w:t>
      </w:r>
      <w:r>
        <w:rPr>
          <w:iCs/>
          <w:lang w:val="en-US"/>
        </w:rPr>
        <w:t xml:space="preserve">, </w:t>
      </w:r>
      <w:r w:rsidRPr="001E2499">
        <w:rPr>
          <w:iCs/>
          <w:lang w:val="en-US"/>
        </w:rPr>
        <w:t>J</w:t>
      </w:r>
      <w:r>
        <w:rPr>
          <w:iCs/>
          <w:lang w:val="en-US"/>
        </w:rPr>
        <w:t>.</w:t>
      </w:r>
      <w:r w:rsidRPr="001E2499">
        <w:rPr>
          <w:iCs/>
          <w:lang w:val="en-US"/>
        </w:rPr>
        <w:t xml:space="preserve"> C. Paulson</w:t>
      </w:r>
      <w:r>
        <w:rPr>
          <w:iCs/>
          <w:lang w:val="en-US"/>
        </w:rPr>
        <w:t xml:space="preserve">, </w:t>
      </w:r>
      <w:r w:rsidRPr="00B219FA">
        <w:rPr>
          <w:i/>
          <w:iCs/>
        </w:rPr>
        <w:t>Nat</w:t>
      </w:r>
      <w:r>
        <w:rPr>
          <w:i/>
          <w:iCs/>
        </w:rPr>
        <w:t>.</w:t>
      </w:r>
      <w:r w:rsidRPr="00B219FA">
        <w:rPr>
          <w:i/>
          <w:iCs/>
        </w:rPr>
        <w:t xml:space="preserve"> Rev</w:t>
      </w:r>
      <w:r>
        <w:rPr>
          <w:i/>
          <w:iCs/>
        </w:rPr>
        <w:t>.</w:t>
      </w:r>
      <w:r w:rsidRPr="00B219FA">
        <w:rPr>
          <w:i/>
          <w:iCs/>
        </w:rPr>
        <w:t xml:space="preserve"> Immunol</w:t>
      </w:r>
      <w:r>
        <w:rPr>
          <w:i/>
          <w:iCs/>
        </w:rPr>
        <w:t xml:space="preserve">., </w:t>
      </w:r>
      <w:r w:rsidRPr="001E2499">
        <w:rPr>
          <w:iCs/>
        </w:rPr>
        <w:t xml:space="preserve">2014, </w:t>
      </w:r>
      <w:r w:rsidRPr="001E2499">
        <w:rPr>
          <w:b/>
          <w:iCs/>
        </w:rPr>
        <w:t>14</w:t>
      </w:r>
      <w:r w:rsidRPr="001E2499">
        <w:rPr>
          <w:iCs/>
        </w:rPr>
        <w:t>, 653-6</w:t>
      </w:r>
      <w:r>
        <w:rPr>
          <w:iCs/>
        </w:rPr>
        <w:t>66.</w:t>
      </w:r>
    </w:p>
    <w:p w14:paraId="72A0B242" w14:textId="77777777" w:rsidR="007713E4" w:rsidRPr="007713E4" w:rsidRDefault="007713E4" w:rsidP="00F04D9C">
      <w:pPr>
        <w:pStyle w:val="RSCR02References"/>
        <w:rPr>
          <w:rFonts w:cstheme="minorHAnsi"/>
          <w:lang w:val="en-US" w:eastAsia="es-ES_tradnl"/>
        </w:rPr>
      </w:pPr>
      <w:r>
        <w:rPr>
          <w:lang w:val="en-US"/>
        </w:rPr>
        <w:t>G.</w:t>
      </w:r>
      <w:r w:rsidRPr="00093D20">
        <w:rPr>
          <w:lang w:val="en-US"/>
        </w:rPr>
        <w:t xml:space="preserve"> A. Rabinovich</w:t>
      </w:r>
      <w:r>
        <w:rPr>
          <w:lang w:val="en-US"/>
        </w:rPr>
        <w:t>,</w:t>
      </w:r>
      <w:r w:rsidRPr="00093D20">
        <w:rPr>
          <w:lang w:val="en-US"/>
        </w:rPr>
        <w:t xml:space="preserve"> D</w:t>
      </w:r>
      <w:r>
        <w:rPr>
          <w:lang w:val="en-US"/>
        </w:rPr>
        <w:t>.</w:t>
      </w:r>
      <w:r w:rsidRPr="00093D20">
        <w:rPr>
          <w:lang w:val="en-US"/>
        </w:rPr>
        <w:t xml:space="preserve"> O. Croci</w:t>
      </w:r>
      <w:r>
        <w:rPr>
          <w:lang w:val="en-US"/>
        </w:rPr>
        <w:t xml:space="preserve">, </w:t>
      </w:r>
      <w:r w:rsidRPr="00093D20">
        <w:rPr>
          <w:i/>
          <w:lang w:val="en-US"/>
        </w:rPr>
        <w:t>Immunity</w:t>
      </w:r>
      <w:r>
        <w:rPr>
          <w:lang w:val="en-US"/>
        </w:rPr>
        <w:t>, 2012,</w:t>
      </w:r>
      <w:r w:rsidRPr="00093D20">
        <w:rPr>
          <w:lang w:val="en-US"/>
        </w:rPr>
        <w:t xml:space="preserve"> 36, </w:t>
      </w:r>
      <w:r>
        <w:rPr>
          <w:lang w:val="en-US"/>
        </w:rPr>
        <w:t>322-335.</w:t>
      </w:r>
    </w:p>
    <w:p w14:paraId="19E37A67" w14:textId="77777777" w:rsidR="007713E4" w:rsidRPr="00264DC4" w:rsidRDefault="007713E4" w:rsidP="00F04D9C">
      <w:pPr>
        <w:pStyle w:val="RSCR02References"/>
        <w:rPr>
          <w:rFonts w:cstheme="minorHAnsi"/>
          <w:lang w:val="en-US" w:eastAsia="es-ES_tradnl"/>
        </w:rPr>
      </w:pPr>
      <w:r w:rsidRPr="007713E4">
        <w:rPr>
          <w:iCs/>
          <w:lang w:val="es-ES"/>
        </w:rPr>
        <w:t xml:space="preserve">E. Rodríguez, S. T. T. Schetters, Y. van Kooyk, </w:t>
      </w:r>
      <w:r w:rsidRPr="007713E4">
        <w:rPr>
          <w:i/>
          <w:iCs/>
          <w:lang w:val="es-ES"/>
        </w:rPr>
        <w:t xml:space="preserve">Nat. </w:t>
      </w:r>
      <w:r w:rsidRPr="00B219FA">
        <w:rPr>
          <w:i/>
          <w:iCs/>
        </w:rPr>
        <w:t>Rev</w:t>
      </w:r>
      <w:r>
        <w:rPr>
          <w:i/>
          <w:iCs/>
        </w:rPr>
        <w:t>.</w:t>
      </w:r>
      <w:r w:rsidRPr="00B219FA">
        <w:rPr>
          <w:i/>
          <w:iCs/>
        </w:rPr>
        <w:t xml:space="preserve"> Immunol</w:t>
      </w:r>
      <w:r w:rsidRPr="00B219FA">
        <w:rPr>
          <w:iCs/>
        </w:rPr>
        <w:t>.</w:t>
      </w:r>
      <w:r>
        <w:rPr>
          <w:iCs/>
        </w:rPr>
        <w:t>,</w:t>
      </w:r>
      <w:r w:rsidRPr="00B219FA">
        <w:rPr>
          <w:iCs/>
        </w:rPr>
        <w:t xml:space="preserve"> 2018</w:t>
      </w:r>
      <w:r>
        <w:rPr>
          <w:iCs/>
        </w:rPr>
        <w:t xml:space="preserve">, </w:t>
      </w:r>
      <w:r w:rsidRPr="00B219FA">
        <w:rPr>
          <w:b/>
          <w:iCs/>
        </w:rPr>
        <w:t>18</w:t>
      </w:r>
      <w:r>
        <w:rPr>
          <w:iCs/>
        </w:rPr>
        <w:t xml:space="preserve">, </w:t>
      </w:r>
      <w:r w:rsidRPr="00B219FA">
        <w:rPr>
          <w:iCs/>
        </w:rPr>
        <w:t>204-211</w:t>
      </w:r>
      <w:r>
        <w:rPr>
          <w:iCs/>
        </w:rPr>
        <w:t>.</w:t>
      </w:r>
    </w:p>
    <w:p w14:paraId="46DB6E9A" w14:textId="77777777" w:rsidR="00264DC4" w:rsidRPr="00A36199" w:rsidRDefault="00264DC4" w:rsidP="00F04D9C">
      <w:pPr>
        <w:pStyle w:val="RSCR02References"/>
        <w:rPr>
          <w:rFonts w:cstheme="minorHAnsi"/>
          <w:lang w:val="en-US" w:eastAsia="es-ES_tradnl"/>
        </w:rPr>
      </w:pPr>
      <w:r>
        <w:t>J. J</w:t>
      </w:r>
      <w:r w:rsidRPr="00093D20">
        <w:rPr>
          <w:lang w:val="en-US"/>
        </w:rPr>
        <w:t xml:space="preserve">ellusova, </w:t>
      </w:r>
      <w:r>
        <w:rPr>
          <w:lang w:val="en-US"/>
        </w:rPr>
        <w:t xml:space="preserve">L. </w:t>
      </w:r>
      <w:r w:rsidRPr="00093D20">
        <w:rPr>
          <w:lang w:val="en-US"/>
        </w:rPr>
        <w:t>Nitschke</w:t>
      </w:r>
      <w:r>
        <w:rPr>
          <w:lang w:val="en-US"/>
        </w:rPr>
        <w:t xml:space="preserve">, </w:t>
      </w:r>
      <w:r w:rsidRPr="00093D20">
        <w:rPr>
          <w:i/>
        </w:rPr>
        <w:t>Front. Immunol</w:t>
      </w:r>
      <w:r>
        <w:t>., 2012, 2, 96-110.</w:t>
      </w:r>
    </w:p>
    <w:p w14:paraId="6B2ED1B9" w14:textId="77777777" w:rsidR="00F04D9C" w:rsidRDefault="00F04D9C" w:rsidP="00F04D9C">
      <w:pPr>
        <w:pStyle w:val="RSCR02References"/>
        <w:rPr>
          <w:rFonts w:cstheme="minorHAnsi"/>
          <w:lang w:val="en-US"/>
        </w:rPr>
      </w:pPr>
      <w:r w:rsidRPr="00A36199">
        <w:rPr>
          <w:rFonts w:cstheme="minorHAnsi"/>
          <w:lang w:val="en-US"/>
        </w:rPr>
        <w:t xml:space="preserve">I. Quast, B. Peschke, J. D. Luünemann, </w:t>
      </w:r>
      <w:r w:rsidRPr="00A36199">
        <w:rPr>
          <w:rFonts w:cstheme="minorHAnsi"/>
          <w:i/>
          <w:lang w:val="en-US"/>
        </w:rPr>
        <w:t>Cell. Mol. Life Sci</w:t>
      </w:r>
      <w:r w:rsidR="00C559B8">
        <w:rPr>
          <w:rFonts w:cstheme="minorHAnsi"/>
          <w:i/>
          <w:lang w:val="en-US"/>
        </w:rPr>
        <w:t>.</w:t>
      </w:r>
      <w:r w:rsidRPr="00A36199">
        <w:rPr>
          <w:rFonts w:cstheme="minorHAnsi"/>
          <w:lang w:val="en-US"/>
        </w:rPr>
        <w:t xml:space="preserve">, 2017, </w:t>
      </w:r>
      <w:r w:rsidRPr="00A36199">
        <w:rPr>
          <w:rFonts w:cstheme="minorHAnsi"/>
          <w:b/>
          <w:lang w:val="en-US"/>
        </w:rPr>
        <w:t>74</w:t>
      </w:r>
      <w:r w:rsidRPr="00A36199">
        <w:rPr>
          <w:rFonts w:cstheme="minorHAnsi"/>
          <w:lang w:val="en-US"/>
        </w:rPr>
        <w:t>, 837-847.</w:t>
      </w:r>
    </w:p>
    <w:p w14:paraId="7E30A6DB" w14:textId="77777777" w:rsidR="006E32D5" w:rsidRPr="006E32D5" w:rsidRDefault="006E32D5" w:rsidP="00F04D9C">
      <w:pPr>
        <w:pStyle w:val="RSCR02References"/>
        <w:rPr>
          <w:rFonts w:cstheme="minorHAnsi"/>
          <w:lang w:val="en-US"/>
        </w:rPr>
      </w:pPr>
      <w:r>
        <w:t xml:space="preserve">R. L. </w:t>
      </w:r>
      <w:r w:rsidRPr="0028574F">
        <w:t>Shields,</w:t>
      </w:r>
      <w:r>
        <w:t xml:space="preserve"> J.</w:t>
      </w:r>
      <w:r w:rsidRPr="0028574F">
        <w:t xml:space="preserve"> Lai,</w:t>
      </w:r>
      <w:r>
        <w:t xml:space="preserve"> R.</w:t>
      </w:r>
      <w:r w:rsidRPr="0028574F">
        <w:t xml:space="preserve"> Keck,</w:t>
      </w:r>
      <w:r>
        <w:t xml:space="preserve"> L. Y.</w:t>
      </w:r>
      <w:r w:rsidRPr="0028574F">
        <w:t xml:space="preserve"> O'Connell,</w:t>
      </w:r>
      <w:r>
        <w:t xml:space="preserve"> K. Hong</w:t>
      </w:r>
      <w:r w:rsidRPr="0028574F">
        <w:t>,</w:t>
      </w:r>
      <w:r>
        <w:t xml:space="preserve"> Y. G.</w:t>
      </w:r>
      <w:r w:rsidRPr="0028574F">
        <w:t xml:space="preserve"> Meng</w:t>
      </w:r>
      <w:r>
        <w:t xml:space="preserve">, S. H. </w:t>
      </w:r>
      <w:r w:rsidRPr="0028574F">
        <w:t>Weikert,</w:t>
      </w:r>
      <w:r>
        <w:t xml:space="preserve"> L. G.</w:t>
      </w:r>
      <w:r w:rsidRPr="0028574F">
        <w:t xml:space="preserve"> Presta</w:t>
      </w:r>
      <w:r>
        <w:t xml:space="preserve">, </w:t>
      </w:r>
      <w:r w:rsidRPr="0028574F">
        <w:rPr>
          <w:i/>
        </w:rPr>
        <w:t>J. Biol. Chem.</w:t>
      </w:r>
      <w:r>
        <w:t>,</w:t>
      </w:r>
      <w:r w:rsidRPr="0028574F">
        <w:t xml:space="preserve"> 2002</w:t>
      </w:r>
      <w:r>
        <w:t xml:space="preserve">, </w:t>
      </w:r>
      <w:r w:rsidRPr="0028574F">
        <w:rPr>
          <w:b/>
        </w:rPr>
        <w:t>277</w:t>
      </w:r>
      <w:r>
        <w:t xml:space="preserve">, </w:t>
      </w:r>
      <w:r w:rsidRPr="0028574F">
        <w:t>26733-</w:t>
      </w:r>
      <w:r>
        <w:t>267</w:t>
      </w:r>
      <w:r w:rsidRPr="0028574F">
        <w:t>40</w:t>
      </w:r>
      <w:r>
        <w:t>.</w:t>
      </w:r>
    </w:p>
    <w:p w14:paraId="2B7E1B1E" w14:textId="77777777" w:rsidR="006E32D5" w:rsidRPr="006E32D5" w:rsidRDefault="006E32D5" w:rsidP="00F04D9C">
      <w:pPr>
        <w:pStyle w:val="RSCR02References"/>
        <w:rPr>
          <w:rFonts w:cstheme="minorHAnsi"/>
          <w:lang w:val="en-US"/>
        </w:rPr>
      </w:pPr>
      <w:r>
        <w:t xml:space="preserve">T. </w:t>
      </w:r>
      <w:r w:rsidRPr="0028574F">
        <w:t>Shinkawa,</w:t>
      </w:r>
      <w:r>
        <w:t xml:space="preserve"> K.</w:t>
      </w:r>
      <w:r w:rsidRPr="0028574F">
        <w:t xml:space="preserve"> Nakamura</w:t>
      </w:r>
      <w:r>
        <w:t>, N.</w:t>
      </w:r>
      <w:r w:rsidRPr="0028574F">
        <w:t xml:space="preserve"> Yamane</w:t>
      </w:r>
      <w:r>
        <w:t xml:space="preserve">, E. </w:t>
      </w:r>
      <w:r w:rsidRPr="0028574F">
        <w:t>Shoji-Hosaka,</w:t>
      </w:r>
      <w:r>
        <w:t xml:space="preserve"> Y.</w:t>
      </w:r>
      <w:r w:rsidRPr="0028574F">
        <w:t xml:space="preserve"> Kanda,</w:t>
      </w:r>
      <w:r>
        <w:t xml:space="preserve"> M.</w:t>
      </w:r>
      <w:r w:rsidRPr="0028574F">
        <w:t xml:space="preserve"> Sakurada,</w:t>
      </w:r>
      <w:r>
        <w:t xml:space="preserve"> K.</w:t>
      </w:r>
      <w:r w:rsidRPr="0028574F">
        <w:t xml:space="preserve"> Uchida,</w:t>
      </w:r>
      <w:r>
        <w:t xml:space="preserve"> H.</w:t>
      </w:r>
      <w:r w:rsidRPr="0028574F">
        <w:t xml:space="preserve"> Anazawa,</w:t>
      </w:r>
      <w:r>
        <w:t xml:space="preserve"> M.</w:t>
      </w:r>
      <w:r w:rsidRPr="0028574F">
        <w:t xml:space="preserve"> Satoh,</w:t>
      </w:r>
      <w:r>
        <w:t xml:space="preserve"> M.</w:t>
      </w:r>
      <w:r w:rsidRPr="0028574F">
        <w:t xml:space="preserve"> Yamasaki,</w:t>
      </w:r>
      <w:r>
        <w:t xml:space="preserve"> N.</w:t>
      </w:r>
      <w:r w:rsidRPr="0028574F">
        <w:t xml:space="preserve"> Hanai,</w:t>
      </w:r>
      <w:r>
        <w:t xml:space="preserve"> K.</w:t>
      </w:r>
      <w:r w:rsidRPr="0028574F">
        <w:t xml:space="preserve"> Shitara</w:t>
      </w:r>
      <w:r>
        <w:t xml:space="preserve">, </w:t>
      </w:r>
      <w:r w:rsidRPr="0028574F">
        <w:rPr>
          <w:i/>
        </w:rPr>
        <w:t>J. Biol. Chem.</w:t>
      </w:r>
      <w:r>
        <w:t>,</w:t>
      </w:r>
      <w:r w:rsidRPr="0028574F">
        <w:t xml:space="preserve"> 2003</w:t>
      </w:r>
      <w:r>
        <w:t xml:space="preserve">, </w:t>
      </w:r>
      <w:r w:rsidRPr="0028574F">
        <w:rPr>
          <w:b/>
        </w:rPr>
        <w:t>278</w:t>
      </w:r>
      <w:r>
        <w:t xml:space="preserve">, </w:t>
      </w:r>
      <w:r w:rsidRPr="0028574F">
        <w:t>3466-</w:t>
      </w:r>
      <w:r>
        <w:t>34</w:t>
      </w:r>
      <w:r w:rsidRPr="0028574F">
        <w:t>73</w:t>
      </w:r>
      <w:r>
        <w:t>.</w:t>
      </w:r>
    </w:p>
    <w:p w14:paraId="1FE3159B" w14:textId="77777777" w:rsidR="006E32D5" w:rsidRPr="00A36199" w:rsidRDefault="006E32D5" w:rsidP="00F04D9C">
      <w:pPr>
        <w:pStyle w:val="RSCR02References"/>
        <w:rPr>
          <w:rFonts w:cstheme="minorHAnsi"/>
          <w:lang w:val="en-US"/>
        </w:rPr>
      </w:pPr>
      <w:r w:rsidRPr="00593837">
        <w:rPr>
          <w:lang w:val="en-US"/>
        </w:rPr>
        <w:t>C. Ferrara, S. Grau, C. Jäger, P. Sondermann, P. Brünker, I. Waldhauer, M. Hennig, A. Ruf, A. C. Rufer, M. Stihle, P. Umaña, J</w:t>
      </w:r>
      <w:r>
        <w:rPr>
          <w:lang w:val="en-US"/>
        </w:rPr>
        <w:t>.</w:t>
      </w:r>
      <w:r w:rsidRPr="00593837">
        <w:rPr>
          <w:lang w:val="en-US"/>
        </w:rPr>
        <w:t xml:space="preserve"> Benz, </w:t>
      </w:r>
      <w:r w:rsidRPr="00593837">
        <w:rPr>
          <w:i/>
          <w:lang w:val="en-US"/>
        </w:rPr>
        <w:t>Proc. Natl. Acad. Sci. USA</w:t>
      </w:r>
      <w:r>
        <w:rPr>
          <w:lang w:val="en-US"/>
        </w:rPr>
        <w:t xml:space="preserve">, 2011, </w:t>
      </w:r>
      <w:r w:rsidRPr="00593837">
        <w:rPr>
          <w:lang w:val="en-US"/>
        </w:rPr>
        <w:t xml:space="preserve"> </w:t>
      </w:r>
      <w:r w:rsidRPr="00593837">
        <w:rPr>
          <w:b/>
          <w:lang w:val="en-US"/>
        </w:rPr>
        <w:t>108</w:t>
      </w:r>
      <w:r>
        <w:rPr>
          <w:lang w:val="en-US"/>
        </w:rPr>
        <w:t xml:space="preserve">, </w:t>
      </w:r>
      <w:r w:rsidRPr="00593837">
        <w:rPr>
          <w:lang w:val="en-US"/>
        </w:rPr>
        <w:t>12669–12674.</w:t>
      </w:r>
    </w:p>
    <w:p w14:paraId="65C0AEA0" w14:textId="77777777" w:rsidR="00F04D9C" w:rsidRPr="00A36199" w:rsidRDefault="00F04D9C" w:rsidP="00F04D9C">
      <w:pPr>
        <w:pStyle w:val="RSCR02References"/>
        <w:rPr>
          <w:rFonts w:cstheme="minorHAnsi"/>
          <w:lang w:val="en-US"/>
        </w:rPr>
      </w:pPr>
      <w:r w:rsidRPr="00A36199">
        <w:rPr>
          <w:rFonts w:cstheme="minorHAnsi"/>
          <w:lang w:val="en-US"/>
        </w:rPr>
        <w:t xml:space="preserve">J. M. Hayes, E. F. J. Cosgrave, W. B. Struwe, M. Wormald, G. P. Davey, R. Jefferis, P. M. Rudd pp 165-199 in </w:t>
      </w:r>
      <w:r w:rsidRPr="00A36199">
        <w:rPr>
          <w:rFonts w:cstheme="minorHAnsi"/>
          <w:i/>
          <w:lang w:val="en-US"/>
        </w:rPr>
        <w:t>Fc Receptors (Current Topics in Microbiology and Immunology)</w:t>
      </w:r>
      <w:r w:rsidRPr="00A36199">
        <w:rPr>
          <w:rFonts w:cstheme="minorHAnsi"/>
          <w:lang w:val="en-US"/>
        </w:rPr>
        <w:t>, 382, 2014, Ed. M. Daëron and F. Nimmerjahn, Springer International Publishing Switzerland 2014.</w:t>
      </w:r>
    </w:p>
    <w:p w14:paraId="2BF82FBB" w14:textId="77777777" w:rsidR="00F04D9C" w:rsidRPr="00A36199" w:rsidRDefault="00F04D9C" w:rsidP="00F04D9C">
      <w:pPr>
        <w:pStyle w:val="RSCR02References"/>
        <w:rPr>
          <w:rFonts w:cstheme="minorHAnsi"/>
          <w:lang w:val="en-US"/>
        </w:rPr>
      </w:pPr>
      <w:r w:rsidRPr="00A36199">
        <w:rPr>
          <w:rFonts w:cstheme="minorHAnsi"/>
          <w:lang w:val="en-US"/>
        </w:rPr>
        <w:t xml:space="preserve">C. M. Karsten, M. K. Pandey, J. Figge, R. Kilchenstein, P. R. Taylor, M. Rosas, J. U. McDonald, S. J. Orr, M.  Berger, D. Petzold, V. Blanchard, A. Winkler, C. Hess, D. M. Reid, I. V. Majoul, R. T. Strait, N. L. Harris, G. Köhl, E. Wex, R. Ludwig, D. Zillikens, F. Nimmerjahn, F. D. Finkelman, G. D. Brown, M. Ehlers, J Köhl, </w:t>
      </w:r>
      <w:r w:rsidRPr="00A36199">
        <w:rPr>
          <w:rFonts w:cstheme="minorHAnsi"/>
          <w:i/>
          <w:lang w:val="en-US"/>
        </w:rPr>
        <w:t>Nat. Med.</w:t>
      </w:r>
      <w:r w:rsidRPr="00A36199">
        <w:rPr>
          <w:rFonts w:cstheme="minorHAnsi"/>
          <w:lang w:val="en-US"/>
        </w:rPr>
        <w:t xml:space="preserve"> 2012, </w:t>
      </w:r>
      <w:r w:rsidRPr="00A36199">
        <w:rPr>
          <w:rFonts w:cstheme="minorHAnsi"/>
          <w:b/>
          <w:lang w:val="en-US"/>
        </w:rPr>
        <w:t>18</w:t>
      </w:r>
      <w:r w:rsidRPr="00A36199">
        <w:rPr>
          <w:rFonts w:cstheme="minorHAnsi"/>
          <w:lang w:val="en-US"/>
        </w:rPr>
        <w:t>, 1401-1406.</w:t>
      </w:r>
    </w:p>
    <w:p w14:paraId="6B4BD938" w14:textId="77777777" w:rsidR="00F04D9C" w:rsidRPr="00A36199" w:rsidRDefault="00F04D9C" w:rsidP="00F04D9C">
      <w:pPr>
        <w:pStyle w:val="RSCR02References"/>
        <w:rPr>
          <w:rFonts w:cstheme="minorHAnsi"/>
          <w:lang w:val="en-US"/>
        </w:rPr>
      </w:pPr>
      <w:r w:rsidRPr="00A36199">
        <w:rPr>
          <w:rFonts w:cstheme="minorHAnsi"/>
          <w:lang w:val="en-US"/>
        </w:rPr>
        <w:t xml:space="preserve">A. H. </w:t>
      </w:r>
      <w:r w:rsidRPr="00A36199">
        <w:rPr>
          <w:rFonts w:cstheme="minorHAnsi"/>
          <w:color w:val="000000"/>
          <w:lang w:val="en-US"/>
        </w:rPr>
        <w:t xml:space="preserve">Kerstin, C. M. Karsten, H. Slevogt, </w:t>
      </w:r>
      <w:r w:rsidRPr="00A36199">
        <w:rPr>
          <w:rFonts w:cstheme="minorHAnsi"/>
          <w:i/>
          <w:color w:val="000000"/>
          <w:lang w:val="en-US"/>
        </w:rPr>
        <w:t>Biochem. Biophys. Res. Commun.</w:t>
      </w:r>
      <w:r w:rsidRPr="00A36199">
        <w:rPr>
          <w:rFonts w:cstheme="minorHAnsi"/>
          <w:color w:val="000000"/>
          <w:lang w:val="en-US"/>
        </w:rPr>
        <w:t xml:space="preserve">, 2016, </w:t>
      </w:r>
      <w:r w:rsidRPr="00A36199">
        <w:rPr>
          <w:rFonts w:cstheme="minorHAnsi"/>
          <w:b/>
          <w:color w:val="000000"/>
          <w:lang w:val="en-US"/>
        </w:rPr>
        <w:t>479</w:t>
      </w:r>
      <w:r w:rsidRPr="00A36199">
        <w:rPr>
          <w:rFonts w:cstheme="minorHAnsi"/>
          <w:color w:val="000000"/>
          <w:lang w:val="en-US"/>
        </w:rPr>
        <w:t>, 86-90.</w:t>
      </w:r>
    </w:p>
    <w:p w14:paraId="57D933B3" w14:textId="77777777" w:rsidR="00F04D9C" w:rsidRPr="00477279" w:rsidRDefault="00F04D9C" w:rsidP="00F04D9C">
      <w:pPr>
        <w:pStyle w:val="RSCR02References"/>
        <w:rPr>
          <w:lang w:val="en-US"/>
        </w:rPr>
      </w:pPr>
      <w:r w:rsidRPr="00477279">
        <w:rPr>
          <w:lang w:val="en-US"/>
        </w:rPr>
        <w:t xml:space="preserve">R. Malhotra, M. R. Wormald, P. M. Rudd, P. B. Fischer, R. A. Dwek, R. B. Sim, </w:t>
      </w:r>
      <w:r w:rsidRPr="00477279">
        <w:rPr>
          <w:i/>
          <w:lang w:val="en-US"/>
        </w:rPr>
        <w:t>Nat. Med.</w:t>
      </w:r>
      <w:r w:rsidRPr="00477279">
        <w:rPr>
          <w:lang w:val="en-US"/>
        </w:rPr>
        <w:t xml:space="preserve"> 1995, </w:t>
      </w:r>
      <w:r w:rsidRPr="00477279">
        <w:rPr>
          <w:b/>
          <w:lang w:val="en-US"/>
        </w:rPr>
        <w:t>1</w:t>
      </w:r>
      <w:r w:rsidRPr="00477279">
        <w:rPr>
          <w:lang w:val="en-US"/>
        </w:rPr>
        <w:t>, 237-243.</w:t>
      </w:r>
    </w:p>
    <w:p w14:paraId="42A14BB2" w14:textId="77777777" w:rsidR="00F04D9C" w:rsidRPr="00477279" w:rsidRDefault="00F04D9C" w:rsidP="00F04D9C">
      <w:pPr>
        <w:pStyle w:val="RSCR02References"/>
        <w:rPr>
          <w:lang w:val="en-US"/>
        </w:rPr>
      </w:pPr>
      <w:r w:rsidRPr="00477279">
        <w:rPr>
          <w:lang w:val="en-US"/>
        </w:rPr>
        <w:t xml:space="preserve">A. Varki, R. Kannagi, B. Toole, P. Stanley in Chapter 47, </w:t>
      </w:r>
      <w:r w:rsidRPr="00477279">
        <w:rPr>
          <w:i/>
          <w:lang w:val="en-US"/>
        </w:rPr>
        <w:t>Essentials of Glycobiology</w:t>
      </w:r>
      <w:r w:rsidRPr="00477279">
        <w:rPr>
          <w:lang w:val="en-US"/>
        </w:rPr>
        <w:t xml:space="preserve">. A. Varki, R. D. Cummings J. D. Esko, P. Stanley, G. W.  Hart, M. Aebi, A. G. Darvill, T. Kinoshita, N. H. Packer, J. H. Prestegard, R. L. Schnaar, P. H. Seeberger, editors. 3rd edition. Cold Spring Harbor (NY), Cold Spring Harbor Laboratory Press; 2015-2017. </w:t>
      </w:r>
    </w:p>
    <w:p w14:paraId="40E1B432" w14:textId="77777777" w:rsidR="00F04D9C" w:rsidRPr="00E717AD" w:rsidRDefault="00F04D9C" w:rsidP="00F04D9C">
      <w:pPr>
        <w:pStyle w:val="RSCR02References"/>
        <w:rPr>
          <w:lang w:val="es-ES"/>
        </w:rPr>
      </w:pPr>
      <w:r w:rsidRPr="00E717AD">
        <w:rPr>
          <w:lang w:val="es-ES"/>
        </w:rPr>
        <w:t xml:space="preserve">Y. Kizuka, N. Taniguchi, </w:t>
      </w:r>
      <w:r w:rsidRPr="00E717AD">
        <w:rPr>
          <w:i/>
          <w:lang w:val="es-ES"/>
        </w:rPr>
        <w:t>Biomolecules</w:t>
      </w:r>
      <w:r w:rsidRPr="00E717AD">
        <w:rPr>
          <w:lang w:val="es-ES"/>
        </w:rPr>
        <w:t xml:space="preserve">, 2016, </w:t>
      </w:r>
      <w:r w:rsidRPr="00E717AD">
        <w:rPr>
          <w:b/>
          <w:lang w:val="es-ES"/>
        </w:rPr>
        <w:t>6</w:t>
      </w:r>
      <w:r w:rsidRPr="00E717AD">
        <w:rPr>
          <w:lang w:val="es-ES"/>
        </w:rPr>
        <w:t>, 25</w:t>
      </w:r>
      <w:r w:rsidR="00E42030">
        <w:rPr>
          <w:lang w:val="es-ES"/>
        </w:rPr>
        <w:t>-46</w:t>
      </w:r>
      <w:r w:rsidRPr="00E717AD">
        <w:rPr>
          <w:lang w:val="es-ES"/>
        </w:rPr>
        <w:t>.</w:t>
      </w:r>
    </w:p>
    <w:p w14:paraId="2DCAB569" w14:textId="77777777" w:rsidR="00F04D9C" w:rsidRPr="00477279" w:rsidRDefault="00F04D9C" w:rsidP="00F04D9C">
      <w:pPr>
        <w:pStyle w:val="RSCR02References"/>
        <w:rPr>
          <w:lang w:val="en-US"/>
        </w:rPr>
      </w:pPr>
      <w:r w:rsidRPr="000F596D">
        <w:rPr>
          <w:lang w:val="es-ES"/>
        </w:rPr>
        <w:t xml:space="preserve">M. Takahashi, Y. Kizuka, K. Ohtsubo, J. Gu, N. Taniguchi, </w:t>
      </w:r>
      <w:r w:rsidRPr="000F596D">
        <w:rPr>
          <w:i/>
          <w:lang w:val="es-ES"/>
        </w:rPr>
        <w:t xml:space="preserve">Mol. </w:t>
      </w:r>
      <w:r w:rsidRPr="00477279">
        <w:rPr>
          <w:i/>
          <w:lang w:val="en-US"/>
        </w:rPr>
        <w:t>Aspects Med.</w:t>
      </w:r>
      <w:r w:rsidRPr="00477279">
        <w:rPr>
          <w:lang w:val="en-US"/>
        </w:rPr>
        <w:t xml:space="preserve"> 2016, </w:t>
      </w:r>
      <w:r w:rsidRPr="00477279">
        <w:rPr>
          <w:b/>
          <w:lang w:val="en-US"/>
        </w:rPr>
        <w:t>51</w:t>
      </w:r>
      <w:r w:rsidRPr="00477279">
        <w:rPr>
          <w:lang w:val="en-US"/>
        </w:rPr>
        <w:t xml:space="preserve">, 56-70. </w:t>
      </w:r>
    </w:p>
    <w:p w14:paraId="549E4F6A" w14:textId="77777777" w:rsidR="00F04D9C" w:rsidRPr="00477279" w:rsidRDefault="00F04D9C" w:rsidP="00F04D9C">
      <w:pPr>
        <w:pStyle w:val="RSCR02References"/>
        <w:rPr>
          <w:lang w:val="en-US"/>
        </w:rPr>
      </w:pPr>
      <w:r w:rsidRPr="00477279">
        <w:rPr>
          <w:lang w:val="en-US"/>
        </w:rPr>
        <w:t xml:space="preserve">D. H. Dube, C. R. Bertozzi, </w:t>
      </w:r>
      <w:r w:rsidRPr="00477279">
        <w:rPr>
          <w:i/>
          <w:lang w:val="en-US"/>
        </w:rPr>
        <w:t>Nat. Rev. Drug. Discov</w:t>
      </w:r>
      <w:r w:rsidRPr="00477279">
        <w:rPr>
          <w:lang w:val="en-US"/>
        </w:rPr>
        <w:t xml:space="preserve">., 2005, </w:t>
      </w:r>
      <w:r w:rsidRPr="00477279">
        <w:rPr>
          <w:b/>
          <w:lang w:val="en-US"/>
        </w:rPr>
        <w:t>4</w:t>
      </w:r>
      <w:r w:rsidRPr="00477279">
        <w:rPr>
          <w:lang w:val="en-US"/>
        </w:rPr>
        <w:t>, 477-488.</w:t>
      </w:r>
    </w:p>
    <w:p w14:paraId="58598048" w14:textId="77777777" w:rsidR="00F04D9C" w:rsidRPr="00F04D9C" w:rsidRDefault="00F04D9C" w:rsidP="00F04D9C">
      <w:pPr>
        <w:pStyle w:val="RSCR02References"/>
        <w:rPr>
          <w:lang w:val="en-US"/>
        </w:rPr>
      </w:pPr>
      <w:r w:rsidRPr="00477279">
        <w:rPr>
          <w:lang w:val="en-US"/>
        </w:rPr>
        <w:t xml:space="preserve">S. M. Muthana, C. T. Campbell, J. C. Gildersleeve, </w:t>
      </w:r>
      <w:r w:rsidRPr="00477279">
        <w:rPr>
          <w:i/>
          <w:color w:val="000000" w:themeColor="text1"/>
          <w:lang w:val="en-US"/>
        </w:rPr>
        <w:t xml:space="preserve">ACS Chem. </w:t>
      </w:r>
      <w:r w:rsidRPr="00F04D9C">
        <w:rPr>
          <w:i/>
          <w:color w:val="000000" w:themeColor="text1"/>
          <w:lang w:val="en-US"/>
        </w:rPr>
        <w:t>Biol.,</w:t>
      </w:r>
      <w:r w:rsidRPr="00F04D9C">
        <w:rPr>
          <w:color w:val="000000" w:themeColor="text1"/>
          <w:lang w:val="en-US"/>
        </w:rPr>
        <w:t xml:space="preserve"> 2012, </w:t>
      </w:r>
      <w:r w:rsidRPr="00F04D9C">
        <w:rPr>
          <w:b/>
          <w:color w:val="000000" w:themeColor="text1"/>
          <w:lang w:val="en-US"/>
        </w:rPr>
        <w:t>7</w:t>
      </w:r>
      <w:r w:rsidRPr="00F04D9C">
        <w:rPr>
          <w:color w:val="000000" w:themeColor="text1"/>
          <w:lang w:val="en-US"/>
        </w:rPr>
        <w:t>, 31-43.</w:t>
      </w:r>
    </w:p>
    <w:p w14:paraId="7C9B1DC6" w14:textId="77777777" w:rsidR="00F04D9C" w:rsidRPr="00BE029C" w:rsidRDefault="00F04D9C" w:rsidP="00F04D9C">
      <w:pPr>
        <w:pStyle w:val="RSCR02References"/>
        <w:rPr>
          <w:lang w:val="en-US"/>
        </w:rPr>
      </w:pPr>
      <w:r w:rsidRPr="00236CB2">
        <w:rPr>
          <w:lang w:val="es-ES"/>
        </w:rPr>
        <w:t xml:space="preserve">J. L. </w:t>
      </w:r>
      <w:r w:rsidRPr="00236CB2">
        <w:rPr>
          <w:bCs/>
          <w:lang w:val="es-ES"/>
        </w:rPr>
        <w:t>Asensio</w:t>
      </w:r>
      <w:r w:rsidRPr="00236CB2">
        <w:rPr>
          <w:lang w:val="es-ES"/>
        </w:rPr>
        <w:t xml:space="preserve">, A. Ardá, F. J. Cañada, J. Jiménez-Barbero, </w:t>
      </w:r>
      <w:r w:rsidRPr="00236CB2">
        <w:rPr>
          <w:i/>
          <w:lang w:val="es-ES"/>
        </w:rPr>
        <w:t>Acc</w:t>
      </w:r>
      <w:r w:rsidR="00BE029C" w:rsidRPr="00236CB2">
        <w:rPr>
          <w:i/>
          <w:lang w:val="es-ES"/>
        </w:rPr>
        <w:t>.</w:t>
      </w:r>
      <w:r w:rsidRPr="00236CB2">
        <w:rPr>
          <w:i/>
          <w:lang w:val="es-ES"/>
        </w:rPr>
        <w:t xml:space="preserve"> </w:t>
      </w:r>
      <w:r w:rsidRPr="00BE029C">
        <w:rPr>
          <w:i/>
          <w:lang w:val="en-US"/>
        </w:rPr>
        <w:t>Chem</w:t>
      </w:r>
      <w:r w:rsidR="00BE029C" w:rsidRPr="00BE029C">
        <w:rPr>
          <w:i/>
          <w:lang w:val="en-US"/>
        </w:rPr>
        <w:t>.</w:t>
      </w:r>
      <w:r w:rsidRPr="00BE029C">
        <w:rPr>
          <w:i/>
          <w:lang w:val="en-US"/>
        </w:rPr>
        <w:t xml:space="preserve"> Res</w:t>
      </w:r>
      <w:r w:rsidRPr="00BE029C">
        <w:rPr>
          <w:lang w:val="en-US"/>
        </w:rPr>
        <w:t>., </w:t>
      </w:r>
      <w:r w:rsidRPr="00BE029C">
        <w:rPr>
          <w:bCs/>
          <w:lang w:val="en-US"/>
        </w:rPr>
        <w:t>2013</w:t>
      </w:r>
      <w:r w:rsidRPr="00BE029C">
        <w:rPr>
          <w:lang w:val="en-US"/>
        </w:rPr>
        <w:t xml:space="preserve">, </w:t>
      </w:r>
      <w:r w:rsidRPr="00BE029C">
        <w:rPr>
          <w:b/>
          <w:lang w:val="en-US"/>
        </w:rPr>
        <w:t>46</w:t>
      </w:r>
      <w:r w:rsidRPr="00BE029C">
        <w:rPr>
          <w:lang w:val="en-US"/>
        </w:rPr>
        <w:t>, 946-954.</w:t>
      </w:r>
    </w:p>
    <w:p w14:paraId="65D22A0A" w14:textId="77777777" w:rsidR="00F04D9C" w:rsidRPr="00477279" w:rsidRDefault="00F04D9C" w:rsidP="00F04D9C">
      <w:pPr>
        <w:pStyle w:val="RSCR02References"/>
        <w:rPr>
          <w:lang w:val="en-US"/>
        </w:rPr>
      </w:pPr>
      <w:r w:rsidRPr="00477279">
        <w:rPr>
          <w:lang w:val="en-US"/>
        </w:rPr>
        <w:t>D. H. Williams, E. Stephens, D. P. O'Brien, M. Zhou M., </w:t>
      </w:r>
      <w:r w:rsidRPr="00477279">
        <w:rPr>
          <w:i/>
          <w:lang w:val="en-US"/>
        </w:rPr>
        <w:t>Angew. Chem. Int. Ed</w:t>
      </w:r>
      <w:r w:rsidRPr="00477279">
        <w:rPr>
          <w:lang w:val="en-US"/>
        </w:rPr>
        <w:t xml:space="preserve">., 2004, </w:t>
      </w:r>
      <w:r w:rsidRPr="00477279">
        <w:rPr>
          <w:b/>
          <w:lang w:val="en-US"/>
        </w:rPr>
        <w:t>43</w:t>
      </w:r>
      <w:r w:rsidRPr="00477279">
        <w:rPr>
          <w:lang w:val="en-US"/>
        </w:rPr>
        <w:t>, 6596–6616.</w:t>
      </w:r>
    </w:p>
    <w:p w14:paraId="4AA3BE3D" w14:textId="77777777" w:rsidR="00F04D9C" w:rsidRPr="00477279" w:rsidRDefault="00F04D9C" w:rsidP="00F04D9C">
      <w:pPr>
        <w:pStyle w:val="RSCR02References"/>
        <w:rPr>
          <w:lang w:val="en-US"/>
        </w:rPr>
      </w:pPr>
      <w:r w:rsidRPr="00477279">
        <w:rPr>
          <w:lang w:val="en-US"/>
        </w:rPr>
        <w:t xml:space="preserve">F. P. C. Binder, K. Lemme, R. C. Preston, B. Ernst, </w:t>
      </w:r>
      <w:r w:rsidRPr="00477279">
        <w:rPr>
          <w:i/>
          <w:lang w:val="en-US"/>
        </w:rPr>
        <w:t>Angew. Chem. Int. Ed</w:t>
      </w:r>
      <w:r w:rsidRPr="00477279">
        <w:rPr>
          <w:lang w:val="en-US"/>
        </w:rPr>
        <w:t xml:space="preserve">., 2012, </w:t>
      </w:r>
      <w:r w:rsidRPr="00477279">
        <w:rPr>
          <w:b/>
          <w:lang w:val="en-US"/>
        </w:rPr>
        <w:t>51</w:t>
      </w:r>
      <w:r w:rsidRPr="00477279">
        <w:rPr>
          <w:lang w:val="en-US"/>
        </w:rPr>
        <w:t>, 7327 –7331.</w:t>
      </w:r>
    </w:p>
    <w:p w14:paraId="06C606A0" w14:textId="77777777" w:rsidR="00F04D9C" w:rsidRPr="00477279" w:rsidRDefault="00FA2851" w:rsidP="00F04D9C">
      <w:pPr>
        <w:pStyle w:val="RSCR02References"/>
        <w:rPr>
          <w:lang w:val="en-US"/>
        </w:rPr>
      </w:pPr>
      <w:r>
        <w:rPr>
          <w:lang w:val="en-US"/>
        </w:rPr>
        <w:t>C. P. Sager</w:t>
      </w:r>
      <w:r w:rsidR="00F04D9C" w:rsidRPr="00477279">
        <w:rPr>
          <w:lang w:val="en-US"/>
        </w:rPr>
        <w:t>,</w:t>
      </w:r>
      <w:r w:rsidR="0067574E">
        <w:rPr>
          <w:lang w:val="en-US"/>
        </w:rPr>
        <w:t xml:space="preserve"> D.</w:t>
      </w:r>
      <w:r w:rsidR="00F04D9C" w:rsidRPr="00477279">
        <w:rPr>
          <w:lang w:val="en-US"/>
        </w:rPr>
        <w:t xml:space="preserve"> Eriş,</w:t>
      </w:r>
      <w:r w:rsidR="0067574E">
        <w:rPr>
          <w:lang w:val="en-US"/>
        </w:rPr>
        <w:t xml:space="preserve"> M.</w:t>
      </w:r>
      <w:r w:rsidR="00F04D9C" w:rsidRPr="00477279">
        <w:rPr>
          <w:lang w:val="en-US"/>
        </w:rPr>
        <w:t xml:space="preserve"> Smieško, R. Hevey, B. Ernst, </w:t>
      </w:r>
      <w:r w:rsidR="00F04D9C" w:rsidRPr="00477279">
        <w:rPr>
          <w:i/>
          <w:lang w:val="en-US"/>
        </w:rPr>
        <w:t>Beilstein J</w:t>
      </w:r>
      <w:r w:rsidR="0067574E">
        <w:rPr>
          <w:i/>
          <w:lang w:val="en-US"/>
        </w:rPr>
        <w:t>.</w:t>
      </w:r>
      <w:r w:rsidR="00F04D9C" w:rsidRPr="00477279">
        <w:rPr>
          <w:i/>
          <w:lang w:val="en-US"/>
        </w:rPr>
        <w:t xml:space="preserve"> Org</w:t>
      </w:r>
      <w:r w:rsidR="0067574E">
        <w:rPr>
          <w:i/>
          <w:lang w:val="en-US"/>
        </w:rPr>
        <w:t>.</w:t>
      </w:r>
      <w:r w:rsidR="00F04D9C" w:rsidRPr="00477279">
        <w:rPr>
          <w:i/>
          <w:lang w:val="en-US"/>
        </w:rPr>
        <w:t xml:space="preserve"> Chem</w:t>
      </w:r>
      <w:r w:rsidR="00F04D9C" w:rsidRPr="00477279">
        <w:rPr>
          <w:lang w:val="en-US"/>
        </w:rPr>
        <w:t xml:space="preserve">., 2017, </w:t>
      </w:r>
      <w:r w:rsidR="00F04D9C" w:rsidRPr="00477279">
        <w:rPr>
          <w:b/>
          <w:lang w:val="en-US"/>
        </w:rPr>
        <w:t>13</w:t>
      </w:r>
      <w:r w:rsidR="00F04D9C" w:rsidRPr="00477279">
        <w:rPr>
          <w:lang w:val="en-US"/>
        </w:rPr>
        <w:t>, 2584-2595.</w:t>
      </w:r>
    </w:p>
    <w:p w14:paraId="75F8E124" w14:textId="77777777" w:rsidR="00F04D9C" w:rsidRPr="00477279" w:rsidRDefault="00F04D9C" w:rsidP="00F04D9C">
      <w:pPr>
        <w:pStyle w:val="RSCR02References"/>
        <w:rPr>
          <w:lang w:val="en-US"/>
        </w:rPr>
      </w:pPr>
      <w:r w:rsidRPr="00477279">
        <w:rPr>
          <w:lang w:val="en-US"/>
        </w:rPr>
        <w:t xml:space="preserve">C. </w:t>
      </w:r>
      <w:r w:rsidRPr="00477279">
        <w:rPr>
          <w:szCs w:val="24"/>
          <w:lang w:val="en-US"/>
        </w:rPr>
        <w:t xml:space="preserve">Müller, G. </w:t>
      </w:r>
      <w:r w:rsidRPr="00477279">
        <w:rPr>
          <w:bCs/>
          <w:szCs w:val="24"/>
          <w:lang w:val="en-US"/>
        </w:rPr>
        <w:t>Despras</w:t>
      </w:r>
      <w:r w:rsidRPr="00477279">
        <w:rPr>
          <w:szCs w:val="24"/>
          <w:lang w:val="en-US"/>
        </w:rPr>
        <w:t>, T. K. </w:t>
      </w:r>
      <w:r w:rsidRPr="00477279">
        <w:rPr>
          <w:bCs/>
          <w:szCs w:val="24"/>
          <w:lang w:val="en-US"/>
        </w:rPr>
        <w:t>Lindhorst</w:t>
      </w:r>
      <w:r w:rsidRPr="00477279">
        <w:rPr>
          <w:szCs w:val="24"/>
          <w:lang w:val="en-US"/>
        </w:rPr>
        <w:t xml:space="preserve">, </w:t>
      </w:r>
      <w:r w:rsidRPr="00477279">
        <w:rPr>
          <w:i/>
          <w:szCs w:val="24"/>
          <w:lang w:val="en-US"/>
        </w:rPr>
        <w:t>Chem. Soc. Rev</w:t>
      </w:r>
      <w:r w:rsidRPr="00477279">
        <w:rPr>
          <w:szCs w:val="24"/>
          <w:lang w:val="en-US"/>
        </w:rPr>
        <w:t xml:space="preserve">., 2016, </w:t>
      </w:r>
      <w:r w:rsidRPr="00477279">
        <w:rPr>
          <w:b/>
          <w:szCs w:val="24"/>
          <w:lang w:val="en-US"/>
        </w:rPr>
        <w:t>45</w:t>
      </w:r>
      <w:r w:rsidRPr="00477279">
        <w:rPr>
          <w:szCs w:val="24"/>
          <w:lang w:val="en-US"/>
        </w:rPr>
        <w:t>, 3275-3302.</w:t>
      </w:r>
    </w:p>
    <w:p w14:paraId="67E22B0C" w14:textId="77777777" w:rsidR="00F04D9C" w:rsidRPr="00477279" w:rsidRDefault="00F04D9C" w:rsidP="00F04D9C">
      <w:pPr>
        <w:pStyle w:val="RSCR02References"/>
        <w:rPr>
          <w:lang w:val="en-US"/>
        </w:rPr>
      </w:pPr>
      <w:r w:rsidRPr="00477279">
        <w:rPr>
          <w:szCs w:val="24"/>
          <w:lang w:val="en-US"/>
        </w:rPr>
        <w:t xml:space="preserve">A. Bernardi, </w:t>
      </w:r>
      <w:r w:rsidRPr="008276E2">
        <w:rPr>
          <w:i/>
          <w:szCs w:val="24"/>
          <w:lang w:val="en-US"/>
        </w:rPr>
        <w:t>et al</w:t>
      </w:r>
      <w:r w:rsidRPr="00477279">
        <w:rPr>
          <w:szCs w:val="24"/>
          <w:lang w:val="en-US"/>
        </w:rPr>
        <w:t xml:space="preserve">. </w:t>
      </w:r>
      <w:r w:rsidRPr="00477279">
        <w:rPr>
          <w:i/>
          <w:szCs w:val="24"/>
          <w:lang w:val="en-US"/>
        </w:rPr>
        <w:t>Chem. Soc. Rev.</w:t>
      </w:r>
      <w:r w:rsidRPr="00477279">
        <w:rPr>
          <w:szCs w:val="24"/>
          <w:lang w:val="en-US"/>
        </w:rPr>
        <w:t xml:space="preserve">, 2013, </w:t>
      </w:r>
      <w:r w:rsidRPr="00477279">
        <w:rPr>
          <w:b/>
          <w:szCs w:val="24"/>
          <w:lang w:val="en-US"/>
        </w:rPr>
        <w:t>42</w:t>
      </w:r>
      <w:r w:rsidRPr="00477279">
        <w:rPr>
          <w:szCs w:val="24"/>
          <w:lang w:val="en-US"/>
        </w:rPr>
        <w:t>, 4709-4727.</w:t>
      </w:r>
    </w:p>
    <w:p w14:paraId="6A9A46B2" w14:textId="77777777" w:rsidR="00F04D9C" w:rsidRPr="00F377B1" w:rsidRDefault="00F04D9C" w:rsidP="00F04D9C">
      <w:pPr>
        <w:pStyle w:val="RSCR02References"/>
        <w:rPr>
          <w:lang w:val="en-US"/>
        </w:rPr>
      </w:pPr>
      <w:r w:rsidRPr="00F377B1">
        <w:rPr>
          <w:lang w:val="en-US"/>
        </w:rPr>
        <w:t>T. K Dam, C</w:t>
      </w:r>
      <w:r w:rsidR="00DD02B0">
        <w:rPr>
          <w:lang w:val="en-US"/>
        </w:rPr>
        <w:t>.</w:t>
      </w:r>
      <w:r w:rsidRPr="00F377B1">
        <w:rPr>
          <w:lang w:val="en-US"/>
        </w:rPr>
        <w:t xml:space="preserve"> F. Brewer, </w:t>
      </w:r>
      <w:r w:rsidRPr="00F377B1">
        <w:rPr>
          <w:i/>
          <w:lang w:val="en-US"/>
        </w:rPr>
        <w:t>Glycobiology</w:t>
      </w:r>
      <w:r w:rsidRPr="00F377B1">
        <w:rPr>
          <w:lang w:val="en-US"/>
        </w:rPr>
        <w:t xml:space="preserve">, 2010, </w:t>
      </w:r>
      <w:r w:rsidRPr="00F377B1">
        <w:rPr>
          <w:b/>
          <w:lang w:val="en-US"/>
        </w:rPr>
        <w:t>20</w:t>
      </w:r>
      <w:r w:rsidRPr="00F377B1">
        <w:rPr>
          <w:lang w:val="en-US"/>
        </w:rPr>
        <w:t>, 270-279.</w:t>
      </w:r>
    </w:p>
    <w:p w14:paraId="3B97049D" w14:textId="77777777" w:rsidR="00F04D9C" w:rsidRPr="00F04D9C" w:rsidRDefault="00F04D9C" w:rsidP="00F04D9C">
      <w:pPr>
        <w:pStyle w:val="RSCR02References"/>
        <w:rPr>
          <w:lang w:val="en-US"/>
        </w:rPr>
      </w:pPr>
      <w:r w:rsidRPr="00F377B1">
        <w:rPr>
          <w:lang w:val="en-US"/>
        </w:rPr>
        <w:t xml:space="preserve">M. N. Liang, S. P. Smith, S. J. Metallo, I. S. Choi, M. Prentiss, G. M. </w:t>
      </w:r>
      <w:r w:rsidRPr="00F377B1">
        <w:rPr>
          <w:bCs/>
          <w:lang w:val="en-US"/>
        </w:rPr>
        <w:t>Whitesides</w:t>
      </w:r>
      <w:r w:rsidRPr="00F377B1">
        <w:rPr>
          <w:lang w:val="en-US"/>
        </w:rPr>
        <w:t xml:space="preserve">, </w:t>
      </w:r>
      <w:r w:rsidRPr="00F377B1">
        <w:rPr>
          <w:i/>
          <w:lang w:val="en-US"/>
        </w:rPr>
        <w:t xml:space="preserve">Proc. </w:t>
      </w:r>
      <w:r w:rsidRPr="00F04D9C">
        <w:rPr>
          <w:i/>
          <w:lang w:val="en-US"/>
        </w:rPr>
        <w:t>Natl. Acad. Sci. USA</w:t>
      </w:r>
      <w:r w:rsidRPr="00F04D9C">
        <w:rPr>
          <w:lang w:val="en-US"/>
        </w:rPr>
        <w:t xml:space="preserve">., 2000, </w:t>
      </w:r>
      <w:r w:rsidRPr="00F04D9C">
        <w:rPr>
          <w:b/>
          <w:lang w:val="en-US"/>
        </w:rPr>
        <w:t>97</w:t>
      </w:r>
      <w:r w:rsidRPr="00F04D9C">
        <w:rPr>
          <w:lang w:val="en-US"/>
        </w:rPr>
        <w:t>, 13092-13096.</w:t>
      </w:r>
    </w:p>
    <w:p w14:paraId="2B98CEBB" w14:textId="77777777" w:rsidR="00F04D9C" w:rsidRPr="00E717AD" w:rsidRDefault="00F04D9C" w:rsidP="00F04D9C">
      <w:pPr>
        <w:pStyle w:val="RSCR02References"/>
        <w:rPr>
          <w:lang w:val="es-ES"/>
        </w:rPr>
      </w:pPr>
      <w:r w:rsidRPr="00E717AD">
        <w:rPr>
          <w:lang w:val="es-ES"/>
        </w:rPr>
        <w:t xml:space="preserve">J. I. </w:t>
      </w:r>
      <w:r w:rsidRPr="00E717AD">
        <w:rPr>
          <w:bCs/>
          <w:lang w:val="es-ES"/>
        </w:rPr>
        <w:t>Santos</w:t>
      </w:r>
      <w:r w:rsidRPr="00E717AD">
        <w:rPr>
          <w:lang w:val="es-ES"/>
        </w:rPr>
        <w:t xml:space="preserve">, A. Carvalho de Souza, F. J. Cañada, S. Martín-Santamaría, J. P. Kamerling, J. Jiménez-Barbero, </w:t>
      </w:r>
      <w:r w:rsidRPr="00E717AD">
        <w:rPr>
          <w:i/>
          <w:lang w:val="es-ES"/>
        </w:rPr>
        <w:t>Chem</w:t>
      </w:r>
      <w:r w:rsidR="000379D6">
        <w:rPr>
          <w:i/>
          <w:lang w:val="es-ES"/>
        </w:rPr>
        <w:t>B</w:t>
      </w:r>
      <w:r w:rsidRPr="00E717AD">
        <w:rPr>
          <w:i/>
          <w:lang w:val="es-ES"/>
        </w:rPr>
        <w:t>iochem</w:t>
      </w:r>
      <w:r w:rsidRPr="00E717AD">
        <w:rPr>
          <w:lang w:val="es-ES"/>
        </w:rPr>
        <w:t xml:space="preserve">, 2009, </w:t>
      </w:r>
      <w:r w:rsidRPr="00E717AD">
        <w:rPr>
          <w:b/>
          <w:lang w:val="es-ES"/>
        </w:rPr>
        <w:t>10</w:t>
      </w:r>
      <w:r w:rsidRPr="00E717AD">
        <w:rPr>
          <w:lang w:val="es-ES"/>
        </w:rPr>
        <w:t>, 511-519.</w:t>
      </w:r>
    </w:p>
    <w:p w14:paraId="203FB1A7" w14:textId="77777777" w:rsidR="00F04D9C" w:rsidRPr="00F377B1" w:rsidRDefault="00F04D9C" w:rsidP="00F04D9C">
      <w:pPr>
        <w:pStyle w:val="RSCR02References"/>
        <w:rPr>
          <w:lang w:val="en-US"/>
        </w:rPr>
      </w:pPr>
      <w:r w:rsidRPr="00F377B1">
        <w:rPr>
          <w:lang w:val="en-US"/>
        </w:rPr>
        <w:t xml:space="preserve">E. Persch, O. Dumele, F. </w:t>
      </w:r>
      <w:r w:rsidRPr="00F377B1">
        <w:rPr>
          <w:bCs/>
          <w:lang w:val="en-US"/>
        </w:rPr>
        <w:t>Diederich,</w:t>
      </w:r>
      <w:r w:rsidRPr="00F377B1">
        <w:rPr>
          <w:lang w:val="en-US"/>
        </w:rPr>
        <w:t xml:space="preserve"> </w:t>
      </w:r>
      <w:r w:rsidRPr="00F377B1">
        <w:rPr>
          <w:i/>
          <w:lang w:val="en-US"/>
        </w:rPr>
        <w:t>Angew. Chem. Int. Ed.</w:t>
      </w:r>
      <w:r w:rsidRPr="00F377B1">
        <w:rPr>
          <w:lang w:val="en-US"/>
        </w:rPr>
        <w:t xml:space="preserve">, 2015, </w:t>
      </w:r>
      <w:r w:rsidRPr="00F377B1">
        <w:rPr>
          <w:b/>
          <w:lang w:val="en-US"/>
        </w:rPr>
        <w:t>54</w:t>
      </w:r>
      <w:r w:rsidRPr="00F377B1">
        <w:rPr>
          <w:lang w:val="en-US"/>
        </w:rPr>
        <w:t>, 3290-3327.</w:t>
      </w:r>
    </w:p>
    <w:p w14:paraId="468F25B7" w14:textId="77777777" w:rsidR="00F04D9C" w:rsidRPr="00F377B1" w:rsidRDefault="00F04D9C" w:rsidP="00F04D9C">
      <w:pPr>
        <w:pStyle w:val="RSCR02References"/>
        <w:rPr>
          <w:lang w:val="en-US"/>
        </w:rPr>
      </w:pPr>
      <w:r w:rsidRPr="00F377B1">
        <w:rPr>
          <w:lang w:val="en-US"/>
        </w:rPr>
        <w:t xml:space="preserve">W. Kühlbrandt, </w:t>
      </w:r>
      <w:r w:rsidRPr="00F377B1">
        <w:rPr>
          <w:i/>
          <w:iCs/>
          <w:lang w:val="en-US"/>
        </w:rPr>
        <w:t>Science</w:t>
      </w:r>
      <w:r w:rsidRPr="00F377B1">
        <w:rPr>
          <w:iCs/>
          <w:lang w:val="en-US"/>
        </w:rPr>
        <w:t>,</w:t>
      </w:r>
      <w:r w:rsidRPr="00F377B1">
        <w:rPr>
          <w:i/>
          <w:iCs/>
          <w:lang w:val="en-US"/>
        </w:rPr>
        <w:t> </w:t>
      </w:r>
      <w:r w:rsidRPr="00F377B1">
        <w:rPr>
          <w:lang w:val="en-US"/>
        </w:rPr>
        <w:t xml:space="preserve">2014, </w:t>
      </w:r>
      <w:r w:rsidRPr="00F377B1">
        <w:rPr>
          <w:b/>
          <w:lang w:val="en-US"/>
        </w:rPr>
        <w:t>343</w:t>
      </w:r>
      <w:r w:rsidRPr="00F377B1">
        <w:rPr>
          <w:lang w:val="en-US"/>
        </w:rPr>
        <w:t>, 1443-1444.</w:t>
      </w:r>
    </w:p>
    <w:p w14:paraId="7CA6B358" w14:textId="77777777" w:rsidR="00F04D9C" w:rsidRPr="00F377B1" w:rsidRDefault="00F04D9C" w:rsidP="00F04D9C">
      <w:pPr>
        <w:pStyle w:val="RSCR02References"/>
        <w:rPr>
          <w:lang w:val="en-US"/>
        </w:rPr>
      </w:pPr>
      <w:r w:rsidRPr="00F377B1">
        <w:rPr>
          <w:lang w:val="en-US"/>
        </w:rPr>
        <w:t xml:space="preserve">E. H. Egelman, </w:t>
      </w:r>
      <w:r w:rsidRPr="00F377B1">
        <w:rPr>
          <w:i/>
          <w:lang w:val="en-US"/>
        </w:rPr>
        <w:t>Biophysical J</w:t>
      </w:r>
      <w:r w:rsidRPr="00F377B1">
        <w:rPr>
          <w:lang w:val="en-US"/>
        </w:rPr>
        <w:t xml:space="preserve">., 2016, </w:t>
      </w:r>
      <w:r w:rsidRPr="00F377B1">
        <w:rPr>
          <w:b/>
          <w:lang w:val="en-US"/>
        </w:rPr>
        <w:t>110</w:t>
      </w:r>
      <w:r w:rsidRPr="00F377B1">
        <w:rPr>
          <w:lang w:val="en-US"/>
        </w:rPr>
        <w:t>, 1008–1012.</w:t>
      </w:r>
    </w:p>
    <w:p w14:paraId="223B3D51" w14:textId="77777777" w:rsidR="00F04D9C" w:rsidRPr="00F377B1" w:rsidRDefault="00F04D9C" w:rsidP="00F04D9C">
      <w:pPr>
        <w:pStyle w:val="RSCR02References"/>
        <w:rPr>
          <w:lang w:val="en-US"/>
        </w:rPr>
      </w:pPr>
      <w:r w:rsidRPr="00F377B1">
        <w:rPr>
          <w:lang w:val="en-US"/>
        </w:rPr>
        <w:t>D. Sirohi, Z. Chen, L. Sun, T. Klose, T. C. Pierson, M. G. Rossmann, R. J. Kuhn</w:t>
      </w:r>
      <w:r w:rsidRPr="008276E2">
        <w:rPr>
          <w:rFonts w:cstheme="minorHAnsi"/>
          <w:lang w:val="en-US"/>
        </w:rPr>
        <w:t xml:space="preserve">, </w:t>
      </w:r>
      <w:r w:rsidRPr="008276E2">
        <w:rPr>
          <w:rStyle w:val="jrnl"/>
          <w:rFonts w:cstheme="minorHAnsi"/>
          <w:i/>
          <w:lang w:val="en-US"/>
        </w:rPr>
        <w:t>Science</w:t>
      </w:r>
      <w:r w:rsidRPr="008276E2">
        <w:rPr>
          <w:rFonts w:cstheme="minorHAnsi"/>
          <w:lang w:val="en-US"/>
        </w:rPr>
        <w:t>,</w:t>
      </w:r>
      <w:r w:rsidRPr="00F377B1">
        <w:rPr>
          <w:lang w:val="en-US"/>
        </w:rPr>
        <w:t xml:space="preserve"> 2016, </w:t>
      </w:r>
      <w:r w:rsidRPr="00F377B1">
        <w:rPr>
          <w:b/>
          <w:lang w:val="en-US"/>
        </w:rPr>
        <w:t>352</w:t>
      </w:r>
      <w:r w:rsidRPr="00F377B1">
        <w:rPr>
          <w:lang w:val="en-US"/>
        </w:rPr>
        <w:t>, 467-470.</w:t>
      </w:r>
    </w:p>
    <w:p w14:paraId="55AC1A20" w14:textId="77777777" w:rsidR="00F04D9C" w:rsidRPr="00F377B1" w:rsidRDefault="00F04D9C" w:rsidP="00F04D9C">
      <w:pPr>
        <w:pStyle w:val="RSCR02References"/>
        <w:rPr>
          <w:lang w:val="en-US"/>
        </w:rPr>
      </w:pPr>
      <w:r w:rsidRPr="00F377B1">
        <w:rPr>
          <w:lang w:val="en-US"/>
        </w:rPr>
        <w:t>C. R. Fontes-Garfias, C. Shan, H. Luo, A. E. Muruato, D. B.</w:t>
      </w:r>
      <w:r w:rsidR="00497DBD">
        <w:rPr>
          <w:lang w:val="en-US"/>
        </w:rPr>
        <w:t xml:space="preserve"> </w:t>
      </w:r>
      <w:r w:rsidRPr="00F377B1">
        <w:rPr>
          <w:lang w:val="en-US"/>
        </w:rPr>
        <w:t xml:space="preserve">A. Medeiros, E. Mays, X. Xie, J. Zou, C. M. Roundy, M. Wakamiya, S. L. Rossi, T. Wang, S. C. Weaver, P.-Y. Shi, </w:t>
      </w:r>
      <w:r w:rsidRPr="00F377B1">
        <w:rPr>
          <w:i/>
          <w:lang w:val="en-US"/>
        </w:rPr>
        <w:t>Cell Reports</w:t>
      </w:r>
      <w:r w:rsidRPr="00F377B1">
        <w:rPr>
          <w:lang w:val="en-US"/>
        </w:rPr>
        <w:t xml:space="preserve">, 2017, </w:t>
      </w:r>
      <w:r w:rsidRPr="00F377B1">
        <w:rPr>
          <w:b/>
          <w:lang w:val="en-US"/>
        </w:rPr>
        <w:t>21</w:t>
      </w:r>
      <w:r w:rsidRPr="00F377B1">
        <w:rPr>
          <w:lang w:val="en-US"/>
        </w:rPr>
        <w:t>, 1180-1190.</w:t>
      </w:r>
    </w:p>
    <w:p w14:paraId="46732553" w14:textId="77777777" w:rsidR="00F04D9C" w:rsidRPr="00F377B1" w:rsidRDefault="00F04D9C" w:rsidP="00F04D9C">
      <w:pPr>
        <w:pStyle w:val="RSCR02References"/>
        <w:rPr>
          <w:lang w:val="en-US"/>
        </w:rPr>
      </w:pPr>
      <w:r w:rsidRPr="00F377B1">
        <w:rPr>
          <w:lang w:val="en-US"/>
        </w:rPr>
        <w:t xml:space="preserve">E. Pokidysheva, Y. Zhang, A. J. Battisti, C. M. Bator-Kelly, P. R. Chipman, C. Xiao, G. Glenn Gregorio, W. A. Hendrickson, R. J. Kuhn, M. G. Rossmann, </w:t>
      </w:r>
      <w:r w:rsidRPr="00F377B1">
        <w:rPr>
          <w:i/>
          <w:lang w:val="en-US"/>
        </w:rPr>
        <w:t>Cell</w:t>
      </w:r>
      <w:r w:rsidRPr="00F377B1">
        <w:rPr>
          <w:lang w:val="en-US"/>
        </w:rPr>
        <w:t>, 2006,</w:t>
      </w:r>
      <w:r w:rsidRPr="00F377B1">
        <w:rPr>
          <w:i/>
          <w:lang w:val="en-US"/>
        </w:rPr>
        <w:t xml:space="preserve"> </w:t>
      </w:r>
      <w:r w:rsidRPr="00F377B1">
        <w:rPr>
          <w:b/>
          <w:lang w:val="en-US"/>
        </w:rPr>
        <w:t>124</w:t>
      </w:r>
      <w:r w:rsidRPr="00F377B1">
        <w:rPr>
          <w:lang w:val="en-US"/>
        </w:rPr>
        <w:t>, 485–493.</w:t>
      </w:r>
    </w:p>
    <w:p w14:paraId="4A6BC9FA" w14:textId="77777777" w:rsidR="00F04D9C" w:rsidRPr="00F5285B" w:rsidRDefault="00F04D9C" w:rsidP="00F04D9C">
      <w:pPr>
        <w:pStyle w:val="RSCR02References"/>
      </w:pPr>
      <w:r w:rsidRPr="00F5285B">
        <w:rPr>
          <w:bCs/>
        </w:rPr>
        <w:t>S. Horiya</w:t>
      </w:r>
      <w:r w:rsidRPr="00F5285B">
        <w:t xml:space="preserve">, </w:t>
      </w:r>
      <w:r w:rsidRPr="00F5285B">
        <w:rPr>
          <w:bCs/>
        </w:rPr>
        <w:t>I. S. MacPherson</w:t>
      </w:r>
      <w:r w:rsidRPr="00F5285B">
        <w:t xml:space="preserve">, </w:t>
      </w:r>
      <w:r w:rsidRPr="00F5285B">
        <w:rPr>
          <w:bCs/>
        </w:rPr>
        <w:t xml:space="preserve">I. J. Krauss, </w:t>
      </w:r>
      <w:r w:rsidRPr="00F5285B">
        <w:rPr>
          <w:i/>
          <w:iCs/>
        </w:rPr>
        <w:t>Nat. Chem. Biol</w:t>
      </w:r>
      <w:r w:rsidRPr="00F5285B">
        <w:t xml:space="preserve">., 2014, </w:t>
      </w:r>
      <w:r w:rsidRPr="00F5285B">
        <w:rPr>
          <w:b/>
        </w:rPr>
        <w:t>10</w:t>
      </w:r>
      <w:r w:rsidRPr="00F5285B">
        <w:t>, 990–999.</w:t>
      </w:r>
    </w:p>
    <w:p w14:paraId="24305A15" w14:textId="77777777" w:rsidR="00F04D9C" w:rsidRPr="00F377B1" w:rsidRDefault="00F04D9C" w:rsidP="00F04D9C">
      <w:pPr>
        <w:pStyle w:val="RSCR02References"/>
        <w:rPr>
          <w:lang w:val="en-US"/>
        </w:rPr>
      </w:pPr>
      <w:r w:rsidRPr="00F377B1">
        <w:rPr>
          <w:lang w:val="en-US"/>
        </w:rPr>
        <w:t xml:space="preserve">G. B. Stewart-Jones, C. Soto, T. Lemmin, G. Y. Chuang, A. Druz, R. Kong, P. V. Thomas, K. Wagh, T. Zhou, A. J. Behrens, T. Bylund, C. W. Choi, J. R. Davison, I. S. Georgiev, M. G. Joyce, Y. D. Kwon, M. Pancera, J. Taft, Y. Yang, B. Zhang, S. S. Shivatare, V. S. Shivatare, C. C. Lee, C. Y. Wu, C. A. Bewley, D. R. Burton, W. C. Koff, M. Connors, M. Crispin, U. Baxa, B. T. Korber, C. H. Wong, J. R. Mascola, P. D. Kwong, </w:t>
      </w:r>
      <w:r w:rsidRPr="00F377B1">
        <w:rPr>
          <w:i/>
          <w:lang w:val="en-US"/>
        </w:rPr>
        <w:t>Cell</w:t>
      </w:r>
      <w:r w:rsidRPr="00F377B1">
        <w:rPr>
          <w:lang w:val="en-US"/>
        </w:rPr>
        <w:t xml:space="preserve">, 2016, </w:t>
      </w:r>
      <w:r w:rsidRPr="00F377B1">
        <w:rPr>
          <w:b/>
          <w:lang w:val="en-US"/>
        </w:rPr>
        <w:t>165</w:t>
      </w:r>
      <w:r w:rsidRPr="00F377B1">
        <w:rPr>
          <w:lang w:val="en-US"/>
        </w:rPr>
        <w:t>, 813-826.</w:t>
      </w:r>
    </w:p>
    <w:p w14:paraId="6DFC9E6F" w14:textId="77777777" w:rsidR="00F04D9C" w:rsidRPr="00F377B1" w:rsidRDefault="00F04D9C" w:rsidP="00F04D9C">
      <w:pPr>
        <w:pStyle w:val="RSCR02References"/>
        <w:rPr>
          <w:lang w:val="en-US"/>
        </w:rPr>
      </w:pPr>
      <w:r w:rsidRPr="00F377B1">
        <w:rPr>
          <w:lang w:val="en-US"/>
        </w:rPr>
        <w:t xml:space="preserve">H. B. Gristick, H. Wang, P. J. Bjorkman, </w:t>
      </w:r>
      <w:r w:rsidRPr="00F377B1">
        <w:rPr>
          <w:i/>
          <w:lang w:val="en-US"/>
        </w:rPr>
        <w:t>Acta Cryst</w:t>
      </w:r>
      <w:r w:rsidRPr="00F377B1">
        <w:rPr>
          <w:lang w:val="en-US"/>
        </w:rPr>
        <w:t xml:space="preserve">., 2017, </w:t>
      </w:r>
      <w:r w:rsidRPr="00F377B1">
        <w:rPr>
          <w:b/>
          <w:lang w:val="en-US"/>
        </w:rPr>
        <w:t>D73</w:t>
      </w:r>
      <w:r w:rsidRPr="00F377B1">
        <w:rPr>
          <w:lang w:val="en-US"/>
        </w:rPr>
        <w:t xml:space="preserve">, 822–828.  </w:t>
      </w:r>
    </w:p>
    <w:p w14:paraId="0F56FB1E" w14:textId="77777777" w:rsidR="00F04D9C" w:rsidRPr="00F377B1" w:rsidRDefault="00F04D9C" w:rsidP="00F04D9C">
      <w:pPr>
        <w:pStyle w:val="RSCR02References"/>
        <w:rPr>
          <w:lang w:val="en-US"/>
        </w:rPr>
      </w:pPr>
      <w:r w:rsidRPr="00F377B1">
        <w:rPr>
          <w:color w:val="262626"/>
          <w:lang w:val="en-US"/>
        </w:rPr>
        <w:t xml:space="preserve">J. H. Lee, G. Ozorowski, A. B. Ward, </w:t>
      </w:r>
      <w:r w:rsidRPr="00F377B1">
        <w:rPr>
          <w:i/>
          <w:color w:val="262626"/>
          <w:lang w:val="en-US"/>
        </w:rPr>
        <w:t>Science</w:t>
      </w:r>
      <w:r w:rsidRPr="00F377B1">
        <w:rPr>
          <w:color w:val="262626"/>
          <w:lang w:val="en-US"/>
        </w:rPr>
        <w:t xml:space="preserve">, </w:t>
      </w:r>
      <w:r w:rsidRPr="00F377B1">
        <w:rPr>
          <w:lang w:val="en-US"/>
        </w:rPr>
        <w:t xml:space="preserve">2016, </w:t>
      </w:r>
      <w:r w:rsidRPr="00F377B1">
        <w:rPr>
          <w:b/>
          <w:lang w:val="en-US"/>
        </w:rPr>
        <w:t>351</w:t>
      </w:r>
      <w:r w:rsidRPr="00F377B1">
        <w:rPr>
          <w:lang w:val="en-US"/>
        </w:rPr>
        <w:t>, 1043</w:t>
      </w:r>
      <w:r w:rsidRPr="00F377B1">
        <w:rPr>
          <w:szCs w:val="12"/>
          <w:lang w:val="en-US"/>
        </w:rPr>
        <w:t>-1048.</w:t>
      </w:r>
    </w:p>
    <w:p w14:paraId="16EC6BDE" w14:textId="77777777" w:rsidR="00F04D9C" w:rsidRPr="00F04D9C" w:rsidRDefault="00F04D9C" w:rsidP="00F04D9C">
      <w:pPr>
        <w:pStyle w:val="RSCR02References"/>
        <w:rPr>
          <w:lang w:val="es-ES"/>
        </w:rPr>
      </w:pPr>
      <w:r w:rsidRPr="00E717AD">
        <w:rPr>
          <w:lang w:val="es-ES"/>
        </w:rPr>
        <w:t xml:space="preserve">H. Wanga, A. A. Cohena, R. P. Galimidia, H. B. Gristicka, G. J. Jensena, P. J. Bjorkman, </w:t>
      </w:r>
      <w:r w:rsidRPr="00E717AD">
        <w:rPr>
          <w:i/>
          <w:lang w:val="es-ES"/>
        </w:rPr>
        <w:t xml:space="preserve">Proc. </w:t>
      </w:r>
      <w:r w:rsidRPr="00F04D9C">
        <w:rPr>
          <w:i/>
          <w:lang w:val="es-ES"/>
        </w:rPr>
        <w:t>Natl. Acad. Sci. USA</w:t>
      </w:r>
      <w:r w:rsidRPr="00F04D9C">
        <w:rPr>
          <w:lang w:val="es-ES"/>
        </w:rPr>
        <w:t xml:space="preserve">., 2016, </w:t>
      </w:r>
      <w:r w:rsidRPr="00F04D9C">
        <w:rPr>
          <w:b/>
          <w:lang w:val="es-ES"/>
        </w:rPr>
        <w:t>113</w:t>
      </w:r>
      <w:r w:rsidR="00497DBD">
        <w:rPr>
          <w:lang w:val="es-ES"/>
        </w:rPr>
        <w:t xml:space="preserve">, </w:t>
      </w:r>
      <w:r w:rsidRPr="00F04D9C">
        <w:rPr>
          <w:lang w:val="es-ES"/>
        </w:rPr>
        <w:t>7151–7158.</w:t>
      </w:r>
    </w:p>
    <w:p w14:paraId="06F2DF72" w14:textId="77777777" w:rsidR="00F04D9C" w:rsidRPr="00F377B1" w:rsidRDefault="00F04D9C" w:rsidP="00F04D9C">
      <w:pPr>
        <w:pStyle w:val="RSCR02References"/>
        <w:rPr>
          <w:lang w:val="en-US"/>
        </w:rPr>
      </w:pPr>
      <w:r w:rsidRPr="00F377B1">
        <w:rPr>
          <w:lang w:val="en-US"/>
        </w:rPr>
        <w:t xml:space="preserve">D. Lyumkis, J. P. Julien, N. de Val, A. Cupo, C. S. Potter, P. J. Klasse, D. R. Burton, R. W. Sanders, J. P. Moore, B. Carragher, I. A. Wilson, A. B. Ward, </w:t>
      </w:r>
      <w:r w:rsidRPr="00F377B1">
        <w:rPr>
          <w:i/>
          <w:lang w:val="en-US"/>
        </w:rPr>
        <w:t>Science</w:t>
      </w:r>
      <w:r w:rsidRPr="00F377B1">
        <w:rPr>
          <w:lang w:val="en-US"/>
        </w:rPr>
        <w:t xml:space="preserve">, 2013, </w:t>
      </w:r>
      <w:r w:rsidRPr="00F377B1">
        <w:rPr>
          <w:b/>
          <w:lang w:val="en-US"/>
        </w:rPr>
        <w:t>342</w:t>
      </w:r>
      <w:r w:rsidRPr="00F377B1">
        <w:rPr>
          <w:lang w:val="en-US"/>
        </w:rPr>
        <w:t>, 1484-1490.</w:t>
      </w:r>
    </w:p>
    <w:p w14:paraId="2E72C9F1" w14:textId="77777777" w:rsidR="00F04D9C" w:rsidRPr="00F377B1" w:rsidRDefault="00F04D9C" w:rsidP="00F04D9C">
      <w:pPr>
        <w:pStyle w:val="RSCR02References"/>
        <w:rPr>
          <w:lang w:val="en-US"/>
        </w:rPr>
      </w:pPr>
      <w:r w:rsidRPr="00F377B1">
        <w:rPr>
          <w:lang w:val="en-US"/>
        </w:rPr>
        <w:t>A. Kotecha, Q. Wang, X. Dong, S. L. Ilca, M. Ondiviela, R. Zihe, J. Seago, B. Charleston, E. E. Fry, N. G. A.</w:t>
      </w:r>
      <w:r w:rsidRPr="00F377B1">
        <w:rPr>
          <w:bCs/>
          <w:lang w:val="en-US"/>
        </w:rPr>
        <w:t xml:space="preserve"> Abrescia</w:t>
      </w:r>
      <w:r w:rsidRPr="00F377B1">
        <w:rPr>
          <w:lang w:val="en-US"/>
        </w:rPr>
        <w:t xml:space="preserve">, T. A. Springer, J. T. Huiskonen, D. I. Stuart, </w:t>
      </w:r>
      <w:r w:rsidRPr="00F377B1">
        <w:rPr>
          <w:i/>
          <w:lang w:val="en-US"/>
        </w:rPr>
        <w:t>Nat. Commun</w:t>
      </w:r>
      <w:r w:rsidRPr="00F377B1">
        <w:rPr>
          <w:lang w:val="en-US"/>
        </w:rPr>
        <w:t xml:space="preserve">. 2017, </w:t>
      </w:r>
      <w:r w:rsidRPr="00F377B1">
        <w:rPr>
          <w:b/>
          <w:lang w:val="en-US"/>
        </w:rPr>
        <w:t>8</w:t>
      </w:r>
      <w:r w:rsidRPr="00F377B1">
        <w:rPr>
          <w:lang w:val="en-US"/>
        </w:rPr>
        <w:t>, 15408-15416.</w:t>
      </w:r>
    </w:p>
    <w:p w14:paraId="04B9FEDE" w14:textId="77777777" w:rsidR="00F04D9C" w:rsidRPr="00F377B1" w:rsidRDefault="00F04D9C" w:rsidP="00F04D9C">
      <w:pPr>
        <w:pStyle w:val="RSCR02References"/>
        <w:rPr>
          <w:lang w:val="en-US"/>
        </w:rPr>
      </w:pPr>
      <w:r w:rsidRPr="00F377B1">
        <w:rPr>
          <w:lang w:val="en-US"/>
        </w:rPr>
        <w:t xml:space="preserve">R. Wild, J. Kowal, J. Eyring, E. M. Ngwa, M. Aebi, K. P. Locher, </w:t>
      </w:r>
      <w:r w:rsidRPr="00F377B1">
        <w:rPr>
          <w:i/>
          <w:lang w:val="en-US"/>
        </w:rPr>
        <w:t>Science</w:t>
      </w:r>
      <w:r w:rsidRPr="00F377B1">
        <w:rPr>
          <w:lang w:val="en-US"/>
        </w:rPr>
        <w:t xml:space="preserve">, 2018, </w:t>
      </w:r>
      <w:r w:rsidRPr="00F377B1">
        <w:rPr>
          <w:b/>
          <w:lang w:val="en-US"/>
        </w:rPr>
        <w:t>359</w:t>
      </w:r>
      <w:r w:rsidRPr="00F377B1">
        <w:rPr>
          <w:lang w:val="en-US"/>
        </w:rPr>
        <w:t>, 545-550.</w:t>
      </w:r>
    </w:p>
    <w:p w14:paraId="6E7335BB" w14:textId="77777777" w:rsidR="00F04D9C" w:rsidRPr="00E717AD" w:rsidRDefault="00F04D9C" w:rsidP="00F04D9C">
      <w:pPr>
        <w:pStyle w:val="RSCR02References"/>
        <w:rPr>
          <w:lang w:val="es-ES"/>
        </w:rPr>
      </w:pPr>
      <w:r w:rsidRPr="00E717AD">
        <w:rPr>
          <w:lang w:val="es-ES"/>
        </w:rPr>
        <w:t xml:space="preserve">J. Agirre, </w:t>
      </w:r>
      <w:r w:rsidRPr="00E717AD">
        <w:rPr>
          <w:i/>
          <w:lang w:val="es-ES"/>
        </w:rPr>
        <w:t>Acta Cryst.</w:t>
      </w:r>
      <w:r w:rsidRPr="00E717AD">
        <w:rPr>
          <w:lang w:val="es-ES"/>
        </w:rPr>
        <w:t xml:space="preserve">, 2017, </w:t>
      </w:r>
      <w:r w:rsidRPr="00E717AD">
        <w:rPr>
          <w:b/>
          <w:lang w:val="es-ES"/>
        </w:rPr>
        <w:t>D73</w:t>
      </w:r>
      <w:r w:rsidRPr="00E717AD">
        <w:rPr>
          <w:lang w:val="es-ES"/>
        </w:rPr>
        <w:t>, 171–186.</w:t>
      </w:r>
    </w:p>
    <w:p w14:paraId="54E131C8" w14:textId="77777777" w:rsidR="00F04D9C" w:rsidRPr="00F377B1" w:rsidRDefault="00F04D9C" w:rsidP="00F04D9C">
      <w:pPr>
        <w:pStyle w:val="RSCR02References"/>
        <w:rPr>
          <w:lang w:val="en-US"/>
        </w:rPr>
      </w:pPr>
      <w:r w:rsidRPr="00F377B1">
        <w:rPr>
          <w:lang w:val="en-US"/>
        </w:rPr>
        <w:t xml:space="preserve">Y. Durocher, M. Butler, </w:t>
      </w:r>
      <w:r w:rsidRPr="00F377B1">
        <w:rPr>
          <w:i/>
          <w:lang w:val="en-US"/>
        </w:rPr>
        <w:t>Curr. Opin. Biotechnol</w:t>
      </w:r>
      <w:r w:rsidRPr="00F377B1">
        <w:rPr>
          <w:lang w:val="en-US"/>
        </w:rPr>
        <w:t xml:space="preserve">., 2009, </w:t>
      </w:r>
      <w:r w:rsidRPr="00F377B1">
        <w:rPr>
          <w:b/>
          <w:lang w:val="en-US"/>
        </w:rPr>
        <w:t>20</w:t>
      </w:r>
      <w:r w:rsidRPr="00F377B1">
        <w:rPr>
          <w:lang w:val="en-US"/>
        </w:rPr>
        <w:t>, 700-707.</w:t>
      </w:r>
    </w:p>
    <w:p w14:paraId="5E3FA065" w14:textId="77777777" w:rsidR="00F04D9C" w:rsidRPr="00F377B1" w:rsidRDefault="00F04D9C" w:rsidP="00F04D9C">
      <w:pPr>
        <w:pStyle w:val="RSCR02References"/>
        <w:rPr>
          <w:lang w:val="en-US"/>
        </w:rPr>
      </w:pPr>
      <w:r w:rsidRPr="00F377B1">
        <w:rPr>
          <w:lang w:val="en-US"/>
        </w:rPr>
        <w:t xml:space="preserve">J. Agirre, G. J Davies, K. S Wilson, K. D Cowtan, </w:t>
      </w:r>
      <w:r w:rsidRPr="00F377B1">
        <w:rPr>
          <w:i/>
          <w:lang w:val="en-US"/>
        </w:rPr>
        <w:t>Curr. Opin. Struct. Biol</w:t>
      </w:r>
      <w:r w:rsidRPr="00F377B1">
        <w:rPr>
          <w:lang w:val="en-US"/>
        </w:rPr>
        <w:t xml:space="preserve">., 2017, </w:t>
      </w:r>
      <w:r w:rsidRPr="00F377B1">
        <w:rPr>
          <w:b/>
          <w:lang w:val="en-US"/>
        </w:rPr>
        <w:t>44</w:t>
      </w:r>
      <w:r w:rsidRPr="00F377B1">
        <w:rPr>
          <w:lang w:val="en-US"/>
        </w:rPr>
        <w:t>, 39–47.</w:t>
      </w:r>
    </w:p>
    <w:p w14:paraId="49F91B42" w14:textId="77777777" w:rsidR="00F04D9C" w:rsidRPr="00F377B1" w:rsidRDefault="00F04D9C" w:rsidP="00F04D9C">
      <w:pPr>
        <w:pStyle w:val="RSCR02References"/>
      </w:pPr>
      <w:r w:rsidRPr="000F596D">
        <w:rPr>
          <w:lang w:val="es-ES"/>
        </w:rPr>
        <w:t xml:space="preserve">J. Agirre, J. Iglesias-Fernandez, C. Rovira, G. J. Davies, K. S. Wilson, K. D. Cowtan, </w:t>
      </w:r>
      <w:r w:rsidRPr="000F596D">
        <w:rPr>
          <w:i/>
          <w:lang w:val="es-ES"/>
        </w:rPr>
        <w:t xml:space="preserve">Nat. </w:t>
      </w:r>
      <w:r w:rsidRPr="00F04D9C">
        <w:rPr>
          <w:i/>
          <w:lang w:val="en-US"/>
        </w:rPr>
        <w:t xml:space="preserve">Struct. </w:t>
      </w:r>
      <w:r w:rsidRPr="00F377B1">
        <w:rPr>
          <w:i/>
        </w:rPr>
        <w:t>Mol. Biol.</w:t>
      </w:r>
      <w:r w:rsidRPr="00F377B1">
        <w:t xml:space="preserve">, 2015, </w:t>
      </w:r>
      <w:r w:rsidRPr="00F377B1">
        <w:rPr>
          <w:b/>
        </w:rPr>
        <w:t>22</w:t>
      </w:r>
      <w:r w:rsidRPr="00F377B1">
        <w:t>, 833-834.</w:t>
      </w:r>
    </w:p>
    <w:p w14:paraId="74978146" w14:textId="77777777" w:rsidR="00F04D9C" w:rsidRPr="00A743AE" w:rsidRDefault="00F04D9C" w:rsidP="00F04D9C">
      <w:pPr>
        <w:pStyle w:val="RSCR02References"/>
      </w:pPr>
      <w:r w:rsidRPr="00A743AE">
        <w:t xml:space="preserve">R. Marchetti, S. Perez, A. Arda, A. Imberty, J. </w:t>
      </w:r>
      <w:r w:rsidRPr="00A743AE">
        <w:rPr>
          <w:bCs/>
        </w:rPr>
        <w:t>Jimenez-Barbero</w:t>
      </w:r>
      <w:r w:rsidRPr="00A743AE">
        <w:t xml:space="preserve">, A. Silipo, A. Molinaro, </w:t>
      </w:r>
      <w:r w:rsidRPr="00A743AE">
        <w:rPr>
          <w:i/>
        </w:rPr>
        <w:t>ChemistryOpen</w:t>
      </w:r>
      <w:r w:rsidRPr="00A743AE">
        <w:t xml:space="preserve">, 2016, </w:t>
      </w:r>
      <w:r w:rsidRPr="00A743AE">
        <w:rPr>
          <w:b/>
        </w:rPr>
        <w:t>5</w:t>
      </w:r>
      <w:r w:rsidRPr="00A743AE">
        <w:t>, 274-296.</w:t>
      </w:r>
    </w:p>
    <w:p w14:paraId="73475383" w14:textId="77777777" w:rsidR="00F04D9C" w:rsidRPr="00F04D9C" w:rsidRDefault="00F04D9C" w:rsidP="00F04D9C">
      <w:pPr>
        <w:pStyle w:val="RSCR02References"/>
        <w:rPr>
          <w:lang w:val="es-ES"/>
        </w:rPr>
      </w:pPr>
      <w:r w:rsidRPr="00E717AD">
        <w:rPr>
          <w:lang w:val="es-ES"/>
        </w:rPr>
        <w:t xml:space="preserve">M. C. Fernández-Alonso, D. Díaz, M. Á Berbis, F. Marcelo, F. J. Cañada, J. Jiménez-Barbero, </w:t>
      </w:r>
      <w:r w:rsidRPr="00E717AD">
        <w:rPr>
          <w:i/>
          <w:lang w:val="es-ES"/>
        </w:rPr>
        <w:t xml:space="preserve">Curr. </w:t>
      </w:r>
      <w:r w:rsidRPr="00F04D9C">
        <w:rPr>
          <w:i/>
          <w:lang w:val="es-ES"/>
        </w:rPr>
        <w:t>Protein Pept. Sci</w:t>
      </w:r>
      <w:r w:rsidRPr="00F04D9C">
        <w:rPr>
          <w:lang w:val="es-ES"/>
        </w:rPr>
        <w:t xml:space="preserve">., 2012; </w:t>
      </w:r>
      <w:r w:rsidRPr="00F04D9C">
        <w:rPr>
          <w:b/>
          <w:lang w:val="es-ES"/>
        </w:rPr>
        <w:t>13</w:t>
      </w:r>
      <w:r w:rsidRPr="00F04D9C">
        <w:rPr>
          <w:lang w:val="es-ES"/>
        </w:rPr>
        <w:t>, 816-830.</w:t>
      </w:r>
    </w:p>
    <w:p w14:paraId="125BB6D0" w14:textId="77777777" w:rsidR="00F04D9C" w:rsidRPr="00F04D9C" w:rsidRDefault="00F04D9C" w:rsidP="00F04D9C">
      <w:pPr>
        <w:pStyle w:val="RSCR02References"/>
        <w:rPr>
          <w:lang w:val="es-ES"/>
        </w:rPr>
      </w:pPr>
      <w:r w:rsidRPr="00F04D9C">
        <w:rPr>
          <w:lang w:val="es-ES"/>
        </w:rPr>
        <w:t xml:space="preserve">V. Roldós, F. J. Cañada, J. Jiménez-Barbero, </w:t>
      </w:r>
      <w:r w:rsidRPr="00F04D9C">
        <w:rPr>
          <w:i/>
          <w:lang w:val="es-ES"/>
        </w:rPr>
        <w:t>Chem</w:t>
      </w:r>
      <w:r w:rsidR="000379D6">
        <w:rPr>
          <w:i/>
          <w:lang w:val="es-ES"/>
        </w:rPr>
        <w:t>B</w:t>
      </w:r>
      <w:r w:rsidRPr="00F04D9C">
        <w:rPr>
          <w:i/>
          <w:lang w:val="es-ES"/>
        </w:rPr>
        <w:t>iochem</w:t>
      </w:r>
      <w:r w:rsidRPr="00F04D9C">
        <w:rPr>
          <w:lang w:val="es-ES"/>
        </w:rPr>
        <w:t xml:space="preserve">., 2011, </w:t>
      </w:r>
      <w:r w:rsidRPr="00F04D9C">
        <w:rPr>
          <w:b/>
          <w:lang w:val="es-ES"/>
        </w:rPr>
        <w:t>12</w:t>
      </w:r>
      <w:r w:rsidRPr="00F04D9C">
        <w:rPr>
          <w:lang w:val="es-ES"/>
        </w:rPr>
        <w:t>, 990-1005.</w:t>
      </w:r>
    </w:p>
    <w:p w14:paraId="63810487" w14:textId="77777777" w:rsidR="00F04D9C" w:rsidRPr="000379D6" w:rsidRDefault="00F04D9C" w:rsidP="00F04D9C">
      <w:pPr>
        <w:pStyle w:val="RSCR02References"/>
        <w:rPr>
          <w:lang w:val="es-ES"/>
        </w:rPr>
      </w:pPr>
      <w:r w:rsidRPr="000F596D">
        <w:rPr>
          <w:lang w:val="es-ES"/>
        </w:rPr>
        <w:t xml:space="preserve">H. Zhang., H. van Ingen, </w:t>
      </w:r>
      <w:r w:rsidRPr="000F596D">
        <w:rPr>
          <w:i/>
          <w:lang w:val="es-ES"/>
        </w:rPr>
        <w:t xml:space="preserve">Curr. </w:t>
      </w:r>
      <w:r w:rsidRPr="000379D6">
        <w:rPr>
          <w:i/>
          <w:lang w:val="es-ES"/>
        </w:rPr>
        <w:t>Opin. Struct. Biol.</w:t>
      </w:r>
      <w:r w:rsidR="00497DBD" w:rsidRPr="000379D6">
        <w:rPr>
          <w:lang w:val="es-ES"/>
        </w:rPr>
        <w:t>,</w:t>
      </w:r>
      <w:r w:rsidRPr="000379D6">
        <w:rPr>
          <w:lang w:val="es-ES"/>
        </w:rPr>
        <w:t xml:space="preserve"> 2016, </w:t>
      </w:r>
      <w:r w:rsidRPr="000379D6">
        <w:rPr>
          <w:b/>
          <w:lang w:val="es-ES"/>
        </w:rPr>
        <w:t>38</w:t>
      </w:r>
      <w:r w:rsidRPr="000379D6">
        <w:rPr>
          <w:lang w:val="es-ES"/>
        </w:rPr>
        <w:t>, 75-82.</w:t>
      </w:r>
    </w:p>
    <w:p w14:paraId="6797AD5F" w14:textId="77777777" w:rsidR="00F04D9C" w:rsidRPr="004471D9" w:rsidRDefault="00F04D9C" w:rsidP="00F04D9C">
      <w:pPr>
        <w:pStyle w:val="RSCR02References"/>
        <w:rPr>
          <w:lang w:val="en-US"/>
        </w:rPr>
      </w:pPr>
      <w:r w:rsidRPr="00236CB2">
        <w:rPr>
          <w:lang w:val="en-US"/>
        </w:rPr>
        <w:t>R. Kerfah, M. J .Plevin, R. Sounier, P. Gans, J. Boisbouvi</w:t>
      </w:r>
      <w:r>
        <w:rPr>
          <w:lang w:val="en-US"/>
        </w:rPr>
        <w:t>er,</w:t>
      </w:r>
      <w:r w:rsidRPr="009F23A0">
        <w:rPr>
          <w:lang w:val="en-US"/>
        </w:rPr>
        <w:t xml:space="preserve"> </w:t>
      </w:r>
      <w:r w:rsidRPr="009F23A0">
        <w:rPr>
          <w:i/>
          <w:lang w:val="en-US"/>
        </w:rPr>
        <w:t>Curr</w:t>
      </w:r>
      <w:r>
        <w:rPr>
          <w:i/>
          <w:lang w:val="en-US"/>
        </w:rPr>
        <w:t>.</w:t>
      </w:r>
      <w:r w:rsidRPr="009F23A0">
        <w:rPr>
          <w:i/>
          <w:lang w:val="en-US"/>
        </w:rPr>
        <w:t xml:space="preserve"> Opin</w:t>
      </w:r>
      <w:r>
        <w:rPr>
          <w:i/>
          <w:lang w:val="en-US"/>
        </w:rPr>
        <w:t>.</w:t>
      </w:r>
      <w:r w:rsidRPr="009F23A0">
        <w:rPr>
          <w:i/>
          <w:lang w:val="en-US"/>
        </w:rPr>
        <w:t xml:space="preserve"> Struct</w:t>
      </w:r>
      <w:r>
        <w:rPr>
          <w:i/>
          <w:lang w:val="en-US"/>
        </w:rPr>
        <w:t>.</w:t>
      </w:r>
      <w:r w:rsidRPr="009F23A0">
        <w:rPr>
          <w:i/>
          <w:lang w:val="en-US"/>
        </w:rPr>
        <w:t xml:space="preserve"> Biol</w:t>
      </w:r>
      <w:r w:rsidRPr="009F23A0">
        <w:rPr>
          <w:lang w:val="en-US"/>
        </w:rPr>
        <w:t>.</w:t>
      </w:r>
      <w:r>
        <w:rPr>
          <w:lang w:val="en-US"/>
        </w:rPr>
        <w:t>,</w:t>
      </w:r>
      <w:r w:rsidRPr="009F23A0">
        <w:rPr>
          <w:lang w:val="en-US"/>
        </w:rPr>
        <w:t xml:space="preserve"> 2015, </w:t>
      </w:r>
      <w:r w:rsidRPr="00DA61A4">
        <w:rPr>
          <w:b/>
          <w:lang w:val="en-US"/>
        </w:rPr>
        <w:t>32</w:t>
      </w:r>
      <w:r>
        <w:rPr>
          <w:lang w:val="en-US"/>
        </w:rPr>
        <w:t>,</w:t>
      </w:r>
      <w:r w:rsidRPr="009F23A0">
        <w:rPr>
          <w:lang w:val="en-US"/>
        </w:rPr>
        <w:t>113-</w:t>
      </w:r>
      <w:r>
        <w:rPr>
          <w:lang w:val="en-US"/>
        </w:rPr>
        <w:t>1</w:t>
      </w:r>
      <w:r w:rsidRPr="009F23A0">
        <w:rPr>
          <w:lang w:val="en-US"/>
        </w:rPr>
        <w:t>22</w:t>
      </w:r>
      <w:r>
        <w:rPr>
          <w:lang w:val="en-US"/>
        </w:rPr>
        <w:t>.</w:t>
      </w:r>
    </w:p>
    <w:p w14:paraId="40E2F8CB" w14:textId="77777777" w:rsidR="00F04D9C" w:rsidRPr="00F04D9C" w:rsidRDefault="00F04D9C" w:rsidP="00F04D9C">
      <w:pPr>
        <w:pStyle w:val="RSCR02References"/>
        <w:rPr>
          <w:lang w:val="en-US"/>
        </w:rPr>
      </w:pPr>
      <w:r w:rsidRPr="00A743AE">
        <w:rPr>
          <w:lang w:val="en-US"/>
        </w:rPr>
        <w:t xml:space="preserve">J. M. Pröpster, F. Yang, S. Rabbani, B. Ernst, F. H.-T. Allain, M. Schubert, </w:t>
      </w:r>
      <w:r w:rsidRPr="00BB3BDC">
        <w:rPr>
          <w:i/>
          <w:lang w:val="en-US"/>
        </w:rPr>
        <w:t>Proc</w:t>
      </w:r>
      <w:r>
        <w:rPr>
          <w:i/>
          <w:lang w:val="en-US"/>
        </w:rPr>
        <w:t>.</w:t>
      </w:r>
      <w:r w:rsidRPr="00BB3BDC">
        <w:rPr>
          <w:i/>
          <w:lang w:val="en-US"/>
        </w:rPr>
        <w:t xml:space="preserve"> </w:t>
      </w:r>
      <w:r w:rsidRPr="00F04D9C">
        <w:rPr>
          <w:i/>
          <w:lang w:val="en-US"/>
        </w:rPr>
        <w:t>Natl. Acad. Sci. USA</w:t>
      </w:r>
      <w:r w:rsidRPr="00F04D9C">
        <w:rPr>
          <w:lang w:val="en-US"/>
        </w:rPr>
        <w:t>.</w:t>
      </w:r>
      <w:r w:rsidRPr="00222563">
        <w:t>,</w:t>
      </w:r>
      <w:r>
        <w:t xml:space="preserve"> </w:t>
      </w:r>
      <w:r w:rsidRPr="002E30DC">
        <w:t>2016</w:t>
      </w:r>
      <w:r>
        <w:t xml:space="preserve">, </w:t>
      </w:r>
      <w:r w:rsidRPr="003D735A">
        <w:rPr>
          <w:b/>
        </w:rPr>
        <w:t>113</w:t>
      </w:r>
      <w:r>
        <w:t xml:space="preserve">, </w:t>
      </w:r>
      <w:r w:rsidRPr="002E30DC">
        <w:t>E4170-</w:t>
      </w:r>
      <w:r>
        <w:t>E417</w:t>
      </w:r>
      <w:r w:rsidRPr="002E30DC">
        <w:t>9</w:t>
      </w:r>
      <w:r>
        <w:t>.</w:t>
      </w:r>
    </w:p>
    <w:p w14:paraId="5E6F5112" w14:textId="77777777" w:rsidR="00F04D9C" w:rsidRPr="004471D9" w:rsidRDefault="00F04D9C" w:rsidP="00F04D9C">
      <w:pPr>
        <w:pStyle w:val="RSCR02References"/>
        <w:rPr>
          <w:lang w:val="en-US"/>
        </w:rPr>
      </w:pPr>
      <w:r w:rsidRPr="00E717AD">
        <w:rPr>
          <w:color w:val="000000"/>
          <w:lang w:val="en-US"/>
        </w:rPr>
        <w:t xml:space="preserve">V. Jayalakshmi, N. R. Krishna, </w:t>
      </w:r>
      <w:r w:rsidRPr="00E717AD">
        <w:rPr>
          <w:i/>
          <w:color w:val="000000"/>
          <w:lang w:val="en-US"/>
        </w:rPr>
        <w:t xml:space="preserve">J. Magn. </w:t>
      </w:r>
      <w:r w:rsidRPr="004471D9">
        <w:rPr>
          <w:i/>
          <w:color w:val="000000"/>
          <w:lang w:val="en-US"/>
        </w:rPr>
        <w:t>Reson.</w:t>
      </w:r>
      <w:r>
        <w:rPr>
          <w:color w:val="000000"/>
          <w:lang w:val="en-US"/>
        </w:rPr>
        <w:t xml:space="preserve">, 2002, </w:t>
      </w:r>
      <w:r w:rsidRPr="00D560AE">
        <w:rPr>
          <w:b/>
          <w:color w:val="000000"/>
          <w:lang w:val="en-US"/>
        </w:rPr>
        <w:t>155</w:t>
      </w:r>
      <w:r>
        <w:rPr>
          <w:color w:val="000000"/>
          <w:lang w:val="en-US"/>
        </w:rPr>
        <w:t>, 106-118.</w:t>
      </w:r>
      <w:r w:rsidRPr="004471D9">
        <w:rPr>
          <w:color w:val="000000"/>
          <w:lang w:val="en-US"/>
        </w:rPr>
        <w:t xml:space="preserve"> </w:t>
      </w:r>
    </w:p>
    <w:p w14:paraId="6F860AC2" w14:textId="77777777" w:rsidR="00F04D9C" w:rsidRPr="00BD1FCA" w:rsidRDefault="00F04D9C" w:rsidP="00F04D9C">
      <w:pPr>
        <w:pStyle w:val="RSCR02References"/>
        <w:rPr>
          <w:lang w:val="en-US"/>
        </w:rPr>
      </w:pPr>
      <w:r w:rsidRPr="004471D9">
        <w:rPr>
          <w:color w:val="000000"/>
          <w:lang w:val="en-US"/>
        </w:rPr>
        <w:lastRenderedPageBreak/>
        <w:t>N</w:t>
      </w:r>
      <w:r>
        <w:rPr>
          <w:color w:val="000000"/>
          <w:lang w:val="en-US"/>
        </w:rPr>
        <w:t>. R. Krishna, V. Jayalakshmi,</w:t>
      </w:r>
      <w:r w:rsidRPr="004471D9">
        <w:rPr>
          <w:color w:val="000000"/>
          <w:lang w:val="en-US"/>
        </w:rPr>
        <w:t xml:space="preserve"> </w:t>
      </w:r>
      <w:r w:rsidRPr="00A743AE">
        <w:rPr>
          <w:i/>
          <w:color w:val="000000"/>
          <w:lang w:val="en-US"/>
        </w:rPr>
        <w:t xml:space="preserve">Prog. </w:t>
      </w:r>
      <w:r w:rsidRPr="00BD1FCA">
        <w:rPr>
          <w:i/>
          <w:color w:val="000000"/>
          <w:lang w:val="en-US"/>
        </w:rPr>
        <w:t>Nucl. Magn. Reson. Spectrosc.</w:t>
      </w:r>
      <w:r w:rsidRPr="00BD1FCA">
        <w:rPr>
          <w:color w:val="000000"/>
          <w:lang w:val="en-US"/>
        </w:rPr>
        <w:t xml:space="preserve">, 2006, </w:t>
      </w:r>
      <w:r w:rsidRPr="00497DBD">
        <w:rPr>
          <w:b/>
          <w:color w:val="000000"/>
          <w:lang w:val="en-US"/>
        </w:rPr>
        <w:t>49</w:t>
      </w:r>
      <w:r w:rsidRPr="00BD1FCA">
        <w:rPr>
          <w:color w:val="000000"/>
          <w:lang w:val="en-US"/>
        </w:rPr>
        <w:t>, 1-25.</w:t>
      </w:r>
    </w:p>
    <w:p w14:paraId="0457B1E9" w14:textId="77777777" w:rsidR="00F04D9C" w:rsidRPr="00497DBD" w:rsidRDefault="00F04D9C" w:rsidP="00F04D9C">
      <w:pPr>
        <w:pStyle w:val="RSCR02References"/>
        <w:rPr>
          <w:lang w:val="es-ES"/>
        </w:rPr>
      </w:pPr>
      <w:r w:rsidRPr="00497DBD">
        <w:rPr>
          <w:lang w:val="es-ES"/>
        </w:rPr>
        <w:t xml:space="preserve">F. Marcelo, F. Garcia-Martin, T. Matsushita, J. Sardinha, H. Coelho, A. Oude-Vrielink, C. Koller, S. André, E. J. Cabrita, H. J. Gabius, S. Nishimura, J. Jiménez-Barbero, F. J. Cañada, </w:t>
      </w:r>
      <w:r w:rsidRPr="00497DBD">
        <w:rPr>
          <w:i/>
          <w:lang w:val="es-ES"/>
        </w:rPr>
        <w:t>Chem</w:t>
      </w:r>
      <w:r w:rsidR="00497DBD" w:rsidRPr="00497DBD">
        <w:rPr>
          <w:i/>
          <w:lang w:val="es-ES"/>
        </w:rPr>
        <w:t>.</w:t>
      </w:r>
      <w:r w:rsidRPr="00497DBD">
        <w:rPr>
          <w:i/>
          <w:lang w:val="es-ES"/>
        </w:rPr>
        <w:t xml:space="preserve"> Eur</w:t>
      </w:r>
      <w:r w:rsidR="00497DBD" w:rsidRPr="00497DBD">
        <w:rPr>
          <w:i/>
          <w:lang w:val="es-ES"/>
        </w:rPr>
        <w:t>.</w:t>
      </w:r>
      <w:r w:rsidRPr="00497DBD">
        <w:rPr>
          <w:i/>
          <w:lang w:val="es-ES"/>
        </w:rPr>
        <w:t xml:space="preserve"> J</w:t>
      </w:r>
      <w:r w:rsidR="00497DBD" w:rsidRPr="00497DBD">
        <w:rPr>
          <w:lang w:val="es-ES"/>
        </w:rPr>
        <w:t>.</w:t>
      </w:r>
      <w:r w:rsidRPr="00497DBD">
        <w:rPr>
          <w:lang w:val="es-ES"/>
        </w:rPr>
        <w:t>,</w:t>
      </w:r>
      <w:r w:rsidR="00497DBD" w:rsidRPr="00497DBD">
        <w:rPr>
          <w:lang w:val="es-ES"/>
        </w:rPr>
        <w:t xml:space="preserve"> 2014,</w:t>
      </w:r>
      <w:r w:rsidRPr="00497DBD">
        <w:rPr>
          <w:b/>
          <w:lang w:val="es-ES"/>
        </w:rPr>
        <w:t xml:space="preserve"> 20</w:t>
      </w:r>
      <w:r w:rsidRPr="00497DBD">
        <w:rPr>
          <w:lang w:val="es-ES"/>
        </w:rPr>
        <w:t>, 16147-16155.</w:t>
      </w:r>
    </w:p>
    <w:p w14:paraId="3350EDD2" w14:textId="77777777" w:rsidR="00F04D9C" w:rsidRPr="000379D6" w:rsidRDefault="00F04D9C" w:rsidP="00F04D9C">
      <w:pPr>
        <w:pStyle w:val="RSCR02References"/>
        <w:rPr>
          <w:lang w:val="es-ES"/>
        </w:rPr>
      </w:pPr>
      <w:r w:rsidRPr="000379D6">
        <w:rPr>
          <w:lang w:val="es-ES"/>
        </w:rPr>
        <w:t xml:space="preserve">J. Angulo, I. Díaz, J. J. Reina, G. Tabarani, F. Fieschi, J. Rojo, P. M. Nieto, </w:t>
      </w:r>
      <w:r w:rsidRPr="000379D6">
        <w:rPr>
          <w:i/>
          <w:lang w:val="es-ES"/>
        </w:rPr>
        <w:t>Chem</w:t>
      </w:r>
      <w:r w:rsidR="000379D6" w:rsidRPr="000379D6">
        <w:rPr>
          <w:i/>
          <w:lang w:val="es-ES"/>
        </w:rPr>
        <w:t>B</w:t>
      </w:r>
      <w:r w:rsidRPr="000379D6">
        <w:rPr>
          <w:i/>
          <w:lang w:val="es-ES"/>
        </w:rPr>
        <w:t>iochem</w:t>
      </w:r>
      <w:r w:rsidRPr="000379D6">
        <w:rPr>
          <w:lang w:val="es-ES"/>
        </w:rPr>
        <w:t xml:space="preserve">, 2008, </w:t>
      </w:r>
      <w:r w:rsidRPr="000379D6">
        <w:rPr>
          <w:b/>
          <w:lang w:val="es-ES"/>
        </w:rPr>
        <w:t>9</w:t>
      </w:r>
      <w:r w:rsidRPr="000379D6">
        <w:rPr>
          <w:lang w:val="es-ES"/>
        </w:rPr>
        <w:t>, 2225-2227.</w:t>
      </w:r>
    </w:p>
    <w:p w14:paraId="42C05147" w14:textId="77777777" w:rsidR="00F04D9C" w:rsidRPr="00F04D9C" w:rsidRDefault="00F04D9C" w:rsidP="00F04D9C">
      <w:pPr>
        <w:pStyle w:val="RSCR02References"/>
        <w:rPr>
          <w:lang w:val="es-ES"/>
        </w:rPr>
      </w:pPr>
      <w:r w:rsidRPr="00236CB2">
        <w:rPr>
          <w:lang w:val="es-ES"/>
        </w:rPr>
        <w:t>A. Gimeno, N.-</w:t>
      </w:r>
      <w:r w:rsidRPr="00E717AD">
        <w:rPr>
          <w:lang w:val="es-ES"/>
        </w:rPr>
        <w:t xml:space="preserve">C. Reichardt, F. J. Cañada, L. Perkams, C. Unverzagt, J. Jiménez-Barbero, A. Ardá, </w:t>
      </w:r>
      <w:r w:rsidRPr="00E717AD">
        <w:rPr>
          <w:i/>
          <w:iCs/>
          <w:lang w:val="es-ES"/>
        </w:rPr>
        <w:t xml:space="preserve">ACS Chem. </w:t>
      </w:r>
      <w:r w:rsidRPr="00F04D9C">
        <w:rPr>
          <w:i/>
          <w:iCs/>
          <w:lang w:val="es-ES"/>
        </w:rPr>
        <w:t>Biol.</w:t>
      </w:r>
      <w:r w:rsidRPr="00F04D9C">
        <w:rPr>
          <w:lang w:val="es-ES"/>
        </w:rPr>
        <w:t xml:space="preserve">, </w:t>
      </w:r>
      <w:r w:rsidRPr="00F04D9C">
        <w:rPr>
          <w:bCs/>
          <w:lang w:val="es-ES"/>
        </w:rPr>
        <w:t>2017</w:t>
      </w:r>
      <w:r w:rsidRPr="00F04D9C">
        <w:rPr>
          <w:lang w:val="es-ES"/>
        </w:rPr>
        <w:t xml:space="preserve">, </w:t>
      </w:r>
      <w:r w:rsidRPr="00F04D9C">
        <w:rPr>
          <w:b/>
          <w:iCs/>
          <w:lang w:val="es-ES"/>
        </w:rPr>
        <w:t>12</w:t>
      </w:r>
      <w:r w:rsidRPr="00F04D9C">
        <w:rPr>
          <w:lang w:val="es-ES"/>
        </w:rPr>
        <w:t>, 1104–1112.</w:t>
      </w:r>
    </w:p>
    <w:p w14:paraId="66FAEF47" w14:textId="77777777" w:rsidR="00F04D9C" w:rsidRPr="00A743AE" w:rsidRDefault="00D43C31" w:rsidP="00F04D9C">
      <w:pPr>
        <w:pStyle w:val="RSCR02References"/>
        <w:rPr>
          <w:lang w:val="en-US"/>
        </w:rPr>
      </w:pPr>
      <w:r>
        <w:rPr>
          <w:lang w:val="en-US"/>
        </w:rPr>
        <w:t>A. Mallagaray, J. Lockhauserbä</w:t>
      </w:r>
      <w:r w:rsidR="00F04D9C" w:rsidRPr="00A743AE">
        <w:rPr>
          <w:lang w:val="en-US"/>
        </w:rPr>
        <w:t xml:space="preserve">umer, G. Hansman, C. Uetrecht, T. Peters, </w:t>
      </w:r>
      <w:r w:rsidR="00F04D9C" w:rsidRPr="00BB3BDC">
        <w:rPr>
          <w:i/>
          <w:lang w:val="en-US"/>
        </w:rPr>
        <w:t>Angew</w:t>
      </w:r>
      <w:r w:rsidR="00F04D9C">
        <w:rPr>
          <w:i/>
          <w:lang w:val="en-US"/>
        </w:rPr>
        <w:t>.</w:t>
      </w:r>
      <w:r w:rsidR="00F04D9C" w:rsidRPr="00BB3BDC">
        <w:rPr>
          <w:i/>
          <w:lang w:val="en-US"/>
        </w:rPr>
        <w:t xml:space="preserve"> Chem</w:t>
      </w:r>
      <w:r w:rsidR="00F04D9C">
        <w:rPr>
          <w:i/>
          <w:lang w:val="en-US"/>
        </w:rPr>
        <w:t>.</w:t>
      </w:r>
      <w:r w:rsidR="00F04D9C" w:rsidRPr="00BB3BDC">
        <w:rPr>
          <w:i/>
          <w:lang w:val="en-US"/>
        </w:rPr>
        <w:t xml:space="preserve"> Int</w:t>
      </w:r>
      <w:r w:rsidR="00F04D9C">
        <w:rPr>
          <w:i/>
          <w:lang w:val="en-US"/>
        </w:rPr>
        <w:t>.</w:t>
      </w:r>
      <w:r w:rsidR="00F04D9C" w:rsidRPr="00BB3BDC">
        <w:rPr>
          <w:i/>
          <w:lang w:val="en-US"/>
        </w:rPr>
        <w:t xml:space="preserve"> Ed</w:t>
      </w:r>
      <w:r w:rsidR="00F04D9C">
        <w:rPr>
          <w:i/>
          <w:lang w:val="en-US"/>
        </w:rPr>
        <w:t xml:space="preserve">., </w:t>
      </w:r>
      <w:r w:rsidR="00F04D9C">
        <w:rPr>
          <w:lang w:val="en-US"/>
        </w:rPr>
        <w:t xml:space="preserve">2015, </w:t>
      </w:r>
      <w:r w:rsidR="00F04D9C" w:rsidRPr="00D43C31">
        <w:rPr>
          <w:b/>
          <w:lang w:val="en-US"/>
        </w:rPr>
        <w:t>54</w:t>
      </w:r>
      <w:r w:rsidR="00F04D9C">
        <w:rPr>
          <w:lang w:val="en-US"/>
        </w:rPr>
        <w:t>, 12014-12019.</w:t>
      </w:r>
    </w:p>
    <w:p w14:paraId="43BA5281" w14:textId="77777777" w:rsidR="00F04D9C" w:rsidRPr="00760405" w:rsidRDefault="00F04D9C" w:rsidP="00F04D9C">
      <w:pPr>
        <w:pStyle w:val="RSCR02References"/>
        <w:rPr>
          <w:lang w:val="en-US"/>
        </w:rPr>
      </w:pPr>
      <w:r w:rsidRPr="00760405">
        <w:rPr>
          <w:lang w:val="en-US"/>
        </w:rPr>
        <w:t>A. Mallagaray, C. Rademacher, F. Parra, G. Hansman, T. Peters</w:t>
      </w:r>
      <w:r>
        <w:rPr>
          <w:lang w:val="en-US"/>
        </w:rPr>
        <w:t>,</w:t>
      </w:r>
      <w:r w:rsidRPr="00760405">
        <w:rPr>
          <w:lang w:val="en-US"/>
        </w:rPr>
        <w:t xml:space="preserve"> </w:t>
      </w:r>
      <w:r w:rsidRPr="00C66840">
        <w:rPr>
          <w:i/>
          <w:lang w:val="en-US"/>
        </w:rPr>
        <w:t>Glycobiology</w:t>
      </w:r>
      <w:r w:rsidRPr="00760405">
        <w:rPr>
          <w:lang w:val="en-US"/>
        </w:rPr>
        <w:t>, 2016,</w:t>
      </w:r>
      <w:r w:rsidR="005C4465">
        <w:rPr>
          <w:lang w:val="en-US"/>
        </w:rPr>
        <w:t xml:space="preserve"> </w:t>
      </w:r>
      <w:r w:rsidR="005C4465">
        <w:rPr>
          <w:b/>
          <w:lang w:val="en-US"/>
        </w:rPr>
        <w:t>27</w:t>
      </w:r>
      <w:r w:rsidR="005C4465">
        <w:rPr>
          <w:lang w:val="en-US"/>
        </w:rPr>
        <w:t>,</w:t>
      </w:r>
      <w:r w:rsidRPr="00760405">
        <w:rPr>
          <w:lang w:val="en-US"/>
        </w:rPr>
        <w:t xml:space="preserve"> 1–7</w:t>
      </w:r>
      <w:r>
        <w:rPr>
          <w:lang w:val="en-US"/>
        </w:rPr>
        <w:t>.</w:t>
      </w:r>
    </w:p>
    <w:p w14:paraId="5DFC054A" w14:textId="77777777" w:rsidR="00F04D9C" w:rsidRPr="00F04D9C" w:rsidRDefault="00F04D9C" w:rsidP="00642EDA">
      <w:pPr>
        <w:pStyle w:val="RSCR02References"/>
        <w:rPr>
          <w:sz w:val="20"/>
          <w:szCs w:val="20"/>
          <w:lang w:val="en-US"/>
        </w:rPr>
      </w:pPr>
      <w:r w:rsidRPr="00F04D9C">
        <w:rPr>
          <w:lang w:val="en-US"/>
        </w:rPr>
        <w:t xml:space="preserve">J. Hanske, R. Wawrzinek, A. Geissner, E.-C. Wamhoff, K. Sellrie, H. Schmidt, P. H. Seeberger, C. Rademacher, </w:t>
      </w:r>
      <w:r w:rsidRPr="00F04D9C">
        <w:rPr>
          <w:i/>
          <w:lang w:val="en-US"/>
        </w:rPr>
        <w:t>Chem</w:t>
      </w:r>
      <w:r w:rsidR="000379D6">
        <w:rPr>
          <w:i/>
          <w:lang w:val="en-US"/>
        </w:rPr>
        <w:t>B</w:t>
      </w:r>
      <w:r w:rsidRPr="00F04D9C">
        <w:rPr>
          <w:i/>
          <w:lang w:val="en-US"/>
        </w:rPr>
        <w:t>iochem</w:t>
      </w:r>
      <w:r w:rsidRPr="00F04D9C">
        <w:rPr>
          <w:lang w:val="en-US"/>
        </w:rPr>
        <w:t xml:space="preserve">, 2017, </w:t>
      </w:r>
      <w:r w:rsidRPr="00F04D9C">
        <w:rPr>
          <w:b/>
          <w:lang w:val="en-US"/>
        </w:rPr>
        <w:t>18</w:t>
      </w:r>
      <w:r w:rsidRPr="00F04D9C">
        <w:rPr>
          <w:lang w:val="en-US"/>
        </w:rPr>
        <w:t>, 1183-1190.</w:t>
      </w:r>
    </w:p>
    <w:p w14:paraId="2863CD56" w14:textId="77777777" w:rsidR="00F04D9C" w:rsidRPr="00477279" w:rsidRDefault="005C4465" w:rsidP="00F04D9C">
      <w:pPr>
        <w:pStyle w:val="RSCR02References"/>
        <w:rPr>
          <w:lang w:val="en-US"/>
        </w:rPr>
      </w:pPr>
      <w:r>
        <w:rPr>
          <w:lang w:val="en-US"/>
        </w:rPr>
        <w:t>E.</w:t>
      </w:r>
      <w:r w:rsidR="00F04D9C" w:rsidRPr="00477279">
        <w:rPr>
          <w:lang w:val="en-US"/>
        </w:rPr>
        <w:t xml:space="preserve"> Chabrol, A. Nurisso, A. Daina, E. Vassal-Stermann, M. Thepaut, E. Girard, R. R. Vivès, F. Fieschi</w:t>
      </w:r>
      <w:r>
        <w:rPr>
          <w:lang w:val="en-US"/>
        </w:rPr>
        <w:t>,</w:t>
      </w:r>
      <w:r w:rsidR="00F04D9C" w:rsidRPr="00477279">
        <w:rPr>
          <w:lang w:val="en-US"/>
        </w:rPr>
        <w:t xml:space="preserve"> </w:t>
      </w:r>
      <w:r w:rsidR="00F04D9C" w:rsidRPr="00477279">
        <w:rPr>
          <w:i/>
          <w:lang w:val="en-US"/>
        </w:rPr>
        <w:t>PLOS One</w:t>
      </w:r>
      <w:r w:rsidR="00F04D9C" w:rsidRPr="00477279">
        <w:rPr>
          <w:lang w:val="en-US"/>
        </w:rPr>
        <w:t xml:space="preserve">, 2012, </w:t>
      </w:r>
      <w:r w:rsidR="00F04D9C" w:rsidRPr="00477279">
        <w:rPr>
          <w:b/>
          <w:lang w:val="en-US"/>
        </w:rPr>
        <w:t>7</w:t>
      </w:r>
      <w:r w:rsidR="00F04D9C" w:rsidRPr="00477279">
        <w:rPr>
          <w:lang w:val="en-US"/>
        </w:rPr>
        <w:t>, e50722.</w:t>
      </w:r>
    </w:p>
    <w:p w14:paraId="17C933D6" w14:textId="77777777" w:rsidR="00F04D9C" w:rsidRPr="00BD1FCA" w:rsidRDefault="00F04D9C" w:rsidP="00F04D9C">
      <w:pPr>
        <w:pStyle w:val="RSCR02References"/>
        <w:rPr>
          <w:lang w:val="es-ES"/>
        </w:rPr>
      </w:pPr>
      <w:r w:rsidRPr="00E717AD">
        <w:rPr>
          <w:lang w:val="es-ES"/>
        </w:rPr>
        <w:t xml:space="preserve">J. C. Muñoz-García, E. Chabrol, R. R. Vives, A. Thomas, J. L. de Paz, J. Rojo, A. Imberty, F. Fieschi, P. M. Nieto, J. Angulo, </w:t>
      </w:r>
      <w:r w:rsidRPr="00E717AD">
        <w:rPr>
          <w:i/>
          <w:lang w:val="es-ES"/>
        </w:rPr>
        <w:t xml:space="preserve">J. Am. </w:t>
      </w:r>
      <w:r w:rsidRPr="00BD1FCA">
        <w:rPr>
          <w:i/>
          <w:lang w:val="es-ES"/>
        </w:rPr>
        <w:t>Chem. Soc</w:t>
      </w:r>
      <w:r w:rsidRPr="00BD1FCA">
        <w:rPr>
          <w:lang w:val="es-ES"/>
        </w:rPr>
        <w:t xml:space="preserve">., 2015, </w:t>
      </w:r>
      <w:r w:rsidRPr="00BD1FCA">
        <w:rPr>
          <w:b/>
          <w:lang w:val="es-ES"/>
        </w:rPr>
        <w:t>137</w:t>
      </w:r>
      <w:r w:rsidRPr="00BD1FCA">
        <w:rPr>
          <w:lang w:val="es-ES"/>
        </w:rPr>
        <w:t>, 4100</w:t>
      </w:r>
      <w:r w:rsidR="00B5654D">
        <w:rPr>
          <w:lang w:val="es-ES"/>
        </w:rPr>
        <w:t>-4110</w:t>
      </w:r>
      <w:r w:rsidRPr="00BD1FCA">
        <w:rPr>
          <w:lang w:val="es-ES"/>
        </w:rPr>
        <w:t>.</w:t>
      </w:r>
    </w:p>
    <w:p w14:paraId="1CD6592F" w14:textId="77777777" w:rsidR="00F04D9C" w:rsidRPr="00F04D9C" w:rsidRDefault="00F04D9C" w:rsidP="00F04D9C">
      <w:pPr>
        <w:pStyle w:val="RSCR02References"/>
        <w:rPr>
          <w:lang w:val="es-ES"/>
        </w:rPr>
      </w:pPr>
      <w:r w:rsidRPr="00BD1FCA">
        <w:rPr>
          <w:lang w:val="es-ES"/>
        </w:rPr>
        <w:t xml:space="preserve">S. Shinya, M. G. Ghinet, R. Brzezinski, K. Furuita, C. Kojima, S. Shah, E. L. Kovrigin, T. Fukamizo,, </w:t>
      </w:r>
      <w:r w:rsidRPr="00BD1FCA">
        <w:rPr>
          <w:i/>
          <w:lang w:val="es-ES"/>
        </w:rPr>
        <w:t xml:space="preserve">J. Biomol. </w:t>
      </w:r>
      <w:r w:rsidRPr="00F04D9C">
        <w:rPr>
          <w:i/>
          <w:lang w:val="es-ES"/>
        </w:rPr>
        <w:t>NMR</w:t>
      </w:r>
      <w:r w:rsidRPr="00F04D9C">
        <w:rPr>
          <w:lang w:val="es-ES"/>
        </w:rPr>
        <w:t xml:space="preserve">, 2017, </w:t>
      </w:r>
      <w:r w:rsidRPr="00F04D9C">
        <w:rPr>
          <w:b/>
          <w:lang w:val="es-ES"/>
        </w:rPr>
        <w:t>67</w:t>
      </w:r>
      <w:r w:rsidRPr="00F04D9C">
        <w:rPr>
          <w:lang w:val="es-ES"/>
        </w:rPr>
        <w:t>, 309–319.</w:t>
      </w:r>
    </w:p>
    <w:p w14:paraId="66281BA4" w14:textId="77777777" w:rsidR="00F04D9C" w:rsidRPr="002C6D1F" w:rsidRDefault="002C6D1F" w:rsidP="002C6D1F">
      <w:pPr>
        <w:pStyle w:val="RSCR02References"/>
        <w:rPr>
          <w:lang w:val="en-US"/>
        </w:rPr>
      </w:pPr>
      <w:r w:rsidRPr="002C6D1F">
        <w:rPr>
          <w:rFonts w:cstheme="minorHAnsi"/>
          <w:lang w:val="es-ES"/>
        </w:rPr>
        <w:t>L. Unione</w:t>
      </w:r>
      <w:r w:rsidRPr="002C6D1F">
        <w:rPr>
          <w:lang w:val="es-ES"/>
        </w:rPr>
        <w:t>, G. Ortega, A. Mallagaray, F. Corzana, J. Pérez-Castells, A. Canales, J. Jiménez-Barbero, O. Millet</w:t>
      </w:r>
      <w:r w:rsidR="00F04D9C" w:rsidRPr="002C6D1F">
        <w:rPr>
          <w:lang w:val="es-ES"/>
        </w:rPr>
        <w:t xml:space="preserve">, </w:t>
      </w:r>
      <w:r w:rsidR="00F04D9C" w:rsidRPr="002C6D1F">
        <w:rPr>
          <w:i/>
          <w:lang w:val="es-ES"/>
        </w:rPr>
        <w:t xml:space="preserve">ACS Chem. </w:t>
      </w:r>
      <w:r w:rsidR="00F04D9C" w:rsidRPr="002C6D1F">
        <w:rPr>
          <w:i/>
          <w:lang w:val="en-US"/>
        </w:rPr>
        <w:t>Biol</w:t>
      </w:r>
      <w:r w:rsidR="00F04D9C" w:rsidRPr="002C6D1F">
        <w:rPr>
          <w:lang w:val="en-US"/>
        </w:rPr>
        <w:t xml:space="preserve">. 2016, </w:t>
      </w:r>
      <w:r w:rsidR="00F04D9C" w:rsidRPr="002C6D1F">
        <w:rPr>
          <w:b/>
          <w:lang w:val="en-US"/>
        </w:rPr>
        <w:t>11</w:t>
      </w:r>
      <w:r w:rsidR="00F04D9C" w:rsidRPr="002C6D1F">
        <w:rPr>
          <w:lang w:val="en-US"/>
        </w:rPr>
        <w:t>, 2149-2157.</w:t>
      </w:r>
      <w:r w:rsidR="00797F5B" w:rsidRPr="002C6D1F">
        <w:rPr>
          <w:lang w:val="en-US"/>
        </w:rPr>
        <w:t xml:space="preserve"> </w:t>
      </w:r>
    </w:p>
    <w:p w14:paraId="2BB94BEE" w14:textId="77777777" w:rsidR="00F04D9C" w:rsidRPr="00002D01" w:rsidRDefault="00F04D9C" w:rsidP="00F04D9C">
      <w:pPr>
        <w:pStyle w:val="RSCR02References"/>
        <w:rPr>
          <w:lang w:val="en-US"/>
        </w:rPr>
      </w:pPr>
      <w:r>
        <w:rPr>
          <w:lang w:val="en-US"/>
        </w:rPr>
        <w:t xml:space="preserve">C. </w:t>
      </w:r>
      <w:r w:rsidRPr="00002D01">
        <w:rPr>
          <w:lang w:val="en-US"/>
        </w:rPr>
        <w:t>Ha</w:t>
      </w:r>
      <w:r>
        <w:rPr>
          <w:lang w:val="en-US"/>
        </w:rPr>
        <w:t>mark</w:t>
      </w:r>
      <w:r w:rsidRPr="00002D01">
        <w:rPr>
          <w:lang w:val="en-US"/>
        </w:rPr>
        <w:t>, R</w:t>
      </w:r>
      <w:r>
        <w:rPr>
          <w:lang w:val="en-US"/>
        </w:rPr>
        <w:t xml:space="preserve">. </w:t>
      </w:r>
      <w:r w:rsidRPr="00002D01">
        <w:rPr>
          <w:lang w:val="en-US"/>
        </w:rPr>
        <w:t>P</w:t>
      </w:r>
      <w:r>
        <w:rPr>
          <w:lang w:val="en-US"/>
        </w:rPr>
        <w:t>.</w:t>
      </w:r>
      <w:r w:rsidRPr="00002D01">
        <w:rPr>
          <w:lang w:val="en-US"/>
        </w:rPr>
        <w:t xml:space="preserve"> Berntsson</w:t>
      </w:r>
      <w:r>
        <w:rPr>
          <w:lang w:val="en-US"/>
        </w:rPr>
        <w:t>, G. Masuyer, L. M. Henriksson</w:t>
      </w:r>
      <w:r w:rsidRPr="00002D01">
        <w:rPr>
          <w:lang w:val="en-US"/>
        </w:rPr>
        <w:t xml:space="preserve">, </w:t>
      </w:r>
      <w:r>
        <w:rPr>
          <w:lang w:val="en-US"/>
        </w:rPr>
        <w:t>R. Gustafsson, P. Stenmark</w:t>
      </w:r>
      <w:r w:rsidRPr="00002D01">
        <w:rPr>
          <w:lang w:val="en-US"/>
        </w:rPr>
        <w:t xml:space="preserve">, </w:t>
      </w:r>
      <w:r>
        <w:rPr>
          <w:lang w:val="en-US"/>
        </w:rPr>
        <w:t xml:space="preserve">G. Widmalm, </w:t>
      </w:r>
      <w:r w:rsidRPr="007C21C4">
        <w:rPr>
          <w:i/>
          <w:lang w:val="en-US"/>
        </w:rPr>
        <w:t>J. Am. Chem. Soc.</w:t>
      </w:r>
      <w:r w:rsidRPr="00002D01">
        <w:rPr>
          <w:lang w:val="en-US"/>
        </w:rPr>
        <w:t xml:space="preserve"> 2017</w:t>
      </w:r>
      <w:r>
        <w:rPr>
          <w:lang w:val="en-US"/>
        </w:rPr>
        <w:t xml:space="preserve">, </w:t>
      </w:r>
      <w:r w:rsidRPr="007C21C4">
        <w:rPr>
          <w:b/>
          <w:lang w:val="en-US"/>
        </w:rPr>
        <w:t>139</w:t>
      </w:r>
      <w:r>
        <w:rPr>
          <w:lang w:val="en-US"/>
        </w:rPr>
        <w:t xml:space="preserve">, </w:t>
      </w:r>
      <w:r w:rsidRPr="00002D01">
        <w:rPr>
          <w:lang w:val="en-US"/>
        </w:rPr>
        <w:t>218-230</w:t>
      </w:r>
      <w:r>
        <w:rPr>
          <w:lang w:val="en-US"/>
        </w:rPr>
        <w:t>.</w:t>
      </w:r>
    </w:p>
    <w:p w14:paraId="7EA2ABC5" w14:textId="77777777" w:rsidR="00F04D9C" w:rsidRPr="00002D01" w:rsidRDefault="00F04D9C" w:rsidP="00F04D9C">
      <w:pPr>
        <w:pStyle w:val="RSCR02References"/>
        <w:rPr>
          <w:lang w:val="en-US"/>
        </w:rPr>
      </w:pPr>
      <w:r>
        <w:rPr>
          <w:lang w:val="en-US"/>
        </w:rPr>
        <w:t>A. Ardá</w:t>
      </w:r>
      <w:r w:rsidRPr="00002D01">
        <w:rPr>
          <w:lang w:val="en-US"/>
        </w:rPr>
        <w:t xml:space="preserve">, </w:t>
      </w:r>
      <w:r>
        <w:rPr>
          <w:lang w:val="en-US"/>
        </w:rPr>
        <w:t>P. Blasco</w:t>
      </w:r>
      <w:r w:rsidRPr="00002D01">
        <w:rPr>
          <w:lang w:val="en-US"/>
        </w:rPr>
        <w:t xml:space="preserve">, </w:t>
      </w:r>
      <w:r>
        <w:rPr>
          <w:lang w:val="en-US"/>
        </w:rPr>
        <w:t>D. Varón Silva</w:t>
      </w:r>
      <w:r w:rsidRPr="00002D01">
        <w:rPr>
          <w:lang w:val="en-US"/>
        </w:rPr>
        <w:t>,</w:t>
      </w:r>
      <w:r>
        <w:rPr>
          <w:lang w:val="en-US"/>
        </w:rPr>
        <w:t xml:space="preserve"> V. Schubert</w:t>
      </w:r>
      <w:r w:rsidRPr="00002D01">
        <w:rPr>
          <w:lang w:val="en-US"/>
        </w:rPr>
        <w:t>,</w:t>
      </w:r>
      <w:r>
        <w:rPr>
          <w:lang w:val="en-US"/>
        </w:rPr>
        <w:t xml:space="preserve"> S. André</w:t>
      </w:r>
      <w:r w:rsidRPr="00002D01">
        <w:rPr>
          <w:lang w:val="en-US"/>
        </w:rPr>
        <w:t>,</w:t>
      </w:r>
      <w:r>
        <w:rPr>
          <w:lang w:val="en-US"/>
        </w:rPr>
        <w:t xml:space="preserve"> M. Bruix</w:t>
      </w:r>
      <w:r w:rsidRPr="00002D01">
        <w:rPr>
          <w:lang w:val="en-US"/>
        </w:rPr>
        <w:t>,</w:t>
      </w:r>
      <w:r>
        <w:rPr>
          <w:lang w:val="en-US"/>
        </w:rPr>
        <w:t xml:space="preserve"> F. J. </w:t>
      </w:r>
      <w:r w:rsidRPr="003E3251">
        <w:rPr>
          <w:rFonts w:cstheme="minorHAnsi"/>
          <w:lang w:val="en-US"/>
        </w:rPr>
        <w:t xml:space="preserve">Cañada, H. J. Gabius, C. Unverzagt, J. Jiménez-Barbero, </w:t>
      </w:r>
      <w:r w:rsidRPr="003E3251">
        <w:rPr>
          <w:rStyle w:val="jrnl"/>
          <w:rFonts w:cstheme="minorHAnsi"/>
          <w:i/>
          <w:lang w:val="en-US"/>
        </w:rPr>
        <w:t>J. Am. Chem. Soc</w:t>
      </w:r>
      <w:r w:rsidRPr="003E3251">
        <w:rPr>
          <w:rFonts w:cstheme="minorHAnsi"/>
          <w:i/>
          <w:lang w:val="en-US"/>
        </w:rPr>
        <w:t>.</w:t>
      </w:r>
      <w:r w:rsidRPr="003E3251">
        <w:rPr>
          <w:rFonts w:cstheme="minorHAnsi"/>
          <w:lang w:val="en-US"/>
        </w:rPr>
        <w:t>, 2013</w:t>
      </w:r>
      <w:r>
        <w:rPr>
          <w:lang w:val="en-US"/>
        </w:rPr>
        <w:t xml:space="preserve">, </w:t>
      </w:r>
      <w:r w:rsidRPr="007C21C4">
        <w:rPr>
          <w:b/>
          <w:lang w:val="en-US"/>
        </w:rPr>
        <w:t>135</w:t>
      </w:r>
      <w:r>
        <w:rPr>
          <w:lang w:val="en-US"/>
        </w:rPr>
        <w:t xml:space="preserve">, </w:t>
      </w:r>
      <w:r w:rsidRPr="00002D01">
        <w:rPr>
          <w:lang w:val="en-US"/>
        </w:rPr>
        <w:t>2667-</w:t>
      </w:r>
      <w:r>
        <w:rPr>
          <w:lang w:val="en-US"/>
        </w:rPr>
        <w:t>26</w:t>
      </w:r>
      <w:r w:rsidRPr="00002D01">
        <w:rPr>
          <w:lang w:val="en-US"/>
        </w:rPr>
        <w:t xml:space="preserve">75. </w:t>
      </w:r>
    </w:p>
    <w:p w14:paraId="41A49B41" w14:textId="77777777" w:rsidR="00F04D9C" w:rsidRPr="00E717AD" w:rsidRDefault="00F04D9C" w:rsidP="00F04D9C">
      <w:pPr>
        <w:pStyle w:val="RSCR02References"/>
        <w:rPr>
          <w:lang w:val="es-ES"/>
        </w:rPr>
      </w:pPr>
      <w:r w:rsidRPr="00E717AD">
        <w:rPr>
          <w:color w:val="131413"/>
          <w:lang w:val="es-ES"/>
        </w:rPr>
        <w:t xml:space="preserve">K. Kato, T. Yamaguchi, </w:t>
      </w:r>
      <w:r w:rsidRPr="00E717AD">
        <w:rPr>
          <w:i/>
          <w:lang w:val="es-ES"/>
        </w:rPr>
        <w:t>Glycoconjugate J.</w:t>
      </w:r>
      <w:r w:rsidR="00DF5A84">
        <w:rPr>
          <w:lang w:val="es-ES"/>
        </w:rPr>
        <w:t>,</w:t>
      </w:r>
      <w:r w:rsidRPr="00E717AD">
        <w:rPr>
          <w:lang w:val="es-ES"/>
        </w:rPr>
        <w:t xml:space="preserve"> 2015, </w:t>
      </w:r>
      <w:r w:rsidRPr="00E717AD">
        <w:rPr>
          <w:b/>
          <w:lang w:val="es-ES"/>
        </w:rPr>
        <w:t>32</w:t>
      </w:r>
      <w:r w:rsidRPr="00E717AD">
        <w:rPr>
          <w:lang w:val="es-ES"/>
        </w:rPr>
        <w:t>, 505-513.</w:t>
      </w:r>
    </w:p>
    <w:p w14:paraId="62E4DBA9" w14:textId="77777777" w:rsidR="00F04D9C" w:rsidRPr="00DF5A84" w:rsidRDefault="00F04D9C" w:rsidP="00F04D9C">
      <w:pPr>
        <w:pStyle w:val="RSCR02References"/>
        <w:rPr>
          <w:lang w:val="en-US"/>
        </w:rPr>
      </w:pPr>
      <w:r w:rsidRPr="00E717AD">
        <w:rPr>
          <w:lang w:val="es-ES"/>
        </w:rPr>
        <w:t xml:space="preserve">A. Canales, A. Mallagaray, J. Pérez-Castells, I. Boos, C. Unverzagt, S. André, H. J. Gabius, F. J. Cañada, J. Jiménez-Barbero, </w:t>
      </w:r>
      <w:r w:rsidRPr="00E717AD">
        <w:rPr>
          <w:i/>
          <w:lang w:val="es-ES"/>
        </w:rPr>
        <w:t>Angew</w:t>
      </w:r>
      <w:r w:rsidR="00DF5A84">
        <w:rPr>
          <w:i/>
          <w:lang w:val="es-ES"/>
        </w:rPr>
        <w:t>.</w:t>
      </w:r>
      <w:r w:rsidRPr="00E717AD">
        <w:rPr>
          <w:i/>
          <w:lang w:val="es-ES"/>
        </w:rPr>
        <w:t xml:space="preserve"> </w:t>
      </w:r>
      <w:r w:rsidRPr="00DF5A84">
        <w:rPr>
          <w:i/>
          <w:lang w:val="en-US"/>
        </w:rPr>
        <w:t>Chem</w:t>
      </w:r>
      <w:r w:rsidR="00DF5A84" w:rsidRPr="00DF5A84">
        <w:rPr>
          <w:i/>
          <w:lang w:val="en-US"/>
        </w:rPr>
        <w:t>.</w:t>
      </w:r>
      <w:r w:rsidRPr="00DF5A84">
        <w:rPr>
          <w:i/>
          <w:lang w:val="en-US"/>
        </w:rPr>
        <w:t xml:space="preserve"> Int</w:t>
      </w:r>
      <w:r w:rsidR="00DF5A84">
        <w:rPr>
          <w:i/>
          <w:lang w:val="en-US"/>
        </w:rPr>
        <w:t>.</w:t>
      </w:r>
      <w:r w:rsidRPr="00DF5A84">
        <w:rPr>
          <w:i/>
          <w:lang w:val="en-US"/>
        </w:rPr>
        <w:t xml:space="preserve"> Ed</w:t>
      </w:r>
      <w:r w:rsidR="00DF5A84">
        <w:rPr>
          <w:i/>
          <w:lang w:val="en-US"/>
        </w:rPr>
        <w:t>.</w:t>
      </w:r>
      <w:r w:rsidR="00DF5A84">
        <w:rPr>
          <w:lang w:val="en-US"/>
        </w:rPr>
        <w:t>,</w:t>
      </w:r>
      <w:r w:rsidRPr="00DF5A84">
        <w:rPr>
          <w:lang w:val="en-US"/>
        </w:rPr>
        <w:t xml:space="preserve"> 2013, </w:t>
      </w:r>
      <w:r w:rsidRPr="00DF5A84">
        <w:rPr>
          <w:b/>
          <w:lang w:val="en-US"/>
        </w:rPr>
        <w:t>52</w:t>
      </w:r>
      <w:r w:rsidRPr="00DF5A84">
        <w:rPr>
          <w:lang w:val="en-US"/>
        </w:rPr>
        <w:t>, 13789-13793.</w:t>
      </w:r>
    </w:p>
    <w:p w14:paraId="00CBD471" w14:textId="77777777" w:rsidR="00F04D9C" w:rsidRPr="00F04D9C" w:rsidRDefault="00F04D9C" w:rsidP="00642EDA">
      <w:pPr>
        <w:pStyle w:val="RSCR02References"/>
        <w:rPr>
          <w:lang w:val="en-US"/>
        </w:rPr>
      </w:pPr>
      <w:r w:rsidRPr="00F04D9C">
        <w:rPr>
          <w:lang w:val="en-US"/>
        </w:rPr>
        <w:t xml:space="preserve">S. Yamamoto, Y. Zhang, T. Yamaguchi, T. Kameda, K. Kato, </w:t>
      </w:r>
      <w:r w:rsidRPr="00F04D9C">
        <w:rPr>
          <w:i/>
          <w:lang w:val="en-US"/>
        </w:rPr>
        <w:t>Chem. Commun</w:t>
      </w:r>
      <w:r w:rsidRPr="00F04D9C">
        <w:rPr>
          <w:lang w:val="en-US"/>
        </w:rPr>
        <w:t xml:space="preserve">., 2010, </w:t>
      </w:r>
      <w:r w:rsidRPr="00F04D9C">
        <w:rPr>
          <w:b/>
          <w:lang w:val="en-US"/>
        </w:rPr>
        <w:t>48</w:t>
      </w:r>
      <w:r w:rsidRPr="00F04D9C">
        <w:rPr>
          <w:lang w:val="en-US"/>
        </w:rPr>
        <w:t>, 4752-4754.</w:t>
      </w:r>
    </w:p>
    <w:p w14:paraId="26A191B3" w14:textId="77777777" w:rsidR="00F04D9C" w:rsidRPr="00E717AD" w:rsidRDefault="00F04D9C" w:rsidP="00F04D9C">
      <w:pPr>
        <w:pStyle w:val="RSCR02References"/>
        <w:rPr>
          <w:sz w:val="20"/>
          <w:szCs w:val="20"/>
          <w:lang w:val="es-ES"/>
        </w:rPr>
      </w:pPr>
      <w:r w:rsidRPr="00236CB2">
        <w:rPr>
          <w:lang w:val="es-ES"/>
        </w:rPr>
        <w:t xml:space="preserve">Y. </w:t>
      </w:r>
      <w:r w:rsidRPr="00236CB2">
        <w:rPr>
          <w:color w:val="131413"/>
          <w:lang w:val="es-ES"/>
        </w:rPr>
        <w:t>Zhang, S. Yamamoto, T. Yamaguch</w:t>
      </w:r>
      <w:r w:rsidRPr="00F04D9C">
        <w:rPr>
          <w:color w:val="131413"/>
          <w:lang w:val="es-ES"/>
        </w:rPr>
        <w:t xml:space="preserve">i, K. Kato, </w:t>
      </w:r>
      <w:r w:rsidRPr="00F04D9C">
        <w:rPr>
          <w:i/>
          <w:color w:val="131413"/>
          <w:lang w:val="es-ES"/>
        </w:rPr>
        <w:t>Molecules</w:t>
      </w:r>
      <w:r w:rsidRPr="00F04D9C">
        <w:rPr>
          <w:color w:val="131413"/>
          <w:lang w:val="es-ES"/>
        </w:rPr>
        <w:t xml:space="preserve">, 2012, </w:t>
      </w:r>
      <w:r w:rsidRPr="00F04D9C">
        <w:rPr>
          <w:b/>
          <w:color w:val="131413"/>
          <w:lang w:val="es-ES"/>
        </w:rPr>
        <w:t>17</w:t>
      </w:r>
      <w:r w:rsidRPr="00F04D9C">
        <w:rPr>
          <w:color w:val="131413"/>
          <w:lang w:val="es-ES"/>
        </w:rPr>
        <w:t>, 6658</w:t>
      </w:r>
      <w:r w:rsidRPr="00F04D9C">
        <w:rPr>
          <w:rFonts w:eastAsia="DrcwhnAdvTT3713a231+20"/>
          <w:color w:val="131413"/>
          <w:lang w:val="es-ES"/>
        </w:rPr>
        <w:t>–</w:t>
      </w:r>
      <w:r w:rsidRPr="00F04D9C">
        <w:rPr>
          <w:color w:val="131413"/>
          <w:lang w:val="es-ES"/>
        </w:rPr>
        <w:t>6671</w:t>
      </w:r>
      <w:r w:rsidRPr="00E717AD">
        <w:rPr>
          <w:color w:val="131413"/>
          <w:sz w:val="20"/>
          <w:szCs w:val="20"/>
          <w:lang w:val="es-ES"/>
        </w:rPr>
        <w:t>.</w:t>
      </w:r>
    </w:p>
    <w:p w14:paraId="1F5F3EAC" w14:textId="77777777" w:rsidR="00F04D9C" w:rsidRPr="00F04D9C" w:rsidRDefault="00F04D9C" w:rsidP="00F04D9C">
      <w:pPr>
        <w:pStyle w:val="RSCR02References"/>
        <w:rPr>
          <w:lang w:val="en-US"/>
        </w:rPr>
      </w:pPr>
      <w:r w:rsidRPr="00F04D9C">
        <w:rPr>
          <w:lang w:val="en-US"/>
        </w:rPr>
        <w:t xml:space="preserve">S. </w:t>
      </w:r>
      <w:r w:rsidRPr="00F04D9C">
        <w:rPr>
          <w:color w:val="131413"/>
          <w:lang w:val="en-US"/>
        </w:rPr>
        <w:t xml:space="preserve">Yamamoto, T. Yamaguchi, M. Erdélyi, C. Griesinger, K. Kato, </w:t>
      </w:r>
      <w:r w:rsidRPr="00F04D9C">
        <w:rPr>
          <w:i/>
          <w:color w:val="131413"/>
          <w:lang w:val="en-US"/>
        </w:rPr>
        <w:t>Chem. Eur. J.</w:t>
      </w:r>
      <w:r w:rsidRPr="00F04D9C">
        <w:rPr>
          <w:color w:val="131413"/>
          <w:lang w:val="en-US"/>
        </w:rPr>
        <w:t xml:space="preserve">, 2011, </w:t>
      </w:r>
      <w:r w:rsidRPr="00F04D9C">
        <w:rPr>
          <w:b/>
          <w:color w:val="131413"/>
          <w:lang w:val="en-US"/>
        </w:rPr>
        <w:t>17</w:t>
      </w:r>
      <w:r w:rsidRPr="00F04D9C">
        <w:rPr>
          <w:color w:val="131413"/>
          <w:lang w:val="en-US"/>
        </w:rPr>
        <w:t>, 9280</w:t>
      </w:r>
      <w:r w:rsidRPr="00F04D9C">
        <w:rPr>
          <w:rFonts w:eastAsia="DrcwhnAdvTT3713a231+20"/>
          <w:color w:val="131413"/>
          <w:lang w:val="en-US"/>
        </w:rPr>
        <w:t>–</w:t>
      </w:r>
      <w:r w:rsidRPr="00F04D9C">
        <w:rPr>
          <w:color w:val="131413"/>
          <w:lang w:val="en-US"/>
        </w:rPr>
        <w:t>9282.</w:t>
      </w:r>
    </w:p>
    <w:p w14:paraId="23F405C5" w14:textId="77777777" w:rsidR="00F04D9C" w:rsidRPr="00F04D9C" w:rsidRDefault="00F04D9C" w:rsidP="00F04D9C">
      <w:pPr>
        <w:pStyle w:val="RSCR02References"/>
        <w:rPr>
          <w:lang w:val="es-ES"/>
        </w:rPr>
      </w:pPr>
      <w:r w:rsidRPr="00E717AD">
        <w:rPr>
          <w:lang w:val="es-ES"/>
        </w:rPr>
        <w:t xml:space="preserve">A. Canales, A. Mallagaray, M. Á. Berbís, A. Navarro-Vázquez, G. Domínguez, F. J. Cañada, S. André, H. J. Gabius, J. Pérez-Castells, J. Jiménez-Barbero, </w:t>
      </w:r>
      <w:r w:rsidRPr="00E717AD">
        <w:rPr>
          <w:i/>
          <w:lang w:val="es-ES"/>
        </w:rPr>
        <w:t xml:space="preserve">J. Am. </w:t>
      </w:r>
      <w:r w:rsidRPr="00F04D9C">
        <w:rPr>
          <w:i/>
          <w:lang w:val="es-ES"/>
        </w:rPr>
        <w:t>Chem. Soc.</w:t>
      </w:r>
      <w:r w:rsidRPr="00F04D9C">
        <w:rPr>
          <w:lang w:val="es-ES"/>
        </w:rPr>
        <w:t>,</w:t>
      </w:r>
      <w:r w:rsidRPr="00F04D9C">
        <w:rPr>
          <w:i/>
          <w:lang w:val="es-ES"/>
        </w:rPr>
        <w:t xml:space="preserve"> </w:t>
      </w:r>
      <w:r w:rsidRPr="00F04D9C">
        <w:rPr>
          <w:lang w:val="es-ES"/>
        </w:rPr>
        <w:t xml:space="preserve">2014, </w:t>
      </w:r>
      <w:r w:rsidRPr="00F04D9C">
        <w:rPr>
          <w:b/>
          <w:lang w:val="es-ES"/>
        </w:rPr>
        <w:t>136</w:t>
      </w:r>
      <w:r w:rsidRPr="00F04D9C">
        <w:rPr>
          <w:lang w:val="es-ES"/>
        </w:rPr>
        <w:t>, 8011-8017.</w:t>
      </w:r>
    </w:p>
    <w:p w14:paraId="638E1804" w14:textId="77777777" w:rsidR="00F04D9C" w:rsidRPr="00F04D9C" w:rsidRDefault="00F04D9C" w:rsidP="00F04D9C">
      <w:pPr>
        <w:pStyle w:val="RSCR02References"/>
        <w:rPr>
          <w:lang w:val="es-ES"/>
        </w:rPr>
      </w:pPr>
      <w:r w:rsidRPr="00F04D9C">
        <w:rPr>
          <w:lang w:val="es-ES"/>
        </w:rPr>
        <w:t xml:space="preserve">A. Canales, I. Boos, L. Perkams, L. Karst, T. Luber, T. Karagiannis, G. Domínguez, F. J. Cañada, J. Pérez-Castells, D. Häussinger, C. Unverzagt, J. Jiménez-Barbero, </w:t>
      </w:r>
      <w:r w:rsidRPr="00F04D9C">
        <w:rPr>
          <w:i/>
          <w:lang w:val="es-ES"/>
        </w:rPr>
        <w:t>Angew. Chem. Int. Ed.,</w:t>
      </w:r>
      <w:r w:rsidRPr="00F04D9C">
        <w:rPr>
          <w:lang w:val="es-ES"/>
        </w:rPr>
        <w:t xml:space="preserve"> 2017, </w:t>
      </w:r>
      <w:r w:rsidRPr="00F04D9C">
        <w:rPr>
          <w:b/>
          <w:lang w:val="es-ES"/>
        </w:rPr>
        <w:t>56</w:t>
      </w:r>
      <w:r w:rsidRPr="00F04D9C">
        <w:rPr>
          <w:lang w:val="es-ES"/>
        </w:rPr>
        <w:t>, 14987-14991.</w:t>
      </w:r>
    </w:p>
    <w:p w14:paraId="5D3C318C" w14:textId="77777777" w:rsidR="00F04D9C" w:rsidRPr="00E51A1B" w:rsidRDefault="00F04D9C" w:rsidP="00F04D9C">
      <w:pPr>
        <w:pStyle w:val="RSCR02References"/>
        <w:rPr>
          <w:lang w:val="en-US"/>
        </w:rPr>
      </w:pPr>
      <w:r w:rsidRPr="00E51A1B">
        <w:rPr>
          <w:lang w:val="en-US"/>
        </w:rPr>
        <w:t xml:space="preserve">W.-M. Liu, M. Overhand, M. Ubbink, </w:t>
      </w:r>
      <w:r>
        <w:rPr>
          <w:i/>
          <w:lang w:val="en-US"/>
        </w:rPr>
        <w:t>Coord. Chem. Rev.</w:t>
      </w:r>
      <w:r w:rsidRPr="00E51A1B">
        <w:rPr>
          <w:lang w:val="en-US"/>
        </w:rPr>
        <w:t xml:space="preserve">, </w:t>
      </w:r>
      <w:r>
        <w:rPr>
          <w:lang w:val="en-US"/>
        </w:rPr>
        <w:t xml:space="preserve">2014, </w:t>
      </w:r>
      <w:r w:rsidRPr="00B02A0F">
        <w:rPr>
          <w:b/>
          <w:lang w:val="en-US"/>
        </w:rPr>
        <w:t>273–274</w:t>
      </w:r>
      <w:r>
        <w:rPr>
          <w:lang w:val="en-US"/>
        </w:rPr>
        <w:t>,</w:t>
      </w:r>
      <w:r w:rsidRPr="00E51A1B">
        <w:rPr>
          <w:lang w:val="en-US"/>
        </w:rPr>
        <w:t xml:space="preserve"> 2-12</w:t>
      </w:r>
      <w:r>
        <w:rPr>
          <w:lang w:val="en-US"/>
        </w:rPr>
        <w:t>.</w:t>
      </w:r>
    </w:p>
    <w:p w14:paraId="6945B328" w14:textId="77777777" w:rsidR="00F04D9C" w:rsidRPr="008C1D97" w:rsidRDefault="00F04D9C" w:rsidP="00F04D9C">
      <w:pPr>
        <w:pStyle w:val="RSCR02References"/>
        <w:rPr>
          <w:lang w:val="en-US"/>
        </w:rPr>
      </w:pPr>
      <w:r>
        <w:rPr>
          <w:lang w:val="en-US"/>
        </w:rPr>
        <w:t xml:space="preserve">T. </w:t>
      </w:r>
      <w:r w:rsidRPr="008C1D97">
        <w:rPr>
          <w:lang w:val="en-US"/>
        </w:rPr>
        <w:t>Z</w:t>
      </w:r>
      <w:r w:rsidRPr="008C1D97">
        <w:rPr>
          <w:rFonts w:eastAsia="Times New Roman"/>
          <w:lang w:val="en-US"/>
        </w:rPr>
        <w:t xml:space="preserve">huang, </w:t>
      </w:r>
      <w:r>
        <w:rPr>
          <w:rFonts w:eastAsia="Times New Roman"/>
          <w:lang w:val="en-US"/>
        </w:rPr>
        <w:t xml:space="preserve">H.-S. </w:t>
      </w:r>
      <w:r w:rsidRPr="008C1D97">
        <w:rPr>
          <w:rFonts w:eastAsia="Times New Roman"/>
          <w:lang w:val="en-US"/>
        </w:rPr>
        <w:t>Lee,</w:t>
      </w:r>
      <w:r>
        <w:rPr>
          <w:rFonts w:eastAsia="Times New Roman"/>
          <w:lang w:val="en-US"/>
        </w:rPr>
        <w:t xml:space="preserve"> B.</w:t>
      </w:r>
      <w:r w:rsidRPr="008C1D97">
        <w:rPr>
          <w:rFonts w:eastAsia="Times New Roman"/>
          <w:lang w:val="en-US"/>
        </w:rPr>
        <w:t xml:space="preserve"> Imperiali,</w:t>
      </w:r>
      <w:r>
        <w:rPr>
          <w:rFonts w:eastAsia="Times New Roman"/>
          <w:lang w:val="en-US"/>
        </w:rPr>
        <w:t xml:space="preserve"> J. H.</w:t>
      </w:r>
      <w:r w:rsidRPr="008C1D97">
        <w:rPr>
          <w:rFonts w:eastAsia="Times New Roman"/>
          <w:lang w:val="en-US"/>
        </w:rPr>
        <w:t xml:space="preserve"> Prestegard, </w:t>
      </w:r>
      <w:r w:rsidRPr="00241729">
        <w:rPr>
          <w:rFonts w:eastAsia="Times New Roman"/>
          <w:i/>
          <w:lang w:val="en-US"/>
        </w:rPr>
        <w:t>Prot</w:t>
      </w:r>
      <w:r>
        <w:rPr>
          <w:rFonts w:eastAsia="Times New Roman"/>
          <w:i/>
          <w:lang w:val="en-US"/>
        </w:rPr>
        <w:t>ein</w:t>
      </w:r>
      <w:r w:rsidRPr="00241729">
        <w:rPr>
          <w:rFonts w:eastAsia="Times New Roman"/>
          <w:i/>
          <w:lang w:val="en-US"/>
        </w:rPr>
        <w:t xml:space="preserve"> Sci.</w:t>
      </w:r>
      <w:r w:rsidRPr="00241729">
        <w:rPr>
          <w:rFonts w:eastAsia="Times New Roman"/>
          <w:lang w:val="en-US"/>
        </w:rPr>
        <w:t xml:space="preserve">, </w:t>
      </w:r>
      <w:r>
        <w:rPr>
          <w:rFonts w:eastAsia="Times New Roman"/>
          <w:lang w:val="en-US"/>
        </w:rPr>
        <w:t xml:space="preserve">2008, </w:t>
      </w:r>
      <w:r w:rsidRPr="00241729">
        <w:rPr>
          <w:rFonts w:eastAsia="Times New Roman"/>
          <w:b/>
          <w:lang w:val="en-US"/>
        </w:rPr>
        <w:t>17</w:t>
      </w:r>
      <w:r>
        <w:rPr>
          <w:rFonts w:eastAsia="Times New Roman"/>
          <w:lang w:val="en-US"/>
        </w:rPr>
        <w:t>,</w:t>
      </w:r>
      <w:r w:rsidRPr="008C1D97">
        <w:rPr>
          <w:rFonts w:eastAsia="Times New Roman"/>
          <w:lang w:val="en-US"/>
        </w:rPr>
        <w:t xml:space="preserve"> 1220-1231.</w:t>
      </w:r>
      <w:r w:rsidRPr="008C1D97">
        <w:rPr>
          <w:lang w:val="en-US"/>
        </w:rPr>
        <w:t xml:space="preserve"> </w:t>
      </w:r>
    </w:p>
    <w:p w14:paraId="31F6E391" w14:textId="77777777" w:rsidR="00F04D9C" w:rsidRPr="00A36199" w:rsidRDefault="00F04D9C" w:rsidP="00F04D9C">
      <w:pPr>
        <w:pStyle w:val="RSCR02References"/>
        <w:rPr>
          <w:rFonts w:cstheme="minorHAnsi"/>
          <w:lang w:val="en-US"/>
        </w:rPr>
      </w:pPr>
      <w:r w:rsidRPr="008C1D97">
        <w:rPr>
          <w:lang w:val="en-US"/>
        </w:rPr>
        <w:t>A</w:t>
      </w:r>
      <w:r w:rsidRPr="00A36199">
        <w:rPr>
          <w:rFonts w:cstheme="minorHAnsi"/>
          <w:lang w:val="en-US"/>
        </w:rPr>
        <w:t xml:space="preserve">. W. Barb, T. G. Ho, H. Flanagan-Steet, J. H. Prestegard, </w:t>
      </w:r>
      <w:r w:rsidRPr="00A36199">
        <w:rPr>
          <w:rFonts w:eastAsia="Times New Roman" w:cstheme="minorHAnsi"/>
          <w:i/>
          <w:lang w:val="en-US"/>
        </w:rPr>
        <w:t>Protein Sci</w:t>
      </w:r>
      <w:r w:rsidRPr="00A36199">
        <w:rPr>
          <w:rFonts w:cstheme="minorHAnsi"/>
          <w:lang w:val="en-US"/>
        </w:rPr>
        <w:t xml:space="preserve">., 2012, </w:t>
      </w:r>
      <w:r w:rsidRPr="00A36199">
        <w:rPr>
          <w:rFonts w:cstheme="minorHAnsi"/>
          <w:b/>
          <w:lang w:val="en-US"/>
        </w:rPr>
        <w:t>21</w:t>
      </w:r>
      <w:r w:rsidRPr="00A36199">
        <w:rPr>
          <w:rFonts w:cstheme="minorHAnsi"/>
          <w:lang w:val="en-US"/>
        </w:rPr>
        <w:t>, 1456-1466.</w:t>
      </w:r>
    </w:p>
    <w:p w14:paraId="678509F0" w14:textId="77777777" w:rsidR="00F04D9C" w:rsidRPr="00A36199" w:rsidRDefault="00F04D9C" w:rsidP="00F04D9C">
      <w:pPr>
        <w:pStyle w:val="RSCR02References"/>
        <w:rPr>
          <w:rFonts w:cstheme="minorHAnsi"/>
          <w:lang w:val="en-US"/>
        </w:rPr>
      </w:pPr>
      <w:r w:rsidRPr="00A36199">
        <w:rPr>
          <w:rFonts w:cstheme="minorHAnsi"/>
          <w:lang w:val="en-US"/>
        </w:rPr>
        <w:t xml:space="preserve">Q. Gao, C.Y. Chen, C. Zong, S. Wang, A. Ramiah, P. Prabhakar, L. C. Morris, G.-J. Boons, K. W. Moremen, J. H. Prestegard, </w:t>
      </w:r>
      <w:r w:rsidRPr="00A36199">
        <w:rPr>
          <w:rFonts w:cstheme="minorHAnsi"/>
          <w:i/>
          <w:lang w:val="en-US"/>
        </w:rPr>
        <w:t>ACS Chem. Biol</w:t>
      </w:r>
      <w:r w:rsidRPr="00A36199">
        <w:rPr>
          <w:rFonts w:cstheme="minorHAnsi"/>
          <w:lang w:val="en-US"/>
        </w:rPr>
        <w:t xml:space="preserve">., 2016, </w:t>
      </w:r>
      <w:r w:rsidRPr="00A36199">
        <w:rPr>
          <w:rFonts w:cstheme="minorHAnsi"/>
          <w:b/>
          <w:lang w:val="en-US"/>
        </w:rPr>
        <w:t>11</w:t>
      </w:r>
      <w:r w:rsidRPr="00A36199">
        <w:rPr>
          <w:rFonts w:cstheme="minorHAnsi"/>
          <w:lang w:val="en-US"/>
        </w:rPr>
        <w:t>, 3106-3113.</w:t>
      </w:r>
    </w:p>
    <w:p w14:paraId="75DB3B56" w14:textId="77777777" w:rsidR="00F04D9C" w:rsidRPr="00A36199" w:rsidRDefault="00F04D9C" w:rsidP="00F04D9C">
      <w:pPr>
        <w:pStyle w:val="RSCR02References"/>
        <w:rPr>
          <w:rFonts w:cstheme="minorHAnsi"/>
          <w:lang w:val="en-US"/>
        </w:rPr>
      </w:pPr>
      <w:r w:rsidRPr="00A36199">
        <w:rPr>
          <w:rFonts w:cstheme="minorHAnsi"/>
          <w:lang w:val="en-US"/>
        </w:rPr>
        <w:t xml:space="preserve">N. U. Jain, A. Venot, K. Umemoto, H. Leffler, J. H. Prestegard, </w:t>
      </w:r>
      <w:r w:rsidRPr="00A36199">
        <w:rPr>
          <w:rStyle w:val="jrnl"/>
          <w:rFonts w:cstheme="minorHAnsi"/>
          <w:i/>
          <w:lang w:val="en-US"/>
        </w:rPr>
        <w:t>Protein Sci</w:t>
      </w:r>
      <w:r w:rsidRPr="00A36199">
        <w:rPr>
          <w:rFonts w:cstheme="minorHAnsi"/>
          <w:i/>
          <w:lang w:val="en-US"/>
        </w:rPr>
        <w:t>.</w:t>
      </w:r>
      <w:r w:rsidRPr="00A36199">
        <w:rPr>
          <w:rFonts w:cstheme="minorHAnsi"/>
          <w:lang w:val="en-US"/>
        </w:rPr>
        <w:t xml:space="preserve">, 2001, </w:t>
      </w:r>
      <w:r w:rsidRPr="00A36199">
        <w:rPr>
          <w:rFonts w:cstheme="minorHAnsi"/>
          <w:b/>
          <w:lang w:val="en-US"/>
        </w:rPr>
        <w:t>10</w:t>
      </w:r>
      <w:r w:rsidRPr="00A36199">
        <w:rPr>
          <w:rFonts w:cstheme="minorHAnsi"/>
          <w:lang w:val="en-US"/>
        </w:rPr>
        <w:t>, 2393-2400.</w:t>
      </w:r>
    </w:p>
    <w:p w14:paraId="76805BCF" w14:textId="77777777" w:rsidR="00F04D9C" w:rsidRPr="00A36199" w:rsidRDefault="00F04D9C" w:rsidP="00F04D9C">
      <w:pPr>
        <w:pStyle w:val="RSCR02References"/>
        <w:rPr>
          <w:rFonts w:cstheme="minorHAnsi"/>
          <w:lang w:val="en-US"/>
        </w:rPr>
      </w:pPr>
      <w:r w:rsidRPr="00A36199">
        <w:rPr>
          <w:rFonts w:cstheme="minorHAnsi"/>
          <w:lang w:val="en-US"/>
        </w:rPr>
        <w:t xml:space="preserve">S. Liu, L. Meng,K. W. Moremen, J. H. Prestegard, </w:t>
      </w:r>
      <w:r w:rsidRPr="00A36199">
        <w:rPr>
          <w:rFonts w:cstheme="minorHAnsi"/>
          <w:i/>
          <w:lang w:val="en-US"/>
        </w:rPr>
        <w:t>Biochemistry</w:t>
      </w:r>
      <w:r w:rsidRPr="00A36199">
        <w:rPr>
          <w:rFonts w:cstheme="minorHAnsi"/>
          <w:lang w:val="en-US"/>
        </w:rPr>
        <w:t xml:space="preserve">, 2009, </w:t>
      </w:r>
      <w:r w:rsidRPr="00A36199">
        <w:rPr>
          <w:rFonts w:cstheme="minorHAnsi"/>
          <w:b/>
          <w:lang w:val="en-US"/>
        </w:rPr>
        <w:t>48</w:t>
      </w:r>
      <w:r w:rsidRPr="00A36199">
        <w:rPr>
          <w:rFonts w:cstheme="minorHAnsi"/>
          <w:lang w:val="en-US"/>
        </w:rPr>
        <w:t>, 11211-11219.</w:t>
      </w:r>
    </w:p>
    <w:p w14:paraId="354F00EC" w14:textId="77777777" w:rsidR="00F04D9C" w:rsidRPr="00A36199" w:rsidRDefault="00F04D9C" w:rsidP="00F04D9C">
      <w:pPr>
        <w:pStyle w:val="RSCR02References"/>
        <w:rPr>
          <w:rFonts w:cstheme="minorHAnsi"/>
          <w:lang w:val="en-US"/>
        </w:rPr>
      </w:pPr>
      <w:r w:rsidRPr="00A36199">
        <w:rPr>
          <w:rFonts w:eastAsia="Times New Roman" w:cstheme="minorHAnsi"/>
          <w:lang w:val="en-US"/>
        </w:rPr>
        <w:t xml:space="preserve">T. Yamaguchi, Y. Kamiya, Y.-M. Choo, S. Yamamoto, K. Kato, </w:t>
      </w:r>
      <w:r w:rsidRPr="00A36199">
        <w:rPr>
          <w:rFonts w:cstheme="minorHAnsi"/>
          <w:i/>
          <w:lang w:val="en-US"/>
        </w:rPr>
        <w:t>Chem. Lett</w:t>
      </w:r>
      <w:r w:rsidRPr="00A36199">
        <w:rPr>
          <w:rFonts w:cstheme="minorHAnsi"/>
          <w:lang w:val="en-US"/>
        </w:rPr>
        <w:t xml:space="preserve">., 2013, </w:t>
      </w:r>
      <w:r w:rsidRPr="00A36199">
        <w:rPr>
          <w:rFonts w:cstheme="minorHAnsi"/>
          <w:b/>
          <w:lang w:val="en-US"/>
        </w:rPr>
        <w:t>42</w:t>
      </w:r>
      <w:r w:rsidRPr="00A36199">
        <w:rPr>
          <w:rFonts w:cstheme="minorHAnsi"/>
          <w:lang w:val="en-US"/>
        </w:rPr>
        <w:t>, 544-546.</w:t>
      </w:r>
    </w:p>
    <w:p w14:paraId="32E326CA" w14:textId="77777777" w:rsidR="00F04D9C" w:rsidRPr="00A36199" w:rsidRDefault="00F04D9C" w:rsidP="00F04D9C">
      <w:pPr>
        <w:pStyle w:val="RSCR02References"/>
        <w:rPr>
          <w:rFonts w:cstheme="minorHAnsi"/>
          <w:lang w:val="es-ES"/>
        </w:rPr>
      </w:pPr>
      <w:r w:rsidRPr="00A36199">
        <w:rPr>
          <w:rFonts w:cstheme="minorHAnsi"/>
          <w:lang w:val="es-ES"/>
        </w:rPr>
        <w:t xml:space="preserve">D. Fujinami, J. Nyirenda, S. Matsumoto, D. Kohda, </w:t>
      </w:r>
      <w:r w:rsidRPr="00A36199">
        <w:rPr>
          <w:rFonts w:cstheme="minorHAnsi"/>
          <w:i/>
          <w:lang w:val="es-ES"/>
        </w:rPr>
        <w:t>Carbohydr. Res.</w:t>
      </w:r>
      <w:r w:rsidRPr="00A36199">
        <w:rPr>
          <w:rFonts w:cstheme="minorHAnsi"/>
          <w:lang w:val="es-ES"/>
        </w:rPr>
        <w:t xml:space="preserve">, 2015, </w:t>
      </w:r>
      <w:r w:rsidRPr="00A36199">
        <w:rPr>
          <w:rFonts w:cstheme="minorHAnsi"/>
          <w:b/>
          <w:lang w:val="es-ES"/>
        </w:rPr>
        <w:t>413</w:t>
      </w:r>
      <w:r w:rsidRPr="00A36199">
        <w:rPr>
          <w:rFonts w:cstheme="minorHAnsi"/>
          <w:lang w:val="es-ES"/>
        </w:rPr>
        <w:t xml:space="preserve">, 55-62. </w:t>
      </w:r>
    </w:p>
    <w:p w14:paraId="4F53F10B" w14:textId="77777777" w:rsidR="00F04D9C" w:rsidRPr="00A743AE" w:rsidRDefault="00F04D9C" w:rsidP="00F04D9C">
      <w:pPr>
        <w:pStyle w:val="RSCR02References"/>
        <w:rPr>
          <w:lang w:val="en-US"/>
        </w:rPr>
      </w:pPr>
      <w:r w:rsidRPr="009C671D">
        <w:rPr>
          <w:lang w:val="en-US"/>
        </w:rPr>
        <w:t xml:space="preserve">C. </w:t>
      </w:r>
      <w:r w:rsidRPr="00763EA9">
        <w:rPr>
          <w:lang w:val="en-US"/>
        </w:rPr>
        <w:t>Fontana, H. Kovacs, G. Widmalm,</w:t>
      </w:r>
      <w:r>
        <w:rPr>
          <w:lang w:val="en-US"/>
        </w:rPr>
        <w:t xml:space="preserve"> </w:t>
      </w:r>
      <w:r w:rsidRPr="0003493F">
        <w:rPr>
          <w:i/>
          <w:lang w:val="en-US"/>
        </w:rPr>
        <w:t>J</w:t>
      </w:r>
      <w:r>
        <w:rPr>
          <w:i/>
          <w:lang w:val="en-US"/>
        </w:rPr>
        <w:t>.</w:t>
      </w:r>
      <w:r w:rsidRPr="0003493F">
        <w:rPr>
          <w:i/>
          <w:lang w:val="en-US"/>
        </w:rPr>
        <w:t xml:space="preserve"> Biomol</w:t>
      </w:r>
      <w:r>
        <w:rPr>
          <w:i/>
          <w:lang w:val="en-US"/>
        </w:rPr>
        <w:t>.</w:t>
      </w:r>
      <w:r w:rsidRPr="0003493F">
        <w:rPr>
          <w:i/>
          <w:lang w:val="en-US"/>
        </w:rPr>
        <w:t xml:space="preserve"> NMR</w:t>
      </w:r>
      <w:r>
        <w:rPr>
          <w:lang w:val="en-US"/>
        </w:rPr>
        <w:t xml:space="preserve">, 2014, </w:t>
      </w:r>
      <w:r w:rsidRPr="0003493F">
        <w:rPr>
          <w:b/>
          <w:lang w:val="en-US"/>
        </w:rPr>
        <w:t>59</w:t>
      </w:r>
      <w:r>
        <w:rPr>
          <w:lang w:val="en-US"/>
        </w:rPr>
        <w:t>, 95–110.</w:t>
      </w:r>
    </w:p>
    <w:p w14:paraId="62530EC8" w14:textId="77777777" w:rsidR="00F04D9C" w:rsidRPr="0003493F" w:rsidRDefault="00F04D9C" w:rsidP="00F04D9C">
      <w:pPr>
        <w:pStyle w:val="RSCR02References"/>
        <w:rPr>
          <w:lang w:val="en-US"/>
        </w:rPr>
      </w:pPr>
      <w:r w:rsidRPr="00763EA9">
        <w:rPr>
          <w:lang w:val="en-US"/>
        </w:rPr>
        <w:t>J</w:t>
      </w:r>
      <w:r>
        <w:rPr>
          <w:lang w:val="en-US"/>
        </w:rPr>
        <w:t xml:space="preserve">. </w:t>
      </w:r>
      <w:r w:rsidRPr="00763EA9">
        <w:rPr>
          <w:lang w:val="en-US"/>
        </w:rPr>
        <w:t>K</w:t>
      </w:r>
      <w:r>
        <w:rPr>
          <w:lang w:val="en-US"/>
        </w:rPr>
        <w:t>.</w:t>
      </w:r>
      <w:r w:rsidRPr="00763EA9">
        <w:rPr>
          <w:lang w:val="en-US"/>
        </w:rPr>
        <w:t xml:space="preserve"> Fairweather, J</w:t>
      </w:r>
      <w:r>
        <w:rPr>
          <w:lang w:val="en-US"/>
        </w:rPr>
        <w:t xml:space="preserve">. </w:t>
      </w:r>
      <w:r w:rsidRPr="00763EA9">
        <w:rPr>
          <w:lang w:val="en-US"/>
        </w:rPr>
        <w:t>L</w:t>
      </w:r>
      <w:r>
        <w:rPr>
          <w:lang w:val="en-US"/>
        </w:rPr>
        <w:t xml:space="preserve">. </w:t>
      </w:r>
      <w:r w:rsidRPr="00763EA9">
        <w:rPr>
          <w:lang w:val="en-US"/>
        </w:rPr>
        <w:t>K</w:t>
      </w:r>
      <w:r>
        <w:rPr>
          <w:lang w:val="en-US"/>
        </w:rPr>
        <w:t>.</w:t>
      </w:r>
      <w:r w:rsidRPr="00763EA9">
        <w:rPr>
          <w:lang w:val="en-US"/>
        </w:rPr>
        <w:t xml:space="preserve"> Him</w:t>
      </w:r>
      <w:r>
        <w:rPr>
          <w:lang w:val="en-US"/>
        </w:rPr>
        <w:t>, L. Heux</w:t>
      </w:r>
      <w:r w:rsidRPr="00763EA9">
        <w:rPr>
          <w:lang w:val="en-US"/>
        </w:rPr>
        <w:t>,</w:t>
      </w:r>
      <w:r>
        <w:rPr>
          <w:lang w:val="en-US"/>
        </w:rPr>
        <w:t xml:space="preserve"> H. Driguez</w:t>
      </w:r>
      <w:r w:rsidRPr="00763EA9">
        <w:rPr>
          <w:lang w:val="en-US"/>
        </w:rPr>
        <w:t>,</w:t>
      </w:r>
      <w:r>
        <w:rPr>
          <w:lang w:val="en-US"/>
        </w:rPr>
        <w:t xml:space="preserve"> V. Bulone, </w:t>
      </w:r>
      <w:r w:rsidRPr="0003493F">
        <w:rPr>
          <w:i/>
          <w:lang w:val="en-US"/>
        </w:rPr>
        <w:t>Glycobiology</w:t>
      </w:r>
      <w:r>
        <w:rPr>
          <w:i/>
          <w:lang w:val="en-US"/>
        </w:rPr>
        <w:t xml:space="preserve">, </w:t>
      </w:r>
      <w:r>
        <w:rPr>
          <w:lang w:val="en-US"/>
        </w:rPr>
        <w:t xml:space="preserve">2004, </w:t>
      </w:r>
      <w:r w:rsidRPr="0003493F">
        <w:rPr>
          <w:b/>
          <w:lang w:val="en-US"/>
        </w:rPr>
        <w:t>14</w:t>
      </w:r>
      <w:r>
        <w:rPr>
          <w:lang w:val="en-US"/>
        </w:rPr>
        <w:t xml:space="preserve">, </w:t>
      </w:r>
      <w:r w:rsidRPr="00763EA9">
        <w:rPr>
          <w:lang w:val="en-US"/>
        </w:rPr>
        <w:t>775–781</w:t>
      </w:r>
      <w:r>
        <w:rPr>
          <w:lang w:val="en-US"/>
        </w:rPr>
        <w:t>.</w:t>
      </w:r>
    </w:p>
    <w:p w14:paraId="276AFC0E" w14:textId="77777777" w:rsidR="00F04D9C" w:rsidRDefault="00F04D9C" w:rsidP="00F04D9C">
      <w:pPr>
        <w:pStyle w:val="RSCR02References"/>
      </w:pPr>
      <w:r w:rsidRPr="00A743AE">
        <w:t xml:space="preserve">E. Vinogradov, B. O. Petersen, J. Ø. Duus, </w:t>
      </w:r>
      <w:r w:rsidRPr="00A743AE">
        <w:rPr>
          <w:i/>
        </w:rPr>
        <w:t>Carbohydr. Res</w:t>
      </w:r>
      <w:r w:rsidRPr="00A743AE">
        <w:t xml:space="preserve">., 2000, </w:t>
      </w:r>
      <w:r w:rsidRPr="00A743AE">
        <w:rPr>
          <w:b/>
        </w:rPr>
        <w:t>325</w:t>
      </w:r>
      <w:r w:rsidRPr="00A743AE">
        <w:t>, 216-221.</w:t>
      </w:r>
    </w:p>
    <w:p w14:paraId="4E54600E" w14:textId="77777777" w:rsidR="00F04D9C" w:rsidRPr="00F04D9C" w:rsidRDefault="00F04D9C" w:rsidP="00F04D9C">
      <w:pPr>
        <w:pStyle w:val="RSCR02References"/>
        <w:rPr>
          <w:lang w:val="es-ES"/>
        </w:rPr>
      </w:pPr>
      <w:r w:rsidRPr="00E717AD">
        <w:rPr>
          <w:lang w:val="es-ES"/>
        </w:rPr>
        <w:t xml:space="preserve">Y. Kamiya, S. Yamamoto, Y. Chiba, Y. Jigami, K. Kato, </w:t>
      </w:r>
      <w:r w:rsidRPr="00E717AD">
        <w:rPr>
          <w:i/>
          <w:lang w:val="es-ES"/>
        </w:rPr>
        <w:t xml:space="preserve">J. Biomol. </w:t>
      </w:r>
      <w:r w:rsidRPr="00F04D9C">
        <w:rPr>
          <w:i/>
          <w:lang w:val="es-ES"/>
        </w:rPr>
        <w:t>NMR</w:t>
      </w:r>
      <w:r w:rsidRPr="00F04D9C">
        <w:rPr>
          <w:lang w:val="es-ES"/>
        </w:rPr>
        <w:t xml:space="preserve">, 2011, </w:t>
      </w:r>
      <w:r w:rsidRPr="00F04D9C">
        <w:rPr>
          <w:b/>
          <w:lang w:val="es-ES"/>
        </w:rPr>
        <w:t>50</w:t>
      </w:r>
      <w:r w:rsidRPr="00F04D9C">
        <w:rPr>
          <w:lang w:val="es-ES"/>
        </w:rPr>
        <w:t>, 397-401.</w:t>
      </w:r>
    </w:p>
    <w:p w14:paraId="15F5D10E" w14:textId="77777777" w:rsidR="00F04D9C" w:rsidRPr="00E717AD" w:rsidRDefault="00F04D9C" w:rsidP="00F04D9C">
      <w:pPr>
        <w:pStyle w:val="RSCR02References"/>
        <w:rPr>
          <w:lang w:val="es-ES"/>
        </w:rPr>
      </w:pPr>
      <w:r w:rsidRPr="00E717AD">
        <w:rPr>
          <w:lang w:val="es-ES"/>
        </w:rPr>
        <w:t xml:space="preserve">Y. Kamiya, K. Yanagi, T. Kitajima, T. Yamaguchi, Y. Chiba, K. Kato, </w:t>
      </w:r>
      <w:r w:rsidRPr="00E717AD">
        <w:rPr>
          <w:i/>
          <w:lang w:val="es-ES"/>
        </w:rPr>
        <w:t>Biomolecules</w:t>
      </w:r>
      <w:r w:rsidRPr="00E717AD">
        <w:rPr>
          <w:lang w:val="es-ES"/>
        </w:rPr>
        <w:t xml:space="preserve">, 2013, </w:t>
      </w:r>
      <w:r w:rsidRPr="00E717AD">
        <w:rPr>
          <w:b/>
          <w:lang w:val="es-ES"/>
        </w:rPr>
        <w:t>3</w:t>
      </w:r>
      <w:r w:rsidRPr="00E717AD">
        <w:rPr>
          <w:lang w:val="es-ES"/>
        </w:rPr>
        <w:t>, 108</w:t>
      </w:r>
      <w:r w:rsidR="00E23FF0">
        <w:rPr>
          <w:lang w:val="es-ES"/>
        </w:rPr>
        <w:t>-123</w:t>
      </w:r>
      <w:r w:rsidRPr="00E717AD">
        <w:rPr>
          <w:lang w:val="es-ES"/>
        </w:rPr>
        <w:t>.</w:t>
      </w:r>
    </w:p>
    <w:p w14:paraId="1261C301" w14:textId="77777777" w:rsidR="00F04D9C" w:rsidRPr="009B35FE" w:rsidRDefault="00F04D9C" w:rsidP="00F04D9C">
      <w:pPr>
        <w:pStyle w:val="RSCR02References"/>
        <w:rPr>
          <w:lang w:val="en-US"/>
        </w:rPr>
      </w:pPr>
      <w:r w:rsidRPr="009B35FE">
        <w:rPr>
          <w:lang w:val="en-US"/>
        </w:rPr>
        <w:t>S. Shahzad-ul-Hussan, M. Sastry, T</w:t>
      </w:r>
      <w:r>
        <w:rPr>
          <w:lang w:val="en-US"/>
        </w:rPr>
        <w:t>.</w:t>
      </w:r>
      <w:r w:rsidRPr="009B35FE">
        <w:rPr>
          <w:lang w:val="en-US"/>
        </w:rPr>
        <w:t xml:space="preserve"> Lemmin, C</w:t>
      </w:r>
      <w:r>
        <w:rPr>
          <w:lang w:val="en-US"/>
        </w:rPr>
        <w:t>.</w:t>
      </w:r>
      <w:r w:rsidRPr="009B35FE">
        <w:rPr>
          <w:lang w:val="en-US"/>
        </w:rPr>
        <w:t xml:space="preserve"> Soto, S</w:t>
      </w:r>
      <w:r>
        <w:rPr>
          <w:lang w:val="en-US"/>
        </w:rPr>
        <w:t>.</w:t>
      </w:r>
      <w:r w:rsidRPr="009B35FE">
        <w:rPr>
          <w:lang w:val="en-US"/>
        </w:rPr>
        <w:t xml:space="preserve"> Loesgen, D</w:t>
      </w:r>
      <w:r>
        <w:rPr>
          <w:lang w:val="en-US"/>
        </w:rPr>
        <w:t>.</w:t>
      </w:r>
      <w:r w:rsidRPr="009B35FE">
        <w:rPr>
          <w:lang w:val="en-US"/>
        </w:rPr>
        <w:t xml:space="preserve"> A. Scott, J</w:t>
      </w:r>
      <w:r>
        <w:rPr>
          <w:lang w:val="en-US"/>
        </w:rPr>
        <w:t>.</w:t>
      </w:r>
      <w:r w:rsidRPr="009B35FE">
        <w:rPr>
          <w:lang w:val="en-US"/>
        </w:rPr>
        <w:t xml:space="preserve"> R. Davison, K</w:t>
      </w:r>
      <w:r>
        <w:rPr>
          <w:lang w:val="en-US"/>
        </w:rPr>
        <w:t>.</w:t>
      </w:r>
      <w:r w:rsidRPr="009B35FE">
        <w:rPr>
          <w:lang w:val="en-US"/>
        </w:rPr>
        <w:t xml:space="preserve"> Lohith, R</w:t>
      </w:r>
      <w:r>
        <w:rPr>
          <w:lang w:val="en-US"/>
        </w:rPr>
        <w:t>. O'Connor, P.</w:t>
      </w:r>
      <w:r w:rsidRPr="009B35FE">
        <w:rPr>
          <w:lang w:val="en-US"/>
        </w:rPr>
        <w:t xml:space="preserve"> D. Kwong</w:t>
      </w:r>
      <w:r>
        <w:rPr>
          <w:lang w:val="en-US"/>
        </w:rPr>
        <w:t>,</w:t>
      </w:r>
      <w:r w:rsidRPr="009B35FE">
        <w:rPr>
          <w:lang w:val="en-US"/>
        </w:rPr>
        <w:t xml:space="preserve"> C</w:t>
      </w:r>
      <w:r>
        <w:rPr>
          <w:lang w:val="en-US"/>
        </w:rPr>
        <w:t xml:space="preserve">. </w:t>
      </w:r>
      <w:r w:rsidRPr="009B35FE">
        <w:rPr>
          <w:lang w:val="en-US"/>
        </w:rPr>
        <w:t>A. Bewley,</w:t>
      </w:r>
      <w:r w:rsidR="000379D6">
        <w:rPr>
          <w:i/>
          <w:lang w:val="en-US"/>
        </w:rPr>
        <w:t xml:space="preserve"> ChemB</w:t>
      </w:r>
      <w:r w:rsidRPr="009B35FE">
        <w:rPr>
          <w:i/>
          <w:lang w:val="en-US"/>
        </w:rPr>
        <w:t>ioChem</w:t>
      </w:r>
      <w:r w:rsidRPr="009B35FE">
        <w:rPr>
          <w:lang w:val="en-US"/>
        </w:rPr>
        <w:t xml:space="preserve">, 2017, </w:t>
      </w:r>
      <w:r w:rsidRPr="009B35FE">
        <w:rPr>
          <w:b/>
          <w:lang w:val="en-US"/>
        </w:rPr>
        <w:t>18</w:t>
      </w:r>
      <w:r w:rsidRPr="009B35FE">
        <w:rPr>
          <w:lang w:val="en-US"/>
        </w:rPr>
        <w:t>, 764-771.</w:t>
      </w:r>
    </w:p>
    <w:p w14:paraId="4B82CAB0" w14:textId="77777777" w:rsidR="00F04D9C" w:rsidRPr="0078214C" w:rsidRDefault="00F04D9C" w:rsidP="00F04D9C">
      <w:pPr>
        <w:pStyle w:val="RSCR02References"/>
        <w:rPr>
          <w:rFonts w:cstheme="minorHAnsi"/>
          <w:lang w:val="en-US"/>
        </w:rPr>
      </w:pPr>
      <w:r>
        <w:rPr>
          <w:lang w:val="en-US"/>
        </w:rPr>
        <w:t>M. A</w:t>
      </w:r>
      <w:r w:rsidRPr="0078214C">
        <w:rPr>
          <w:rFonts w:cstheme="minorHAnsi"/>
          <w:lang w:val="en-US"/>
        </w:rPr>
        <w:t xml:space="preserve">. Macnaughtan, F. Tian, S. Liu, L. Meng, S. Park, P. Azadi, K. W. Moremen, J. H. Prestegard, </w:t>
      </w:r>
      <w:r w:rsidRPr="0078214C">
        <w:rPr>
          <w:rFonts w:cstheme="minorHAnsi"/>
          <w:i/>
          <w:lang w:val="en-US"/>
        </w:rPr>
        <w:t>J. Am. Chem. Soc.</w:t>
      </w:r>
      <w:r w:rsidRPr="0078214C">
        <w:rPr>
          <w:rFonts w:cstheme="minorHAnsi"/>
          <w:lang w:val="en-US"/>
        </w:rPr>
        <w:t xml:space="preserve">, 2008, </w:t>
      </w:r>
      <w:r w:rsidRPr="0078214C">
        <w:rPr>
          <w:rFonts w:cstheme="minorHAnsi"/>
          <w:b/>
          <w:lang w:val="en-US"/>
        </w:rPr>
        <w:t>130</w:t>
      </w:r>
      <w:r w:rsidRPr="0078214C">
        <w:rPr>
          <w:rFonts w:cstheme="minorHAnsi"/>
          <w:lang w:val="en-US"/>
        </w:rPr>
        <w:t xml:space="preserve">, 11864-11865. </w:t>
      </w:r>
    </w:p>
    <w:p w14:paraId="73A6AD28" w14:textId="77777777" w:rsidR="00F04D9C" w:rsidRPr="0078214C" w:rsidRDefault="00F04D9C" w:rsidP="00F04D9C">
      <w:pPr>
        <w:pStyle w:val="RSCR02References"/>
        <w:rPr>
          <w:rFonts w:cstheme="minorHAnsi"/>
          <w:lang w:val="en-US"/>
        </w:rPr>
      </w:pPr>
      <w:r w:rsidRPr="0078214C">
        <w:rPr>
          <w:rFonts w:cstheme="minorHAnsi"/>
          <w:lang w:val="en-US"/>
        </w:rPr>
        <w:t xml:space="preserve">A. W. Barb, L. Meng, Z. Gao, R. W. Johnson, K. W. Moremen, J. H. Prestegard, </w:t>
      </w:r>
      <w:r w:rsidRPr="0078214C">
        <w:rPr>
          <w:rFonts w:cstheme="minorHAnsi"/>
          <w:i/>
          <w:lang w:val="en-US"/>
        </w:rPr>
        <w:t>Biochemistry</w:t>
      </w:r>
      <w:r w:rsidRPr="0078214C">
        <w:rPr>
          <w:rFonts w:cstheme="minorHAnsi"/>
          <w:lang w:val="en-US"/>
        </w:rPr>
        <w:t xml:space="preserve">, 2012, </w:t>
      </w:r>
      <w:r w:rsidRPr="0078214C">
        <w:rPr>
          <w:rFonts w:cstheme="minorHAnsi"/>
          <w:b/>
          <w:lang w:val="en-US"/>
        </w:rPr>
        <w:t>51</w:t>
      </w:r>
      <w:r w:rsidRPr="0078214C">
        <w:rPr>
          <w:rFonts w:cstheme="minorHAnsi"/>
          <w:lang w:val="en-US"/>
        </w:rPr>
        <w:t>, 4618-4626.</w:t>
      </w:r>
    </w:p>
    <w:p w14:paraId="5C4DD4F6" w14:textId="77777777" w:rsidR="00F04D9C" w:rsidRPr="0078214C" w:rsidRDefault="00F04D9C" w:rsidP="00F04D9C">
      <w:pPr>
        <w:pStyle w:val="RSCR02References"/>
        <w:rPr>
          <w:rFonts w:cstheme="minorHAnsi"/>
          <w:lang w:val="en-US"/>
        </w:rPr>
      </w:pPr>
      <w:r w:rsidRPr="0078214C">
        <w:rPr>
          <w:rFonts w:cstheme="minorHAnsi"/>
          <w:lang w:val="en-US"/>
        </w:rPr>
        <w:t xml:space="preserve">Y. Yamaguchia, K. Katoa, M. Shindoa, S. Aokia, K. Furushoa, K. Kogaa, N. Takahashib, Y. Aratac, I. Shimada, </w:t>
      </w:r>
      <w:r w:rsidRPr="0078214C">
        <w:rPr>
          <w:rFonts w:cstheme="minorHAnsi"/>
          <w:i/>
          <w:lang w:val="en-US"/>
        </w:rPr>
        <w:t>J. Biomol. NMR</w:t>
      </w:r>
      <w:r w:rsidRPr="0078214C">
        <w:rPr>
          <w:rFonts w:cstheme="minorHAnsi"/>
          <w:lang w:val="en-US"/>
        </w:rPr>
        <w:t xml:space="preserve">, 1998, </w:t>
      </w:r>
      <w:r w:rsidRPr="0078214C">
        <w:rPr>
          <w:rFonts w:cstheme="minorHAnsi"/>
          <w:b/>
          <w:lang w:val="en-US"/>
        </w:rPr>
        <w:t>12</w:t>
      </w:r>
      <w:r w:rsidRPr="0078214C">
        <w:rPr>
          <w:rFonts w:cstheme="minorHAnsi"/>
          <w:lang w:val="en-US"/>
        </w:rPr>
        <w:t>, 385-394.</w:t>
      </w:r>
    </w:p>
    <w:p w14:paraId="30EFBDE8" w14:textId="77777777" w:rsidR="00F04D9C" w:rsidRPr="0078214C" w:rsidRDefault="00F04D9C" w:rsidP="00F04D9C">
      <w:pPr>
        <w:pStyle w:val="RSCR02References"/>
        <w:rPr>
          <w:rFonts w:cstheme="minorHAnsi"/>
          <w:lang w:val="en-US"/>
        </w:rPr>
      </w:pPr>
      <w:r w:rsidRPr="0078214C">
        <w:rPr>
          <w:rFonts w:cstheme="minorHAnsi"/>
          <w:lang w:val="en-US"/>
        </w:rPr>
        <w:t xml:space="preserve">A. W. Barb, </w:t>
      </w:r>
      <w:r w:rsidRPr="0078214C">
        <w:rPr>
          <w:rFonts w:cstheme="minorHAnsi"/>
          <w:i/>
          <w:lang w:val="en-US"/>
        </w:rPr>
        <w:t>Biochemistry</w:t>
      </w:r>
      <w:r w:rsidRPr="0078214C">
        <w:rPr>
          <w:rFonts w:cstheme="minorHAnsi"/>
          <w:lang w:val="en-US"/>
        </w:rPr>
        <w:t xml:space="preserve">, 2015, </w:t>
      </w:r>
      <w:r w:rsidRPr="0078214C">
        <w:rPr>
          <w:rFonts w:cstheme="minorHAnsi"/>
          <w:b/>
          <w:lang w:val="en-US"/>
        </w:rPr>
        <w:t>54</w:t>
      </w:r>
      <w:r w:rsidRPr="0078214C">
        <w:rPr>
          <w:rFonts w:cstheme="minorHAnsi"/>
          <w:lang w:val="en-US"/>
        </w:rPr>
        <w:t>, 313-322.</w:t>
      </w:r>
    </w:p>
    <w:p w14:paraId="78552D44" w14:textId="77777777" w:rsidR="00F04D9C" w:rsidRPr="0078214C" w:rsidRDefault="00F04D9C" w:rsidP="00F04D9C">
      <w:pPr>
        <w:pStyle w:val="RSCR02References"/>
        <w:rPr>
          <w:rFonts w:cstheme="minorHAnsi"/>
          <w:lang w:val="en-US" w:eastAsia="es-ES_tradnl"/>
        </w:rPr>
      </w:pPr>
      <w:r w:rsidRPr="0078214C">
        <w:rPr>
          <w:rFonts w:cstheme="minorHAnsi"/>
          <w:lang w:val="en-US" w:eastAsia="es-ES_tradnl"/>
        </w:rPr>
        <w:t xml:space="preserve">T. Zhu, T. Yamaguchi, T. Satoh, K. Kato, </w:t>
      </w:r>
      <w:r w:rsidRPr="0078214C">
        <w:rPr>
          <w:rFonts w:cstheme="minorHAnsi"/>
          <w:i/>
          <w:lang w:val="en-US"/>
        </w:rPr>
        <w:t>Chem. Lett</w:t>
      </w:r>
      <w:r w:rsidRPr="0078214C">
        <w:rPr>
          <w:rFonts w:cstheme="minorHAnsi"/>
          <w:lang w:val="en-US"/>
        </w:rPr>
        <w:t xml:space="preserve">., 2015, </w:t>
      </w:r>
      <w:r w:rsidRPr="0078214C">
        <w:rPr>
          <w:rFonts w:cstheme="minorHAnsi"/>
          <w:b/>
          <w:lang w:val="en-US"/>
        </w:rPr>
        <w:t>44</w:t>
      </w:r>
      <w:r w:rsidRPr="0078214C">
        <w:rPr>
          <w:rFonts w:cstheme="minorHAnsi"/>
          <w:lang w:val="en-US"/>
        </w:rPr>
        <w:t>, 1744-1746.</w:t>
      </w:r>
    </w:p>
    <w:p w14:paraId="76B68E8C" w14:textId="77777777" w:rsidR="00F04D9C" w:rsidRPr="0078214C" w:rsidRDefault="00F04D9C" w:rsidP="00F04D9C">
      <w:pPr>
        <w:pStyle w:val="RSCR02References"/>
        <w:rPr>
          <w:rFonts w:cstheme="minorHAnsi"/>
          <w:lang w:val="en-US"/>
        </w:rPr>
      </w:pPr>
      <w:r w:rsidRPr="0078214C">
        <w:rPr>
          <w:rFonts w:cstheme="minorHAnsi"/>
          <w:lang w:val="en-US"/>
        </w:rPr>
        <w:t>A. W.</w:t>
      </w:r>
      <w:r w:rsidRPr="0078214C">
        <w:rPr>
          <w:rFonts w:cstheme="minorHAnsi"/>
          <w:bCs/>
          <w:lang w:val="en-US"/>
        </w:rPr>
        <w:t xml:space="preserve"> Barb</w:t>
      </w:r>
      <w:r w:rsidRPr="0078214C">
        <w:rPr>
          <w:rFonts w:cstheme="minorHAnsi"/>
          <w:lang w:val="en-US"/>
        </w:rPr>
        <w:t xml:space="preserve">, J. H. </w:t>
      </w:r>
      <w:r w:rsidRPr="0078214C">
        <w:rPr>
          <w:rFonts w:cstheme="minorHAnsi"/>
          <w:bCs/>
          <w:lang w:val="en-US"/>
        </w:rPr>
        <w:t>Prestegard</w:t>
      </w:r>
      <w:r w:rsidRPr="0078214C">
        <w:rPr>
          <w:rFonts w:cstheme="minorHAnsi"/>
          <w:lang w:val="en-US"/>
        </w:rPr>
        <w:t xml:space="preserve">, </w:t>
      </w:r>
      <w:r w:rsidRPr="0078214C">
        <w:rPr>
          <w:rStyle w:val="jrnl"/>
          <w:rFonts w:cstheme="minorHAnsi"/>
          <w:i/>
          <w:lang w:val="en-US"/>
        </w:rPr>
        <w:t>Nat. Chem. Biol</w:t>
      </w:r>
      <w:r w:rsidRPr="0078214C">
        <w:rPr>
          <w:rFonts w:cstheme="minorHAnsi"/>
          <w:lang w:val="en-US"/>
        </w:rPr>
        <w:t xml:space="preserve">., 2011, </w:t>
      </w:r>
      <w:r w:rsidRPr="0078214C">
        <w:rPr>
          <w:rFonts w:cstheme="minorHAnsi"/>
          <w:b/>
          <w:lang w:val="en-US"/>
        </w:rPr>
        <w:t>7</w:t>
      </w:r>
      <w:r w:rsidRPr="0078214C">
        <w:rPr>
          <w:rFonts w:cstheme="minorHAnsi"/>
          <w:lang w:val="en-US"/>
        </w:rPr>
        <w:t>, 147-153.</w:t>
      </w:r>
    </w:p>
    <w:p w14:paraId="54879302" w14:textId="77777777" w:rsidR="00F04D9C" w:rsidRPr="0078214C" w:rsidRDefault="00F04D9C" w:rsidP="00F04D9C">
      <w:pPr>
        <w:pStyle w:val="RSCR02References"/>
        <w:rPr>
          <w:rFonts w:cstheme="minorHAnsi"/>
        </w:rPr>
      </w:pPr>
      <w:r w:rsidRPr="0078214C">
        <w:rPr>
          <w:rFonts w:cstheme="minorHAnsi"/>
          <w:lang w:val="en-US"/>
        </w:rPr>
        <w:t xml:space="preserve">L. Skrisovska, M. Schubert, F. H.-T. Allain, </w:t>
      </w:r>
      <w:r w:rsidRPr="0078214C">
        <w:rPr>
          <w:rFonts w:cstheme="minorHAnsi"/>
          <w:i/>
          <w:lang w:val="en-US"/>
        </w:rPr>
        <w:t xml:space="preserve">J. Biomol. </w:t>
      </w:r>
      <w:r w:rsidRPr="0078214C">
        <w:rPr>
          <w:rFonts w:cstheme="minorHAnsi"/>
          <w:i/>
        </w:rPr>
        <w:t>NMR</w:t>
      </w:r>
      <w:r w:rsidRPr="0078214C">
        <w:rPr>
          <w:rFonts w:cstheme="minorHAnsi"/>
        </w:rPr>
        <w:t>,</w:t>
      </w:r>
      <w:r w:rsidRPr="0078214C">
        <w:rPr>
          <w:rFonts w:cstheme="minorHAnsi"/>
          <w:i/>
        </w:rPr>
        <w:t xml:space="preserve"> </w:t>
      </w:r>
      <w:r w:rsidRPr="0078214C">
        <w:rPr>
          <w:rFonts w:cstheme="minorHAnsi"/>
        </w:rPr>
        <w:t xml:space="preserve">2010, </w:t>
      </w:r>
      <w:r w:rsidRPr="0078214C">
        <w:rPr>
          <w:rFonts w:cstheme="minorHAnsi"/>
          <w:b/>
        </w:rPr>
        <w:t>46</w:t>
      </w:r>
      <w:r w:rsidRPr="0078214C">
        <w:rPr>
          <w:rFonts w:cstheme="minorHAnsi"/>
        </w:rPr>
        <w:t>, 51–65.</w:t>
      </w:r>
    </w:p>
    <w:p w14:paraId="701FA132" w14:textId="77777777" w:rsidR="00F04D9C" w:rsidRPr="0078214C" w:rsidRDefault="00F04D9C" w:rsidP="00F04D9C">
      <w:pPr>
        <w:pStyle w:val="RSCR02References"/>
        <w:rPr>
          <w:rFonts w:cstheme="minorHAnsi"/>
        </w:rPr>
      </w:pPr>
      <w:r w:rsidRPr="0078214C">
        <w:rPr>
          <w:rFonts w:cstheme="minorHAnsi"/>
          <w:lang w:val="es-ES"/>
        </w:rPr>
        <w:t xml:space="preserve">K. Kato, Y. Yamaguchi, Y. Arata, </w:t>
      </w:r>
      <w:r w:rsidRPr="0078214C">
        <w:rPr>
          <w:rFonts w:cstheme="minorHAnsi"/>
          <w:i/>
          <w:lang w:val="es-ES"/>
        </w:rPr>
        <w:t xml:space="preserve">Prog. </w:t>
      </w:r>
      <w:r w:rsidRPr="0078214C">
        <w:rPr>
          <w:rFonts w:cstheme="minorHAnsi"/>
          <w:i/>
        </w:rPr>
        <w:t>Nucl. Magn. Reson. Spectrosc</w:t>
      </w:r>
      <w:r w:rsidRPr="0078214C">
        <w:rPr>
          <w:rFonts w:cstheme="minorHAnsi"/>
        </w:rPr>
        <w:t xml:space="preserve">., 2010, </w:t>
      </w:r>
      <w:r w:rsidRPr="0078214C">
        <w:rPr>
          <w:rFonts w:cstheme="minorHAnsi"/>
          <w:b/>
        </w:rPr>
        <w:t>56</w:t>
      </w:r>
      <w:r w:rsidRPr="0078214C">
        <w:rPr>
          <w:rFonts w:cstheme="minorHAnsi"/>
        </w:rPr>
        <w:t>, 346–359.</w:t>
      </w:r>
    </w:p>
    <w:p w14:paraId="0877E378" w14:textId="77777777" w:rsidR="00F04D9C" w:rsidRPr="0078214C" w:rsidRDefault="00F04D9C" w:rsidP="00F04D9C">
      <w:pPr>
        <w:pStyle w:val="RSCR02References"/>
        <w:rPr>
          <w:rFonts w:cstheme="minorHAnsi"/>
        </w:rPr>
      </w:pPr>
      <w:r w:rsidRPr="0078214C">
        <w:rPr>
          <w:rFonts w:cstheme="minorHAnsi"/>
        </w:rPr>
        <w:t xml:space="preserve">H. Yagi, Y. Zhang, M. Yagi-Utsumi, T. Yamaguchi, S. Iida, Y. Yamaguchi, K. Kato, </w:t>
      </w:r>
      <w:r w:rsidRPr="0078214C">
        <w:rPr>
          <w:rFonts w:cstheme="minorHAnsi"/>
          <w:i/>
        </w:rPr>
        <w:t>Biomol. NMR Assign.</w:t>
      </w:r>
      <w:r w:rsidRPr="0078214C">
        <w:rPr>
          <w:rFonts w:cstheme="minorHAnsi"/>
        </w:rPr>
        <w:t xml:space="preserve">, 2015, </w:t>
      </w:r>
      <w:r w:rsidRPr="0078214C">
        <w:rPr>
          <w:rFonts w:cstheme="minorHAnsi"/>
          <w:b/>
        </w:rPr>
        <w:t>9</w:t>
      </w:r>
      <w:r w:rsidRPr="0078214C">
        <w:rPr>
          <w:rFonts w:cstheme="minorHAnsi"/>
        </w:rPr>
        <w:t xml:space="preserve">, 257-260. </w:t>
      </w:r>
    </w:p>
    <w:p w14:paraId="7A5E2012" w14:textId="77777777" w:rsidR="00F04D9C" w:rsidRPr="0078214C" w:rsidRDefault="00F04D9C" w:rsidP="00F04D9C">
      <w:pPr>
        <w:pStyle w:val="RSCR02References"/>
        <w:rPr>
          <w:rFonts w:cstheme="minorHAnsi"/>
        </w:rPr>
      </w:pPr>
      <w:r w:rsidRPr="0078214C">
        <w:rPr>
          <w:rFonts w:cstheme="minorHAnsi"/>
          <w:color w:val="231F20"/>
        </w:rPr>
        <w:t xml:space="preserve">Y. Yamaguchi, M. Nishimura, M. Nagano, H. Yagi, H. Sasakawa, K. Uchida, K. Shitara, K. Kato, </w:t>
      </w:r>
      <w:r w:rsidRPr="0078214C">
        <w:rPr>
          <w:rFonts w:cstheme="minorHAnsi"/>
          <w:i/>
        </w:rPr>
        <w:t>Biochim. Biophys. Acta</w:t>
      </w:r>
      <w:r w:rsidRPr="0078214C">
        <w:rPr>
          <w:rFonts w:cstheme="minorHAnsi"/>
        </w:rPr>
        <w:t xml:space="preserve">, 2006, </w:t>
      </w:r>
      <w:r w:rsidRPr="0078214C">
        <w:rPr>
          <w:rFonts w:cstheme="minorHAnsi"/>
          <w:b/>
        </w:rPr>
        <w:t>1760</w:t>
      </w:r>
      <w:r w:rsidRPr="0078214C">
        <w:rPr>
          <w:rFonts w:cstheme="minorHAnsi"/>
        </w:rPr>
        <w:t>, 693–700.</w:t>
      </w:r>
    </w:p>
    <w:p w14:paraId="08015C90" w14:textId="77777777" w:rsidR="00F04D9C" w:rsidRPr="0078214C" w:rsidRDefault="00F04D9C" w:rsidP="00F04D9C">
      <w:pPr>
        <w:pStyle w:val="RSCR02References"/>
        <w:rPr>
          <w:rFonts w:cstheme="minorHAnsi"/>
        </w:rPr>
      </w:pPr>
      <w:r w:rsidRPr="0078214C">
        <w:rPr>
          <w:rFonts w:cstheme="minorHAnsi"/>
        </w:rPr>
        <w:t xml:space="preserve">S. Matsumiya, Y. Yamaguchi, J. Saito, M. Nagano, H. Sasakawa, S. Otaki, M. Satoh, K. Shitara, K. Kato, </w:t>
      </w:r>
      <w:r w:rsidRPr="0078214C">
        <w:rPr>
          <w:rFonts w:cstheme="minorHAnsi"/>
          <w:i/>
        </w:rPr>
        <w:t>J. Mol. Biol.</w:t>
      </w:r>
      <w:r w:rsidRPr="0078214C">
        <w:rPr>
          <w:rFonts w:cstheme="minorHAnsi"/>
        </w:rPr>
        <w:t xml:space="preserve">, 2007, </w:t>
      </w:r>
      <w:r w:rsidRPr="0078214C">
        <w:rPr>
          <w:rFonts w:cstheme="minorHAnsi"/>
          <w:b/>
        </w:rPr>
        <w:t>368</w:t>
      </w:r>
      <w:r w:rsidRPr="0078214C">
        <w:rPr>
          <w:rFonts w:cstheme="minorHAnsi"/>
        </w:rPr>
        <w:t>, 767–779.</w:t>
      </w:r>
    </w:p>
    <w:p w14:paraId="3748A3E8" w14:textId="77777777" w:rsidR="00F04D9C" w:rsidRPr="0078214C" w:rsidRDefault="00F04D9C" w:rsidP="00F04D9C">
      <w:pPr>
        <w:pStyle w:val="RSCR02References"/>
        <w:rPr>
          <w:rFonts w:cstheme="minorHAnsi"/>
        </w:rPr>
      </w:pPr>
      <w:r w:rsidRPr="0078214C">
        <w:rPr>
          <w:rFonts w:cstheme="minorHAnsi"/>
        </w:rPr>
        <w:t xml:space="preserve">Y. Sakae, T. Satoh, H.Yagi, S. Yanaka, T. Yamaguchi, Y. Isoda, S. Iida, Y. Okamoto, K. Kato, </w:t>
      </w:r>
      <w:r w:rsidRPr="0078214C">
        <w:rPr>
          <w:rFonts w:cstheme="minorHAnsi"/>
          <w:i/>
        </w:rPr>
        <w:t>Sci</w:t>
      </w:r>
      <w:r w:rsidR="00E23FF0">
        <w:rPr>
          <w:rFonts w:cstheme="minorHAnsi"/>
          <w:i/>
        </w:rPr>
        <w:t>.</w:t>
      </w:r>
      <w:r w:rsidRPr="0078214C">
        <w:rPr>
          <w:rFonts w:cstheme="minorHAnsi"/>
          <w:i/>
        </w:rPr>
        <w:t xml:space="preserve"> Rep</w:t>
      </w:r>
      <w:r w:rsidRPr="0078214C">
        <w:rPr>
          <w:rFonts w:cstheme="minorHAnsi"/>
        </w:rPr>
        <w:t>.</w:t>
      </w:r>
      <w:r w:rsidR="00E23FF0">
        <w:rPr>
          <w:rFonts w:cstheme="minorHAnsi"/>
        </w:rPr>
        <w:t>,</w:t>
      </w:r>
      <w:r w:rsidRPr="0078214C">
        <w:rPr>
          <w:rFonts w:cstheme="minorHAnsi"/>
        </w:rPr>
        <w:t xml:space="preserve"> 2017, </w:t>
      </w:r>
      <w:r w:rsidRPr="0078214C">
        <w:rPr>
          <w:rFonts w:cstheme="minorHAnsi"/>
          <w:b/>
        </w:rPr>
        <w:t>7</w:t>
      </w:r>
      <w:r w:rsidRPr="0078214C">
        <w:rPr>
          <w:rFonts w:cstheme="minorHAnsi"/>
        </w:rPr>
        <w:t>, 13780-13790.</w:t>
      </w:r>
    </w:p>
    <w:p w14:paraId="78C4B978" w14:textId="77777777" w:rsidR="00F04D9C" w:rsidRPr="0078214C" w:rsidRDefault="00F04D9C" w:rsidP="00F04D9C">
      <w:pPr>
        <w:pStyle w:val="RSCR02References"/>
        <w:rPr>
          <w:rFonts w:cstheme="minorHAnsi"/>
          <w:lang w:val="en-US"/>
        </w:rPr>
      </w:pPr>
      <w:r w:rsidRPr="0078214C">
        <w:rPr>
          <w:rFonts w:cstheme="minorHAnsi"/>
          <w:lang w:val="en-US"/>
        </w:rPr>
        <w:t xml:space="preserve">M. Sastry, C. A. Bewley, P. D. Kwong, </w:t>
      </w:r>
      <w:r w:rsidRPr="0078214C">
        <w:rPr>
          <w:rFonts w:cstheme="minorHAnsi"/>
          <w:i/>
          <w:lang w:val="en-US"/>
        </w:rPr>
        <w:t>Methods Enzymol</w:t>
      </w:r>
      <w:r w:rsidRPr="0078214C">
        <w:rPr>
          <w:rFonts w:cstheme="minorHAnsi"/>
          <w:lang w:val="en-US"/>
        </w:rPr>
        <w:t xml:space="preserve">., 2015, </w:t>
      </w:r>
      <w:r w:rsidRPr="0078214C">
        <w:rPr>
          <w:rFonts w:cstheme="minorHAnsi"/>
          <w:b/>
          <w:lang w:val="en-US"/>
        </w:rPr>
        <w:t>565</w:t>
      </w:r>
      <w:r w:rsidRPr="0078214C">
        <w:rPr>
          <w:rFonts w:cstheme="minorHAnsi"/>
          <w:lang w:val="en-US"/>
        </w:rPr>
        <w:t>, 289-307.</w:t>
      </w:r>
    </w:p>
    <w:p w14:paraId="2E0C27A8" w14:textId="77777777" w:rsidR="00F04D9C" w:rsidRPr="0078214C" w:rsidRDefault="00F04D9C" w:rsidP="00F04D9C">
      <w:pPr>
        <w:pStyle w:val="RSCR02References"/>
        <w:rPr>
          <w:rFonts w:cstheme="minorHAnsi"/>
          <w:lang w:val="en-US"/>
        </w:rPr>
      </w:pPr>
      <w:r w:rsidRPr="0078214C">
        <w:rPr>
          <w:rFonts w:cstheme="minorHAnsi"/>
          <w:lang w:val="en-US"/>
        </w:rPr>
        <w:t xml:space="preserve">G. Nestor, T. Anderson, S. Oscarson, A. M. Gronenborn, </w:t>
      </w:r>
      <w:r w:rsidRPr="0078214C">
        <w:rPr>
          <w:rFonts w:cstheme="minorHAnsi"/>
          <w:i/>
          <w:lang w:val="en-US"/>
        </w:rPr>
        <w:t>J. Am. Chem. Soc.</w:t>
      </w:r>
      <w:r w:rsidRPr="0078214C">
        <w:rPr>
          <w:rFonts w:cstheme="minorHAnsi"/>
          <w:lang w:val="en-US"/>
        </w:rPr>
        <w:t xml:space="preserve">, 2017, </w:t>
      </w:r>
      <w:r w:rsidRPr="0078214C">
        <w:rPr>
          <w:rFonts w:cstheme="minorHAnsi"/>
          <w:b/>
          <w:lang w:val="en-US"/>
        </w:rPr>
        <w:t>139</w:t>
      </w:r>
      <w:r w:rsidRPr="0078214C">
        <w:rPr>
          <w:rFonts w:cstheme="minorHAnsi"/>
          <w:lang w:val="en-US"/>
        </w:rPr>
        <w:t>, 6210-6216.</w:t>
      </w:r>
    </w:p>
    <w:p w14:paraId="235A23A3" w14:textId="77777777" w:rsidR="00F04D9C" w:rsidRPr="0078214C" w:rsidRDefault="00F04D9C" w:rsidP="00F04D9C">
      <w:pPr>
        <w:pStyle w:val="RSCR02References"/>
        <w:rPr>
          <w:rFonts w:cstheme="minorHAnsi"/>
          <w:lang w:val="en-US"/>
        </w:rPr>
      </w:pPr>
      <w:r w:rsidRPr="0078214C">
        <w:rPr>
          <w:rFonts w:cstheme="minorHAnsi"/>
          <w:lang w:val="en-US"/>
        </w:rPr>
        <w:t xml:space="preserve">G. Nestor, T. Anderson, S. Oscarson, A. M. Gronenborn, </w:t>
      </w:r>
      <w:r w:rsidRPr="0078214C">
        <w:rPr>
          <w:rFonts w:cstheme="minorHAnsi"/>
          <w:i/>
          <w:lang w:val="en-US"/>
        </w:rPr>
        <w:t>J. Am. Chem. Soc.</w:t>
      </w:r>
      <w:r w:rsidRPr="0078214C">
        <w:rPr>
          <w:rFonts w:cstheme="minorHAnsi"/>
          <w:lang w:val="en-US"/>
        </w:rPr>
        <w:t xml:space="preserve">, 2018, </w:t>
      </w:r>
      <w:r w:rsidRPr="0078214C">
        <w:rPr>
          <w:rFonts w:cstheme="minorHAnsi"/>
          <w:b/>
          <w:lang w:val="en-US"/>
        </w:rPr>
        <w:t>140</w:t>
      </w:r>
      <w:r w:rsidRPr="0078214C">
        <w:rPr>
          <w:rFonts w:cstheme="minorHAnsi"/>
          <w:lang w:val="en-US"/>
        </w:rPr>
        <w:t>, 339-345.</w:t>
      </w:r>
    </w:p>
    <w:p w14:paraId="5415E241" w14:textId="77777777" w:rsidR="00F04D9C" w:rsidRPr="0078214C" w:rsidRDefault="00F04D9C" w:rsidP="00F04D9C">
      <w:pPr>
        <w:pStyle w:val="RSCR02References"/>
        <w:rPr>
          <w:rFonts w:cstheme="minorHAnsi"/>
          <w:lang w:val="en-US"/>
        </w:rPr>
      </w:pPr>
      <w:r w:rsidRPr="0078214C">
        <w:rPr>
          <w:rFonts w:cstheme="minorHAnsi"/>
          <w:lang w:val="en-US"/>
        </w:rPr>
        <w:t xml:space="preserve">C. Dalvit, </w:t>
      </w:r>
      <w:r w:rsidRPr="0078214C">
        <w:rPr>
          <w:rFonts w:cstheme="minorHAnsi"/>
          <w:i/>
          <w:lang w:val="en-US"/>
        </w:rPr>
        <w:t>Prog. Nucl. Magn. Reson. Spectrosc.</w:t>
      </w:r>
      <w:r w:rsidRPr="0078214C">
        <w:rPr>
          <w:rFonts w:cstheme="minorHAnsi"/>
          <w:lang w:val="en-US"/>
        </w:rPr>
        <w:t xml:space="preserve">, 2007, </w:t>
      </w:r>
      <w:r w:rsidRPr="0078214C">
        <w:rPr>
          <w:rFonts w:cstheme="minorHAnsi"/>
          <w:b/>
          <w:lang w:val="en-US"/>
        </w:rPr>
        <w:t>51</w:t>
      </w:r>
      <w:r w:rsidRPr="0078214C">
        <w:rPr>
          <w:rFonts w:cstheme="minorHAnsi"/>
          <w:lang w:val="en-US"/>
        </w:rPr>
        <w:t>, 243–271.</w:t>
      </w:r>
    </w:p>
    <w:p w14:paraId="6695C0BC" w14:textId="77777777" w:rsidR="00F04D9C" w:rsidRPr="0078214C" w:rsidRDefault="00F04D9C" w:rsidP="00F04D9C">
      <w:pPr>
        <w:pStyle w:val="RSCR02References"/>
        <w:rPr>
          <w:rFonts w:cstheme="minorHAnsi"/>
          <w:lang w:val="en-US"/>
        </w:rPr>
      </w:pPr>
      <w:r w:rsidRPr="0078214C">
        <w:rPr>
          <w:rFonts w:cstheme="minorHAnsi"/>
          <w:lang w:val="en-US"/>
        </w:rPr>
        <w:t xml:space="preserve">G. M. Alter, J. A. Magnuson, </w:t>
      </w:r>
      <w:r w:rsidRPr="0078214C">
        <w:rPr>
          <w:rFonts w:cstheme="minorHAnsi"/>
          <w:i/>
          <w:lang w:val="en-US"/>
        </w:rPr>
        <w:t>Biochemistry</w:t>
      </w:r>
      <w:r w:rsidRPr="0078214C">
        <w:rPr>
          <w:rFonts w:cstheme="minorHAnsi"/>
          <w:lang w:val="en-US"/>
        </w:rPr>
        <w:t xml:space="preserve">, 1974, </w:t>
      </w:r>
      <w:r w:rsidRPr="0078214C">
        <w:rPr>
          <w:rFonts w:cstheme="minorHAnsi"/>
          <w:b/>
          <w:lang w:val="en-US"/>
        </w:rPr>
        <w:t>13</w:t>
      </w:r>
      <w:r w:rsidRPr="0078214C">
        <w:rPr>
          <w:rFonts w:cstheme="minorHAnsi"/>
          <w:lang w:val="en-US"/>
        </w:rPr>
        <w:t>, 4038-4045.</w:t>
      </w:r>
    </w:p>
    <w:p w14:paraId="1A0FE66F" w14:textId="77777777" w:rsidR="00F04D9C" w:rsidRPr="0078214C" w:rsidRDefault="00F04D9C" w:rsidP="00F04D9C">
      <w:pPr>
        <w:pStyle w:val="RSCR02References"/>
        <w:rPr>
          <w:rFonts w:cstheme="minorHAnsi"/>
          <w:lang w:val="en-US"/>
        </w:rPr>
      </w:pPr>
      <w:r w:rsidRPr="0078214C">
        <w:rPr>
          <w:rFonts w:cstheme="minorHAnsi"/>
          <w:lang w:val="en-US"/>
        </w:rPr>
        <w:t xml:space="preserve">P.  Midoux, J. P. Grivet, M. Monsigny, </w:t>
      </w:r>
      <w:r w:rsidRPr="0078214C">
        <w:rPr>
          <w:rFonts w:cstheme="minorHAnsi"/>
          <w:i/>
          <w:lang w:val="en-US"/>
        </w:rPr>
        <w:t>FEBS Lett.</w:t>
      </w:r>
      <w:r w:rsidRPr="0078214C">
        <w:rPr>
          <w:rFonts w:cstheme="minorHAnsi"/>
          <w:lang w:val="en-US"/>
        </w:rPr>
        <w:t xml:space="preserve"> 1980, </w:t>
      </w:r>
      <w:r w:rsidRPr="0078214C">
        <w:rPr>
          <w:rFonts w:cstheme="minorHAnsi"/>
          <w:b/>
          <w:lang w:val="en-US"/>
        </w:rPr>
        <w:t>120</w:t>
      </w:r>
      <w:r w:rsidRPr="0078214C">
        <w:rPr>
          <w:rFonts w:cstheme="minorHAnsi"/>
          <w:lang w:val="en-US"/>
        </w:rPr>
        <w:t>, 29-32.</w:t>
      </w:r>
    </w:p>
    <w:p w14:paraId="6F07E6A5" w14:textId="77777777" w:rsidR="00F04D9C" w:rsidRPr="0078214C" w:rsidRDefault="00F04D9C" w:rsidP="00F04D9C">
      <w:pPr>
        <w:pStyle w:val="RSCR02References"/>
        <w:rPr>
          <w:rFonts w:cstheme="minorHAnsi"/>
          <w:lang w:val="en-US"/>
        </w:rPr>
      </w:pPr>
      <w:r w:rsidRPr="0078214C">
        <w:rPr>
          <w:rFonts w:cstheme="minorHAnsi"/>
          <w:lang w:val="en-US"/>
        </w:rPr>
        <w:t xml:space="preserve">F. Jordan, H. Bahr, J. Patrick, P. W. Woo, </w:t>
      </w:r>
      <w:r w:rsidRPr="0078214C">
        <w:rPr>
          <w:rFonts w:cstheme="minorHAnsi"/>
          <w:i/>
          <w:lang w:val="en-US"/>
        </w:rPr>
        <w:t>Arch. Biochem. Biophys.</w:t>
      </w:r>
      <w:r w:rsidRPr="0078214C">
        <w:rPr>
          <w:rFonts w:cstheme="minorHAnsi"/>
          <w:lang w:val="en-US"/>
        </w:rPr>
        <w:t xml:space="preserve">, 1981, </w:t>
      </w:r>
      <w:r w:rsidRPr="0078214C">
        <w:rPr>
          <w:rFonts w:cstheme="minorHAnsi"/>
          <w:b/>
          <w:lang w:val="en-US"/>
        </w:rPr>
        <w:t>207</w:t>
      </w:r>
      <w:r w:rsidRPr="0078214C">
        <w:rPr>
          <w:rFonts w:cstheme="minorHAnsi"/>
          <w:lang w:val="en-US"/>
        </w:rPr>
        <w:t>, 81</w:t>
      </w:r>
      <w:r w:rsidR="00E23FF0">
        <w:rPr>
          <w:rFonts w:cstheme="minorHAnsi"/>
          <w:lang w:val="en-US"/>
        </w:rPr>
        <w:t>-</w:t>
      </w:r>
      <w:r w:rsidRPr="0078214C">
        <w:rPr>
          <w:rFonts w:cstheme="minorHAnsi"/>
          <w:lang w:val="en-US"/>
        </w:rPr>
        <w:t>86.</w:t>
      </w:r>
    </w:p>
    <w:p w14:paraId="1D283C3C" w14:textId="77777777" w:rsidR="00F04D9C" w:rsidRPr="0078214C" w:rsidRDefault="00F04D9C" w:rsidP="00F04D9C">
      <w:pPr>
        <w:pStyle w:val="RSCR02References"/>
        <w:rPr>
          <w:rFonts w:cstheme="minorHAnsi"/>
          <w:lang w:val="en-US"/>
        </w:rPr>
      </w:pPr>
      <w:r w:rsidRPr="0078214C">
        <w:rPr>
          <w:rFonts w:cstheme="minorHAnsi"/>
          <w:lang w:val="en-US"/>
        </w:rPr>
        <w:t xml:space="preserve">R. U. Lemieux, </w:t>
      </w:r>
      <w:r w:rsidRPr="0078214C">
        <w:rPr>
          <w:rFonts w:cstheme="minorHAnsi"/>
          <w:i/>
          <w:lang w:val="en-US"/>
        </w:rPr>
        <w:t>Chem. Soc. Rev</w:t>
      </w:r>
      <w:r w:rsidRPr="0078214C">
        <w:rPr>
          <w:rFonts w:cstheme="minorHAnsi"/>
          <w:lang w:val="en-US"/>
        </w:rPr>
        <w:t xml:space="preserve">., 1989, </w:t>
      </w:r>
      <w:r w:rsidRPr="0078214C">
        <w:rPr>
          <w:rFonts w:cstheme="minorHAnsi"/>
          <w:b/>
          <w:lang w:val="en-US"/>
        </w:rPr>
        <w:t>18</w:t>
      </w:r>
      <w:r w:rsidR="00E23FF0">
        <w:rPr>
          <w:rFonts w:cstheme="minorHAnsi"/>
          <w:lang w:val="en-US"/>
        </w:rPr>
        <w:t>, 347-</w:t>
      </w:r>
      <w:r w:rsidRPr="0078214C">
        <w:rPr>
          <w:rFonts w:cstheme="minorHAnsi"/>
          <w:lang w:val="en-US"/>
        </w:rPr>
        <w:t xml:space="preserve">374. </w:t>
      </w:r>
    </w:p>
    <w:p w14:paraId="2B9B79AD" w14:textId="77777777" w:rsidR="00F04D9C" w:rsidRPr="0078214C" w:rsidRDefault="00F04D9C" w:rsidP="00F04D9C">
      <w:pPr>
        <w:pStyle w:val="RSCR02References"/>
        <w:rPr>
          <w:rFonts w:cstheme="minorHAnsi"/>
          <w:lang w:val="es-ES"/>
        </w:rPr>
      </w:pPr>
      <w:r w:rsidRPr="0078214C">
        <w:rPr>
          <w:rFonts w:cstheme="minorHAnsi"/>
          <w:lang w:val="es-ES"/>
        </w:rPr>
        <w:t xml:space="preserve">J. P. Ribeiro, T. Diercks, J. Jiménez-Barbero, S. André, H. J. Gabius, F. J. Cañada, </w:t>
      </w:r>
      <w:r w:rsidRPr="0078214C">
        <w:rPr>
          <w:rStyle w:val="jrnl"/>
          <w:rFonts w:cstheme="minorHAnsi"/>
          <w:i/>
          <w:lang w:val="es-ES"/>
        </w:rPr>
        <w:t>Biomolecules</w:t>
      </w:r>
      <w:r w:rsidRPr="0078214C">
        <w:rPr>
          <w:rFonts w:cstheme="minorHAnsi"/>
          <w:lang w:val="es-ES"/>
        </w:rPr>
        <w:t xml:space="preserve">, 2015, </w:t>
      </w:r>
      <w:r w:rsidRPr="0078214C">
        <w:rPr>
          <w:rFonts w:cstheme="minorHAnsi"/>
          <w:b/>
          <w:lang w:val="es-ES"/>
        </w:rPr>
        <w:t>5</w:t>
      </w:r>
      <w:r w:rsidRPr="0078214C">
        <w:rPr>
          <w:rFonts w:cstheme="minorHAnsi"/>
          <w:lang w:val="es-ES"/>
        </w:rPr>
        <w:t>, 3177-3192</w:t>
      </w:r>
      <w:r w:rsidR="00E23FF0">
        <w:rPr>
          <w:rFonts w:cstheme="minorHAnsi"/>
          <w:lang w:val="es-ES"/>
        </w:rPr>
        <w:t>.</w:t>
      </w:r>
    </w:p>
    <w:p w14:paraId="0697BE50" w14:textId="77777777" w:rsidR="00F04D9C" w:rsidRPr="0078214C" w:rsidRDefault="00F04D9C" w:rsidP="00F04D9C">
      <w:pPr>
        <w:pStyle w:val="RSCR02References"/>
        <w:rPr>
          <w:rFonts w:cstheme="minorHAnsi"/>
          <w:lang w:val="es-ES"/>
        </w:rPr>
      </w:pPr>
      <w:r w:rsidRPr="0078214C">
        <w:rPr>
          <w:rFonts w:cstheme="minorHAnsi"/>
          <w:lang w:val="es-ES"/>
        </w:rPr>
        <w:t xml:space="preserve">S. Andre, F. J. Cañada, T. C. Shiao, L. Largartera, </w:t>
      </w:r>
      <w:r w:rsidRPr="0078214C">
        <w:rPr>
          <w:rFonts w:cstheme="minorHAnsi"/>
          <w:i/>
          <w:lang w:val="es-ES"/>
        </w:rPr>
        <w:t>et al</w:t>
      </w:r>
      <w:r w:rsidRPr="0078214C">
        <w:rPr>
          <w:rFonts w:cstheme="minorHAnsi"/>
          <w:lang w:val="es-ES"/>
        </w:rPr>
        <w:t xml:space="preserve">., </w:t>
      </w:r>
      <w:r w:rsidRPr="0078214C">
        <w:rPr>
          <w:rFonts w:cstheme="minorHAnsi"/>
          <w:i/>
          <w:lang w:val="es-ES"/>
        </w:rPr>
        <w:t>Eur. J. Org. Chem</w:t>
      </w:r>
      <w:r w:rsidRPr="0078214C">
        <w:rPr>
          <w:rFonts w:cstheme="minorHAnsi"/>
          <w:lang w:val="es-ES"/>
        </w:rPr>
        <w:t>., 2012, 4354</w:t>
      </w:r>
      <w:r w:rsidR="00E23FF0">
        <w:rPr>
          <w:rFonts w:cstheme="minorHAnsi"/>
          <w:lang w:val="es-ES"/>
        </w:rPr>
        <w:t>-</w:t>
      </w:r>
      <w:r w:rsidRPr="0078214C">
        <w:rPr>
          <w:rFonts w:cstheme="minorHAnsi"/>
          <w:lang w:val="es-ES"/>
        </w:rPr>
        <w:t>4364.</w:t>
      </w:r>
    </w:p>
    <w:p w14:paraId="066CBC16" w14:textId="77777777" w:rsidR="00F04D9C" w:rsidRPr="0078214C" w:rsidRDefault="00F04D9C" w:rsidP="00F04D9C">
      <w:pPr>
        <w:pStyle w:val="RSCR02References"/>
        <w:rPr>
          <w:rFonts w:cstheme="minorHAnsi"/>
          <w:lang w:val="es-ES"/>
        </w:rPr>
      </w:pPr>
      <w:r w:rsidRPr="0078214C">
        <w:rPr>
          <w:rFonts w:cstheme="minorHAnsi"/>
          <w:lang w:val="es-ES"/>
        </w:rPr>
        <w:t xml:space="preserve">T. Diercks, J. P. Ribeiro, F. J. Cañada, S. André, J. Jiménez-Barbero, H. J. Gabius, </w:t>
      </w:r>
      <w:r w:rsidRPr="0078214C">
        <w:rPr>
          <w:rStyle w:val="jrnl"/>
          <w:rFonts w:cstheme="minorHAnsi"/>
          <w:i/>
          <w:lang w:val="es-ES"/>
        </w:rPr>
        <w:t>Chem Eur J</w:t>
      </w:r>
      <w:r w:rsidRPr="0078214C">
        <w:rPr>
          <w:rFonts w:cstheme="minorHAnsi"/>
          <w:lang w:val="es-ES"/>
        </w:rPr>
        <w:t xml:space="preserve">, 2009, </w:t>
      </w:r>
      <w:r w:rsidRPr="0078214C">
        <w:rPr>
          <w:rFonts w:cstheme="minorHAnsi"/>
          <w:b/>
          <w:lang w:val="es-ES"/>
        </w:rPr>
        <w:t>15</w:t>
      </w:r>
      <w:r w:rsidRPr="0078214C">
        <w:rPr>
          <w:rFonts w:cstheme="minorHAnsi"/>
          <w:lang w:val="es-ES"/>
        </w:rPr>
        <w:t>, 5666-5668.</w:t>
      </w:r>
    </w:p>
    <w:p w14:paraId="1478543D" w14:textId="77777777" w:rsidR="00F04D9C" w:rsidRPr="0078214C" w:rsidRDefault="00F04D9C" w:rsidP="00F04D9C">
      <w:pPr>
        <w:pStyle w:val="RSCR02References"/>
        <w:rPr>
          <w:rFonts w:cstheme="minorHAnsi"/>
          <w:lang w:val="en-US"/>
        </w:rPr>
      </w:pPr>
      <w:r w:rsidRPr="0078214C">
        <w:rPr>
          <w:rFonts w:cstheme="minorHAnsi"/>
          <w:lang w:val="en-US"/>
        </w:rPr>
        <w:lastRenderedPageBreak/>
        <w:t xml:space="preserve">E. </w:t>
      </w:r>
      <w:r w:rsidRPr="0078214C">
        <w:rPr>
          <w:rFonts w:cstheme="minorHAnsi"/>
          <w:bCs/>
          <w:lang w:val="en-US"/>
        </w:rPr>
        <w:t>Matei</w:t>
      </w:r>
      <w:r w:rsidRPr="0078214C">
        <w:rPr>
          <w:rFonts w:cstheme="minorHAnsi"/>
          <w:lang w:val="en-US"/>
        </w:rPr>
        <w:t>, S. André, A. Glinschert, A. S. Infantino, S. Oscarson,</w:t>
      </w:r>
      <w:r w:rsidR="00E23FF0">
        <w:rPr>
          <w:rFonts w:cstheme="minorHAnsi"/>
          <w:lang w:val="en-US"/>
        </w:rPr>
        <w:t xml:space="preserve"> </w:t>
      </w:r>
      <w:r w:rsidRPr="0078214C">
        <w:rPr>
          <w:rFonts w:cstheme="minorHAnsi"/>
          <w:lang w:val="en-US"/>
        </w:rPr>
        <w:t xml:space="preserve">H. J. Gabius, A. M. Gronenborn, </w:t>
      </w:r>
      <w:r w:rsidRPr="0078214C">
        <w:rPr>
          <w:rFonts w:eastAsia="Times New Roman" w:cstheme="minorHAnsi"/>
          <w:i/>
          <w:lang w:val="en-US"/>
        </w:rPr>
        <w:t>Chem</w:t>
      </w:r>
      <w:r w:rsidR="00E23FF0">
        <w:rPr>
          <w:rFonts w:eastAsia="Times New Roman" w:cstheme="minorHAnsi"/>
          <w:i/>
          <w:lang w:val="en-US"/>
        </w:rPr>
        <w:t>.</w:t>
      </w:r>
      <w:r w:rsidRPr="0078214C">
        <w:rPr>
          <w:rFonts w:eastAsia="Times New Roman" w:cstheme="minorHAnsi"/>
          <w:i/>
          <w:lang w:val="en-US"/>
        </w:rPr>
        <w:t xml:space="preserve"> Eur</w:t>
      </w:r>
      <w:r w:rsidR="00E23FF0">
        <w:rPr>
          <w:rFonts w:eastAsia="Times New Roman" w:cstheme="minorHAnsi"/>
          <w:i/>
          <w:lang w:val="en-US"/>
        </w:rPr>
        <w:t>.</w:t>
      </w:r>
      <w:r w:rsidRPr="0078214C">
        <w:rPr>
          <w:rFonts w:eastAsia="Times New Roman" w:cstheme="minorHAnsi"/>
          <w:i/>
          <w:lang w:val="en-US"/>
        </w:rPr>
        <w:t xml:space="preserve"> J</w:t>
      </w:r>
      <w:r w:rsidR="00E23FF0">
        <w:rPr>
          <w:rFonts w:eastAsia="Times New Roman" w:cstheme="minorHAnsi"/>
          <w:i/>
          <w:lang w:val="en-US"/>
        </w:rPr>
        <w:t>.</w:t>
      </w:r>
      <w:r w:rsidRPr="0078214C">
        <w:rPr>
          <w:rFonts w:eastAsia="Times New Roman" w:cstheme="minorHAnsi"/>
          <w:lang w:val="en-US"/>
        </w:rPr>
        <w:t>, 2013</w:t>
      </w:r>
      <w:r w:rsidRPr="0078214C">
        <w:rPr>
          <w:rFonts w:cstheme="minorHAnsi"/>
          <w:lang w:val="en-US"/>
        </w:rPr>
        <w:t xml:space="preserve">, </w:t>
      </w:r>
      <w:r w:rsidRPr="0078214C">
        <w:rPr>
          <w:rFonts w:eastAsia="Times New Roman" w:cstheme="minorHAnsi"/>
          <w:b/>
          <w:lang w:val="en-US"/>
        </w:rPr>
        <w:t>19</w:t>
      </w:r>
      <w:r w:rsidRPr="0078214C">
        <w:rPr>
          <w:rFonts w:eastAsia="Times New Roman" w:cstheme="minorHAnsi"/>
          <w:lang w:val="en-US"/>
        </w:rPr>
        <w:t>, 5364-5374.</w:t>
      </w:r>
    </w:p>
    <w:p w14:paraId="44B5CB4D" w14:textId="77777777" w:rsidR="00F04D9C" w:rsidRPr="0078214C" w:rsidRDefault="00F04D9C" w:rsidP="00F04D9C">
      <w:pPr>
        <w:pStyle w:val="RSCR02References"/>
        <w:rPr>
          <w:rFonts w:cstheme="minorHAnsi"/>
          <w:lang w:val="en-US"/>
        </w:rPr>
      </w:pPr>
      <w:r w:rsidRPr="0078214C">
        <w:rPr>
          <w:rFonts w:cstheme="minorHAnsi"/>
          <w:lang w:val="en-US"/>
        </w:rPr>
        <w:t xml:space="preserve">E. C. Wamhoff, J. Hanske, L. Schnirch, J. Aretz, M. Grube, D. Varón Silva, C. </w:t>
      </w:r>
      <w:r w:rsidRPr="0078214C">
        <w:rPr>
          <w:rFonts w:cstheme="minorHAnsi"/>
          <w:bCs/>
          <w:lang w:val="en-US"/>
        </w:rPr>
        <w:t>Rademacher,</w:t>
      </w:r>
      <w:r w:rsidRPr="0078214C">
        <w:rPr>
          <w:rFonts w:cstheme="minorHAnsi"/>
          <w:lang w:val="en-US"/>
        </w:rPr>
        <w:t xml:space="preserve"> </w:t>
      </w:r>
      <w:r w:rsidRPr="0078214C">
        <w:rPr>
          <w:rFonts w:eastAsia="Times New Roman" w:cstheme="minorHAnsi"/>
          <w:i/>
          <w:lang w:val="en-US"/>
        </w:rPr>
        <w:t>ACS Chem</w:t>
      </w:r>
      <w:r w:rsidR="00E23FF0">
        <w:rPr>
          <w:rFonts w:eastAsia="Times New Roman" w:cstheme="minorHAnsi"/>
          <w:i/>
          <w:lang w:val="en-US"/>
        </w:rPr>
        <w:t>.</w:t>
      </w:r>
      <w:r w:rsidRPr="0078214C">
        <w:rPr>
          <w:rFonts w:eastAsia="Times New Roman" w:cstheme="minorHAnsi"/>
          <w:i/>
          <w:lang w:val="en-US"/>
        </w:rPr>
        <w:t xml:space="preserve"> Biol.</w:t>
      </w:r>
      <w:r w:rsidRPr="0078214C">
        <w:rPr>
          <w:rFonts w:eastAsia="Times New Roman" w:cstheme="minorHAnsi"/>
          <w:lang w:val="en-US"/>
        </w:rPr>
        <w:t>, 2016</w:t>
      </w:r>
      <w:r w:rsidRPr="0078214C">
        <w:rPr>
          <w:rFonts w:cstheme="minorHAnsi"/>
          <w:lang w:val="en-US"/>
        </w:rPr>
        <w:t xml:space="preserve">, </w:t>
      </w:r>
      <w:r w:rsidRPr="0078214C">
        <w:rPr>
          <w:rFonts w:eastAsia="Times New Roman" w:cstheme="minorHAnsi"/>
          <w:b/>
          <w:lang w:val="en-US"/>
        </w:rPr>
        <w:t>11</w:t>
      </w:r>
      <w:r w:rsidRPr="0078214C">
        <w:rPr>
          <w:rFonts w:eastAsia="Times New Roman" w:cstheme="minorHAnsi"/>
          <w:lang w:val="en-US"/>
        </w:rPr>
        <w:t>, 2407-2413.</w:t>
      </w:r>
    </w:p>
    <w:p w14:paraId="0D451CAC" w14:textId="77777777" w:rsidR="00F04D9C" w:rsidRPr="00236CB2" w:rsidRDefault="00F04D9C" w:rsidP="00F04D9C">
      <w:pPr>
        <w:pStyle w:val="RSCR02References"/>
        <w:rPr>
          <w:rFonts w:cstheme="minorHAnsi"/>
          <w:lang w:val="es-ES"/>
        </w:rPr>
      </w:pPr>
      <w:r w:rsidRPr="00236CB2">
        <w:rPr>
          <w:rFonts w:cstheme="minorHAnsi"/>
          <w:lang w:val="es-ES"/>
        </w:rPr>
        <w:t xml:space="preserve">L. P. Calle, B. Echeverria, A. Franconetti, S. Serna, M. C. Fernández-Alonso, T. Diercks, F. J. Cañada, A. Ardá, N. C. Reichardt, J. Jiménez-Barbero, </w:t>
      </w:r>
      <w:r w:rsidRPr="00236CB2">
        <w:rPr>
          <w:rFonts w:cstheme="minorHAnsi"/>
          <w:i/>
          <w:lang w:val="es-ES"/>
        </w:rPr>
        <w:t>Chem</w:t>
      </w:r>
      <w:r w:rsidR="00E23FF0" w:rsidRPr="00236CB2">
        <w:rPr>
          <w:rFonts w:cstheme="minorHAnsi"/>
          <w:i/>
          <w:lang w:val="es-ES"/>
        </w:rPr>
        <w:t>.</w:t>
      </w:r>
      <w:r w:rsidRPr="00236CB2">
        <w:rPr>
          <w:rFonts w:cstheme="minorHAnsi"/>
          <w:i/>
          <w:lang w:val="es-ES"/>
        </w:rPr>
        <w:t xml:space="preserve"> Eur</w:t>
      </w:r>
      <w:r w:rsidR="00E23FF0" w:rsidRPr="00236CB2">
        <w:rPr>
          <w:rFonts w:cstheme="minorHAnsi"/>
          <w:i/>
          <w:lang w:val="es-ES"/>
        </w:rPr>
        <w:t>.</w:t>
      </w:r>
      <w:r w:rsidRPr="00236CB2">
        <w:rPr>
          <w:rFonts w:cstheme="minorHAnsi"/>
          <w:i/>
          <w:lang w:val="es-ES"/>
        </w:rPr>
        <w:t xml:space="preserve"> J</w:t>
      </w:r>
      <w:r w:rsidR="00E23FF0" w:rsidRPr="00236CB2">
        <w:rPr>
          <w:rFonts w:cstheme="minorHAnsi"/>
          <w:i/>
          <w:lang w:val="es-ES"/>
        </w:rPr>
        <w:t>.</w:t>
      </w:r>
      <w:r w:rsidRPr="00236CB2">
        <w:rPr>
          <w:rFonts w:cstheme="minorHAnsi"/>
          <w:lang w:val="es-ES"/>
        </w:rPr>
        <w:t xml:space="preserve">, 2015, </w:t>
      </w:r>
      <w:r w:rsidRPr="00236CB2">
        <w:rPr>
          <w:rFonts w:cstheme="minorHAnsi"/>
          <w:b/>
          <w:lang w:val="es-ES"/>
        </w:rPr>
        <w:t>21</w:t>
      </w:r>
      <w:r w:rsidRPr="00236CB2">
        <w:rPr>
          <w:rFonts w:cstheme="minorHAnsi"/>
          <w:lang w:val="es-ES"/>
        </w:rPr>
        <w:t xml:space="preserve">, 11408-11416. </w:t>
      </w:r>
    </w:p>
    <w:p w14:paraId="2F69A1D7" w14:textId="77777777" w:rsidR="00F04D9C" w:rsidRPr="00236CB2" w:rsidRDefault="00F04D9C" w:rsidP="00F04D9C">
      <w:pPr>
        <w:pStyle w:val="RSCR02References"/>
        <w:rPr>
          <w:rFonts w:cstheme="minorHAnsi"/>
          <w:lang w:val="es-ES"/>
        </w:rPr>
      </w:pPr>
      <w:r w:rsidRPr="00236CB2">
        <w:rPr>
          <w:rFonts w:cstheme="minorHAnsi"/>
          <w:lang w:val="es-ES"/>
        </w:rPr>
        <w:t xml:space="preserve">L. Unione, M. Alcalá, B. Echeverria, S. Serna, A. Ardá, A. Franconetti, F. J. Cañada, T. Diercks, N. C. Reichardt, J. Jiménez-Barbero, </w:t>
      </w:r>
      <w:r w:rsidRPr="00236CB2">
        <w:rPr>
          <w:rFonts w:cstheme="minorHAnsi"/>
          <w:i/>
          <w:lang w:val="es-ES"/>
        </w:rPr>
        <w:t>Chem</w:t>
      </w:r>
      <w:r w:rsidR="00316C11" w:rsidRPr="00236CB2">
        <w:rPr>
          <w:rFonts w:cstheme="minorHAnsi"/>
          <w:i/>
          <w:lang w:val="es-ES"/>
        </w:rPr>
        <w:t>.</w:t>
      </w:r>
      <w:r w:rsidRPr="00236CB2">
        <w:rPr>
          <w:rFonts w:cstheme="minorHAnsi"/>
          <w:i/>
          <w:lang w:val="es-ES"/>
        </w:rPr>
        <w:t xml:space="preserve"> Eur</w:t>
      </w:r>
      <w:r w:rsidR="00316C11" w:rsidRPr="00236CB2">
        <w:rPr>
          <w:rFonts w:cstheme="minorHAnsi"/>
          <w:i/>
          <w:lang w:val="es-ES"/>
        </w:rPr>
        <w:t>.</w:t>
      </w:r>
      <w:r w:rsidRPr="00236CB2">
        <w:rPr>
          <w:rFonts w:cstheme="minorHAnsi"/>
          <w:i/>
          <w:lang w:val="es-ES"/>
        </w:rPr>
        <w:t xml:space="preserve"> J</w:t>
      </w:r>
      <w:r w:rsidR="00316C11" w:rsidRPr="00236CB2">
        <w:rPr>
          <w:rFonts w:cstheme="minorHAnsi"/>
          <w:i/>
          <w:lang w:val="es-ES"/>
        </w:rPr>
        <w:t>.</w:t>
      </w:r>
      <w:r w:rsidRPr="00236CB2">
        <w:rPr>
          <w:rFonts w:cstheme="minorHAnsi"/>
          <w:lang w:val="es-ES"/>
        </w:rPr>
        <w:t xml:space="preserve">, 2017, </w:t>
      </w:r>
      <w:r w:rsidRPr="00236CB2">
        <w:rPr>
          <w:rFonts w:cstheme="minorHAnsi"/>
          <w:b/>
          <w:lang w:val="es-ES"/>
        </w:rPr>
        <w:t>23</w:t>
      </w:r>
      <w:r w:rsidRPr="00236CB2">
        <w:rPr>
          <w:rFonts w:cstheme="minorHAnsi"/>
          <w:lang w:val="es-ES"/>
        </w:rPr>
        <w:t>, 3957-3965.</w:t>
      </w:r>
    </w:p>
    <w:p w14:paraId="02728728" w14:textId="77777777" w:rsidR="00D50FE3" w:rsidRPr="00236CB2" w:rsidRDefault="00D50FE3" w:rsidP="00D50FE3">
      <w:pPr>
        <w:pStyle w:val="RSCR02References"/>
        <w:numPr>
          <w:ilvl w:val="0"/>
          <w:numId w:val="0"/>
        </w:numPr>
        <w:ind w:left="284"/>
        <w:rPr>
          <w:rFonts w:cstheme="minorHAnsi"/>
          <w:lang w:val="es-ES"/>
        </w:rPr>
      </w:pPr>
    </w:p>
    <w:p w14:paraId="7EB7B908" w14:textId="77777777" w:rsidR="00861208" w:rsidRPr="00236CB2" w:rsidRDefault="00861208" w:rsidP="00861208">
      <w:pPr>
        <w:pStyle w:val="RSCR02References"/>
        <w:numPr>
          <w:ilvl w:val="0"/>
          <w:numId w:val="0"/>
        </w:numPr>
        <w:ind w:left="284" w:hanging="284"/>
        <w:rPr>
          <w:rFonts w:cstheme="minorHAnsi"/>
          <w:lang w:val="es-ES"/>
        </w:rPr>
      </w:pPr>
    </w:p>
    <w:p w14:paraId="69426E41" w14:textId="77777777" w:rsidR="00861208" w:rsidRPr="00236CB2" w:rsidRDefault="00861208" w:rsidP="00861208">
      <w:pPr>
        <w:pStyle w:val="RSCR02References"/>
        <w:numPr>
          <w:ilvl w:val="0"/>
          <w:numId w:val="0"/>
        </w:numPr>
        <w:ind w:left="284" w:hanging="284"/>
        <w:rPr>
          <w:rFonts w:cstheme="minorHAnsi"/>
          <w:lang w:val="es-ES"/>
        </w:rPr>
      </w:pPr>
    </w:p>
    <w:p w14:paraId="348C983E" w14:textId="77777777" w:rsidR="00D50FE3" w:rsidRPr="00236CB2" w:rsidRDefault="00D50FE3" w:rsidP="00D50FE3">
      <w:pPr>
        <w:pStyle w:val="RSCR02References"/>
        <w:numPr>
          <w:ilvl w:val="0"/>
          <w:numId w:val="0"/>
        </w:numPr>
        <w:rPr>
          <w:rFonts w:cstheme="minorHAnsi"/>
          <w:lang w:val="es-ES"/>
        </w:rPr>
      </w:pPr>
    </w:p>
    <w:p w14:paraId="10B95A31" w14:textId="77777777" w:rsidR="00F04D9C" w:rsidRPr="00236CB2" w:rsidRDefault="00F04D9C" w:rsidP="00EF6BD4">
      <w:pPr>
        <w:pStyle w:val="RSCB04AHeadingSection"/>
        <w:rPr>
          <w:rFonts w:cstheme="minorHAnsi"/>
          <w:sz w:val="18"/>
          <w:szCs w:val="18"/>
          <w:lang w:val="es-ES"/>
        </w:rPr>
      </w:pPr>
    </w:p>
    <w:p w14:paraId="31C5D135" w14:textId="77777777" w:rsidR="00F04D9C" w:rsidRPr="00236CB2" w:rsidRDefault="00F04D9C" w:rsidP="00EF6BD4">
      <w:pPr>
        <w:pStyle w:val="RSCB04AHeadingSection"/>
        <w:rPr>
          <w:rFonts w:cstheme="minorHAnsi"/>
          <w:sz w:val="18"/>
          <w:szCs w:val="18"/>
          <w:lang w:val="es-ES"/>
        </w:rPr>
      </w:pPr>
    </w:p>
    <w:p w14:paraId="0CF7BC11" w14:textId="77777777" w:rsidR="00F04D9C" w:rsidRPr="00236CB2" w:rsidRDefault="00F04D9C" w:rsidP="00EF6BD4">
      <w:pPr>
        <w:pStyle w:val="RSCB04AHeadingSection"/>
        <w:rPr>
          <w:rFonts w:cstheme="minorHAnsi"/>
          <w:sz w:val="18"/>
          <w:szCs w:val="18"/>
          <w:lang w:val="es-ES"/>
        </w:rPr>
      </w:pPr>
    </w:p>
    <w:p w14:paraId="16F69B8A" w14:textId="77777777" w:rsidR="00F04D9C" w:rsidRPr="00236CB2" w:rsidRDefault="00F04D9C" w:rsidP="00EF6BD4">
      <w:pPr>
        <w:pStyle w:val="RSCB04AHeadingSection"/>
        <w:rPr>
          <w:rFonts w:cstheme="minorHAnsi"/>
          <w:sz w:val="18"/>
          <w:szCs w:val="18"/>
          <w:lang w:val="es-ES"/>
        </w:rPr>
      </w:pPr>
    </w:p>
    <w:p w14:paraId="0DB9BBED" w14:textId="77777777" w:rsidR="00F04D9C" w:rsidRPr="00236CB2" w:rsidRDefault="00F04D9C" w:rsidP="00EF6BD4">
      <w:pPr>
        <w:pStyle w:val="RSCB04AHeadingSection"/>
        <w:rPr>
          <w:rFonts w:cstheme="minorHAnsi"/>
          <w:sz w:val="18"/>
          <w:szCs w:val="18"/>
          <w:lang w:val="es-ES"/>
        </w:rPr>
      </w:pPr>
    </w:p>
    <w:p w14:paraId="296B2ED1" w14:textId="77777777" w:rsidR="00F04D9C" w:rsidRPr="00236CB2" w:rsidRDefault="00F04D9C" w:rsidP="00EF6BD4">
      <w:pPr>
        <w:pStyle w:val="RSCB04AHeadingSection"/>
        <w:rPr>
          <w:rFonts w:cstheme="minorHAnsi"/>
          <w:sz w:val="18"/>
          <w:szCs w:val="18"/>
          <w:lang w:val="es-ES"/>
        </w:rPr>
      </w:pPr>
    </w:p>
    <w:p w14:paraId="0FEFD8DA" w14:textId="77777777" w:rsidR="00F04D9C" w:rsidRPr="00236CB2" w:rsidRDefault="00F04D9C" w:rsidP="00EF6BD4">
      <w:pPr>
        <w:pStyle w:val="RSCB04AHeadingSection"/>
        <w:rPr>
          <w:lang w:val="es-ES"/>
        </w:rPr>
      </w:pPr>
    </w:p>
    <w:sectPr w:rsidR="00F04D9C" w:rsidRPr="00236CB2" w:rsidSect="00514CBA">
      <w:endnotePr>
        <w:numFmt w:val="decimal"/>
      </w:endnotePr>
      <w:type w:val="continuous"/>
      <w:pgSz w:w="11907" w:h="16840" w:code="9"/>
      <w:pgMar w:top="1009" w:right="851" w:bottom="1758" w:left="851" w:header="851" w:footer="1049" w:gutter="0"/>
      <w:cols w:num="2" w:space="22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053066" w14:textId="77777777" w:rsidR="00450CF1" w:rsidRDefault="00450CF1" w:rsidP="00E547DB">
      <w:pPr>
        <w:spacing w:after="0" w:line="240" w:lineRule="auto"/>
      </w:pPr>
      <w:r>
        <w:separator/>
      </w:r>
    </w:p>
    <w:p w14:paraId="3F1E5959" w14:textId="77777777" w:rsidR="00450CF1" w:rsidRDefault="00450CF1"/>
    <w:p w14:paraId="0A569031" w14:textId="77777777" w:rsidR="00450CF1" w:rsidRDefault="00450CF1"/>
    <w:p w14:paraId="35E6531C" w14:textId="77777777" w:rsidR="00450CF1" w:rsidRDefault="00450CF1"/>
    <w:p w14:paraId="600F328F" w14:textId="77777777" w:rsidR="00450CF1" w:rsidRDefault="00450CF1"/>
    <w:p w14:paraId="42138C8A" w14:textId="77777777" w:rsidR="00450CF1" w:rsidRDefault="00450CF1"/>
  </w:endnote>
  <w:endnote w:type="continuationSeparator" w:id="0">
    <w:p w14:paraId="3202B171" w14:textId="77777777" w:rsidR="00450CF1" w:rsidRDefault="00450CF1" w:rsidP="00E547DB">
      <w:pPr>
        <w:spacing w:after="0" w:line="240" w:lineRule="auto"/>
      </w:pPr>
      <w:r>
        <w:continuationSeparator/>
      </w:r>
    </w:p>
    <w:p w14:paraId="2C5E1CF0" w14:textId="77777777" w:rsidR="00450CF1" w:rsidRDefault="00450CF1"/>
    <w:p w14:paraId="3188E859" w14:textId="77777777" w:rsidR="00450CF1" w:rsidRDefault="00450CF1"/>
    <w:p w14:paraId="6C466AE8" w14:textId="77777777" w:rsidR="00450CF1" w:rsidRDefault="00450CF1"/>
    <w:p w14:paraId="6480388C" w14:textId="77777777" w:rsidR="00450CF1" w:rsidRDefault="00450CF1"/>
    <w:p w14:paraId="26062CDA" w14:textId="77777777" w:rsidR="00450CF1" w:rsidRDefault="00450CF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A00002EF" w:usb1="4000004B"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DrcwhnAdvTT3713a231+20">
    <w:altName w:val="MS Gothic"/>
    <w:panose1 w:val="020B0604020202020204"/>
    <w:charset w:val="80"/>
    <w:family w:val="auto"/>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CA995B" w14:textId="77777777" w:rsidR="009915C0" w:rsidRPr="006602F1" w:rsidRDefault="009915C0" w:rsidP="00D45ADF">
    <w:pPr>
      <w:pStyle w:val="Footer"/>
      <w:tabs>
        <w:tab w:val="clear" w:pos="4513"/>
        <w:tab w:val="clear" w:pos="9026"/>
        <w:tab w:val="right" w:pos="10206"/>
      </w:tabs>
      <w:spacing w:before="480"/>
      <w:rPr>
        <w:spacing w:val="10"/>
        <w:sz w:val="16"/>
        <w:szCs w:val="16"/>
      </w:rPr>
    </w:pPr>
    <w:r w:rsidRPr="006602F1">
      <w:rPr>
        <w:b/>
        <w:spacing w:val="10"/>
        <w:sz w:val="16"/>
        <w:szCs w:val="16"/>
      </w:rPr>
      <w:fldChar w:fldCharType="begin"/>
    </w:r>
    <w:r w:rsidRPr="006602F1">
      <w:rPr>
        <w:b/>
        <w:spacing w:val="10"/>
        <w:sz w:val="16"/>
        <w:szCs w:val="16"/>
      </w:rPr>
      <w:instrText xml:space="preserve"> PAGE   \* MERGEFORMAT </w:instrText>
    </w:r>
    <w:r w:rsidRPr="006602F1">
      <w:rPr>
        <w:b/>
        <w:spacing w:val="10"/>
        <w:sz w:val="16"/>
        <w:szCs w:val="16"/>
      </w:rPr>
      <w:fldChar w:fldCharType="separate"/>
    </w:r>
    <w:r w:rsidR="00297C8C">
      <w:rPr>
        <w:b/>
        <w:noProof/>
        <w:spacing w:val="10"/>
        <w:sz w:val="16"/>
        <w:szCs w:val="16"/>
      </w:rPr>
      <w:t>2</w:t>
    </w:r>
    <w:r w:rsidRPr="006602F1">
      <w:rPr>
        <w:b/>
        <w:noProof/>
        <w:spacing w:val="10"/>
        <w:sz w:val="16"/>
        <w:szCs w:val="16"/>
      </w:rPr>
      <w:fldChar w:fldCharType="end"/>
    </w:r>
    <w:r w:rsidRPr="006602F1">
      <w:rPr>
        <w:noProof/>
        <w:spacing w:val="10"/>
        <w:sz w:val="16"/>
        <w:szCs w:val="16"/>
      </w:rPr>
      <w:t xml:space="preserve"> | </w:t>
    </w:r>
    <w:r>
      <w:rPr>
        <w:i/>
        <w:noProof/>
        <w:spacing w:val="10"/>
        <w:sz w:val="16"/>
        <w:szCs w:val="16"/>
      </w:rPr>
      <w:t>J</w:t>
    </w:r>
    <w:r w:rsidRPr="006602F1">
      <w:rPr>
        <w:i/>
        <w:noProof/>
        <w:spacing w:val="10"/>
        <w:sz w:val="16"/>
        <w:szCs w:val="16"/>
      </w:rPr>
      <w:t xml:space="preserve">. </w:t>
    </w:r>
    <w:r>
      <w:rPr>
        <w:i/>
        <w:noProof/>
        <w:spacing w:val="10"/>
        <w:sz w:val="16"/>
        <w:szCs w:val="16"/>
      </w:rPr>
      <w:t>Name</w:t>
    </w:r>
    <w:r w:rsidRPr="006602F1">
      <w:rPr>
        <w:noProof/>
        <w:spacing w:val="10"/>
        <w:sz w:val="16"/>
        <w:szCs w:val="16"/>
      </w:rPr>
      <w:t xml:space="preserve">., 2012, </w:t>
    </w:r>
    <w:r w:rsidRPr="006602F1">
      <w:rPr>
        <w:b/>
        <w:noProof/>
        <w:spacing w:val="10"/>
        <w:sz w:val="16"/>
        <w:szCs w:val="16"/>
      </w:rPr>
      <w:t>00</w:t>
    </w:r>
    <w:r w:rsidRPr="006602F1">
      <w:rPr>
        <w:noProof/>
        <w:spacing w:val="10"/>
        <w:sz w:val="16"/>
        <w:szCs w:val="16"/>
      </w:rPr>
      <w:t>, 1-3</w:t>
    </w:r>
    <w:r w:rsidRPr="006602F1">
      <w:rPr>
        <w:noProof/>
        <w:spacing w:val="10"/>
        <w:sz w:val="16"/>
        <w:szCs w:val="16"/>
      </w:rPr>
      <w:tab/>
    </w:r>
    <w:r w:rsidRPr="00AC3BF2">
      <w:rPr>
        <w:noProof/>
        <w:spacing w:val="2"/>
        <w:sz w:val="16"/>
        <w:szCs w:val="16"/>
      </w:rPr>
      <w:t xml:space="preserve">This journal is </w:t>
    </w:r>
    <w:r w:rsidRPr="00AC3BF2">
      <w:rPr>
        <w:rFonts w:cstheme="minorHAnsi"/>
        <w:noProof/>
        <w:spacing w:val="2"/>
        <w:sz w:val="16"/>
        <w:szCs w:val="16"/>
      </w:rPr>
      <w:t>©</w:t>
    </w:r>
    <w:r w:rsidRPr="00AC3BF2">
      <w:rPr>
        <w:noProof/>
        <w:spacing w:val="2"/>
        <w:sz w:val="16"/>
        <w:szCs w:val="16"/>
      </w:rPr>
      <w:t xml:space="preserve"> The Royal Society of Chemistry 20</w:t>
    </w:r>
    <w:r>
      <w:rPr>
        <w:noProof/>
        <w:spacing w:val="2"/>
        <w:sz w:val="16"/>
        <w:szCs w:val="16"/>
      </w:rPr>
      <w:t>xx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FE6494" w14:textId="1B6DACEF" w:rsidR="009915C0" w:rsidRPr="006602F1" w:rsidRDefault="009915C0" w:rsidP="00D45ADF">
    <w:pPr>
      <w:pStyle w:val="Footer"/>
      <w:tabs>
        <w:tab w:val="clear" w:pos="4513"/>
        <w:tab w:val="clear" w:pos="9026"/>
        <w:tab w:val="right" w:pos="10205"/>
      </w:tabs>
      <w:spacing w:before="480"/>
      <w:rPr>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D0F70B" w14:textId="197F8B94" w:rsidR="009915C0" w:rsidRPr="006602F1" w:rsidRDefault="009915C0" w:rsidP="00D45ADF">
    <w:pPr>
      <w:pStyle w:val="Footer"/>
      <w:tabs>
        <w:tab w:val="clear" w:pos="4513"/>
        <w:tab w:val="clear" w:pos="9026"/>
        <w:tab w:val="right" w:pos="10206"/>
      </w:tabs>
      <w:spacing w:before="480"/>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80EE92D" w14:textId="77777777" w:rsidR="00450CF1" w:rsidRDefault="00450CF1" w:rsidP="00E547DB">
      <w:pPr>
        <w:spacing w:after="0" w:line="240" w:lineRule="auto"/>
      </w:pPr>
      <w:r>
        <w:separator/>
      </w:r>
    </w:p>
    <w:p w14:paraId="2F142848" w14:textId="77777777" w:rsidR="00450CF1" w:rsidRDefault="00450CF1"/>
    <w:p w14:paraId="335A3031" w14:textId="77777777" w:rsidR="00450CF1" w:rsidRDefault="00450CF1"/>
    <w:p w14:paraId="25F7A011" w14:textId="77777777" w:rsidR="00450CF1" w:rsidRDefault="00450CF1"/>
    <w:p w14:paraId="27C484F8" w14:textId="77777777" w:rsidR="00450CF1" w:rsidRDefault="00450CF1"/>
    <w:p w14:paraId="392DDAF0" w14:textId="77777777" w:rsidR="00450CF1" w:rsidRDefault="00450CF1"/>
  </w:footnote>
  <w:footnote w:type="continuationSeparator" w:id="0">
    <w:p w14:paraId="1CD696D8" w14:textId="77777777" w:rsidR="00450CF1" w:rsidRDefault="00450CF1" w:rsidP="00E547DB">
      <w:pPr>
        <w:spacing w:after="0" w:line="240" w:lineRule="auto"/>
      </w:pPr>
      <w:r>
        <w:continuationSeparator/>
      </w:r>
    </w:p>
    <w:p w14:paraId="6F658CCC" w14:textId="77777777" w:rsidR="00450CF1" w:rsidRDefault="00450CF1"/>
    <w:p w14:paraId="25D74E05" w14:textId="77777777" w:rsidR="00450CF1" w:rsidRDefault="00450CF1"/>
    <w:p w14:paraId="4FD8DC79" w14:textId="77777777" w:rsidR="00450CF1" w:rsidRDefault="00450CF1"/>
    <w:p w14:paraId="4D8EF2CF" w14:textId="77777777" w:rsidR="00450CF1" w:rsidRDefault="00450CF1"/>
    <w:p w14:paraId="0005DBC6" w14:textId="77777777" w:rsidR="00450CF1" w:rsidRDefault="00450CF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60ECE5" w14:textId="77777777" w:rsidR="009915C0" w:rsidRPr="00E70DCE" w:rsidRDefault="009915C0" w:rsidP="00D45ADF">
    <w:pPr>
      <w:pStyle w:val="Header"/>
      <w:tabs>
        <w:tab w:val="clear" w:pos="4513"/>
        <w:tab w:val="clear" w:pos="9026"/>
        <w:tab w:val="right" w:pos="10206"/>
      </w:tabs>
      <w:spacing w:after="240"/>
      <w:rPr>
        <w:rFonts w:cstheme="minorHAnsi"/>
        <w:color w:val="999999"/>
        <w:sz w:val="20"/>
        <w:szCs w:val="20"/>
      </w:rPr>
    </w:pPr>
    <w:r>
      <w:rPr>
        <w:noProof/>
        <w:lang w:val="en-US"/>
      </w:rPr>
      <mc:AlternateContent>
        <mc:Choice Requires="wps">
          <w:drawing>
            <wp:anchor distT="0" distB="0" distL="114300" distR="114300" simplePos="0" relativeHeight="251668480" behindDoc="0" locked="0" layoutInCell="1" allowOverlap="1" wp14:anchorId="6F13C9B8" wp14:editId="652E8DB4">
              <wp:simplePos x="0" y="0"/>
              <wp:positionH relativeFrom="column">
                <wp:align>center</wp:align>
              </wp:positionH>
              <wp:positionV relativeFrom="page">
                <wp:align>bottom</wp:align>
              </wp:positionV>
              <wp:extent cx="7700400" cy="396000"/>
              <wp:effectExtent l="0" t="0" r="0" b="4445"/>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71753D51" w14:textId="77777777" w:rsidR="009915C0" w:rsidRPr="00F20A7C" w:rsidRDefault="009915C0"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F13C9B8" id="_x0000_t202" coordsize="21600,21600" o:spt="202" path="m,l,21600r21600,l21600,xe">
              <v:stroke joinstyle="miter"/>
              <v:path gradientshapeok="t" o:connecttype="rect"/>
            </v:shapetype>
            <v:shape id="Text Box 2" o:spid="_x0000_s1026" type="#_x0000_t202" style="position:absolute;margin-left:0;margin-top:0;width:606.35pt;height:31.2pt;z-index:251668480;visibility:visible;mso-wrap-style:square;mso-width-percent:0;mso-height-percent:0;mso-wrap-distance-left:9pt;mso-wrap-distance-top:0;mso-wrap-distance-right:9pt;mso-wrap-distance-bottom:0;mso-position-horizontal:center;mso-position-horizontal-relative:text;mso-position-vertical:bottom;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" fillcolor="#a5a5a5 [2092]" stroked="f">
              <v:textbox>
                <w:txbxContent>
                  <w:p w14:paraId="71753D51" w14:textId="77777777" w:rsidR="009915C0" w:rsidRPr="00F20A7C" w:rsidRDefault="009915C0"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noProof/>
        <w:lang w:val="en-US"/>
      </w:rPr>
      <mc:AlternateContent>
        <mc:Choice Requires="wps">
          <w:drawing>
            <wp:anchor distT="0" distB="0" distL="114300" distR="114300" simplePos="0" relativeHeight="251666432" behindDoc="0" locked="0" layoutInCell="1" allowOverlap="1" wp14:anchorId="45FF27F4" wp14:editId="68AC9541">
              <wp:simplePos x="0" y="0"/>
              <wp:positionH relativeFrom="column">
                <wp:align>center</wp:align>
              </wp:positionH>
              <wp:positionV relativeFrom="page">
                <wp:align>top</wp:align>
              </wp:positionV>
              <wp:extent cx="7700400" cy="396000"/>
              <wp:effectExtent l="0" t="0" r="0" b="4445"/>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00400" cy="396000"/>
                      </a:xfrm>
                      <a:prstGeom prst="rect">
                        <a:avLst/>
                      </a:prstGeom>
                      <a:solidFill>
                        <a:schemeClr val="bg1">
                          <a:lumMod val="65000"/>
                        </a:schemeClr>
                      </a:solidFill>
                      <a:ln w="9525">
                        <a:noFill/>
                        <a:miter lim="800000"/>
                        <a:headEnd/>
                        <a:tailEnd/>
                      </a:ln>
                    </wps:spPr>
                    <wps:txbx>
                      <w:txbxContent>
                        <w:p w14:paraId="531BBEFE" w14:textId="77777777" w:rsidR="009915C0" w:rsidRPr="00F20A7C" w:rsidRDefault="009915C0" w:rsidP="00514CBA">
                          <w:pPr>
                            <w:spacing w:after="0"/>
                            <w:jc w:val="center"/>
                            <w:rPr>
                              <w:color w:val="FFFFFF" w:themeColor="background1"/>
                            </w:rPr>
                          </w:pPr>
                          <w:r w:rsidRPr="00F20A7C">
                            <w:rPr>
                              <w:color w:val="FFFFFF" w:themeColor="background1"/>
                            </w:rPr>
                            <w:t>Please do not adjust margins</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45FF27F4" id="_x0000_s1027" type="#_x0000_t202" style="position:absolute;margin-left:0;margin-top:0;width:606.35pt;height:31.2pt;z-index:251666432;visibility:visible;mso-wrap-style:square;mso-width-percent:0;mso-height-percent:0;mso-wrap-distance-left:9pt;mso-wrap-distance-top:0;mso-wrap-distance-right:9pt;mso-wrap-distance-bottom:0;mso-position-horizontal:center;mso-position-horizontal-relative:text;mso-position-vertical:top;mso-position-vertical-relative:page;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" fillcolor="#a5a5a5 [2092]" stroked="f">
              <v:textbox>
                <w:txbxContent>
                  <w:p w14:paraId="531BBEFE" w14:textId="77777777" w:rsidR="009915C0" w:rsidRPr="00F20A7C" w:rsidRDefault="009915C0" w:rsidP="00514CBA">
                    <w:pPr>
                      <w:spacing w:after="0"/>
                      <w:jc w:val="center"/>
                      <w:rPr>
                        <w:color w:val="FFFFFF" w:themeColor="background1"/>
                      </w:rPr>
                    </w:pPr>
                    <w:r w:rsidRPr="00F20A7C">
                      <w:rPr>
                        <w:color w:val="FFFFFF" w:themeColor="background1"/>
                      </w:rPr>
                      <w:t>Please do not adjust margins</w:t>
                    </w:r>
                  </w:p>
                </w:txbxContent>
              </v:textbox>
              <w10:wrap anchory="page"/>
            </v:shape>
          </w:pict>
        </mc:Fallback>
      </mc:AlternateContent>
    </w:r>
    <w:r>
      <w:rPr>
        <w:rFonts w:cstheme="minorHAnsi"/>
        <w:b/>
        <w:color w:val="999999"/>
        <w:sz w:val="20"/>
        <w:szCs w:val="20"/>
      </w:rPr>
      <w:t>ARTICLE</w:t>
    </w:r>
    <w:r w:rsidRPr="00E70DCE">
      <w:rPr>
        <w:rFonts w:cstheme="minorHAnsi"/>
        <w:color w:val="999999"/>
        <w:sz w:val="20"/>
        <w:szCs w:val="20"/>
      </w:rPr>
      <w:tab/>
    </w:r>
    <w:r>
      <w:rPr>
        <w:rFonts w:cstheme="minorHAnsi"/>
        <w:b/>
        <w:color w:val="999999"/>
        <w:sz w:val="20"/>
        <w:szCs w:val="20"/>
      </w:rPr>
      <w:t>Journal Name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679A76" w14:textId="3C7E3833" w:rsidR="009915C0" w:rsidRPr="009316A6" w:rsidRDefault="009915C0" w:rsidP="00D45ADF">
    <w:pPr>
      <w:pStyle w:val="Header"/>
      <w:tabs>
        <w:tab w:val="clear" w:pos="4513"/>
        <w:tab w:val="clear" w:pos="9026"/>
        <w:tab w:val="right" w:pos="10206"/>
      </w:tabs>
      <w:spacing w:after="240"/>
      <w:rPr>
        <w:rFonts w:cstheme="minorHAnsi"/>
        <w:b/>
        <w:color w:val="999999"/>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28D340" w14:textId="33296227" w:rsidR="009915C0" w:rsidRPr="00180ABE" w:rsidRDefault="009915C0" w:rsidP="00907206">
    <w:pPr>
      <w:pStyle w:val="Header"/>
      <w:pBdr>
        <w:top w:val="single" w:sz="4" w:space="9" w:color="9CB8C7"/>
        <w:left w:val="single" w:sz="4" w:space="6" w:color="9CB8C7"/>
        <w:bottom w:val="single" w:sz="4" w:space="9" w:color="9CB8C7"/>
        <w:right w:val="single" w:sz="4" w:space="6" w:color="9CB8C7"/>
      </w:pBdr>
      <w:shd w:val="clear" w:color="auto" w:fill="9CB8C7"/>
      <w:spacing w:after="240"/>
      <w:ind w:right="170"/>
      <w:rPr>
        <w:rFonts w:cstheme="minorHAnsi"/>
        <w:color w:val="FFFFFF" w:themeColor="background1"/>
        <w:sz w:val="32"/>
        <w:szCs w:val="3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3F4CA10"/>
    <w:lvl w:ilvl="0">
      <w:start w:val="1"/>
      <w:numFmt w:val="decimal"/>
      <w:lvlText w:val="%1."/>
      <w:lvlJc w:val="left"/>
      <w:pPr>
        <w:tabs>
          <w:tab w:val="num" w:pos="1492"/>
        </w:tabs>
        <w:ind w:left="1492" w:hanging="360"/>
      </w:pPr>
    </w:lvl>
  </w:abstractNum>
  <w:abstractNum w:abstractNumId="1" w15:restartNumberingAfterBreak="0">
    <w:nsid w:val="FFFFFF7F"/>
    <w:multiLevelType w:val="singleLevel"/>
    <w:tmpl w:val="3A2E6BC2"/>
    <w:lvl w:ilvl="0">
      <w:start w:val="1"/>
      <w:numFmt w:val="decimal"/>
      <w:lvlText w:val="%1."/>
      <w:lvlJc w:val="left"/>
      <w:pPr>
        <w:tabs>
          <w:tab w:val="num" w:pos="643"/>
        </w:tabs>
        <w:ind w:left="643" w:hanging="360"/>
      </w:pPr>
    </w:lvl>
  </w:abstractNum>
  <w:abstractNum w:abstractNumId="2" w15:restartNumberingAfterBreak="0">
    <w:nsid w:val="127A02B7"/>
    <w:multiLevelType w:val="hybridMultilevel"/>
    <w:tmpl w:val="1A9AFCFC"/>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5CE18C1"/>
    <w:multiLevelType w:val="hybridMultilevel"/>
    <w:tmpl w:val="AD169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C2B0EBB"/>
    <w:multiLevelType w:val="hybridMultilevel"/>
    <w:tmpl w:val="AAD643F4"/>
    <w:lvl w:ilvl="0" w:tplc="54A6E152">
      <w:start w:val="1"/>
      <w:numFmt w:val="lowerLetter"/>
      <w:pStyle w:val="RSCF01FootnoteAuthorAddress"/>
      <w:lvlText w:val="%1."/>
      <w:lvlJc w:val="left"/>
      <w:pPr>
        <w:ind w:left="720" w:hanging="360"/>
      </w:pPr>
      <w:rPr>
        <w:rFonts w:ascii="Calibri" w:hAnsi="Calibri" w:hint="default"/>
        <w:b w:val="0"/>
        <w:i/>
        <w:vertAlign w:val="superscrip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3CC4793E"/>
    <w:multiLevelType w:val="hybridMultilevel"/>
    <w:tmpl w:val="1E5E52AA"/>
    <w:lvl w:ilvl="0" w:tplc="A2DA1DF6">
      <w:start w:val="1"/>
      <w:numFmt w:val="decimal"/>
      <w:pStyle w:val="RSCR02References"/>
      <w:lvlText w:val="%1"/>
      <w:lvlJc w:val="left"/>
      <w:pPr>
        <w:ind w:left="644"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DE4064A"/>
    <w:multiLevelType w:val="hybridMultilevel"/>
    <w:tmpl w:val="CFE8A9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7" w15:restartNumberingAfterBreak="0">
    <w:nsid w:val="4DDD5E67"/>
    <w:multiLevelType w:val="hybridMultilevel"/>
    <w:tmpl w:val="918C1248"/>
    <w:lvl w:ilvl="0" w:tplc="F11A06DC">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DFD3ADB"/>
    <w:multiLevelType w:val="hybridMultilevel"/>
    <w:tmpl w:val="9FD665D0"/>
    <w:lvl w:ilvl="0" w:tplc="6748A27A">
      <w:start w:val="1"/>
      <w:numFmt w:val="lowerLetter"/>
      <w:lvlText w:val="%1."/>
      <w:lvlJc w:val="left"/>
      <w:pPr>
        <w:ind w:left="720" w:hanging="360"/>
      </w:pPr>
      <w:rPr>
        <w:rFonts w:hint="default"/>
        <w:sz w:val="16"/>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A2E7F39"/>
    <w:multiLevelType w:val="hybridMultilevel"/>
    <w:tmpl w:val="14BA6562"/>
    <w:lvl w:ilvl="0" w:tplc="98B861D8">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4"/>
  </w:num>
  <w:num w:numId="4">
    <w:abstractNumId w:val="9"/>
  </w:num>
  <w:num w:numId="5">
    <w:abstractNumId w:val="7"/>
  </w:num>
  <w:num w:numId="6">
    <w:abstractNumId w:val="3"/>
  </w:num>
  <w:num w:numId="7">
    <w:abstractNumId w:val="6"/>
  </w:num>
  <w:num w:numId="8">
    <w:abstractNumId w:val="1"/>
  </w:num>
  <w:num w:numId="9">
    <w:abstractNumId w:val="0"/>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embedTrueTypeFonts/>
  <w:proofState w:grammar="clean"/>
  <w:attachedTemplate r:id="rId1"/>
  <w:stylePaneSortMethod w:val="0000"/>
  <w:defaultTabStop w:val="284"/>
  <w:characterSpacingControl w:val="doNotCompress"/>
  <w:hdrShapeDefaults>
    <o:shapedefaults v:ext="edit" spidmax="2049"/>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25A0"/>
    <w:rsid w:val="00005B8A"/>
    <w:rsid w:val="00007C7C"/>
    <w:rsid w:val="000131B2"/>
    <w:rsid w:val="00016050"/>
    <w:rsid w:val="00021A20"/>
    <w:rsid w:val="00022D8A"/>
    <w:rsid w:val="00024752"/>
    <w:rsid w:val="0003744F"/>
    <w:rsid w:val="000379D6"/>
    <w:rsid w:val="000622D1"/>
    <w:rsid w:val="000678F7"/>
    <w:rsid w:val="0007191B"/>
    <w:rsid w:val="00071E41"/>
    <w:rsid w:val="00073639"/>
    <w:rsid w:val="00081ED6"/>
    <w:rsid w:val="00086A98"/>
    <w:rsid w:val="00093D20"/>
    <w:rsid w:val="000A0867"/>
    <w:rsid w:val="000A2670"/>
    <w:rsid w:val="000A4EC7"/>
    <w:rsid w:val="000C0A9D"/>
    <w:rsid w:val="000C7CC3"/>
    <w:rsid w:val="000D2FAC"/>
    <w:rsid w:val="000D3FAF"/>
    <w:rsid w:val="000D5891"/>
    <w:rsid w:val="000D6963"/>
    <w:rsid w:val="000D6B9D"/>
    <w:rsid w:val="000E7A32"/>
    <w:rsid w:val="000F0959"/>
    <w:rsid w:val="000F3A41"/>
    <w:rsid w:val="000F596D"/>
    <w:rsid w:val="000F601A"/>
    <w:rsid w:val="00106B1B"/>
    <w:rsid w:val="00120227"/>
    <w:rsid w:val="00126027"/>
    <w:rsid w:val="00136C01"/>
    <w:rsid w:val="0014131B"/>
    <w:rsid w:val="001508E9"/>
    <w:rsid w:val="00150C6A"/>
    <w:rsid w:val="001633D9"/>
    <w:rsid w:val="001656F6"/>
    <w:rsid w:val="00180ABE"/>
    <w:rsid w:val="0018102F"/>
    <w:rsid w:val="00190F4A"/>
    <w:rsid w:val="001923AB"/>
    <w:rsid w:val="001A366B"/>
    <w:rsid w:val="001B69BF"/>
    <w:rsid w:val="001C1EB8"/>
    <w:rsid w:val="001D6CE6"/>
    <w:rsid w:val="001E2499"/>
    <w:rsid w:val="001E391F"/>
    <w:rsid w:val="001E59B2"/>
    <w:rsid w:val="0020271C"/>
    <w:rsid w:val="00206A82"/>
    <w:rsid w:val="00214BEC"/>
    <w:rsid w:val="00215522"/>
    <w:rsid w:val="00223959"/>
    <w:rsid w:val="002303D7"/>
    <w:rsid w:val="002318FD"/>
    <w:rsid w:val="00236CB2"/>
    <w:rsid w:val="00237C8A"/>
    <w:rsid w:val="0024022C"/>
    <w:rsid w:val="00241ACD"/>
    <w:rsid w:val="00247753"/>
    <w:rsid w:val="00253551"/>
    <w:rsid w:val="00264DC4"/>
    <w:rsid w:val="00270DD5"/>
    <w:rsid w:val="00271235"/>
    <w:rsid w:val="00272D6F"/>
    <w:rsid w:val="0028574F"/>
    <w:rsid w:val="00297C8C"/>
    <w:rsid w:val="002A5421"/>
    <w:rsid w:val="002C0803"/>
    <w:rsid w:val="002C116A"/>
    <w:rsid w:val="002C251C"/>
    <w:rsid w:val="002C3D7C"/>
    <w:rsid w:val="002C5E02"/>
    <w:rsid w:val="002C6D1F"/>
    <w:rsid w:val="002E37A5"/>
    <w:rsid w:val="002E5B1D"/>
    <w:rsid w:val="002F0CC9"/>
    <w:rsid w:val="002F52C3"/>
    <w:rsid w:val="003049C4"/>
    <w:rsid w:val="00316C11"/>
    <w:rsid w:val="00352029"/>
    <w:rsid w:val="00352AA4"/>
    <w:rsid w:val="00354579"/>
    <w:rsid w:val="00356F00"/>
    <w:rsid w:val="003613F6"/>
    <w:rsid w:val="0037158B"/>
    <w:rsid w:val="00372D8F"/>
    <w:rsid w:val="00377481"/>
    <w:rsid w:val="00385965"/>
    <w:rsid w:val="003973B6"/>
    <w:rsid w:val="003A7867"/>
    <w:rsid w:val="003A7E95"/>
    <w:rsid w:val="003B107A"/>
    <w:rsid w:val="003B739C"/>
    <w:rsid w:val="003C53DB"/>
    <w:rsid w:val="003C5403"/>
    <w:rsid w:val="003C6313"/>
    <w:rsid w:val="003D4ECA"/>
    <w:rsid w:val="003D6715"/>
    <w:rsid w:val="003E3251"/>
    <w:rsid w:val="003E55B2"/>
    <w:rsid w:val="003F7A60"/>
    <w:rsid w:val="004107A7"/>
    <w:rsid w:val="0043180D"/>
    <w:rsid w:val="004322BD"/>
    <w:rsid w:val="004414A5"/>
    <w:rsid w:val="004441EC"/>
    <w:rsid w:val="0044700B"/>
    <w:rsid w:val="00450CF1"/>
    <w:rsid w:val="00455C17"/>
    <w:rsid w:val="004621DC"/>
    <w:rsid w:val="00467171"/>
    <w:rsid w:val="00467C80"/>
    <w:rsid w:val="00473990"/>
    <w:rsid w:val="00474052"/>
    <w:rsid w:val="004877C8"/>
    <w:rsid w:val="004901D3"/>
    <w:rsid w:val="0049096C"/>
    <w:rsid w:val="00497DBD"/>
    <w:rsid w:val="004B5EA4"/>
    <w:rsid w:val="004C531E"/>
    <w:rsid w:val="004C60AC"/>
    <w:rsid w:val="004C6C90"/>
    <w:rsid w:val="004D35C7"/>
    <w:rsid w:val="005037CD"/>
    <w:rsid w:val="00504795"/>
    <w:rsid w:val="00514CBA"/>
    <w:rsid w:val="0051753C"/>
    <w:rsid w:val="005243DB"/>
    <w:rsid w:val="0052630A"/>
    <w:rsid w:val="0053177A"/>
    <w:rsid w:val="00532161"/>
    <w:rsid w:val="00533EA1"/>
    <w:rsid w:val="00543280"/>
    <w:rsid w:val="00555A16"/>
    <w:rsid w:val="00561FCA"/>
    <w:rsid w:val="00565354"/>
    <w:rsid w:val="005771C3"/>
    <w:rsid w:val="00577B54"/>
    <w:rsid w:val="00580A83"/>
    <w:rsid w:val="00585487"/>
    <w:rsid w:val="00590F6D"/>
    <w:rsid w:val="00593837"/>
    <w:rsid w:val="005A5A6D"/>
    <w:rsid w:val="005A5ED7"/>
    <w:rsid w:val="005A6E93"/>
    <w:rsid w:val="005B3C7C"/>
    <w:rsid w:val="005C1172"/>
    <w:rsid w:val="005C1A41"/>
    <w:rsid w:val="005C4465"/>
    <w:rsid w:val="005C4565"/>
    <w:rsid w:val="005D57E9"/>
    <w:rsid w:val="005E05CD"/>
    <w:rsid w:val="00613567"/>
    <w:rsid w:val="0061572F"/>
    <w:rsid w:val="00625CC6"/>
    <w:rsid w:val="00631441"/>
    <w:rsid w:val="006355E9"/>
    <w:rsid w:val="0063690A"/>
    <w:rsid w:val="00641030"/>
    <w:rsid w:val="00642EDA"/>
    <w:rsid w:val="00645D52"/>
    <w:rsid w:val="0064770B"/>
    <w:rsid w:val="0065133B"/>
    <w:rsid w:val="00654708"/>
    <w:rsid w:val="00655063"/>
    <w:rsid w:val="006556AC"/>
    <w:rsid w:val="006602F1"/>
    <w:rsid w:val="00661C55"/>
    <w:rsid w:val="00662BC7"/>
    <w:rsid w:val="00670ED4"/>
    <w:rsid w:val="00672928"/>
    <w:rsid w:val="00674A86"/>
    <w:rsid w:val="0067574E"/>
    <w:rsid w:val="00676364"/>
    <w:rsid w:val="0069132B"/>
    <w:rsid w:val="00692503"/>
    <w:rsid w:val="006A69C8"/>
    <w:rsid w:val="006A6F1D"/>
    <w:rsid w:val="006C408A"/>
    <w:rsid w:val="006D6163"/>
    <w:rsid w:val="006E31E8"/>
    <w:rsid w:val="006E32D5"/>
    <w:rsid w:val="006E58B1"/>
    <w:rsid w:val="006E71FD"/>
    <w:rsid w:val="006F01C4"/>
    <w:rsid w:val="006F487B"/>
    <w:rsid w:val="006F5F62"/>
    <w:rsid w:val="006F740B"/>
    <w:rsid w:val="007031BF"/>
    <w:rsid w:val="0071175E"/>
    <w:rsid w:val="00744A41"/>
    <w:rsid w:val="00760A7A"/>
    <w:rsid w:val="007713E4"/>
    <w:rsid w:val="00776BC0"/>
    <w:rsid w:val="00780A41"/>
    <w:rsid w:val="0078214C"/>
    <w:rsid w:val="007851AE"/>
    <w:rsid w:val="0079093F"/>
    <w:rsid w:val="00794787"/>
    <w:rsid w:val="00797F5B"/>
    <w:rsid w:val="007A37D8"/>
    <w:rsid w:val="007B6BD7"/>
    <w:rsid w:val="007C198B"/>
    <w:rsid w:val="007C3D03"/>
    <w:rsid w:val="007C4D06"/>
    <w:rsid w:val="007D1EFA"/>
    <w:rsid w:val="007D221F"/>
    <w:rsid w:val="007D5FE4"/>
    <w:rsid w:val="007D6FD0"/>
    <w:rsid w:val="007D7A4C"/>
    <w:rsid w:val="007F3C83"/>
    <w:rsid w:val="007F4121"/>
    <w:rsid w:val="008125A0"/>
    <w:rsid w:val="00813E3E"/>
    <w:rsid w:val="008276E2"/>
    <w:rsid w:val="0083066F"/>
    <w:rsid w:val="008333FD"/>
    <w:rsid w:val="00834345"/>
    <w:rsid w:val="00834FB0"/>
    <w:rsid w:val="00854F04"/>
    <w:rsid w:val="008560DE"/>
    <w:rsid w:val="00856466"/>
    <w:rsid w:val="00857BB2"/>
    <w:rsid w:val="00861208"/>
    <w:rsid w:val="00864D02"/>
    <w:rsid w:val="0088525A"/>
    <w:rsid w:val="008923BC"/>
    <w:rsid w:val="008A0D60"/>
    <w:rsid w:val="008A6B96"/>
    <w:rsid w:val="008B7AD3"/>
    <w:rsid w:val="008C0195"/>
    <w:rsid w:val="008C0D07"/>
    <w:rsid w:val="008C1387"/>
    <w:rsid w:val="008C682F"/>
    <w:rsid w:val="008D1D8C"/>
    <w:rsid w:val="008E1E98"/>
    <w:rsid w:val="008E509B"/>
    <w:rsid w:val="008F4811"/>
    <w:rsid w:val="008F4BD3"/>
    <w:rsid w:val="008F525A"/>
    <w:rsid w:val="008F530D"/>
    <w:rsid w:val="009026D4"/>
    <w:rsid w:val="00907206"/>
    <w:rsid w:val="0092763E"/>
    <w:rsid w:val="009316A6"/>
    <w:rsid w:val="00934785"/>
    <w:rsid w:val="00936114"/>
    <w:rsid w:val="0093792E"/>
    <w:rsid w:val="009400E9"/>
    <w:rsid w:val="00941964"/>
    <w:rsid w:val="00942B5D"/>
    <w:rsid w:val="00946830"/>
    <w:rsid w:val="00952240"/>
    <w:rsid w:val="0095681C"/>
    <w:rsid w:val="00962779"/>
    <w:rsid w:val="00964310"/>
    <w:rsid w:val="009654EC"/>
    <w:rsid w:val="009814BE"/>
    <w:rsid w:val="00983807"/>
    <w:rsid w:val="009915C0"/>
    <w:rsid w:val="009918D9"/>
    <w:rsid w:val="00994508"/>
    <w:rsid w:val="009A0DC1"/>
    <w:rsid w:val="009A392D"/>
    <w:rsid w:val="009C1869"/>
    <w:rsid w:val="009C740C"/>
    <w:rsid w:val="009D17C3"/>
    <w:rsid w:val="009D47C2"/>
    <w:rsid w:val="009E51F8"/>
    <w:rsid w:val="009F2649"/>
    <w:rsid w:val="00A02164"/>
    <w:rsid w:val="00A05364"/>
    <w:rsid w:val="00A074D7"/>
    <w:rsid w:val="00A12670"/>
    <w:rsid w:val="00A17D23"/>
    <w:rsid w:val="00A208E1"/>
    <w:rsid w:val="00A36199"/>
    <w:rsid w:val="00A40A50"/>
    <w:rsid w:val="00A521AB"/>
    <w:rsid w:val="00A53F70"/>
    <w:rsid w:val="00A56448"/>
    <w:rsid w:val="00A56CD0"/>
    <w:rsid w:val="00A61D3E"/>
    <w:rsid w:val="00A66C5A"/>
    <w:rsid w:val="00A70586"/>
    <w:rsid w:val="00A73863"/>
    <w:rsid w:val="00A7643E"/>
    <w:rsid w:val="00A828C8"/>
    <w:rsid w:val="00A847D0"/>
    <w:rsid w:val="00A9106D"/>
    <w:rsid w:val="00A9649E"/>
    <w:rsid w:val="00A967C8"/>
    <w:rsid w:val="00AA1341"/>
    <w:rsid w:val="00AA483C"/>
    <w:rsid w:val="00AB16D0"/>
    <w:rsid w:val="00AB2C1B"/>
    <w:rsid w:val="00AB4C59"/>
    <w:rsid w:val="00AB558F"/>
    <w:rsid w:val="00AC27D2"/>
    <w:rsid w:val="00AC3BF2"/>
    <w:rsid w:val="00AC5617"/>
    <w:rsid w:val="00AD495C"/>
    <w:rsid w:val="00AD5483"/>
    <w:rsid w:val="00AE291B"/>
    <w:rsid w:val="00AE6C9A"/>
    <w:rsid w:val="00AF0249"/>
    <w:rsid w:val="00AF150F"/>
    <w:rsid w:val="00AF4737"/>
    <w:rsid w:val="00B0470A"/>
    <w:rsid w:val="00B219FA"/>
    <w:rsid w:val="00B2364D"/>
    <w:rsid w:val="00B24744"/>
    <w:rsid w:val="00B36B78"/>
    <w:rsid w:val="00B4090A"/>
    <w:rsid w:val="00B53582"/>
    <w:rsid w:val="00B5654D"/>
    <w:rsid w:val="00B6239D"/>
    <w:rsid w:val="00B67630"/>
    <w:rsid w:val="00B70B18"/>
    <w:rsid w:val="00B722DE"/>
    <w:rsid w:val="00B7526A"/>
    <w:rsid w:val="00B75B8D"/>
    <w:rsid w:val="00B75BC3"/>
    <w:rsid w:val="00B80DDB"/>
    <w:rsid w:val="00B81EE1"/>
    <w:rsid w:val="00B82523"/>
    <w:rsid w:val="00B85ADD"/>
    <w:rsid w:val="00B9392D"/>
    <w:rsid w:val="00B9441D"/>
    <w:rsid w:val="00BA1FC2"/>
    <w:rsid w:val="00BA60BA"/>
    <w:rsid w:val="00BA761E"/>
    <w:rsid w:val="00BB3FBE"/>
    <w:rsid w:val="00BC4639"/>
    <w:rsid w:val="00BC603D"/>
    <w:rsid w:val="00BE029C"/>
    <w:rsid w:val="00C00B85"/>
    <w:rsid w:val="00C03CE1"/>
    <w:rsid w:val="00C06AA4"/>
    <w:rsid w:val="00C12EDF"/>
    <w:rsid w:val="00C172E6"/>
    <w:rsid w:val="00C3016F"/>
    <w:rsid w:val="00C3078B"/>
    <w:rsid w:val="00C31922"/>
    <w:rsid w:val="00C32EDF"/>
    <w:rsid w:val="00C33F7C"/>
    <w:rsid w:val="00C405FD"/>
    <w:rsid w:val="00C42573"/>
    <w:rsid w:val="00C5024A"/>
    <w:rsid w:val="00C559B8"/>
    <w:rsid w:val="00C57107"/>
    <w:rsid w:val="00C61263"/>
    <w:rsid w:val="00C62C2D"/>
    <w:rsid w:val="00C6320C"/>
    <w:rsid w:val="00C64C98"/>
    <w:rsid w:val="00C66B02"/>
    <w:rsid w:val="00C9227C"/>
    <w:rsid w:val="00C9557D"/>
    <w:rsid w:val="00CA2740"/>
    <w:rsid w:val="00CB20F6"/>
    <w:rsid w:val="00CB4DED"/>
    <w:rsid w:val="00CC12E6"/>
    <w:rsid w:val="00CC2E25"/>
    <w:rsid w:val="00CC5859"/>
    <w:rsid w:val="00CC7C64"/>
    <w:rsid w:val="00CD0B47"/>
    <w:rsid w:val="00CD13FE"/>
    <w:rsid w:val="00CD397B"/>
    <w:rsid w:val="00CD3F9C"/>
    <w:rsid w:val="00CE5487"/>
    <w:rsid w:val="00CF0CE9"/>
    <w:rsid w:val="00CF5F1A"/>
    <w:rsid w:val="00D010E8"/>
    <w:rsid w:val="00D02C04"/>
    <w:rsid w:val="00D138E8"/>
    <w:rsid w:val="00D20259"/>
    <w:rsid w:val="00D208BA"/>
    <w:rsid w:val="00D21668"/>
    <w:rsid w:val="00D216BC"/>
    <w:rsid w:val="00D219E2"/>
    <w:rsid w:val="00D34564"/>
    <w:rsid w:val="00D35967"/>
    <w:rsid w:val="00D366CE"/>
    <w:rsid w:val="00D40957"/>
    <w:rsid w:val="00D42F8F"/>
    <w:rsid w:val="00D43C31"/>
    <w:rsid w:val="00D45ADF"/>
    <w:rsid w:val="00D50FE3"/>
    <w:rsid w:val="00D5343A"/>
    <w:rsid w:val="00D77E54"/>
    <w:rsid w:val="00D83774"/>
    <w:rsid w:val="00D84607"/>
    <w:rsid w:val="00D84C73"/>
    <w:rsid w:val="00DA07F1"/>
    <w:rsid w:val="00DB7541"/>
    <w:rsid w:val="00DC5196"/>
    <w:rsid w:val="00DC701A"/>
    <w:rsid w:val="00DD02B0"/>
    <w:rsid w:val="00DD06F4"/>
    <w:rsid w:val="00DD500F"/>
    <w:rsid w:val="00DF53E4"/>
    <w:rsid w:val="00DF5A84"/>
    <w:rsid w:val="00E045D6"/>
    <w:rsid w:val="00E066C9"/>
    <w:rsid w:val="00E2136E"/>
    <w:rsid w:val="00E23FF0"/>
    <w:rsid w:val="00E25AF8"/>
    <w:rsid w:val="00E31A6A"/>
    <w:rsid w:val="00E341A8"/>
    <w:rsid w:val="00E42030"/>
    <w:rsid w:val="00E46BDF"/>
    <w:rsid w:val="00E547DB"/>
    <w:rsid w:val="00E555BF"/>
    <w:rsid w:val="00E61949"/>
    <w:rsid w:val="00E6578D"/>
    <w:rsid w:val="00E70DCE"/>
    <w:rsid w:val="00E717AD"/>
    <w:rsid w:val="00E7401C"/>
    <w:rsid w:val="00E80DC2"/>
    <w:rsid w:val="00E93133"/>
    <w:rsid w:val="00EA446A"/>
    <w:rsid w:val="00EA7DC1"/>
    <w:rsid w:val="00EB5BA2"/>
    <w:rsid w:val="00EB5C28"/>
    <w:rsid w:val="00EC3E18"/>
    <w:rsid w:val="00EE3AFB"/>
    <w:rsid w:val="00EF0D19"/>
    <w:rsid w:val="00EF1577"/>
    <w:rsid w:val="00EF2387"/>
    <w:rsid w:val="00EF2718"/>
    <w:rsid w:val="00EF6AD7"/>
    <w:rsid w:val="00EF6BD4"/>
    <w:rsid w:val="00F01286"/>
    <w:rsid w:val="00F04D9C"/>
    <w:rsid w:val="00F05C18"/>
    <w:rsid w:val="00F14170"/>
    <w:rsid w:val="00F157DD"/>
    <w:rsid w:val="00F15F90"/>
    <w:rsid w:val="00F21465"/>
    <w:rsid w:val="00F23C5A"/>
    <w:rsid w:val="00F27B22"/>
    <w:rsid w:val="00F337C2"/>
    <w:rsid w:val="00F5285B"/>
    <w:rsid w:val="00F55336"/>
    <w:rsid w:val="00F6065C"/>
    <w:rsid w:val="00F61EB1"/>
    <w:rsid w:val="00F62C8B"/>
    <w:rsid w:val="00F636EF"/>
    <w:rsid w:val="00F75B4F"/>
    <w:rsid w:val="00F802D4"/>
    <w:rsid w:val="00F824EF"/>
    <w:rsid w:val="00F91982"/>
    <w:rsid w:val="00F95043"/>
    <w:rsid w:val="00FA061B"/>
    <w:rsid w:val="00FA270C"/>
    <w:rsid w:val="00FA2851"/>
    <w:rsid w:val="00FA2DA2"/>
    <w:rsid w:val="00FA311A"/>
    <w:rsid w:val="00FB16A8"/>
    <w:rsid w:val="00FB471E"/>
    <w:rsid w:val="00FC1AAD"/>
    <w:rsid w:val="00FC3412"/>
    <w:rsid w:val="00FD32D0"/>
    <w:rsid w:val="00FE0FE8"/>
    <w:rsid w:val="00FF33AC"/>
    <w:rsid w:val="00FF56AA"/>
    <w:rsid w:val="00FF6B1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40B80AFC"/>
  <w15:docId w15:val="{CCB46224-A473-4DA3-AD88-BCD7EA26C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rsid w:val="00EF1577"/>
  </w:style>
  <w:style w:type="paragraph" w:styleId="Heading1">
    <w:name w:val="heading 1"/>
    <w:basedOn w:val="Normal"/>
    <w:next w:val="Normal"/>
    <w:link w:val="Heading1Char"/>
    <w:uiPriority w:val="9"/>
    <w:rsid w:val="0083434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semiHidden/>
    <w:unhideWhenUsed/>
    <w:qFormat/>
    <w:rsid w:val="00A56448"/>
    <w:pPr>
      <w:keepNext/>
      <w:keepLines/>
      <w:spacing w:before="40" w:after="0" w:line="259" w:lineRule="auto"/>
      <w:outlineLvl w:val="1"/>
    </w:pPr>
    <w:rPr>
      <w:rFonts w:asciiTheme="majorHAnsi" w:eastAsiaTheme="majorEastAsia" w:hAnsiTheme="majorHAnsi" w:cstheme="majorBidi"/>
      <w:color w:val="365F91" w:themeColor="accent1" w:themeShade="BF"/>
      <w:sz w:val="26"/>
      <w:szCs w:val="26"/>
      <w:lang w:val="es-ES"/>
    </w:rPr>
  </w:style>
  <w:style w:type="paragraph" w:styleId="Heading3">
    <w:name w:val="heading 3"/>
    <w:basedOn w:val="Normal"/>
    <w:next w:val="Normal"/>
    <w:link w:val="Heading3Char"/>
    <w:uiPriority w:val="9"/>
    <w:semiHidden/>
    <w:unhideWhenUsed/>
    <w:qFormat/>
    <w:rsid w:val="00CF0CE9"/>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547DB"/>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7DB"/>
  </w:style>
  <w:style w:type="paragraph" w:styleId="Footer">
    <w:name w:val="footer"/>
    <w:basedOn w:val="Normal"/>
    <w:link w:val="FooterChar"/>
    <w:uiPriority w:val="99"/>
    <w:unhideWhenUsed/>
    <w:rsid w:val="00E547DB"/>
    <w:pPr>
      <w:tabs>
        <w:tab w:val="center" w:pos="4513"/>
        <w:tab w:val="right" w:pos="9026"/>
      </w:tabs>
      <w:spacing w:after="0" w:line="240" w:lineRule="auto"/>
    </w:pPr>
  </w:style>
  <w:style w:type="character" w:customStyle="1" w:styleId="FooterChar">
    <w:name w:val="Footer Char"/>
    <w:basedOn w:val="DefaultParagraphFont"/>
    <w:link w:val="Footer"/>
    <w:uiPriority w:val="99"/>
    <w:rsid w:val="00E547DB"/>
  </w:style>
  <w:style w:type="paragraph" w:styleId="BalloonText">
    <w:name w:val="Balloon Text"/>
    <w:basedOn w:val="Normal"/>
    <w:link w:val="BalloonTextChar"/>
    <w:semiHidden/>
    <w:unhideWhenUsed/>
    <w:rsid w:val="00E547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E547DB"/>
    <w:rPr>
      <w:rFonts w:ascii="Tahoma" w:hAnsi="Tahoma" w:cs="Tahoma"/>
      <w:sz w:val="16"/>
      <w:szCs w:val="16"/>
    </w:rPr>
  </w:style>
  <w:style w:type="paragraph" w:customStyle="1" w:styleId="RSCH01PaperTitle">
    <w:name w:val="RSC H01 Paper Title"/>
    <w:basedOn w:val="Normal"/>
    <w:next w:val="Normal"/>
    <w:link w:val="RSCH01PaperTitleChar"/>
    <w:qFormat/>
    <w:rsid w:val="00C32EDF"/>
    <w:pPr>
      <w:tabs>
        <w:tab w:val="left" w:pos="284"/>
      </w:tabs>
      <w:spacing w:before="400" w:after="160" w:line="240" w:lineRule="auto"/>
    </w:pPr>
    <w:rPr>
      <w:rFonts w:cs="Times New Roman"/>
      <w:b/>
      <w:sz w:val="29"/>
      <w:szCs w:val="32"/>
    </w:rPr>
  </w:style>
  <w:style w:type="paragraph" w:customStyle="1" w:styleId="RSCH02PaperAuthorsandByline">
    <w:name w:val="RSC H02 Paper Authors and Byline"/>
    <w:basedOn w:val="Normal"/>
    <w:link w:val="RSCH02PaperAuthorsandBylineChar"/>
    <w:qFormat/>
    <w:rsid w:val="001633D9"/>
    <w:pPr>
      <w:spacing w:after="120" w:line="240" w:lineRule="exact"/>
    </w:pPr>
    <w:rPr>
      <w:rFonts w:cs="Times New Roman"/>
      <w:sz w:val="20"/>
    </w:rPr>
  </w:style>
  <w:style w:type="paragraph" w:customStyle="1" w:styleId="RSCB01ARTAbstract">
    <w:name w:val="RSC B01 ART Abstract"/>
    <w:basedOn w:val="Normal"/>
    <w:link w:val="RSCB01ARTAbstractChar"/>
    <w:qFormat/>
    <w:rsid w:val="00FA2DA2"/>
    <w:pPr>
      <w:spacing w:line="240" w:lineRule="exact"/>
      <w:jc w:val="both"/>
    </w:pPr>
    <w:rPr>
      <w:noProof/>
      <w:sz w:val="16"/>
      <w:lang w:eastAsia="en-GB"/>
    </w:rPr>
  </w:style>
  <w:style w:type="table" w:styleId="TableGrid">
    <w:name w:val="Table Grid"/>
    <w:basedOn w:val="TableNormal"/>
    <w:uiPriority w:val="59"/>
    <w:rsid w:val="00577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5BHeading">
    <w:name w:val="05 B Heading"/>
    <w:basedOn w:val="RSCB04AHeadingSection"/>
    <w:link w:val="05BHeadingChar"/>
    <w:rsid w:val="00AB16D0"/>
    <w:pPr>
      <w:spacing w:before="160" w:line="240" w:lineRule="exact"/>
    </w:pPr>
    <w:rPr>
      <w:rFonts w:ascii="Times New Roman" w:hAnsi="Times New Roman" w:cs="Times New Roman"/>
      <w:sz w:val="18"/>
      <w:szCs w:val="18"/>
    </w:rPr>
  </w:style>
  <w:style w:type="paragraph" w:customStyle="1" w:styleId="RSCB02ArticleText">
    <w:name w:val="RSC B02 Article Text"/>
    <w:basedOn w:val="Normal"/>
    <w:link w:val="RSCB02ArticleTextChar"/>
    <w:qFormat/>
    <w:rsid w:val="00EE3AFB"/>
    <w:pPr>
      <w:spacing w:after="0" w:line="240" w:lineRule="exact"/>
      <w:jc w:val="both"/>
    </w:pPr>
    <w:rPr>
      <w:rFonts w:cs="Times New Roman"/>
      <w:w w:val="108"/>
      <w:sz w:val="18"/>
      <w:szCs w:val="18"/>
    </w:rPr>
  </w:style>
  <w:style w:type="character" w:customStyle="1" w:styleId="06CHeading">
    <w:name w:val="06 C Heading"/>
    <w:basedOn w:val="RSCB02ArticleTextChar"/>
    <w:uiPriority w:val="1"/>
    <w:rsid w:val="00EF1577"/>
    <w:rPr>
      <w:rFonts w:ascii="Times New Roman" w:hAnsi="Times New Roman" w:cs="Times New Roman"/>
      <w:b/>
      <w:smallCaps/>
      <w:w w:val="108"/>
      <w:sz w:val="18"/>
      <w:szCs w:val="18"/>
    </w:rPr>
  </w:style>
  <w:style w:type="character" w:customStyle="1" w:styleId="RSCB02ArticleTextChar">
    <w:name w:val="RSC B02 Article Text Char"/>
    <w:basedOn w:val="DefaultParagraphFont"/>
    <w:link w:val="RSCB02ArticleText"/>
    <w:rsid w:val="00EE3AFB"/>
    <w:rPr>
      <w:rFonts w:cs="Times New Roman"/>
      <w:w w:val="108"/>
      <w:sz w:val="18"/>
      <w:szCs w:val="18"/>
    </w:rPr>
  </w:style>
  <w:style w:type="paragraph" w:customStyle="1" w:styleId="09ListText">
    <w:name w:val="09 List Text"/>
    <w:basedOn w:val="RSCB02ArticleText"/>
    <w:link w:val="09ListTextChar"/>
    <w:rsid w:val="00EF1577"/>
    <w:pPr>
      <w:widowControl w:val="0"/>
      <w:spacing w:line="230" w:lineRule="exact"/>
      <w:ind w:left="284" w:hanging="284"/>
    </w:pPr>
    <w:rPr>
      <w:rFonts w:eastAsia="Times New Roman"/>
      <w:lang w:eastAsia="en-GB"/>
    </w:rPr>
  </w:style>
  <w:style w:type="paragraph" w:customStyle="1" w:styleId="RSCF01FootnoteAuthorAddress">
    <w:name w:val="RSC F01 Footnote Author Address"/>
    <w:link w:val="RSCF01FootnoteAuthorAddressChar"/>
    <w:qFormat/>
    <w:rsid w:val="006556AC"/>
    <w:pPr>
      <w:numPr>
        <w:numId w:val="3"/>
      </w:numPr>
      <w:pBdr>
        <w:top w:val="single" w:sz="12" w:space="1" w:color="A6A6A6" w:themeColor="background1" w:themeShade="A6"/>
      </w:pBdr>
      <w:spacing w:after="0" w:line="240" w:lineRule="auto"/>
      <w:ind w:left="85" w:hanging="85"/>
      <w:suppressOverlap/>
    </w:pPr>
    <w:rPr>
      <w:rFonts w:cs="Times New Roman"/>
      <w:i/>
      <w:w w:val="105"/>
      <w:sz w:val="14"/>
      <w:szCs w:val="14"/>
    </w:rPr>
  </w:style>
  <w:style w:type="paragraph" w:customStyle="1" w:styleId="RSCI02FigureSchemeChartwithtopbar">
    <w:name w:val="RSC I02 Figure/Scheme/Chart with top bar"/>
    <w:basedOn w:val="Normal"/>
    <w:link w:val="RSCI02FigureSchemeChartwithtopbarChar"/>
    <w:qFormat/>
    <w:rsid w:val="006556AC"/>
    <w:pPr>
      <w:pBdr>
        <w:top w:val="single" w:sz="12" w:space="5" w:color="999999"/>
      </w:pBdr>
      <w:spacing w:before="120" w:after="40" w:line="240" w:lineRule="auto"/>
      <w:jc w:val="both"/>
    </w:pPr>
    <w:rPr>
      <w:rFonts w:cs="Times New Roman"/>
      <w:w w:val="108"/>
      <w:sz w:val="14"/>
      <w:szCs w:val="18"/>
    </w:rPr>
  </w:style>
  <w:style w:type="paragraph" w:customStyle="1" w:styleId="RSCI01FigureSchemeChartwithbottombar">
    <w:name w:val="RSC I01 Figure/Scheme/Chart with bottom bar"/>
    <w:basedOn w:val="Normal"/>
    <w:link w:val="RSCI01FigureSchemeChartwithbottombarChar"/>
    <w:qFormat/>
    <w:rsid w:val="006556AC"/>
    <w:pPr>
      <w:pBdr>
        <w:bottom w:val="single" w:sz="12" w:space="5" w:color="999999"/>
      </w:pBdr>
      <w:spacing w:before="40" w:after="120" w:line="120" w:lineRule="exact"/>
      <w:jc w:val="both"/>
    </w:pPr>
    <w:rPr>
      <w:rFonts w:cstheme="minorHAnsi"/>
      <w:w w:val="108"/>
      <w:sz w:val="14"/>
      <w:szCs w:val="14"/>
    </w:rPr>
  </w:style>
  <w:style w:type="paragraph" w:customStyle="1" w:styleId="RSCI03FigureSchemeChartUncaptioned">
    <w:name w:val="RSC I03 Figure/Scheme/Chart Uncaptioned"/>
    <w:basedOn w:val="Normal"/>
    <w:link w:val="RSCI03FigureSchemeChartUncaptionedChar"/>
    <w:qFormat/>
    <w:rsid w:val="006556AC"/>
    <w:pPr>
      <w:spacing w:before="160" w:after="160" w:line="240" w:lineRule="auto"/>
      <w:jc w:val="center"/>
    </w:pPr>
    <w:rPr>
      <w:rFonts w:cs="Times New Roman"/>
      <w:sz w:val="16"/>
      <w:szCs w:val="16"/>
    </w:rPr>
  </w:style>
  <w:style w:type="paragraph" w:customStyle="1" w:styleId="RSCB03MathematicsGreeketc">
    <w:name w:val="RSC B03 Mathematics/Greek etc"/>
    <w:basedOn w:val="Normal"/>
    <w:link w:val="RSCB03MathematicsGreeketcChar"/>
    <w:qFormat/>
    <w:rsid w:val="007A37D8"/>
    <w:pPr>
      <w:tabs>
        <w:tab w:val="center" w:pos="2268"/>
        <w:tab w:val="right" w:pos="4536"/>
      </w:tabs>
      <w:spacing w:before="160" w:after="160" w:line="240" w:lineRule="auto"/>
    </w:pPr>
    <w:rPr>
      <w:rFonts w:ascii="Times New Roman" w:hAnsi="Times New Roman"/>
      <w:sz w:val="18"/>
    </w:rPr>
  </w:style>
  <w:style w:type="paragraph" w:customStyle="1" w:styleId="RSCB09Biography">
    <w:name w:val="RSC B09 Biography"/>
    <w:basedOn w:val="RSCB02ArticleText"/>
    <w:link w:val="RSCB09BiographyChar"/>
    <w:qFormat/>
    <w:rsid w:val="002E5B1D"/>
    <w:pPr>
      <w:pBdr>
        <w:top w:val="single" w:sz="6" w:space="1" w:color="auto"/>
      </w:pBdr>
    </w:pPr>
    <w:rPr>
      <w:i/>
    </w:rPr>
  </w:style>
  <w:style w:type="character" w:customStyle="1" w:styleId="RSCB09BiographyChar">
    <w:name w:val="RSC B09 Biography Char"/>
    <w:basedOn w:val="RSCB02ArticleTextChar"/>
    <w:link w:val="RSCB09Biography"/>
    <w:rsid w:val="002E5B1D"/>
    <w:rPr>
      <w:rFonts w:cs="Times New Roman"/>
      <w:i/>
      <w:w w:val="108"/>
      <w:sz w:val="18"/>
      <w:szCs w:val="18"/>
    </w:rPr>
  </w:style>
  <w:style w:type="paragraph" w:customStyle="1" w:styleId="RSCF02FootnotestoTitleAuthors">
    <w:name w:val="RSC F02 Footnotes to Title/Authors"/>
    <w:basedOn w:val="Normal"/>
    <w:link w:val="RSCF02FootnotestoTitleAuthorsChar"/>
    <w:qFormat/>
    <w:rsid w:val="006556AC"/>
    <w:pPr>
      <w:tabs>
        <w:tab w:val="left" w:pos="284"/>
      </w:tabs>
      <w:spacing w:after="0" w:line="240" w:lineRule="auto"/>
      <w:suppressOverlap/>
      <w:jc w:val="both"/>
    </w:pPr>
    <w:rPr>
      <w:rFonts w:cs="Times New Roman"/>
      <w:w w:val="105"/>
      <w:sz w:val="14"/>
      <w:szCs w:val="14"/>
    </w:rPr>
  </w:style>
  <w:style w:type="character" w:customStyle="1" w:styleId="RSCF01FootnoteAuthorAddressChar">
    <w:name w:val="RSC F01 Footnote Author Address Char"/>
    <w:basedOn w:val="DefaultParagraphFont"/>
    <w:link w:val="RSCF01FootnoteAuthorAddress"/>
    <w:rsid w:val="006556AC"/>
    <w:rPr>
      <w:rFonts w:cs="Times New Roman"/>
      <w:i/>
      <w:w w:val="105"/>
      <w:sz w:val="14"/>
      <w:szCs w:val="14"/>
    </w:rPr>
  </w:style>
  <w:style w:type="paragraph" w:customStyle="1" w:styleId="RSCR02References">
    <w:name w:val="RSC R02 References"/>
    <w:basedOn w:val="RSCB02ArticleText"/>
    <w:link w:val="RSCR02ReferencesChar"/>
    <w:qFormat/>
    <w:rsid w:val="00CF5F1A"/>
    <w:pPr>
      <w:numPr>
        <w:numId w:val="2"/>
      </w:numPr>
      <w:spacing w:line="200" w:lineRule="exact"/>
      <w:ind w:left="284" w:hanging="284"/>
    </w:pPr>
    <w:rPr>
      <w:w w:val="105"/>
    </w:rPr>
  </w:style>
  <w:style w:type="character" w:customStyle="1" w:styleId="RSCF02FootnotestoTitleAuthorsChar">
    <w:name w:val="RSC F02 Footnotes to Title/Authors Char"/>
    <w:basedOn w:val="DefaultParagraphFont"/>
    <w:link w:val="RSCF02FootnotestoTitleAuthors"/>
    <w:rsid w:val="006556AC"/>
    <w:rPr>
      <w:rFonts w:cs="Times New Roman"/>
      <w:w w:val="105"/>
      <w:sz w:val="14"/>
      <w:szCs w:val="14"/>
    </w:rPr>
  </w:style>
  <w:style w:type="paragraph" w:styleId="NoSpacing">
    <w:name w:val="No Spacing"/>
    <w:uiPriority w:val="1"/>
    <w:rsid w:val="00272D6F"/>
    <w:pPr>
      <w:spacing w:after="0" w:line="240" w:lineRule="auto"/>
    </w:pPr>
  </w:style>
  <w:style w:type="character" w:customStyle="1" w:styleId="RSCR02ReferencesChar">
    <w:name w:val="RSC R02 References Char"/>
    <w:basedOn w:val="DefaultParagraphFont"/>
    <w:link w:val="RSCR02References"/>
    <w:rsid w:val="00CF5F1A"/>
    <w:rPr>
      <w:rFonts w:cs="Times New Roman"/>
      <w:w w:val="105"/>
      <w:sz w:val="18"/>
      <w:szCs w:val="18"/>
    </w:rPr>
  </w:style>
  <w:style w:type="paragraph" w:customStyle="1" w:styleId="RSCB04AHeadingSection">
    <w:name w:val="RSC B04 A Heading (Section)"/>
    <w:basedOn w:val="Normal"/>
    <w:link w:val="RSCB04AHeadingSectionChar"/>
    <w:qFormat/>
    <w:rsid w:val="00EF6BD4"/>
    <w:pPr>
      <w:spacing w:before="400" w:after="80" w:line="240" w:lineRule="auto"/>
    </w:pPr>
    <w:rPr>
      <w:b/>
      <w:sz w:val="24"/>
    </w:rPr>
  </w:style>
  <w:style w:type="character" w:customStyle="1" w:styleId="RSCH01PaperTitleChar">
    <w:name w:val="RSC H01 Paper Title Char"/>
    <w:basedOn w:val="DefaultParagraphFont"/>
    <w:link w:val="RSCH01PaperTitle"/>
    <w:rsid w:val="00C32EDF"/>
    <w:rPr>
      <w:rFonts w:cs="Times New Roman"/>
      <w:b/>
      <w:sz w:val="29"/>
      <w:szCs w:val="32"/>
    </w:rPr>
  </w:style>
  <w:style w:type="character" w:customStyle="1" w:styleId="RSCH02PaperAuthorsandBylineChar">
    <w:name w:val="RSC H02 Paper Authors and Byline Char"/>
    <w:basedOn w:val="DefaultParagraphFont"/>
    <w:link w:val="RSCH02PaperAuthorsandByline"/>
    <w:rsid w:val="001633D9"/>
    <w:rPr>
      <w:rFonts w:cs="Times New Roman"/>
      <w:sz w:val="20"/>
    </w:rPr>
  </w:style>
  <w:style w:type="character" w:customStyle="1" w:styleId="RSCB01ARTAbstractChar">
    <w:name w:val="RSC B01 ART Abstract Char"/>
    <w:basedOn w:val="DefaultParagraphFont"/>
    <w:link w:val="RSCB01ARTAbstract"/>
    <w:rsid w:val="00FA2DA2"/>
    <w:rPr>
      <w:noProof/>
      <w:sz w:val="16"/>
      <w:lang w:eastAsia="en-GB"/>
    </w:rPr>
  </w:style>
  <w:style w:type="character" w:customStyle="1" w:styleId="09ListTextChar">
    <w:name w:val="09 List Text Char"/>
    <w:basedOn w:val="RSCB02ArticleTextChar"/>
    <w:link w:val="09ListText"/>
    <w:rsid w:val="00EF1577"/>
    <w:rPr>
      <w:rFonts w:ascii="Times New Roman" w:eastAsia="Times New Roman" w:hAnsi="Times New Roman" w:cs="Times New Roman"/>
      <w:w w:val="108"/>
      <w:sz w:val="18"/>
      <w:szCs w:val="18"/>
      <w:lang w:eastAsia="en-GB"/>
    </w:rPr>
  </w:style>
  <w:style w:type="character" w:customStyle="1" w:styleId="RSCB04AHeadingSectionChar">
    <w:name w:val="RSC B04 A Heading (Section) Char"/>
    <w:basedOn w:val="DefaultParagraphFont"/>
    <w:link w:val="RSCB04AHeadingSection"/>
    <w:rsid w:val="00EF6BD4"/>
    <w:rPr>
      <w:b/>
      <w:sz w:val="24"/>
    </w:rPr>
  </w:style>
  <w:style w:type="character" w:customStyle="1" w:styleId="05BHeadingChar">
    <w:name w:val="05 B Heading Char"/>
    <w:basedOn w:val="RSCB04AHeadingSectionChar"/>
    <w:link w:val="05BHeading"/>
    <w:rsid w:val="00AB16D0"/>
    <w:rPr>
      <w:rFonts w:ascii="Times New Roman" w:hAnsi="Times New Roman" w:cs="Times New Roman"/>
      <w:b/>
      <w:sz w:val="18"/>
      <w:szCs w:val="18"/>
    </w:rPr>
  </w:style>
  <w:style w:type="paragraph" w:customStyle="1" w:styleId="RSCT01TableTitlewithtopbar">
    <w:name w:val="RSC T01 Table Title with top bar"/>
    <w:basedOn w:val="Normal"/>
    <w:link w:val="RSCT01TableTitlewithtopbarChar"/>
    <w:qFormat/>
    <w:rsid w:val="006556AC"/>
    <w:pPr>
      <w:keepNext/>
      <w:keepLines/>
      <w:pBdr>
        <w:top w:val="single" w:sz="12" w:space="1" w:color="999999"/>
        <w:bottom w:val="single" w:sz="6" w:space="1" w:color="auto"/>
      </w:pBdr>
      <w:spacing w:before="120" w:after="120" w:line="200" w:lineRule="exact"/>
      <w:jc w:val="both"/>
    </w:pPr>
    <w:rPr>
      <w:rFonts w:eastAsia="Times New Roman" w:cs="Times New Roman"/>
      <w:sz w:val="14"/>
      <w:szCs w:val="20"/>
      <w:lang w:eastAsia="en-GB"/>
    </w:rPr>
  </w:style>
  <w:style w:type="character" w:customStyle="1" w:styleId="RSCI02FigureSchemeChartwithtopbarChar">
    <w:name w:val="RSC I02 Figure/Scheme/Chart with top bar Char"/>
    <w:basedOn w:val="DefaultParagraphFont"/>
    <w:link w:val="RSCI02FigureSchemeChartwithtopbar"/>
    <w:rsid w:val="006556AC"/>
    <w:rPr>
      <w:rFonts w:cs="Times New Roman"/>
      <w:w w:val="108"/>
      <w:sz w:val="14"/>
      <w:szCs w:val="18"/>
    </w:rPr>
  </w:style>
  <w:style w:type="character" w:customStyle="1" w:styleId="RSCI01FigureSchemeChartwithbottombarChar">
    <w:name w:val="RSC I01 Figure/Scheme/Chart with bottom bar Char"/>
    <w:basedOn w:val="DefaultParagraphFont"/>
    <w:link w:val="RSCI01FigureSchemeChartwithbottombar"/>
    <w:rsid w:val="006556AC"/>
    <w:rPr>
      <w:rFonts w:cstheme="minorHAnsi"/>
      <w:w w:val="108"/>
      <w:sz w:val="14"/>
      <w:szCs w:val="14"/>
    </w:rPr>
  </w:style>
  <w:style w:type="character" w:customStyle="1" w:styleId="RSCI03FigureSchemeChartUncaptionedChar">
    <w:name w:val="RSC I03 Figure/Scheme/Chart Uncaptioned Char"/>
    <w:basedOn w:val="DefaultParagraphFont"/>
    <w:link w:val="RSCI03FigureSchemeChartUncaptioned"/>
    <w:rsid w:val="006556AC"/>
    <w:rPr>
      <w:rFonts w:cs="Times New Roman"/>
      <w:sz w:val="16"/>
      <w:szCs w:val="16"/>
    </w:rPr>
  </w:style>
  <w:style w:type="character" w:customStyle="1" w:styleId="RSCB03MathematicsGreeketcChar">
    <w:name w:val="RSC B03 Mathematics/Greek etc Char"/>
    <w:basedOn w:val="DefaultParagraphFont"/>
    <w:link w:val="RSCB03MathematicsGreeketc"/>
    <w:rsid w:val="007A37D8"/>
    <w:rPr>
      <w:rFonts w:ascii="Times New Roman" w:hAnsi="Times New Roman"/>
      <w:sz w:val="18"/>
    </w:rPr>
  </w:style>
  <w:style w:type="paragraph" w:customStyle="1" w:styleId="RSCT03TableBody">
    <w:name w:val="RSC T03 Table Body"/>
    <w:basedOn w:val="Normal"/>
    <w:link w:val="RSCT03TableBodyChar"/>
    <w:qFormat/>
    <w:rsid w:val="00B0470A"/>
    <w:pPr>
      <w:keepNext/>
      <w:keepLines/>
      <w:spacing w:after="0" w:line="220" w:lineRule="exact"/>
      <w:jc w:val="center"/>
    </w:pPr>
    <w:rPr>
      <w:rFonts w:eastAsia="Times New Roman" w:cs="Times New Roman"/>
      <w:sz w:val="16"/>
      <w:szCs w:val="16"/>
      <w:lang w:eastAsia="en-GB"/>
    </w:rPr>
  </w:style>
  <w:style w:type="character" w:customStyle="1" w:styleId="RSCT01TableTitlewithtopbarChar">
    <w:name w:val="RSC T01 Table Title with top bar Char"/>
    <w:basedOn w:val="DefaultParagraphFont"/>
    <w:link w:val="RSCT01TableTitlewithtopbar"/>
    <w:rsid w:val="006556AC"/>
    <w:rPr>
      <w:rFonts w:eastAsia="Times New Roman" w:cs="Times New Roman"/>
      <w:sz w:val="14"/>
      <w:szCs w:val="20"/>
      <w:lang w:eastAsia="en-GB"/>
    </w:rPr>
  </w:style>
  <w:style w:type="paragraph" w:customStyle="1" w:styleId="RSCT04TableFootnotewithbottombar">
    <w:name w:val="RSC T04 Table Footnote with bottom bar"/>
    <w:basedOn w:val="Normal"/>
    <w:link w:val="RSCT04TableFootnotewithbottombarChar"/>
    <w:qFormat/>
    <w:rsid w:val="006556AC"/>
    <w:pPr>
      <w:keepLines/>
      <w:pBdr>
        <w:bottom w:val="single" w:sz="12" w:space="1" w:color="999999"/>
      </w:pBdr>
      <w:spacing w:before="120" w:after="160" w:line="200" w:lineRule="exact"/>
      <w:jc w:val="both"/>
    </w:pPr>
    <w:rPr>
      <w:rFonts w:eastAsia="Times New Roman" w:cs="Times New Roman"/>
      <w:sz w:val="15"/>
      <w:szCs w:val="20"/>
      <w:lang w:eastAsia="en-GB"/>
    </w:rPr>
  </w:style>
  <w:style w:type="character" w:customStyle="1" w:styleId="RSCT03TableBodyChar">
    <w:name w:val="RSC T03 Table Body Char"/>
    <w:basedOn w:val="DefaultParagraphFont"/>
    <w:link w:val="RSCT03TableBody"/>
    <w:rsid w:val="00B0470A"/>
    <w:rPr>
      <w:rFonts w:eastAsia="Times New Roman" w:cs="Times New Roman"/>
      <w:sz w:val="16"/>
      <w:szCs w:val="16"/>
      <w:lang w:eastAsia="en-GB"/>
    </w:rPr>
  </w:style>
  <w:style w:type="character" w:customStyle="1" w:styleId="RSCT04TableFootnotewithbottombarChar">
    <w:name w:val="RSC T04 Table Footnote with bottom bar Char"/>
    <w:basedOn w:val="DefaultParagraphFont"/>
    <w:link w:val="RSCT04TableFootnotewithbottombar"/>
    <w:rsid w:val="006556AC"/>
    <w:rPr>
      <w:rFonts w:eastAsia="Times New Roman" w:cs="Times New Roman"/>
      <w:sz w:val="15"/>
      <w:szCs w:val="20"/>
      <w:lang w:eastAsia="en-GB"/>
    </w:rPr>
  </w:style>
  <w:style w:type="character" w:styleId="Hyperlink">
    <w:name w:val="Hyperlink"/>
    <w:basedOn w:val="DefaultParagraphFont"/>
    <w:uiPriority w:val="99"/>
    <w:unhideWhenUsed/>
    <w:rsid w:val="005037CD"/>
    <w:rPr>
      <w:color w:val="0000FF" w:themeColor="hyperlink"/>
      <w:u w:val="single"/>
    </w:rPr>
  </w:style>
  <w:style w:type="paragraph" w:styleId="ListParagraph">
    <w:name w:val="List Paragraph"/>
    <w:basedOn w:val="Normal"/>
    <w:uiPriority w:val="34"/>
    <w:qFormat/>
    <w:rsid w:val="00F15F90"/>
    <w:pPr>
      <w:ind w:left="720"/>
      <w:contextualSpacing/>
    </w:pPr>
  </w:style>
  <w:style w:type="paragraph" w:styleId="Revision">
    <w:name w:val="Revision"/>
    <w:hidden/>
    <w:uiPriority w:val="99"/>
    <w:semiHidden/>
    <w:rsid w:val="000D5891"/>
    <w:pPr>
      <w:spacing w:after="0" w:line="240" w:lineRule="auto"/>
    </w:pPr>
  </w:style>
  <w:style w:type="paragraph" w:styleId="FootnoteText">
    <w:name w:val="footnote text"/>
    <w:basedOn w:val="Normal"/>
    <w:link w:val="FootnoteTextChar"/>
    <w:uiPriority w:val="99"/>
    <w:unhideWhenUsed/>
    <w:rsid w:val="00CA2740"/>
    <w:pPr>
      <w:spacing w:after="0" w:line="240" w:lineRule="auto"/>
    </w:pPr>
    <w:rPr>
      <w:sz w:val="20"/>
      <w:szCs w:val="20"/>
    </w:rPr>
  </w:style>
  <w:style w:type="character" w:customStyle="1" w:styleId="FootnoteTextChar">
    <w:name w:val="Footnote Text Char"/>
    <w:basedOn w:val="DefaultParagraphFont"/>
    <w:link w:val="FootnoteText"/>
    <w:uiPriority w:val="99"/>
    <w:rsid w:val="00CA2740"/>
    <w:rPr>
      <w:sz w:val="20"/>
      <w:szCs w:val="20"/>
    </w:rPr>
  </w:style>
  <w:style w:type="character" w:styleId="FootnoteReference">
    <w:name w:val="footnote reference"/>
    <w:basedOn w:val="DefaultParagraphFont"/>
    <w:uiPriority w:val="99"/>
    <w:semiHidden/>
    <w:unhideWhenUsed/>
    <w:rsid w:val="00CA2740"/>
    <w:rPr>
      <w:vertAlign w:val="superscript"/>
    </w:rPr>
  </w:style>
  <w:style w:type="paragraph" w:styleId="NormalWeb">
    <w:name w:val="Normal (Web)"/>
    <w:basedOn w:val="Normal"/>
    <w:uiPriority w:val="99"/>
    <w:semiHidden/>
    <w:unhideWhenUsed/>
    <w:rsid w:val="00946830"/>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styleId="Caption">
    <w:name w:val="caption"/>
    <w:basedOn w:val="Normal"/>
    <w:next w:val="Normal"/>
    <w:uiPriority w:val="35"/>
    <w:unhideWhenUsed/>
    <w:rsid w:val="00B0470A"/>
    <w:pPr>
      <w:spacing w:line="200" w:lineRule="exact"/>
    </w:pPr>
    <w:rPr>
      <w:bCs/>
      <w:sz w:val="14"/>
      <w:szCs w:val="18"/>
    </w:rPr>
  </w:style>
  <w:style w:type="paragraph" w:customStyle="1" w:styleId="Style1">
    <w:name w:val="Style1"/>
    <w:basedOn w:val="RSCB02ArticleText"/>
    <w:link w:val="Style1Char"/>
    <w:rsid w:val="00B0470A"/>
  </w:style>
  <w:style w:type="paragraph" w:customStyle="1" w:styleId="RSCT05TableFootnotewithoutbottombar">
    <w:name w:val="RSC T05 Table Footnote without bottom bar"/>
    <w:basedOn w:val="RSCT04TableFootnotewithbottombar"/>
    <w:link w:val="RSCT05TableFootnotewithoutbottombarChar"/>
    <w:qFormat/>
    <w:rsid w:val="00B0470A"/>
    <w:pPr>
      <w:pBdr>
        <w:bottom w:val="none" w:sz="0" w:space="0" w:color="auto"/>
      </w:pBdr>
    </w:pPr>
  </w:style>
  <w:style w:type="character" w:customStyle="1" w:styleId="Style1Char">
    <w:name w:val="Style1 Char"/>
    <w:basedOn w:val="RSCB02ArticleTextChar"/>
    <w:link w:val="Style1"/>
    <w:rsid w:val="00B0470A"/>
    <w:rPr>
      <w:rFonts w:cs="Times New Roman"/>
      <w:w w:val="108"/>
      <w:sz w:val="18"/>
      <w:szCs w:val="18"/>
    </w:rPr>
  </w:style>
  <w:style w:type="paragraph" w:customStyle="1" w:styleId="RSCT02Tabletitlewithouttopbar">
    <w:name w:val="RSC T02 Table title without top bar"/>
    <w:basedOn w:val="RSCT01TableTitlewithtopbar"/>
    <w:link w:val="RSCT02TabletitlewithouttopbarChar"/>
    <w:qFormat/>
    <w:rsid w:val="00B0470A"/>
    <w:pPr>
      <w:pBdr>
        <w:top w:val="none" w:sz="0" w:space="0" w:color="auto"/>
      </w:pBdr>
    </w:pPr>
  </w:style>
  <w:style w:type="character" w:customStyle="1" w:styleId="RSCT05TableFootnotewithoutbottombarChar">
    <w:name w:val="RSC T05 Table Footnote without bottom bar Char"/>
    <w:basedOn w:val="RSCT04TableFootnotewithbottombarChar"/>
    <w:link w:val="RSCT05TableFootnotewithoutbottombar"/>
    <w:rsid w:val="00B0470A"/>
    <w:rPr>
      <w:rFonts w:eastAsia="Times New Roman" w:cs="Times New Roman"/>
      <w:sz w:val="15"/>
      <w:szCs w:val="20"/>
      <w:lang w:eastAsia="en-GB"/>
    </w:rPr>
  </w:style>
  <w:style w:type="paragraph" w:customStyle="1" w:styleId="RSCI04CaptiontoFigureSchemeChart">
    <w:name w:val="RSC I04 Caption to Figure/Scheme/Chart"/>
    <w:link w:val="RSCI04CaptiontoFigureSchemeChartChar"/>
    <w:qFormat/>
    <w:rsid w:val="006556AC"/>
    <w:pPr>
      <w:spacing w:line="200" w:lineRule="exact"/>
      <w:jc w:val="both"/>
    </w:pPr>
    <w:rPr>
      <w:bCs/>
      <w:sz w:val="14"/>
      <w:szCs w:val="18"/>
    </w:rPr>
  </w:style>
  <w:style w:type="character" w:customStyle="1" w:styleId="RSCT02TabletitlewithouttopbarChar">
    <w:name w:val="RSC T02 Table title without top bar Char"/>
    <w:basedOn w:val="RSCT01TableTitlewithtopbarChar"/>
    <w:link w:val="RSCT02Tabletitlewithouttopbar"/>
    <w:rsid w:val="00B0470A"/>
    <w:rPr>
      <w:rFonts w:eastAsia="Times New Roman" w:cs="Times New Roman"/>
      <w:sz w:val="14"/>
      <w:szCs w:val="20"/>
      <w:lang w:eastAsia="en-GB"/>
    </w:rPr>
  </w:style>
  <w:style w:type="paragraph" w:customStyle="1" w:styleId="RSCR01Footnotestomaintext">
    <w:name w:val="RSC R01 Footnotes to main text"/>
    <w:link w:val="RSCR01FootnotestomaintextChar"/>
    <w:qFormat/>
    <w:rsid w:val="006556AC"/>
    <w:pPr>
      <w:spacing w:line="200" w:lineRule="exact"/>
      <w:jc w:val="both"/>
    </w:pPr>
    <w:rPr>
      <w:bCs/>
      <w:sz w:val="18"/>
      <w:szCs w:val="18"/>
    </w:rPr>
  </w:style>
  <w:style w:type="character" w:customStyle="1" w:styleId="RSCI04CaptiontoFigureSchemeChartChar">
    <w:name w:val="RSC I04 Caption to Figure/Scheme/Chart Char"/>
    <w:basedOn w:val="DefaultParagraphFont"/>
    <w:link w:val="RSCI04CaptiontoFigureSchemeChart"/>
    <w:rsid w:val="006556AC"/>
    <w:rPr>
      <w:bCs/>
      <w:sz w:val="14"/>
      <w:szCs w:val="18"/>
    </w:rPr>
  </w:style>
  <w:style w:type="paragraph" w:customStyle="1" w:styleId="RSCM01ReceivedAccepted">
    <w:name w:val="RSC M01 Received/Accepted"/>
    <w:basedOn w:val="Normal"/>
    <w:link w:val="RSCM01ReceivedAcceptedChar"/>
    <w:qFormat/>
    <w:rsid w:val="004C531E"/>
    <w:pPr>
      <w:spacing w:before="960" w:after="0" w:line="180" w:lineRule="exact"/>
      <w:contextualSpacing/>
    </w:pPr>
    <w:rPr>
      <w:rFonts w:eastAsiaTheme="minorEastAsia"/>
      <w:noProof/>
      <w:sz w:val="14"/>
      <w:szCs w:val="14"/>
      <w:lang w:eastAsia="en-GB"/>
    </w:rPr>
  </w:style>
  <w:style w:type="character" w:customStyle="1" w:styleId="RSCR01FootnotestomaintextChar">
    <w:name w:val="RSC R01 Footnotes to main text Char"/>
    <w:basedOn w:val="RSCI04CaptiontoFigureSchemeChartChar"/>
    <w:link w:val="RSCR01Footnotestomaintext"/>
    <w:rsid w:val="006556AC"/>
    <w:rPr>
      <w:bCs/>
      <w:sz w:val="18"/>
      <w:szCs w:val="18"/>
    </w:rPr>
  </w:style>
  <w:style w:type="paragraph" w:customStyle="1" w:styleId="RSCM02DOI">
    <w:name w:val="RSC M02 DOI"/>
    <w:basedOn w:val="Normal"/>
    <w:link w:val="RSCM02DOIChar"/>
    <w:qFormat/>
    <w:rsid w:val="004C531E"/>
    <w:pPr>
      <w:spacing w:before="180" w:after="0" w:line="180" w:lineRule="exact"/>
    </w:pPr>
    <w:rPr>
      <w:sz w:val="14"/>
      <w:szCs w:val="14"/>
    </w:rPr>
  </w:style>
  <w:style w:type="character" w:customStyle="1" w:styleId="RSCM01ReceivedAcceptedChar">
    <w:name w:val="RSC M01 Received/Accepted Char"/>
    <w:basedOn w:val="DefaultParagraphFont"/>
    <w:link w:val="RSCM01ReceivedAccepted"/>
    <w:rsid w:val="004C531E"/>
    <w:rPr>
      <w:rFonts w:eastAsiaTheme="minorEastAsia"/>
      <w:noProof/>
      <w:sz w:val="14"/>
      <w:szCs w:val="14"/>
      <w:lang w:eastAsia="en-GB"/>
    </w:rPr>
  </w:style>
  <w:style w:type="paragraph" w:customStyle="1" w:styleId="RSCM03Website">
    <w:name w:val="RSC M03 Website"/>
    <w:basedOn w:val="Normal"/>
    <w:link w:val="RSCM03WebsiteChar"/>
    <w:qFormat/>
    <w:rsid w:val="004C531E"/>
    <w:pPr>
      <w:spacing w:line="400" w:lineRule="exact"/>
    </w:pPr>
    <w:rPr>
      <w:b/>
      <w:sz w:val="14"/>
      <w:szCs w:val="14"/>
    </w:rPr>
  </w:style>
  <w:style w:type="character" w:customStyle="1" w:styleId="RSCM02DOIChar">
    <w:name w:val="RSC M02 DOI Char"/>
    <w:basedOn w:val="DefaultParagraphFont"/>
    <w:link w:val="RSCM02DOI"/>
    <w:rsid w:val="004C531E"/>
    <w:rPr>
      <w:sz w:val="14"/>
      <w:szCs w:val="14"/>
    </w:rPr>
  </w:style>
  <w:style w:type="paragraph" w:customStyle="1" w:styleId="RSCB05AHeadingSection-standalone">
    <w:name w:val="RSC B05 A Heading (Section - stand alone)"/>
    <w:link w:val="RSCB05AHeadingSection-standaloneChar"/>
    <w:qFormat/>
    <w:rsid w:val="00EF6BD4"/>
    <w:pPr>
      <w:spacing w:before="400" w:after="160" w:line="240" w:lineRule="auto"/>
    </w:pPr>
    <w:rPr>
      <w:rFonts w:cs="Times New Roman"/>
      <w:sz w:val="24"/>
    </w:rPr>
  </w:style>
  <w:style w:type="character" w:customStyle="1" w:styleId="RSCM03WebsiteChar">
    <w:name w:val="RSC M03 Website Char"/>
    <w:basedOn w:val="DefaultParagraphFont"/>
    <w:link w:val="RSCM03Website"/>
    <w:rsid w:val="004C531E"/>
    <w:rPr>
      <w:b/>
      <w:sz w:val="14"/>
      <w:szCs w:val="14"/>
    </w:rPr>
  </w:style>
  <w:style w:type="paragraph" w:customStyle="1" w:styleId="RSCB06BHeadingSub-Section">
    <w:name w:val="RSC B06 B Heading (Sub-Section)"/>
    <w:link w:val="RSCB06BHeadingSub-SectionChar"/>
    <w:qFormat/>
    <w:rsid w:val="00EF6BD4"/>
    <w:pPr>
      <w:spacing w:after="80" w:line="240" w:lineRule="exact"/>
    </w:pPr>
    <w:rPr>
      <w:b/>
      <w:sz w:val="18"/>
    </w:rPr>
  </w:style>
  <w:style w:type="character" w:customStyle="1" w:styleId="RSCB05AHeadingSection-standaloneChar">
    <w:name w:val="RSC B05 A Heading (Section - stand alone) Char"/>
    <w:basedOn w:val="RSCH02PaperAuthorsandBylineChar"/>
    <w:link w:val="RSCB05AHeadingSection-standalone"/>
    <w:rsid w:val="00EF6BD4"/>
    <w:rPr>
      <w:rFonts w:cs="Times New Roman"/>
      <w:sz w:val="24"/>
    </w:rPr>
  </w:style>
  <w:style w:type="paragraph" w:customStyle="1" w:styleId="RSCB07BHeadingSub-Section-standalone">
    <w:name w:val="RSC B07 B Heading (Sub-Section - stand alone)"/>
    <w:link w:val="RSCB07BHeadingSub-Section-standaloneChar"/>
    <w:qFormat/>
    <w:rsid w:val="00EF6BD4"/>
    <w:pPr>
      <w:spacing w:before="160" w:after="80" w:line="240" w:lineRule="exact"/>
    </w:pPr>
    <w:rPr>
      <w:b/>
      <w:sz w:val="18"/>
    </w:rPr>
  </w:style>
  <w:style w:type="character" w:customStyle="1" w:styleId="RSCB06BHeadingSub-SectionChar">
    <w:name w:val="RSC B06 B Heading (Sub-Section) Char"/>
    <w:basedOn w:val="DefaultParagraphFont"/>
    <w:link w:val="RSCB06BHeadingSub-Section"/>
    <w:rsid w:val="00EF6BD4"/>
    <w:rPr>
      <w:b/>
      <w:sz w:val="18"/>
    </w:rPr>
  </w:style>
  <w:style w:type="paragraph" w:customStyle="1" w:styleId="RSCB08CHeadingIn-line">
    <w:name w:val="RSC B08 C Heading (In-line)"/>
    <w:link w:val="RSCB08CHeadingIn-lineChar"/>
    <w:qFormat/>
    <w:rsid w:val="00EF6BD4"/>
    <w:pPr>
      <w:spacing w:after="0"/>
    </w:pPr>
    <w:rPr>
      <w:b/>
      <w:sz w:val="18"/>
    </w:rPr>
  </w:style>
  <w:style w:type="character" w:customStyle="1" w:styleId="RSCB07BHeadingSub-Section-standaloneChar">
    <w:name w:val="RSC B07 B Heading (Sub-Section - stand alone) Char"/>
    <w:basedOn w:val="DefaultParagraphFont"/>
    <w:link w:val="RSCB07BHeadingSub-Section-standalone"/>
    <w:rsid w:val="00EF6BD4"/>
    <w:rPr>
      <w:b/>
      <w:sz w:val="18"/>
    </w:rPr>
  </w:style>
  <w:style w:type="character" w:customStyle="1" w:styleId="RSCB08CHeadingIn-lineChar">
    <w:name w:val="RSC B08 C Heading (In-line) Char"/>
    <w:basedOn w:val="DefaultParagraphFont"/>
    <w:link w:val="RSCB08CHeadingIn-line"/>
    <w:rsid w:val="00EF6BD4"/>
    <w:rPr>
      <w:b/>
      <w:sz w:val="18"/>
    </w:rPr>
  </w:style>
  <w:style w:type="paragraph" w:customStyle="1" w:styleId="RSCI05CaptiontoFigureSchemeChartwithbottombar">
    <w:name w:val="RSC I05 Caption to Figure/Scheme/Chart with bottom bar"/>
    <w:link w:val="RSCI05CaptiontoFigureSchemeChartwithbottombarChar"/>
    <w:qFormat/>
    <w:rsid w:val="006556AC"/>
    <w:pPr>
      <w:pBdr>
        <w:bottom w:val="single" w:sz="12" w:space="1" w:color="A6A6A6" w:themeColor="background1" w:themeShade="A6"/>
      </w:pBdr>
      <w:jc w:val="both"/>
    </w:pPr>
    <w:rPr>
      <w:bCs/>
      <w:sz w:val="14"/>
      <w:szCs w:val="18"/>
    </w:rPr>
  </w:style>
  <w:style w:type="character" w:customStyle="1" w:styleId="RSCI05CaptiontoFigureSchemeChartwithbottombarChar">
    <w:name w:val="RSC I05 Caption to Figure/Scheme/Chart with bottom bar Char"/>
    <w:basedOn w:val="RSCI04CaptiontoFigureSchemeChartChar"/>
    <w:link w:val="RSCI05CaptiontoFigureSchemeChartwithbottombar"/>
    <w:rsid w:val="006556AC"/>
    <w:rPr>
      <w:bCs/>
      <w:sz w:val="14"/>
      <w:szCs w:val="18"/>
    </w:rPr>
  </w:style>
  <w:style w:type="paragraph" w:customStyle="1" w:styleId="04AHeading">
    <w:name w:val="04 A Heading"/>
    <w:basedOn w:val="Normal"/>
    <w:next w:val="Normal"/>
    <w:link w:val="04AHeadingChar"/>
    <w:rsid w:val="00FA2DA2"/>
    <w:pPr>
      <w:spacing w:before="240" w:after="120" w:line="240" w:lineRule="auto"/>
    </w:pPr>
    <w:rPr>
      <w:rFonts w:ascii="Calibri" w:eastAsia="Calibri" w:hAnsi="Calibri" w:cs="Times New Roman"/>
      <w:b/>
    </w:rPr>
  </w:style>
  <w:style w:type="character" w:customStyle="1" w:styleId="04AHeadingChar">
    <w:name w:val="04 A Heading Char"/>
    <w:link w:val="04AHeading"/>
    <w:rsid w:val="00FA2DA2"/>
    <w:rPr>
      <w:rFonts w:ascii="Calibri" w:eastAsia="Calibri" w:hAnsi="Calibri" w:cs="Times New Roman"/>
      <w:b/>
    </w:rPr>
  </w:style>
  <w:style w:type="paragraph" w:customStyle="1" w:styleId="08ArticleText">
    <w:name w:val="08 Article Text"/>
    <w:basedOn w:val="Normal"/>
    <w:link w:val="08ArticleTextChar"/>
    <w:rsid w:val="00FA2DA2"/>
    <w:pPr>
      <w:tabs>
        <w:tab w:val="left" w:pos="284"/>
      </w:tabs>
      <w:spacing w:after="0" w:line="240" w:lineRule="exact"/>
      <w:jc w:val="both"/>
    </w:pPr>
    <w:rPr>
      <w:rFonts w:ascii="Times New Roman" w:eastAsia="Calibri" w:hAnsi="Times New Roman" w:cs="Times New Roman"/>
      <w:w w:val="108"/>
      <w:sz w:val="18"/>
      <w:szCs w:val="18"/>
    </w:rPr>
  </w:style>
  <w:style w:type="character" w:customStyle="1" w:styleId="08ArticleTextChar">
    <w:name w:val="08 Article Text Char"/>
    <w:link w:val="08ArticleText"/>
    <w:rsid w:val="00FA2DA2"/>
    <w:rPr>
      <w:rFonts w:ascii="Times New Roman" w:eastAsia="Calibri" w:hAnsi="Times New Roman" w:cs="Times New Roman"/>
      <w:w w:val="108"/>
      <w:sz w:val="18"/>
      <w:szCs w:val="18"/>
    </w:rPr>
  </w:style>
  <w:style w:type="character" w:styleId="FollowedHyperlink">
    <w:name w:val="FollowedHyperlink"/>
    <w:basedOn w:val="DefaultParagraphFont"/>
    <w:uiPriority w:val="99"/>
    <w:semiHidden/>
    <w:unhideWhenUsed/>
    <w:rsid w:val="0024022C"/>
    <w:rPr>
      <w:color w:val="800080" w:themeColor="followedHyperlink"/>
      <w:u w:val="single"/>
    </w:rPr>
  </w:style>
  <w:style w:type="paragraph" w:styleId="EndnoteText">
    <w:name w:val="endnote text"/>
    <w:basedOn w:val="Normal"/>
    <w:link w:val="EndnoteTextChar"/>
    <w:semiHidden/>
    <w:unhideWhenUsed/>
    <w:rsid w:val="004107A7"/>
    <w:pPr>
      <w:spacing w:after="0" w:line="240" w:lineRule="auto"/>
    </w:pPr>
    <w:rPr>
      <w:sz w:val="20"/>
      <w:szCs w:val="20"/>
      <w:lang w:val="es-ES"/>
    </w:rPr>
  </w:style>
  <w:style w:type="character" w:customStyle="1" w:styleId="EndnoteTextChar">
    <w:name w:val="Endnote Text Char"/>
    <w:basedOn w:val="DefaultParagraphFont"/>
    <w:link w:val="EndnoteText"/>
    <w:semiHidden/>
    <w:rsid w:val="004107A7"/>
    <w:rPr>
      <w:sz w:val="20"/>
      <w:szCs w:val="20"/>
      <w:lang w:val="es-ES"/>
    </w:rPr>
  </w:style>
  <w:style w:type="character" w:styleId="EndnoteReference">
    <w:name w:val="endnote reference"/>
    <w:basedOn w:val="DefaultParagraphFont"/>
    <w:semiHidden/>
    <w:unhideWhenUsed/>
    <w:rsid w:val="004107A7"/>
    <w:rPr>
      <w:vertAlign w:val="superscript"/>
    </w:rPr>
  </w:style>
  <w:style w:type="character" w:customStyle="1" w:styleId="Heading2Char">
    <w:name w:val="Heading 2 Char"/>
    <w:basedOn w:val="DefaultParagraphFont"/>
    <w:link w:val="Heading2"/>
    <w:uiPriority w:val="9"/>
    <w:semiHidden/>
    <w:rsid w:val="00A56448"/>
    <w:rPr>
      <w:rFonts w:asciiTheme="majorHAnsi" w:eastAsiaTheme="majorEastAsia" w:hAnsiTheme="majorHAnsi" w:cstheme="majorBidi"/>
      <w:color w:val="365F91" w:themeColor="accent1" w:themeShade="BF"/>
      <w:sz w:val="26"/>
      <w:szCs w:val="26"/>
      <w:lang w:val="es-ES"/>
    </w:rPr>
  </w:style>
  <w:style w:type="character" w:customStyle="1" w:styleId="jrnl">
    <w:name w:val="jrnl"/>
    <w:basedOn w:val="DefaultParagraphFont"/>
    <w:rsid w:val="00A56448"/>
  </w:style>
  <w:style w:type="paragraph" w:customStyle="1" w:styleId="Default">
    <w:name w:val="Default"/>
    <w:rsid w:val="00A56448"/>
    <w:pPr>
      <w:autoSpaceDE w:val="0"/>
      <w:autoSpaceDN w:val="0"/>
      <w:adjustRightInd w:val="0"/>
      <w:spacing w:after="0" w:line="240" w:lineRule="auto"/>
    </w:pPr>
    <w:rPr>
      <w:rFonts w:ascii="Arial" w:hAnsi="Arial" w:cs="Arial"/>
      <w:color w:val="000000"/>
      <w:sz w:val="24"/>
      <w:szCs w:val="24"/>
      <w:lang w:val="en-US"/>
    </w:rPr>
  </w:style>
  <w:style w:type="paragraph" w:customStyle="1" w:styleId="desc">
    <w:name w:val="desc"/>
    <w:basedOn w:val="Normal"/>
    <w:rsid w:val="00A56448"/>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details">
    <w:name w:val="details"/>
    <w:basedOn w:val="Normal"/>
    <w:rsid w:val="00A56448"/>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label">
    <w:name w:val="label"/>
    <w:basedOn w:val="DefaultParagraphFont"/>
    <w:rsid w:val="00A56448"/>
  </w:style>
  <w:style w:type="character" w:customStyle="1" w:styleId="databold">
    <w:name w:val="data_bold"/>
    <w:basedOn w:val="DefaultParagraphFont"/>
    <w:rsid w:val="00A56448"/>
  </w:style>
  <w:style w:type="character" w:customStyle="1" w:styleId="articleentryauthorslinks">
    <w:name w:val="articleentryauthorslinks"/>
    <w:basedOn w:val="DefaultParagraphFont"/>
    <w:rsid w:val="00A56448"/>
  </w:style>
  <w:style w:type="character" w:customStyle="1" w:styleId="entryauthor">
    <w:name w:val="entryauthor"/>
    <w:basedOn w:val="DefaultParagraphFont"/>
    <w:rsid w:val="00A56448"/>
  </w:style>
  <w:style w:type="character" w:customStyle="1" w:styleId="highwire-citation-authors">
    <w:name w:val="highwire-citation-authors"/>
    <w:basedOn w:val="DefaultParagraphFont"/>
    <w:rsid w:val="00A56448"/>
  </w:style>
  <w:style w:type="character" w:customStyle="1" w:styleId="highwire-citation-authorfirsthas-tooltiphastooltipauthor-popup-hover">
    <w:name w:val="highwire-citation-author first has-tooltip hastooltip author-popup-hover"/>
    <w:basedOn w:val="DefaultParagraphFont"/>
    <w:rsid w:val="00A56448"/>
  </w:style>
  <w:style w:type="character" w:customStyle="1" w:styleId="nlm-given-names">
    <w:name w:val="nlm-given-names"/>
    <w:basedOn w:val="DefaultParagraphFont"/>
    <w:rsid w:val="00A56448"/>
  </w:style>
  <w:style w:type="character" w:customStyle="1" w:styleId="nlm-surname">
    <w:name w:val="nlm-surname"/>
    <w:basedOn w:val="DefaultParagraphFont"/>
    <w:rsid w:val="00A56448"/>
  </w:style>
  <w:style w:type="character" w:customStyle="1" w:styleId="highwire-citation-authorhas-tooltiphastooltip">
    <w:name w:val="highwire-citation-author has-tooltip hastooltip"/>
    <w:basedOn w:val="DefaultParagraphFont"/>
    <w:rsid w:val="00A56448"/>
  </w:style>
  <w:style w:type="character" w:customStyle="1" w:styleId="highwire-citation-authorlasthas-tooltiphastooltip">
    <w:name w:val="highwire-citation-author last has-tooltip hastooltip"/>
    <w:basedOn w:val="DefaultParagraphFont"/>
    <w:rsid w:val="00A56448"/>
  </w:style>
  <w:style w:type="character" w:customStyle="1" w:styleId="entryauthornormalhlfld-contribauthor">
    <w:name w:val="entryauthor normal hlfld-contribauthor"/>
    <w:basedOn w:val="DefaultParagraphFont"/>
    <w:rsid w:val="00A56448"/>
  </w:style>
  <w:style w:type="character" w:customStyle="1" w:styleId="Heading3Char">
    <w:name w:val="Heading 3 Char"/>
    <w:basedOn w:val="DefaultParagraphFont"/>
    <w:link w:val="Heading3"/>
    <w:uiPriority w:val="9"/>
    <w:semiHidden/>
    <w:rsid w:val="00CF0CE9"/>
    <w:rPr>
      <w:rFonts w:asciiTheme="majorHAnsi" w:eastAsiaTheme="majorEastAsia" w:hAnsiTheme="majorHAnsi" w:cstheme="majorBidi"/>
      <w:color w:val="243F60" w:themeColor="accent1" w:themeShade="7F"/>
      <w:sz w:val="24"/>
      <w:szCs w:val="24"/>
    </w:rPr>
  </w:style>
  <w:style w:type="character" w:customStyle="1" w:styleId="Heading1Char">
    <w:name w:val="Heading 1 Char"/>
    <w:basedOn w:val="DefaultParagraphFont"/>
    <w:link w:val="Heading1"/>
    <w:uiPriority w:val="9"/>
    <w:rsid w:val="00834345"/>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8883697">
      <w:bodyDiv w:val="1"/>
      <w:marLeft w:val="0"/>
      <w:marRight w:val="0"/>
      <w:marTop w:val="0"/>
      <w:marBottom w:val="0"/>
      <w:divBdr>
        <w:top w:val="none" w:sz="0" w:space="0" w:color="auto"/>
        <w:left w:val="none" w:sz="0" w:space="0" w:color="auto"/>
        <w:bottom w:val="none" w:sz="0" w:space="0" w:color="auto"/>
        <w:right w:val="none" w:sz="0" w:space="0" w:color="auto"/>
      </w:divBdr>
    </w:div>
    <w:div w:id="130054262">
      <w:bodyDiv w:val="1"/>
      <w:marLeft w:val="0"/>
      <w:marRight w:val="0"/>
      <w:marTop w:val="0"/>
      <w:marBottom w:val="0"/>
      <w:divBdr>
        <w:top w:val="none" w:sz="0" w:space="0" w:color="auto"/>
        <w:left w:val="none" w:sz="0" w:space="0" w:color="auto"/>
        <w:bottom w:val="none" w:sz="0" w:space="0" w:color="auto"/>
        <w:right w:val="none" w:sz="0" w:space="0" w:color="auto"/>
      </w:divBdr>
    </w:div>
    <w:div w:id="255360505">
      <w:bodyDiv w:val="1"/>
      <w:marLeft w:val="0"/>
      <w:marRight w:val="0"/>
      <w:marTop w:val="0"/>
      <w:marBottom w:val="0"/>
      <w:divBdr>
        <w:top w:val="none" w:sz="0" w:space="0" w:color="auto"/>
        <w:left w:val="none" w:sz="0" w:space="0" w:color="auto"/>
        <w:bottom w:val="none" w:sz="0" w:space="0" w:color="auto"/>
        <w:right w:val="none" w:sz="0" w:space="0" w:color="auto"/>
      </w:divBdr>
    </w:div>
    <w:div w:id="356077340">
      <w:bodyDiv w:val="1"/>
      <w:marLeft w:val="0"/>
      <w:marRight w:val="0"/>
      <w:marTop w:val="0"/>
      <w:marBottom w:val="0"/>
      <w:divBdr>
        <w:top w:val="none" w:sz="0" w:space="0" w:color="auto"/>
        <w:left w:val="none" w:sz="0" w:space="0" w:color="auto"/>
        <w:bottom w:val="none" w:sz="0" w:space="0" w:color="auto"/>
        <w:right w:val="none" w:sz="0" w:space="0" w:color="auto"/>
      </w:divBdr>
    </w:div>
    <w:div w:id="404114518">
      <w:bodyDiv w:val="1"/>
      <w:marLeft w:val="0"/>
      <w:marRight w:val="0"/>
      <w:marTop w:val="0"/>
      <w:marBottom w:val="0"/>
      <w:divBdr>
        <w:top w:val="none" w:sz="0" w:space="0" w:color="auto"/>
        <w:left w:val="none" w:sz="0" w:space="0" w:color="auto"/>
        <w:bottom w:val="none" w:sz="0" w:space="0" w:color="auto"/>
        <w:right w:val="none" w:sz="0" w:space="0" w:color="auto"/>
      </w:divBdr>
    </w:div>
    <w:div w:id="404305591">
      <w:bodyDiv w:val="1"/>
      <w:marLeft w:val="0"/>
      <w:marRight w:val="0"/>
      <w:marTop w:val="0"/>
      <w:marBottom w:val="0"/>
      <w:divBdr>
        <w:top w:val="none" w:sz="0" w:space="0" w:color="auto"/>
        <w:left w:val="none" w:sz="0" w:space="0" w:color="auto"/>
        <w:bottom w:val="none" w:sz="0" w:space="0" w:color="auto"/>
        <w:right w:val="none" w:sz="0" w:space="0" w:color="auto"/>
      </w:divBdr>
    </w:div>
    <w:div w:id="494418786">
      <w:bodyDiv w:val="1"/>
      <w:marLeft w:val="0"/>
      <w:marRight w:val="0"/>
      <w:marTop w:val="0"/>
      <w:marBottom w:val="0"/>
      <w:divBdr>
        <w:top w:val="none" w:sz="0" w:space="0" w:color="auto"/>
        <w:left w:val="none" w:sz="0" w:space="0" w:color="auto"/>
        <w:bottom w:val="none" w:sz="0" w:space="0" w:color="auto"/>
        <w:right w:val="none" w:sz="0" w:space="0" w:color="auto"/>
      </w:divBdr>
    </w:div>
    <w:div w:id="623387460">
      <w:bodyDiv w:val="1"/>
      <w:marLeft w:val="0"/>
      <w:marRight w:val="0"/>
      <w:marTop w:val="0"/>
      <w:marBottom w:val="0"/>
      <w:divBdr>
        <w:top w:val="none" w:sz="0" w:space="0" w:color="auto"/>
        <w:left w:val="none" w:sz="0" w:space="0" w:color="auto"/>
        <w:bottom w:val="none" w:sz="0" w:space="0" w:color="auto"/>
        <w:right w:val="none" w:sz="0" w:space="0" w:color="auto"/>
      </w:divBdr>
    </w:div>
    <w:div w:id="710960423">
      <w:bodyDiv w:val="1"/>
      <w:marLeft w:val="0"/>
      <w:marRight w:val="0"/>
      <w:marTop w:val="0"/>
      <w:marBottom w:val="0"/>
      <w:divBdr>
        <w:top w:val="none" w:sz="0" w:space="0" w:color="auto"/>
        <w:left w:val="none" w:sz="0" w:space="0" w:color="auto"/>
        <w:bottom w:val="none" w:sz="0" w:space="0" w:color="auto"/>
        <w:right w:val="none" w:sz="0" w:space="0" w:color="auto"/>
      </w:divBdr>
    </w:div>
    <w:div w:id="833884671">
      <w:bodyDiv w:val="1"/>
      <w:marLeft w:val="0"/>
      <w:marRight w:val="0"/>
      <w:marTop w:val="0"/>
      <w:marBottom w:val="0"/>
      <w:divBdr>
        <w:top w:val="none" w:sz="0" w:space="0" w:color="auto"/>
        <w:left w:val="none" w:sz="0" w:space="0" w:color="auto"/>
        <w:bottom w:val="none" w:sz="0" w:space="0" w:color="auto"/>
        <w:right w:val="none" w:sz="0" w:space="0" w:color="auto"/>
      </w:divBdr>
    </w:div>
    <w:div w:id="886526841">
      <w:bodyDiv w:val="1"/>
      <w:marLeft w:val="0"/>
      <w:marRight w:val="0"/>
      <w:marTop w:val="0"/>
      <w:marBottom w:val="0"/>
      <w:divBdr>
        <w:top w:val="none" w:sz="0" w:space="0" w:color="auto"/>
        <w:left w:val="none" w:sz="0" w:space="0" w:color="auto"/>
        <w:bottom w:val="none" w:sz="0" w:space="0" w:color="auto"/>
        <w:right w:val="none" w:sz="0" w:space="0" w:color="auto"/>
      </w:divBdr>
    </w:div>
    <w:div w:id="1056196653">
      <w:bodyDiv w:val="1"/>
      <w:marLeft w:val="0"/>
      <w:marRight w:val="0"/>
      <w:marTop w:val="0"/>
      <w:marBottom w:val="0"/>
      <w:divBdr>
        <w:top w:val="none" w:sz="0" w:space="0" w:color="auto"/>
        <w:left w:val="none" w:sz="0" w:space="0" w:color="auto"/>
        <w:bottom w:val="none" w:sz="0" w:space="0" w:color="auto"/>
        <w:right w:val="none" w:sz="0" w:space="0" w:color="auto"/>
      </w:divBdr>
    </w:div>
    <w:div w:id="1147669077">
      <w:bodyDiv w:val="1"/>
      <w:marLeft w:val="0"/>
      <w:marRight w:val="0"/>
      <w:marTop w:val="0"/>
      <w:marBottom w:val="0"/>
      <w:divBdr>
        <w:top w:val="none" w:sz="0" w:space="0" w:color="auto"/>
        <w:left w:val="none" w:sz="0" w:space="0" w:color="auto"/>
        <w:bottom w:val="none" w:sz="0" w:space="0" w:color="auto"/>
        <w:right w:val="none" w:sz="0" w:space="0" w:color="auto"/>
      </w:divBdr>
    </w:div>
    <w:div w:id="1178890306">
      <w:bodyDiv w:val="1"/>
      <w:marLeft w:val="0"/>
      <w:marRight w:val="0"/>
      <w:marTop w:val="0"/>
      <w:marBottom w:val="0"/>
      <w:divBdr>
        <w:top w:val="none" w:sz="0" w:space="0" w:color="auto"/>
        <w:left w:val="none" w:sz="0" w:space="0" w:color="auto"/>
        <w:bottom w:val="none" w:sz="0" w:space="0" w:color="auto"/>
        <w:right w:val="none" w:sz="0" w:space="0" w:color="auto"/>
      </w:divBdr>
    </w:div>
    <w:div w:id="1377316516">
      <w:bodyDiv w:val="1"/>
      <w:marLeft w:val="0"/>
      <w:marRight w:val="0"/>
      <w:marTop w:val="0"/>
      <w:marBottom w:val="0"/>
      <w:divBdr>
        <w:top w:val="none" w:sz="0" w:space="0" w:color="auto"/>
        <w:left w:val="none" w:sz="0" w:space="0" w:color="auto"/>
        <w:bottom w:val="none" w:sz="0" w:space="0" w:color="auto"/>
        <w:right w:val="none" w:sz="0" w:space="0" w:color="auto"/>
      </w:divBdr>
    </w:div>
    <w:div w:id="1380132816">
      <w:bodyDiv w:val="1"/>
      <w:marLeft w:val="0"/>
      <w:marRight w:val="0"/>
      <w:marTop w:val="0"/>
      <w:marBottom w:val="0"/>
      <w:divBdr>
        <w:top w:val="none" w:sz="0" w:space="0" w:color="auto"/>
        <w:left w:val="none" w:sz="0" w:space="0" w:color="auto"/>
        <w:bottom w:val="none" w:sz="0" w:space="0" w:color="auto"/>
        <w:right w:val="none" w:sz="0" w:space="0" w:color="auto"/>
      </w:divBdr>
    </w:div>
    <w:div w:id="1409107844">
      <w:bodyDiv w:val="1"/>
      <w:marLeft w:val="0"/>
      <w:marRight w:val="0"/>
      <w:marTop w:val="0"/>
      <w:marBottom w:val="0"/>
      <w:divBdr>
        <w:top w:val="none" w:sz="0" w:space="0" w:color="auto"/>
        <w:left w:val="none" w:sz="0" w:space="0" w:color="auto"/>
        <w:bottom w:val="none" w:sz="0" w:space="0" w:color="auto"/>
        <w:right w:val="none" w:sz="0" w:space="0" w:color="auto"/>
      </w:divBdr>
    </w:div>
    <w:div w:id="1586182831">
      <w:bodyDiv w:val="1"/>
      <w:marLeft w:val="0"/>
      <w:marRight w:val="0"/>
      <w:marTop w:val="0"/>
      <w:marBottom w:val="0"/>
      <w:divBdr>
        <w:top w:val="none" w:sz="0" w:space="0" w:color="auto"/>
        <w:left w:val="none" w:sz="0" w:space="0" w:color="auto"/>
        <w:bottom w:val="none" w:sz="0" w:space="0" w:color="auto"/>
        <w:right w:val="none" w:sz="0" w:space="0" w:color="auto"/>
      </w:divBdr>
    </w:div>
    <w:div w:id="1604457870">
      <w:bodyDiv w:val="1"/>
      <w:marLeft w:val="0"/>
      <w:marRight w:val="0"/>
      <w:marTop w:val="0"/>
      <w:marBottom w:val="0"/>
      <w:divBdr>
        <w:top w:val="none" w:sz="0" w:space="0" w:color="auto"/>
        <w:left w:val="none" w:sz="0" w:space="0" w:color="auto"/>
        <w:bottom w:val="none" w:sz="0" w:space="0" w:color="auto"/>
        <w:right w:val="none" w:sz="0" w:space="0" w:color="auto"/>
      </w:divBdr>
    </w:div>
    <w:div w:id="1622568857">
      <w:bodyDiv w:val="1"/>
      <w:marLeft w:val="0"/>
      <w:marRight w:val="0"/>
      <w:marTop w:val="0"/>
      <w:marBottom w:val="0"/>
      <w:divBdr>
        <w:top w:val="none" w:sz="0" w:space="0" w:color="auto"/>
        <w:left w:val="none" w:sz="0" w:space="0" w:color="auto"/>
        <w:bottom w:val="none" w:sz="0" w:space="0" w:color="auto"/>
        <w:right w:val="none" w:sz="0" w:space="0" w:color="auto"/>
      </w:divBdr>
    </w:div>
    <w:div w:id="1751582433">
      <w:bodyDiv w:val="1"/>
      <w:marLeft w:val="0"/>
      <w:marRight w:val="0"/>
      <w:marTop w:val="0"/>
      <w:marBottom w:val="0"/>
      <w:divBdr>
        <w:top w:val="none" w:sz="0" w:space="0" w:color="auto"/>
        <w:left w:val="none" w:sz="0" w:space="0" w:color="auto"/>
        <w:bottom w:val="none" w:sz="0" w:space="0" w:color="auto"/>
        <w:right w:val="none" w:sz="0" w:space="0" w:color="auto"/>
      </w:divBdr>
    </w:div>
    <w:div w:id="1822387570">
      <w:bodyDiv w:val="1"/>
      <w:marLeft w:val="0"/>
      <w:marRight w:val="0"/>
      <w:marTop w:val="0"/>
      <w:marBottom w:val="0"/>
      <w:divBdr>
        <w:top w:val="none" w:sz="0" w:space="0" w:color="auto"/>
        <w:left w:val="none" w:sz="0" w:space="0" w:color="auto"/>
        <w:bottom w:val="none" w:sz="0" w:space="0" w:color="auto"/>
        <w:right w:val="none" w:sz="0" w:space="0" w:color="auto"/>
      </w:divBdr>
    </w:div>
    <w:div w:id="2098672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emf"/><Relationship Id="rId2" Type="http://schemas.openxmlformats.org/officeDocument/2006/relationships/numbering" Target="numbering.xml"/><Relationship Id="rId16" Type="http://schemas.openxmlformats.org/officeDocument/2006/relationships/image" Target="media/image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2.emf"/><Relationship Id="rId10" Type="http://schemas.openxmlformats.org/officeDocument/2006/relationships/footer" Target="footer1.xm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Q:\Customer%20Services%20Team\Author%20Tools%20&amp;%20Services\Author%20templates\art-template-1.7_ol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70AE25-A649-E041-ADA3-C7DC39C988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Q:\Customer Services Team\Author Tools &amp; Services\Author templates\art-template-1.7_old.dotx</Template>
  <TotalTime>14</TotalTime>
  <Pages>11</Pages>
  <Words>7884</Words>
  <Characters>44944</Characters>
  <Application>Microsoft Office Word</Application>
  <DocSecurity>0</DocSecurity>
  <Lines>374</Lines>
  <Paragraphs>105</Paragraphs>
  <ScaleCrop>false</ScaleCrop>
  <HeadingPairs>
    <vt:vector size="2" baseType="variant">
      <vt:variant>
        <vt:lpstr>Title</vt:lpstr>
      </vt:variant>
      <vt:variant>
        <vt:i4>1</vt:i4>
      </vt:variant>
    </vt:vector>
  </HeadingPairs>
  <TitlesOfParts>
    <vt:vector size="1" baseType="lpstr">
      <vt:lpstr/>
    </vt:vector>
  </TitlesOfParts>
  <Company>The Royal Society of Chemistry</Company>
  <LinksUpToDate>false</LinksUpToDate>
  <CharactersWithSpaces>52723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Kate McCallum</dc:creator>
  <cp:lastModifiedBy>Microsoft Office User</cp:lastModifiedBy>
  <cp:revision>4</cp:revision>
  <cp:lastPrinted>2014-10-09T14:34:00Z</cp:lastPrinted>
  <dcterms:created xsi:type="dcterms:W3CDTF">2018-03-28T07:46:00Z</dcterms:created>
  <dcterms:modified xsi:type="dcterms:W3CDTF">2019-07-10T16:00:00Z</dcterms:modified>
</cp:coreProperties>
</file>