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232B7" w14:textId="77777777" w:rsidR="005B2462" w:rsidRDefault="00E51002" w:rsidP="00E51002">
      <w:pPr>
        <w:spacing w:after="0" w:line="240" w:lineRule="auto"/>
        <w:contextualSpacing/>
        <w:jc w:val="center"/>
        <w:rPr>
          <w:rFonts w:ascii="Times New Roman Bold" w:eastAsia="MS Mincho" w:hAnsi="Times New Roman Bold" w:cs="Times New Roman"/>
          <w:b/>
          <w:bCs/>
          <w:smallCaps/>
          <w:kern w:val="32"/>
          <w:sz w:val="28"/>
          <w:szCs w:val="28"/>
          <w:u w:val="single"/>
        </w:rPr>
      </w:pPr>
      <w:bookmarkStart w:id="0" w:name="AppenidxXVIII"/>
      <w:bookmarkStart w:id="1" w:name="_Toc343862314"/>
      <w:bookmarkStart w:id="2" w:name="_GoBack"/>
      <w:bookmarkEnd w:id="2"/>
      <w:r>
        <w:rPr>
          <w:rFonts w:ascii="Times New Roman Bold" w:hAnsi="Times New Roman Bold"/>
          <w:b/>
          <w:bCs/>
          <w:smallCaps/>
          <w:noProof/>
          <w:sz w:val="28"/>
          <w:szCs w:val="28"/>
          <w:lang w:eastAsia="ja-JP"/>
        </w:rPr>
        <mc:AlternateContent>
          <mc:Choice Requires="wps">
            <w:drawing>
              <wp:anchor distT="0" distB="0" distL="114300" distR="114300" simplePos="0" relativeHeight="251661312" behindDoc="0" locked="0" layoutInCell="1" allowOverlap="1" wp14:anchorId="0CD6B70A" wp14:editId="2438C08B">
                <wp:simplePos x="0" y="0"/>
                <wp:positionH relativeFrom="column">
                  <wp:posOffset>-7620</wp:posOffset>
                </wp:positionH>
                <wp:positionV relativeFrom="paragraph">
                  <wp:posOffset>500366</wp:posOffset>
                </wp:positionV>
                <wp:extent cx="6069965" cy="904240"/>
                <wp:effectExtent l="0" t="0" r="0" b="0"/>
                <wp:wrapNone/>
                <wp:docPr id="82" name="Text Box 82"/>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43BD670E" w14:textId="77777777" w:rsidR="00BC6B6A" w:rsidRDefault="00BC6B6A" w:rsidP="00E51002">
                            <w:r>
                              <w:rPr>
                                <w:rFonts w:ascii="ITC Bookman" w:hAnsi="ITC Bookman"/>
                                <w:b/>
                                <w:noProof/>
                                <w:szCs w:val="20"/>
                                <w:lang w:eastAsia="ja-JP"/>
                              </w:rPr>
                              <w:drawing>
                                <wp:inline distT="0" distB="0" distL="0" distR="0" wp14:anchorId="43ADDD68" wp14:editId="0013BD45">
                                  <wp:extent cx="3492000" cy="808990"/>
                                  <wp:effectExtent l="0" t="0" r="0" b="0"/>
                                  <wp:docPr id="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61796" b="44173"/>
                                          <a:stretch/>
                                        </pic:blipFill>
                                        <pic:spPr bwMode="auto">
                                          <a:xfrm>
                                            <a:off x="0" y="0"/>
                                            <a:ext cx="3578770" cy="829092"/>
                                          </a:xfrm>
                                          <a:prstGeom prst="rect">
                                            <a:avLst/>
                                          </a:prstGeom>
                                          <a:noFill/>
                                          <a:ln>
                                            <a:noFill/>
                                          </a:ln>
                                          <a:extLst>
                                            <a:ext uri="{53640926-AAD7-44D8-BBD7-CCE9431645EC}">
                                              <a14:shadowObscured xmlns:a14="http://schemas.microsoft.com/office/drawing/2010/main"/>
                                            </a:ext>
                                          </a:extLst>
                                        </pic:spPr>
                                      </pic:pic>
                                    </a:graphicData>
                                  </a:graphic>
                                </wp:inline>
                              </w:drawing>
                            </w:r>
                            <w:r>
                              <w:rPr>
                                <w:noProof/>
                                <w:sz w:val="24"/>
                                <w:szCs w:val="24"/>
                                <w:lang w:eastAsia="ja-JP"/>
                              </w:rPr>
                              <w:drawing>
                                <wp:inline distT="0" distB="0" distL="0" distR="0" wp14:anchorId="1050B56B" wp14:editId="034C89F1">
                                  <wp:extent cx="2305978" cy="747744"/>
                                  <wp:effectExtent l="0" t="0" r="0" b="0"/>
                                  <wp:docPr id="7" name="Picture 7" descr="Y:\04 - Meetings\01 - Meeting Administration\FAO line drawnings\Auxis_rochei-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rochei-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978" cy="74774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D6B70A" id="_x0000_t202" coordsize="21600,21600" o:spt="202" path="m,l,21600r21600,l21600,xe">
                <v:stroke joinstyle="miter"/>
                <v:path gradientshapeok="t" o:connecttype="rect"/>
              </v:shapetype>
              <v:shape id="Text Box 82" o:spid="_x0000_s1026" type="#_x0000_t202" style="position:absolute;left:0;text-align:left;margin-left:-.6pt;margin-top:39.4pt;width:477.95pt;height:7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" filled="f" stroked="f" strokeweight=".5pt">
                <v:textbox>
                  <w:txbxContent>
                    <w:p w14:paraId="43BD670E" w14:textId="77777777" w:rsidR="00BC6B6A" w:rsidRDefault="00BC6B6A" w:rsidP="00E51002">
                      <w:r>
                        <w:rPr>
                          <w:rFonts w:ascii="ITC Bookman" w:hAnsi="ITC Bookman"/>
                          <w:b/>
                          <w:noProof/>
                          <w:szCs w:val="20"/>
                          <w:lang w:eastAsia="ja-JP"/>
                        </w:rPr>
                        <w:drawing>
                          <wp:inline distT="0" distB="0" distL="0" distR="0" wp14:anchorId="43ADDD68" wp14:editId="0013BD45">
                            <wp:extent cx="3492000" cy="808990"/>
                            <wp:effectExtent l="0" t="0" r="0" b="0"/>
                            <wp:docPr id="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61796" b="44173"/>
                                    <a:stretch/>
                                  </pic:blipFill>
                                  <pic:spPr bwMode="auto">
                                    <a:xfrm>
                                      <a:off x="0" y="0"/>
                                      <a:ext cx="3578770" cy="829092"/>
                                    </a:xfrm>
                                    <a:prstGeom prst="rect">
                                      <a:avLst/>
                                    </a:prstGeom>
                                    <a:noFill/>
                                    <a:ln>
                                      <a:noFill/>
                                    </a:ln>
                                    <a:extLst>
                                      <a:ext uri="{53640926-AAD7-44D8-BBD7-CCE9431645EC}">
                                        <a14:shadowObscured xmlns:a14="http://schemas.microsoft.com/office/drawing/2010/main"/>
                                      </a:ext>
                                    </a:extLst>
                                  </pic:spPr>
                                </pic:pic>
                              </a:graphicData>
                            </a:graphic>
                          </wp:inline>
                        </w:drawing>
                      </w:r>
                      <w:r>
                        <w:rPr>
                          <w:noProof/>
                          <w:sz w:val="24"/>
                          <w:szCs w:val="24"/>
                          <w:lang w:eastAsia="ja-JP"/>
                        </w:rPr>
                        <w:drawing>
                          <wp:inline distT="0" distB="0" distL="0" distR="0" wp14:anchorId="1050B56B" wp14:editId="034C89F1">
                            <wp:extent cx="2305978" cy="747744"/>
                            <wp:effectExtent l="0" t="0" r="0" b="0"/>
                            <wp:docPr id="7" name="Picture 7" descr="Y:\04 - Meetings\01 - Meeting Administration\FAO line drawnings\Auxis_rochei-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rochei-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978" cy="747744"/>
                                    </a:xfrm>
                                    <a:prstGeom prst="rect">
                                      <a:avLst/>
                                    </a:prstGeom>
                                    <a:noFill/>
                                    <a:ln>
                                      <a:noFill/>
                                    </a:ln>
                                  </pic:spPr>
                                </pic:pic>
                              </a:graphicData>
                            </a:graphic>
                          </wp:inline>
                        </w:drawing>
                      </w:r>
                    </w:p>
                  </w:txbxContent>
                </v:textbox>
              </v:shape>
            </w:pict>
          </mc:Fallback>
        </mc:AlternateContent>
      </w:r>
      <w:r>
        <w:rPr>
          <w:rFonts w:ascii="Times New Roman Bold" w:hAnsi="Times New Roman Bold"/>
          <w:b/>
          <w:bCs/>
          <w:smallCaps/>
          <w:sz w:val="28"/>
          <w:szCs w:val="28"/>
        </w:rPr>
        <w:t xml:space="preserve"> </w:t>
      </w:r>
    </w:p>
    <w:p w14:paraId="27D069CD"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rPr>
      </w:pPr>
      <w:r>
        <w:rPr>
          <w:rFonts w:ascii="Times New Roman Bold" w:hAnsi="Times New Roman Bold"/>
          <w:b/>
          <w:bCs/>
          <w:smallCaps/>
          <w:sz w:val="28"/>
          <w:szCs w:val="28"/>
        </w:rPr>
        <w:t>Résumé exécutif : Bonitou</w:t>
      </w:r>
      <w:bookmarkEnd w:id="0"/>
      <w:bookmarkEnd w:id="1"/>
      <w:r>
        <w:rPr>
          <w:rFonts w:ascii="Times New Roman Bold" w:hAnsi="Times New Roman Bold"/>
          <w:b/>
          <w:bCs/>
          <w:smallCaps/>
          <w:sz w:val="28"/>
          <w:szCs w:val="28"/>
        </w:rPr>
        <w:br/>
      </w:r>
    </w:p>
    <w:p w14:paraId="0177B6B7" w14:textId="77777777" w:rsidR="00E51002" w:rsidRPr="00D704AD" w:rsidRDefault="00E51002" w:rsidP="00E51002">
      <w:pPr>
        <w:spacing w:after="0" w:line="240" w:lineRule="auto"/>
        <w:contextualSpacing/>
        <w:jc w:val="right"/>
        <w:rPr>
          <w:rFonts w:ascii="Times New Roman Bold" w:eastAsia="MS Mincho" w:hAnsi="Times New Roman Bold" w:cs="Times New Roman"/>
          <w:b/>
          <w:bCs/>
          <w:smallCaps/>
          <w:kern w:val="32"/>
          <w:sz w:val="28"/>
          <w:szCs w:val="28"/>
          <w:lang w:val="en-GB"/>
        </w:rPr>
      </w:pPr>
    </w:p>
    <w:p w14:paraId="68A94AC4"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41A63B90" w14:textId="77777777" w:rsidR="00E51002" w:rsidRPr="00D704AD" w:rsidRDefault="00E51002" w:rsidP="00E51002">
      <w:pPr>
        <w:spacing w:after="0" w:line="240" w:lineRule="auto"/>
        <w:contextualSpacing/>
        <w:jc w:val="center"/>
        <w:rPr>
          <w:rFonts w:ascii="Times New Roman Bold" w:eastAsia="MS Mincho" w:hAnsi="Times New Roman Bold" w:cs="Times New Roman"/>
          <w:b/>
          <w:bCs/>
          <w:smallCaps/>
          <w:kern w:val="32"/>
          <w:sz w:val="28"/>
          <w:szCs w:val="28"/>
          <w:lang w:val="en-GB"/>
        </w:rPr>
      </w:pPr>
    </w:p>
    <w:p w14:paraId="2147DA02" w14:textId="77777777" w:rsidR="00E51002" w:rsidRPr="00D704AD" w:rsidRDefault="00E51002"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kern w:val="32"/>
          <w:lang w:val="en-GB"/>
        </w:rPr>
      </w:pPr>
    </w:p>
    <w:p w14:paraId="5C833845" w14:textId="77777777" w:rsidR="00E51002" w:rsidRPr="00D704AD" w:rsidRDefault="00E51002" w:rsidP="00E51002">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 xml:space="preserve">État de la ressource de bonitou dans l'océan Indien (BLT : </w:t>
      </w:r>
      <w:r>
        <w:rPr>
          <w:rFonts w:ascii="Times New Roman" w:hAnsi="Times New Roman"/>
          <w:b/>
          <w:i/>
          <w:sz w:val="28"/>
          <w:szCs w:val="28"/>
        </w:rPr>
        <w:t>Auxis rochei</w:t>
      </w:r>
      <w:r>
        <w:rPr>
          <w:rFonts w:ascii="Times New Roman" w:hAnsi="Times New Roman"/>
          <w:b/>
          <w:sz w:val="28"/>
          <w:szCs w:val="28"/>
        </w:rPr>
        <w:t xml:space="preserve">) </w:t>
      </w:r>
    </w:p>
    <w:p w14:paraId="31129C17" w14:textId="77777777" w:rsidR="00E51002" w:rsidRPr="00D704AD" w:rsidRDefault="00E51002" w:rsidP="00E51002">
      <w:pPr>
        <w:spacing w:after="0" w:line="240" w:lineRule="auto"/>
        <w:jc w:val="both"/>
        <w:rPr>
          <w:rFonts w:ascii="Times New Roman" w:eastAsia="Times New Roman" w:hAnsi="Times New Roman" w:cs="Times New Roman"/>
          <w:szCs w:val="24"/>
          <w:lang w:val="en-GB" w:eastAsia="fr-FR"/>
        </w:rPr>
      </w:pPr>
    </w:p>
    <w:p w14:paraId="31FADCD9" w14:textId="77777777" w:rsidR="00CB7486" w:rsidRPr="00D704AD" w:rsidRDefault="00CB7486" w:rsidP="00CB7486">
      <w:pPr>
        <w:spacing w:after="0" w:line="240" w:lineRule="auto"/>
        <w:jc w:val="both"/>
        <w:rPr>
          <w:rFonts w:ascii="Times New Roman" w:eastAsia="Times New Roman" w:hAnsi="Times New Roman" w:cs="Times New Roman"/>
          <w:szCs w:val="24"/>
        </w:rPr>
      </w:pPr>
      <w:r>
        <w:rPr>
          <w:rFonts w:ascii="Times New Roman" w:hAnsi="Times New Roman"/>
          <w:b/>
          <w:szCs w:val="24"/>
        </w:rPr>
        <w:t>TABLEAU 1.</w:t>
      </w:r>
      <w:r>
        <w:rPr>
          <w:rFonts w:ascii="Times New Roman" w:hAnsi="Times New Roman"/>
          <w:szCs w:val="24"/>
        </w:rPr>
        <w:t xml:space="preserve"> Bonitou : État du bonitou (</w:t>
      </w:r>
      <w:r>
        <w:rPr>
          <w:rFonts w:ascii="Times New Roman" w:hAnsi="Times New Roman"/>
          <w:i/>
          <w:szCs w:val="24"/>
        </w:rPr>
        <w:t>Auxis rochei</w:t>
      </w:r>
      <w:r>
        <w:rPr>
          <w:rFonts w:ascii="Times New Roman" w:hAnsi="Times New Roman"/>
          <w:szCs w:val="24"/>
        </w:rPr>
        <w:t>) dans l’océan Indien.</w:t>
      </w:r>
    </w:p>
    <w:tbl>
      <w:tblPr>
        <w:tblStyle w:val="TableGrid5207"/>
        <w:tblW w:w="9223" w:type="dxa"/>
        <w:jc w:val="center"/>
        <w:tblLayout w:type="fixed"/>
        <w:tblLook w:val="04A0" w:firstRow="1" w:lastRow="0" w:firstColumn="1" w:lastColumn="0" w:noHBand="0" w:noVBand="1"/>
      </w:tblPr>
      <w:tblGrid>
        <w:gridCol w:w="2370"/>
        <w:gridCol w:w="2663"/>
        <w:gridCol w:w="2557"/>
        <w:gridCol w:w="1633"/>
      </w:tblGrid>
      <w:tr w:rsidR="00D704AD" w:rsidRPr="00D704AD" w14:paraId="4401FBD6" w14:textId="77777777" w:rsidTr="00ED087F">
        <w:trPr>
          <w:trHeight w:val="960"/>
          <w:jc w:val="center"/>
        </w:trPr>
        <w:tc>
          <w:tcPr>
            <w:tcW w:w="2370" w:type="dxa"/>
            <w:vAlign w:val="center"/>
          </w:tcPr>
          <w:p w14:paraId="7FF73709" w14:textId="77777777" w:rsidR="00B10D34" w:rsidRPr="00D704AD" w:rsidRDefault="00B10D34" w:rsidP="00ED087F">
            <w:pPr>
              <w:jc w:val="center"/>
              <w:rPr>
                <w:b/>
                <w:sz w:val="20"/>
                <w:szCs w:val="20"/>
              </w:rPr>
            </w:pPr>
            <w:r>
              <w:rPr>
                <w:b/>
                <w:sz w:val="20"/>
                <w:szCs w:val="20"/>
              </w:rPr>
              <w:t>Zone</w:t>
            </w:r>
            <w:r>
              <w:rPr>
                <w:b/>
                <w:sz w:val="20"/>
                <w:szCs w:val="20"/>
                <w:vertAlign w:val="superscript"/>
              </w:rPr>
              <w:t>1</w:t>
            </w:r>
          </w:p>
        </w:tc>
        <w:tc>
          <w:tcPr>
            <w:tcW w:w="5220" w:type="dxa"/>
            <w:gridSpan w:val="2"/>
            <w:vAlign w:val="center"/>
          </w:tcPr>
          <w:p w14:paraId="4A075C0A" w14:textId="77777777" w:rsidR="00B10D34" w:rsidRPr="00D704AD" w:rsidRDefault="00B10D34" w:rsidP="00ED087F">
            <w:pPr>
              <w:autoSpaceDE w:val="0"/>
              <w:jc w:val="center"/>
              <w:rPr>
                <w:b/>
                <w:sz w:val="20"/>
                <w:szCs w:val="20"/>
              </w:rPr>
            </w:pPr>
            <w:r>
              <w:rPr>
                <w:b/>
                <w:sz w:val="20"/>
                <w:szCs w:val="20"/>
              </w:rPr>
              <w:t>Indicateurs</w:t>
            </w:r>
          </w:p>
        </w:tc>
        <w:tc>
          <w:tcPr>
            <w:tcW w:w="1633" w:type="dxa"/>
            <w:vAlign w:val="center"/>
          </w:tcPr>
          <w:p w14:paraId="1762CA92" w14:textId="1ACC9BE2" w:rsidR="00B10D34" w:rsidRPr="00D704AD" w:rsidRDefault="00234F2F" w:rsidP="00234F2F">
            <w:pPr>
              <w:autoSpaceDE w:val="0"/>
              <w:jc w:val="center"/>
              <w:rPr>
                <w:b/>
                <w:sz w:val="20"/>
                <w:szCs w:val="20"/>
              </w:rPr>
            </w:pPr>
            <w:r>
              <w:rPr>
                <w:b/>
                <w:sz w:val="20"/>
                <w:szCs w:val="20"/>
              </w:rPr>
              <w:t>Détermination de l’état du stock 2017</w:t>
            </w:r>
          </w:p>
        </w:tc>
      </w:tr>
      <w:tr w:rsidR="00D704AD" w:rsidRPr="00D704AD" w14:paraId="1D11EB8F" w14:textId="77777777" w:rsidTr="00ED087F">
        <w:trPr>
          <w:trHeight w:val="576"/>
          <w:jc w:val="center"/>
        </w:trPr>
        <w:tc>
          <w:tcPr>
            <w:tcW w:w="2370" w:type="dxa"/>
            <w:vMerge w:val="restart"/>
            <w:vAlign w:val="center"/>
          </w:tcPr>
          <w:p w14:paraId="1B270E72" w14:textId="77777777" w:rsidR="00B10D34" w:rsidRPr="00D704AD" w:rsidRDefault="00B10D34" w:rsidP="00ED087F">
            <w:pPr>
              <w:jc w:val="center"/>
              <w:rPr>
                <w:sz w:val="20"/>
                <w:szCs w:val="20"/>
              </w:rPr>
            </w:pPr>
            <w:r>
              <w:rPr>
                <w:sz w:val="20"/>
                <w:szCs w:val="20"/>
              </w:rPr>
              <w:t>océan Indien</w:t>
            </w:r>
          </w:p>
        </w:tc>
        <w:tc>
          <w:tcPr>
            <w:tcW w:w="2663" w:type="dxa"/>
            <w:vAlign w:val="center"/>
          </w:tcPr>
          <w:p w14:paraId="4461ECC0" w14:textId="68EAD383" w:rsidR="00B10D34" w:rsidRPr="00D704AD" w:rsidRDefault="00B10D34" w:rsidP="00ED087F">
            <w:pPr>
              <w:tabs>
                <w:tab w:val="right" w:pos="932"/>
                <w:tab w:val="left" w:pos="1168"/>
              </w:tabs>
              <w:jc w:val="right"/>
              <w:rPr>
                <w:sz w:val="20"/>
                <w:szCs w:val="20"/>
              </w:rPr>
            </w:pPr>
            <w:r>
              <w:rPr>
                <w:sz w:val="20"/>
                <w:szCs w:val="20"/>
              </w:rPr>
              <w:t>Prises 2016</w:t>
            </w:r>
            <w:r>
              <w:rPr>
                <w:sz w:val="20"/>
                <w:szCs w:val="20"/>
                <w:vertAlign w:val="superscript"/>
              </w:rPr>
              <w:t>2</w:t>
            </w:r>
            <w:r>
              <w:rPr>
                <w:sz w:val="20"/>
                <w:szCs w:val="20"/>
              </w:rPr>
              <w:t xml:space="preserve"> :</w:t>
            </w:r>
          </w:p>
          <w:p w14:paraId="7BC46A92" w14:textId="7726DB88" w:rsidR="00B10D34" w:rsidRPr="00D704AD" w:rsidRDefault="00B10D34" w:rsidP="00EA559B">
            <w:pPr>
              <w:tabs>
                <w:tab w:val="right" w:pos="932"/>
                <w:tab w:val="left" w:pos="1168"/>
              </w:tabs>
              <w:jc w:val="right"/>
              <w:rPr>
                <w:sz w:val="20"/>
                <w:szCs w:val="20"/>
              </w:rPr>
            </w:pPr>
            <w:r>
              <w:rPr>
                <w:sz w:val="20"/>
                <w:szCs w:val="20"/>
              </w:rPr>
              <w:t>Prises moyennes 2012–2016 :</w:t>
            </w:r>
          </w:p>
        </w:tc>
        <w:tc>
          <w:tcPr>
            <w:tcW w:w="2557" w:type="dxa"/>
            <w:vAlign w:val="center"/>
          </w:tcPr>
          <w:p w14:paraId="393967AA" w14:textId="1EE04D13" w:rsidR="00B10D34" w:rsidRPr="00D704AD" w:rsidRDefault="00EA559B" w:rsidP="00ED087F">
            <w:pPr>
              <w:rPr>
                <w:rFonts w:eastAsia="SimSun"/>
                <w:sz w:val="20"/>
                <w:szCs w:val="20"/>
              </w:rPr>
            </w:pPr>
            <w:r>
              <w:rPr>
                <w:sz w:val="20"/>
                <w:szCs w:val="20"/>
              </w:rPr>
              <w:t>8 900 t</w:t>
            </w:r>
          </w:p>
          <w:p w14:paraId="6A4AABB6" w14:textId="1E56DA7B" w:rsidR="00B10D34" w:rsidRPr="00D704AD" w:rsidRDefault="00EA559B" w:rsidP="00234F2F">
            <w:pPr>
              <w:rPr>
                <w:sz w:val="20"/>
                <w:szCs w:val="20"/>
              </w:rPr>
            </w:pPr>
            <w:r>
              <w:rPr>
                <w:sz w:val="20"/>
                <w:szCs w:val="20"/>
              </w:rPr>
              <w:t>9 099 t</w:t>
            </w:r>
          </w:p>
        </w:tc>
        <w:tc>
          <w:tcPr>
            <w:tcW w:w="1633" w:type="dxa"/>
            <w:vMerge w:val="restart"/>
            <w:shd w:val="clear" w:color="auto" w:fill="D9D9D9"/>
            <w:vAlign w:val="center"/>
          </w:tcPr>
          <w:p w14:paraId="4DAA65D8" w14:textId="77777777" w:rsidR="00B10D34" w:rsidRPr="00D704AD" w:rsidRDefault="00B10D34" w:rsidP="00ED087F">
            <w:pPr>
              <w:keepNext/>
              <w:keepLines/>
              <w:jc w:val="center"/>
              <w:outlineLvl w:val="0"/>
              <w:rPr>
                <w:rFonts w:cs="Arial"/>
                <w:b/>
                <w:bCs/>
                <w:smallCaps/>
                <w:kern w:val="32"/>
                <w:sz w:val="20"/>
                <w:szCs w:val="20"/>
                <w:lang w:val="en-GB"/>
              </w:rPr>
            </w:pPr>
          </w:p>
        </w:tc>
      </w:tr>
      <w:tr w:rsidR="00D704AD" w:rsidRPr="00D704AD" w14:paraId="6B9F6A68" w14:textId="77777777" w:rsidTr="00ED087F">
        <w:trPr>
          <w:trHeight w:val="1443"/>
          <w:jc w:val="center"/>
        </w:trPr>
        <w:tc>
          <w:tcPr>
            <w:tcW w:w="2370" w:type="dxa"/>
            <w:vMerge/>
            <w:vAlign w:val="center"/>
          </w:tcPr>
          <w:p w14:paraId="5386897E" w14:textId="77777777" w:rsidR="00B10D34" w:rsidRPr="00D704AD" w:rsidRDefault="00B10D34" w:rsidP="00ED087F">
            <w:pPr>
              <w:jc w:val="center"/>
              <w:rPr>
                <w:sz w:val="20"/>
                <w:szCs w:val="20"/>
                <w:lang w:val="en-GB"/>
              </w:rPr>
            </w:pPr>
          </w:p>
        </w:tc>
        <w:tc>
          <w:tcPr>
            <w:tcW w:w="2663" w:type="dxa"/>
            <w:vAlign w:val="center"/>
          </w:tcPr>
          <w:p w14:paraId="6B55779E" w14:textId="77777777" w:rsidR="00B10D34" w:rsidRPr="00D704AD" w:rsidRDefault="00B10D34" w:rsidP="00ED087F">
            <w:pPr>
              <w:tabs>
                <w:tab w:val="right" w:pos="932"/>
                <w:tab w:val="left" w:pos="1168"/>
              </w:tabs>
              <w:jc w:val="right"/>
              <w:rPr>
                <w:sz w:val="20"/>
                <w:szCs w:val="20"/>
              </w:rPr>
            </w:pPr>
            <w:r>
              <w:rPr>
                <w:sz w:val="20"/>
                <w:szCs w:val="20"/>
              </w:rPr>
              <w:t>PME (1 000 t) (IC 80 %) :</w:t>
            </w:r>
          </w:p>
          <w:p w14:paraId="48DAE83A" w14:textId="77777777" w:rsidR="00B10D34" w:rsidRPr="00D704AD" w:rsidRDefault="00B10D34" w:rsidP="00ED087F">
            <w:pPr>
              <w:tabs>
                <w:tab w:val="right" w:pos="932"/>
                <w:tab w:val="left" w:pos="1168"/>
              </w:tabs>
              <w:jc w:val="right"/>
              <w:rPr>
                <w:sz w:val="20"/>
                <w:szCs w:val="20"/>
              </w:rPr>
            </w:pPr>
            <w:r>
              <w:rPr>
                <w:sz w:val="20"/>
                <w:szCs w:val="20"/>
              </w:rPr>
              <w:t>F</w:t>
            </w:r>
            <w:r>
              <w:rPr>
                <w:sz w:val="20"/>
                <w:szCs w:val="20"/>
                <w:vertAlign w:val="subscript"/>
              </w:rPr>
              <w:t xml:space="preserve">PME </w:t>
            </w:r>
            <w:r>
              <w:rPr>
                <w:sz w:val="20"/>
                <w:szCs w:val="20"/>
              </w:rPr>
              <w:t>(IC 80 %) :</w:t>
            </w:r>
          </w:p>
          <w:p w14:paraId="110BCE6B" w14:textId="77777777" w:rsidR="00B10D34" w:rsidRPr="00D704AD" w:rsidRDefault="00B10D34" w:rsidP="00ED087F">
            <w:pPr>
              <w:tabs>
                <w:tab w:val="right" w:pos="932"/>
                <w:tab w:val="left" w:pos="1168"/>
              </w:tabs>
              <w:jc w:val="right"/>
              <w:rPr>
                <w:sz w:val="20"/>
                <w:szCs w:val="20"/>
              </w:rPr>
            </w:pPr>
            <w:r>
              <w:rPr>
                <w:sz w:val="20"/>
                <w:szCs w:val="20"/>
              </w:rPr>
              <w:t>B</w:t>
            </w:r>
            <w:r>
              <w:rPr>
                <w:sz w:val="20"/>
                <w:szCs w:val="20"/>
                <w:vertAlign w:val="subscript"/>
              </w:rPr>
              <w:t xml:space="preserve">PME </w:t>
            </w:r>
            <w:r>
              <w:rPr>
                <w:sz w:val="20"/>
                <w:szCs w:val="20"/>
              </w:rPr>
              <w:t>(1000 t) (IC 80 %) :</w:t>
            </w:r>
          </w:p>
          <w:p w14:paraId="0CFA8E14" w14:textId="739ADCE2" w:rsidR="00B10D34" w:rsidRPr="00D704AD" w:rsidRDefault="006B48C5" w:rsidP="00ED087F">
            <w:pPr>
              <w:tabs>
                <w:tab w:val="right" w:pos="932"/>
                <w:tab w:val="left" w:pos="1168"/>
              </w:tabs>
              <w:jc w:val="right"/>
              <w:rPr>
                <w:sz w:val="20"/>
                <w:szCs w:val="20"/>
              </w:rPr>
            </w:pPr>
            <w:r>
              <w:rPr>
                <w:sz w:val="20"/>
                <w:szCs w:val="20"/>
              </w:rPr>
              <w:t>F</w:t>
            </w:r>
            <w:r>
              <w:rPr>
                <w:sz w:val="20"/>
                <w:szCs w:val="20"/>
                <w:vertAlign w:val="subscript"/>
              </w:rPr>
              <w:t>2015/</w:t>
            </w:r>
            <w:r>
              <w:rPr>
                <w:sz w:val="20"/>
                <w:szCs w:val="20"/>
              </w:rPr>
              <w:t>F</w:t>
            </w:r>
            <w:r>
              <w:rPr>
                <w:sz w:val="20"/>
                <w:szCs w:val="20"/>
                <w:vertAlign w:val="subscript"/>
              </w:rPr>
              <w:t xml:space="preserve">PME </w:t>
            </w:r>
            <w:r>
              <w:rPr>
                <w:sz w:val="20"/>
                <w:szCs w:val="20"/>
              </w:rPr>
              <w:t>(IC 80 %) :</w:t>
            </w:r>
          </w:p>
          <w:p w14:paraId="03295961" w14:textId="2AB75F4C" w:rsidR="00B10D34" w:rsidRPr="00D704AD" w:rsidRDefault="006B48C5" w:rsidP="00ED087F">
            <w:pPr>
              <w:tabs>
                <w:tab w:val="right" w:pos="932"/>
                <w:tab w:val="left" w:pos="1168"/>
              </w:tabs>
              <w:jc w:val="right"/>
              <w:rPr>
                <w:sz w:val="20"/>
                <w:szCs w:val="20"/>
              </w:rPr>
            </w:pPr>
            <w:r>
              <w:rPr>
                <w:sz w:val="20"/>
                <w:szCs w:val="20"/>
              </w:rPr>
              <w:t>B</w:t>
            </w:r>
            <w:r>
              <w:rPr>
                <w:sz w:val="20"/>
                <w:szCs w:val="20"/>
                <w:vertAlign w:val="subscript"/>
              </w:rPr>
              <w:t>2015/</w:t>
            </w:r>
            <w:r>
              <w:rPr>
                <w:sz w:val="20"/>
                <w:szCs w:val="20"/>
              </w:rPr>
              <w:t>B</w:t>
            </w:r>
            <w:r>
              <w:rPr>
                <w:sz w:val="20"/>
                <w:szCs w:val="20"/>
                <w:vertAlign w:val="subscript"/>
              </w:rPr>
              <w:t xml:space="preserve">PME </w:t>
            </w:r>
            <w:r>
              <w:rPr>
                <w:sz w:val="20"/>
                <w:szCs w:val="20"/>
              </w:rPr>
              <w:t>(IC 80 %) :</w:t>
            </w:r>
          </w:p>
          <w:p w14:paraId="645695FC" w14:textId="561A0457" w:rsidR="00B10D34" w:rsidRPr="00D704AD" w:rsidRDefault="006B48C5" w:rsidP="006B48C5">
            <w:pPr>
              <w:tabs>
                <w:tab w:val="right" w:pos="932"/>
                <w:tab w:val="left" w:pos="1168"/>
              </w:tabs>
              <w:jc w:val="right"/>
              <w:rPr>
                <w:sz w:val="20"/>
                <w:szCs w:val="20"/>
              </w:rPr>
            </w:pPr>
            <w:r>
              <w:rPr>
                <w:sz w:val="20"/>
                <w:szCs w:val="20"/>
              </w:rPr>
              <w:t>B</w:t>
            </w:r>
            <w:r>
              <w:rPr>
                <w:sz w:val="20"/>
                <w:szCs w:val="20"/>
                <w:vertAlign w:val="subscript"/>
              </w:rPr>
              <w:t>2015</w:t>
            </w:r>
            <w:r>
              <w:rPr>
                <w:sz w:val="20"/>
                <w:szCs w:val="20"/>
              </w:rPr>
              <w:t>/B</w:t>
            </w:r>
            <w:r>
              <w:rPr>
                <w:sz w:val="20"/>
                <w:szCs w:val="20"/>
                <w:vertAlign w:val="subscript"/>
              </w:rPr>
              <w:t xml:space="preserve">0 </w:t>
            </w:r>
            <w:r>
              <w:rPr>
                <w:sz w:val="20"/>
                <w:szCs w:val="20"/>
              </w:rPr>
              <w:t>(IC 80 %) :</w:t>
            </w:r>
          </w:p>
        </w:tc>
        <w:tc>
          <w:tcPr>
            <w:tcW w:w="2557" w:type="dxa"/>
            <w:vAlign w:val="center"/>
          </w:tcPr>
          <w:p w14:paraId="68C4C3C8" w14:textId="77777777" w:rsidR="00B10D34" w:rsidRPr="00D704AD" w:rsidRDefault="00B10D34" w:rsidP="00ED087F">
            <w:pPr>
              <w:rPr>
                <w:sz w:val="20"/>
                <w:szCs w:val="20"/>
              </w:rPr>
            </w:pPr>
            <w:r>
              <w:rPr>
                <w:sz w:val="20"/>
                <w:szCs w:val="20"/>
              </w:rPr>
              <w:t>inconnu</w:t>
            </w:r>
          </w:p>
          <w:p w14:paraId="5F97BB54" w14:textId="77777777" w:rsidR="00B10D34" w:rsidRPr="00D704AD" w:rsidRDefault="00B10D34" w:rsidP="00ED087F">
            <w:pPr>
              <w:rPr>
                <w:sz w:val="20"/>
                <w:szCs w:val="20"/>
              </w:rPr>
            </w:pPr>
            <w:r>
              <w:rPr>
                <w:sz w:val="20"/>
                <w:szCs w:val="20"/>
              </w:rPr>
              <w:t>inconnu</w:t>
            </w:r>
          </w:p>
          <w:p w14:paraId="5AFA6007" w14:textId="77777777" w:rsidR="00B10D34" w:rsidRPr="00D704AD" w:rsidRDefault="00B10D34" w:rsidP="00ED087F">
            <w:pPr>
              <w:rPr>
                <w:sz w:val="20"/>
                <w:szCs w:val="20"/>
              </w:rPr>
            </w:pPr>
            <w:r>
              <w:rPr>
                <w:sz w:val="20"/>
                <w:szCs w:val="20"/>
              </w:rPr>
              <w:t>inconnu</w:t>
            </w:r>
          </w:p>
          <w:p w14:paraId="5242D691" w14:textId="77777777" w:rsidR="00B10D34" w:rsidRPr="00D704AD" w:rsidRDefault="00B10D34" w:rsidP="00ED087F">
            <w:pPr>
              <w:rPr>
                <w:sz w:val="20"/>
                <w:szCs w:val="20"/>
              </w:rPr>
            </w:pPr>
            <w:r>
              <w:rPr>
                <w:sz w:val="20"/>
                <w:szCs w:val="20"/>
              </w:rPr>
              <w:t>inconnu</w:t>
            </w:r>
          </w:p>
          <w:p w14:paraId="692E5356" w14:textId="77777777" w:rsidR="00B10D34" w:rsidRPr="00D704AD" w:rsidRDefault="00B10D34" w:rsidP="00ED087F">
            <w:pPr>
              <w:rPr>
                <w:sz w:val="20"/>
                <w:szCs w:val="20"/>
              </w:rPr>
            </w:pPr>
            <w:r>
              <w:rPr>
                <w:sz w:val="20"/>
                <w:szCs w:val="20"/>
              </w:rPr>
              <w:t>inconnu</w:t>
            </w:r>
          </w:p>
          <w:p w14:paraId="31400234" w14:textId="77777777" w:rsidR="00B10D34" w:rsidRPr="00D704AD" w:rsidRDefault="00B10D34" w:rsidP="00ED087F">
            <w:pPr>
              <w:rPr>
                <w:sz w:val="20"/>
                <w:szCs w:val="20"/>
              </w:rPr>
            </w:pPr>
            <w:r>
              <w:rPr>
                <w:sz w:val="20"/>
                <w:szCs w:val="20"/>
              </w:rPr>
              <w:t>inconnu</w:t>
            </w:r>
          </w:p>
        </w:tc>
        <w:tc>
          <w:tcPr>
            <w:tcW w:w="1633" w:type="dxa"/>
            <w:vMerge/>
            <w:tcBorders>
              <w:bottom w:val="single" w:sz="4" w:space="0" w:color="auto"/>
            </w:tcBorders>
            <w:shd w:val="clear" w:color="auto" w:fill="D9D9D9"/>
            <w:vAlign w:val="center"/>
          </w:tcPr>
          <w:p w14:paraId="7FA1574F" w14:textId="77777777" w:rsidR="00B10D34" w:rsidRPr="00D704AD" w:rsidRDefault="00B10D34" w:rsidP="00ED087F">
            <w:pPr>
              <w:keepNext/>
              <w:keepLines/>
              <w:jc w:val="center"/>
              <w:outlineLvl w:val="0"/>
              <w:rPr>
                <w:rFonts w:cs="Arial"/>
                <w:b/>
                <w:bCs/>
                <w:smallCaps/>
                <w:kern w:val="32"/>
                <w:sz w:val="20"/>
                <w:szCs w:val="20"/>
                <w:lang w:val="en-GB"/>
              </w:rPr>
            </w:pPr>
          </w:p>
        </w:tc>
      </w:tr>
    </w:tbl>
    <w:p w14:paraId="5DC20999" w14:textId="4380D07C" w:rsidR="00CB7486" w:rsidRPr="00D704AD" w:rsidRDefault="00CB7486" w:rsidP="00865BB1">
      <w:pPr>
        <w:keepNext/>
        <w:keepLines/>
        <w:widowControl w:val="0"/>
        <w:spacing w:after="0" w:line="240" w:lineRule="auto"/>
        <w:ind w:firstLine="284"/>
        <w:outlineLvl w:val="0"/>
        <w:rPr>
          <w:rFonts w:ascii="Times New Roman" w:eastAsia="Times New Roman" w:hAnsi="Times New Roman" w:cs="Times New Roman"/>
          <w:sz w:val="18"/>
          <w:szCs w:val="18"/>
        </w:rPr>
      </w:pPr>
      <w:r>
        <w:rPr>
          <w:rFonts w:ascii="Times New Roman" w:hAnsi="Times New Roman"/>
          <w:sz w:val="18"/>
          <w:szCs w:val="18"/>
          <w:vertAlign w:val="superscript"/>
        </w:rPr>
        <w:t>1</w:t>
      </w:r>
      <w:r>
        <w:rPr>
          <w:rFonts w:ascii="Times New Roman" w:hAnsi="Times New Roman"/>
          <w:sz w:val="18"/>
          <w:szCs w:val="18"/>
        </w:rPr>
        <w:t xml:space="preserve"> Les limites de l’évaluation de stock de l’océan Indien sont définies par la zone de compétence de la CTOI.</w:t>
      </w:r>
    </w:p>
    <w:p w14:paraId="7DF88C7F" w14:textId="7C917150" w:rsidR="006C376F" w:rsidRPr="00100945" w:rsidRDefault="00CB7486" w:rsidP="009243CC">
      <w:pPr>
        <w:spacing w:after="0" w:line="240" w:lineRule="auto"/>
        <w:ind w:left="284"/>
        <w:rPr>
          <w:rFonts w:ascii="Times New Roman" w:eastAsia="Times New Roman" w:hAnsi="Times New Roman" w:cs="Times New Roman"/>
          <w:color w:val="000000"/>
          <w:sz w:val="18"/>
          <w:szCs w:val="18"/>
        </w:rPr>
      </w:pPr>
      <w:r>
        <w:rPr>
          <w:rFonts w:ascii="Times New Roman" w:hAnsi="Times New Roman"/>
          <w:bCs/>
          <w:smallCaps/>
          <w:sz w:val="18"/>
          <w:szCs w:val="18"/>
          <w:vertAlign w:val="superscript"/>
        </w:rPr>
        <w:t>2</w:t>
      </w:r>
      <w:r>
        <w:rPr>
          <w:rFonts w:ascii="Times New Roman" w:hAnsi="Times New Roman"/>
          <w:sz w:val="18"/>
          <w:szCs w:val="18"/>
        </w:rPr>
        <w:t> Proportion des prises estimées ou partiellement estimées par le Secrétariat de la CTOI en 2016 :</w:t>
      </w:r>
      <w:r>
        <w:rPr>
          <w:rFonts w:ascii="Times New Roman" w:hAnsi="Times New Roman"/>
          <w:color w:val="000000" w:themeColor="text1"/>
          <w:sz w:val="18"/>
          <w:szCs w:val="18"/>
        </w:rPr>
        <w:t xml:space="preserve"> 85 %</w:t>
      </w:r>
    </w:p>
    <w:p w14:paraId="77F7091F" w14:textId="77777777" w:rsidR="00CB7486" w:rsidRDefault="00CB7486" w:rsidP="00865BB1">
      <w:pPr>
        <w:keepNext/>
        <w:keepLines/>
        <w:widowControl w:val="0"/>
        <w:spacing w:after="0" w:line="240" w:lineRule="auto"/>
        <w:ind w:left="284"/>
        <w:jc w:val="both"/>
        <w:outlineLvl w:val="0"/>
        <w:rPr>
          <w:rFonts w:ascii="Times New Roman" w:eastAsia="Times New Roman" w:hAnsi="Times New Roman" w:cs="Times New Roman"/>
          <w:sz w:val="18"/>
          <w:szCs w:val="18"/>
        </w:rPr>
      </w:pPr>
      <w:r>
        <w:rPr>
          <w:rFonts w:ascii="Times New Roman" w:hAnsi="Times New Roman"/>
          <w:sz w:val="18"/>
          <w:szCs w:val="18"/>
        </w:rPr>
        <w:t>Les prises nominales correspondent à celles qui ont été estimées par le Secrétariat de la CTOI. Si ces données ne sont pas déclarées par les CPC, le Secrétariat de la CTOI estime les prises totales à partir de diverses sources, notamment : des données partielles de prises et effort ; des données enregistrées dans la base de données FishStat de la FAO ; des prises estimées par la CTOI à partir des données recueillies au moyen d’un échantillonnage au port ; des données publiées sur des pages Internet ou autres médias ; des données sur l’activité des navires déclarées par d’autres parties ; et des données recueillies au moyen d’un échantillonnage au site de débarquement ou en mer par des observateurs scientifiques.</w:t>
      </w:r>
    </w:p>
    <w:p w14:paraId="31967364" w14:textId="77777777" w:rsidR="006C376F" w:rsidRPr="00D704AD" w:rsidRDefault="006C376F" w:rsidP="009243CC">
      <w:pPr>
        <w:keepNext/>
        <w:keepLines/>
        <w:widowControl w:val="0"/>
        <w:spacing w:after="0" w:line="240" w:lineRule="auto"/>
        <w:ind w:left="1004"/>
        <w:jc w:val="both"/>
        <w:outlineLvl w:val="0"/>
        <w:rPr>
          <w:rFonts w:ascii="Times New Roman" w:eastAsia="Times New Roman" w:hAnsi="Times New Roman" w:cs="Times New Roman"/>
          <w:sz w:val="18"/>
          <w:szCs w:val="18"/>
          <w:lang w:val="en-GB" w:eastAsia="fr-FR"/>
        </w:rPr>
      </w:pPr>
    </w:p>
    <w:tbl>
      <w:tblPr>
        <w:tblStyle w:val="TableGrid315227"/>
        <w:tblW w:w="0" w:type="auto"/>
        <w:jc w:val="center"/>
        <w:shd w:val="clear" w:color="auto" w:fill="FFFFFF"/>
        <w:tblLook w:val="04A0" w:firstRow="1" w:lastRow="0" w:firstColumn="1" w:lastColumn="0" w:noHBand="0" w:noVBand="1"/>
        <w:tblPrChange w:id="3" w:author="Amélie Brito" w:date="2017-11-16T11:38:00Z">
          <w:tblPr>
            <w:tblStyle w:val="TableGrid315227"/>
            <w:tblW w:w="0" w:type="auto"/>
            <w:jc w:val="center"/>
            <w:shd w:val="clear" w:color="auto" w:fill="FFFFFF"/>
            <w:tblLook w:val="04A0" w:firstRow="1" w:lastRow="0" w:firstColumn="1" w:lastColumn="0" w:noHBand="0" w:noVBand="1"/>
          </w:tblPr>
        </w:tblPrChange>
      </w:tblPr>
      <w:tblGrid>
        <w:gridCol w:w="3799"/>
        <w:gridCol w:w="2951"/>
        <w:gridCol w:w="3270"/>
        <w:tblGridChange w:id="4">
          <w:tblGrid>
            <w:gridCol w:w="3799"/>
            <w:gridCol w:w="2951"/>
            <w:gridCol w:w="3109"/>
          </w:tblGrid>
        </w:tblGridChange>
      </w:tblGrid>
      <w:tr w:rsidR="00D704AD" w:rsidRPr="00D704AD" w14:paraId="136CB66B" w14:textId="77777777" w:rsidTr="00785345">
        <w:trPr>
          <w:trHeight w:val="238"/>
          <w:jc w:val="center"/>
          <w:trPrChange w:id="5" w:author="Amélie Brito" w:date="2017-11-16T11:38: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6" w:author="Amélie Brito" w:date="2017-11-16T11:38: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25E298" w14:textId="77777777" w:rsidR="00B10D34" w:rsidRPr="00D704AD" w:rsidRDefault="00B10D34" w:rsidP="00ED087F">
            <w:pPr>
              <w:keepNext/>
              <w:keepLines/>
              <w:spacing w:after="20"/>
              <w:jc w:val="center"/>
              <w:rPr>
                <w:b/>
                <w:sz w:val="18"/>
                <w:szCs w:val="18"/>
              </w:rPr>
            </w:pPr>
            <w:r>
              <w:rPr>
                <w:b/>
                <w:sz w:val="18"/>
                <w:szCs w:val="18"/>
              </w:rPr>
              <w:t>Légende du code couleur</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Change w:id="7" w:author="Amélie Brito" w:date="2017-11-16T11:38:00Z">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72D6A1" w14:textId="77777777" w:rsidR="00B10D34" w:rsidRPr="00D704AD" w:rsidRDefault="00B10D34" w:rsidP="00ED087F">
            <w:pPr>
              <w:keepNext/>
              <w:keepLines/>
              <w:spacing w:after="20"/>
              <w:jc w:val="center"/>
              <w:rPr>
                <w:sz w:val="18"/>
                <w:szCs w:val="18"/>
              </w:rPr>
            </w:pPr>
            <w:r>
              <w:rPr>
                <w:sz w:val="18"/>
                <w:szCs w:val="18"/>
              </w:rPr>
              <w:t>Stock surexploité (SB</w:t>
            </w:r>
            <w:r>
              <w:rPr>
                <w:sz w:val="18"/>
                <w:szCs w:val="18"/>
                <w:vertAlign w:val="subscript"/>
              </w:rPr>
              <w:t>année</w:t>
            </w:r>
            <w:r>
              <w:rPr>
                <w:sz w:val="18"/>
                <w:szCs w:val="18"/>
              </w:rPr>
              <w:t>/SB</w:t>
            </w:r>
            <w:r>
              <w:rPr>
                <w:sz w:val="18"/>
                <w:szCs w:val="18"/>
                <w:vertAlign w:val="subscript"/>
              </w:rPr>
              <w:t>PME</w:t>
            </w:r>
            <w:r>
              <w:rPr>
                <w:sz w:val="18"/>
                <w:szCs w:val="18"/>
              </w:rPr>
              <w:t>&lt; 1)</w:t>
            </w:r>
          </w:p>
        </w:tc>
        <w:tc>
          <w:tcPr>
            <w:tcW w:w="3270" w:type="dxa"/>
            <w:tcBorders>
              <w:top w:val="single" w:sz="4" w:space="0" w:color="auto"/>
              <w:left w:val="single" w:sz="4" w:space="0" w:color="auto"/>
              <w:bottom w:val="single" w:sz="4" w:space="0" w:color="auto"/>
              <w:right w:val="single" w:sz="4" w:space="0" w:color="auto"/>
            </w:tcBorders>
            <w:shd w:val="clear" w:color="auto" w:fill="FFFFFF"/>
            <w:vAlign w:val="center"/>
            <w:tcPrChange w:id="8" w:author="Amélie Brito" w:date="2017-11-16T11:38:00Z">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0D087" w14:textId="77777777" w:rsidR="00B10D34" w:rsidRPr="00D704AD" w:rsidRDefault="00B10D34" w:rsidP="00ED087F">
            <w:pPr>
              <w:keepNext/>
              <w:keepLines/>
              <w:spacing w:after="20"/>
              <w:jc w:val="center"/>
              <w:rPr>
                <w:sz w:val="18"/>
                <w:szCs w:val="18"/>
              </w:rPr>
            </w:pPr>
            <w:r>
              <w:rPr>
                <w:sz w:val="18"/>
                <w:szCs w:val="18"/>
              </w:rPr>
              <w:t>Stock non surexploité (SB</w:t>
            </w:r>
            <w:r>
              <w:rPr>
                <w:sz w:val="18"/>
                <w:szCs w:val="18"/>
                <w:vertAlign w:val="subscript"/>
              </w:rPr>
              <w:t>année</w:t>
            </w:r>
            <w:r>
              <w:rPr>
                <w:sz w:val="18"/>
                <w:szCs w:val="18"/>
              </w:rPr>
              <w:t>/SB</w:t>
            </w:r>
            <w:r>
              <w:rPr>
                <w:sz w:val="18"/>
                <w:szCs w:val="18"/>
                <w:vertAlign w:val="subscript"/>
              </w:rPr>
              <w:t>PME</w:t>
            </w:r>
            <w:r>
              <w:rPr>
                <w:sz w:val="18"/>
                <w:szCs w:val="18"/>
              </w:rPr>
              <w:t>≥ 1)</w:t>
            </w:r>
          </w:p>
        </w:tc>
      </w:tr>
      <w:tr w:rsidR="00D704AD" w:rsidRPr="00D704AD" w14:paraId="01EF05C2" w14:textId="77777777" w:rsidTr="00785345">
        <w:trPr>
          <w:trHeight w:val="238"/>
          <w:jc w:val="center"/>
          <w:trPrChange w:id="9" w:author="Amélie Brito" w:date="2017-11-16T11:38: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0" w:author="Amélie Brito" w:date="2017-11-16T11:38: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9EE596" w14:textId="77777777" w:rsidR="00B10D34" w:rsidRPr="00D704AD" w:rsidRDefault="00B10D34" w:rsidP="00ED087F">
            <w:pPr>
              <w:keepNext/>
              <w:keepLines/>
              <w:spacing w:after="20"/>
              <w:rPr>
                <w:sz w:val="18"/>
                <w:szCs w:val="18"/>
              </w:rPr>
            </w:pPr>
            <w:r>
              <w:rPr>
                <w:sz w:val="18"/>
                <w:szCs w:val="18"/>
              </w:rPr>
              <w:t>Stock sujet à la surpêche (F</w:t>
            </w:r>
            <w:r>
              <w:rPr>
                <w:sz w:val="18"/>
                <w:szCs w:val="18"/>
                <w:vertAlign w:val="subscript"/>
              </w:rPr>
              <w:t>année</w:t>
            </w:r>
            <w:r>
              <w:rPr>
                <w:sz w:val="18"/>
                <w:szCs w:val="18"/>
              </w:rPr>
              <w:t>/F</w:t>
            </w:r>
            <w:r>
              <w:rPr>
                <w:sz w:val="18"/>
                <w:szCs w:val="18"/>
                <w:vertAlign w:val="subscript"/>
              </w:rPr>
              <w:t>PME</w:t>
            </w:r>
            <w:r>
              <w:rPr>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Change w:id="11" w:author="Amélie Brito" w:date="2017-11-16T11:38:00Z">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tcPrChange>
          </w:tcPr>
          <w:p w14:paraId="06DA869C" w14:textId="77777777" w:rsidR="00B10D34" w:rsidRPr="00D704AD" w:rsidRDefault="00B10D34" w:rsidP="00ED087F">
            <w:pPr>
              <w:keepNext/>
              <w:keepLines/>
              <w:jc w:val="center"/>
              <w:rPr>
                <w:sz w:val="18"/>
                <w:szCs w:val="18"/>
                <w:lang w:val="en-GB"/>
              </w:rPr>
            </w:pPr>
          </w:p>
        </w:tc>
        <w:tc>
          <w:tcPr>
            <w:tcW w:w="3270" w:type="dxa"/>
            <w:tcBorders>
              <w:top w:val="single" w:sz="4" w:space="0" w:color="auto"/>
              <w:left w:val="single" w:sz="4" w:space="0" w:color="auto"/>
              <w:bottom w:val="single" w:sz="4" w:space="0" w:color="auto"/>
              <w:right w:val="single" w:sz="4" w:space="0" w:color="auto"/>
            </w:tcBorders>
            <w:shd w:val="clear" w:color="auto" w:fill="F79646"/>
            <w:vAlign w:val="center"/>
            <w:tcPrChange w:id="12" w:author="Amélie Brito" w:date="2017-11-16T11:38:00Z">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tcPrChange>
          </w:tcPr>
          <w:p w14:paraId="086ABD5B" w14:textId="77777777" w:rsidR="00B10D34" w:rsidRPr="00D704AD" w:rsidRDefault="00B10D34" w:rsidP="00ED087F">
            <w:pPr>
              <w:keepNext/>
              <w:keepLines/>
              <w:jc w:val="center"/>
              <w:rPr>
                <w:sz w:val="18"/>
                <w:szCs w:val="18"/>
                <w:lang w:val="en-GB"/>
              </w:rPr>
            </w:pPr>
          </w:p>
        </w:tc>
      </w:tr>
      <w:tr w:rsidR="00D704AD" w:rsidRPr="00D704AD" w14:paraId="147B5879" w14:textId="77777777" w:rsidTr="00785345">
        <w:trPr>
          <w:trHeight w:val="238"/>
          <w:jc w:val="center"/>
          <w:trPrChange w:id="13" w:author="Amélie Brito" w:date="2017-11-16T11:38: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4" w:author="Amélie Brito" w:date="2017-11-16T11:38: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BC91B5" w14:textId="77777777" w:rsidR="00B10D34" w:rsidRPr="00D704AD" w:rsidRDefault="00B10D34" w:rsidP="00ED087F">
            <w:pPr>
              <w:keepNext/>
              <w:keepLines/>
              <w:spacing w:after="20"/>
              <w:rPr>
                <w:sz w:val="18"/>
                <w:szCs w:val="18"/>
              </w:rPr>
            </w:pPr>
            <w:r>
              <w:rPr>
                <w:sz w:val="18"/>
                <w:szCs w:val="18"/>
              </w:rPr>
              <w:t>Stock non sujet à la surpêche (F</w:t>
            </w:r>
            <w:r>
              <w:rPr>
                <w:sz w:val="18"/>
                <w:szCs w:val="18"/>
                <w:vertAlign w:val="subscript"/>
              </w:rPr>
              <w:t>année</w:t>
            </w:r>
            <w:r>
              <w:rPr>
                <w:sz w:val="18"/>
                <w:szCs w:val="18"/>
              </w:rPr>
              <w:t>/F</w:t>
            </w:r>
            <w:r>
              <w:rPr>
                <w:sz w:val="18"/>
                <w:szCs w:val="18"/>
                <w:vertAlign w:val="subscript"/>
              </w:rPr>
              <w:t>PME</w:t>
            </w:r>
            <w:r>
              <w:rPr>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Change w:id="15" w:author="Amélie Brito" w:date="2017-11-16T11:38:00Z">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14:paraId="622EA95E" w14:textId="77777777" w:rsidR="00B10D34" w:rsidRPr="00D704AD" w:rsidRDefault="00B10D34" w:rsidP="00ED087F">
            <w:pPr>
              <w:keepNext/>
              <w:keepLines/>
              <w:jc w:val="center"/>
              <w:rPr>
                <w:sz w:val="18"/>
                <w:szCs w:val="18"/>
                <w:lang w:val="en-GB"/>
              </w:rPr>
            </w:pPr>
          </w:p>
        </w:tc>
        <w:tc>
          <w:tcPr>
            <w:tcW w:w="3270" w:type="dxa"/>
            <w:tcBorders>
              <w:top w:val="single" w:sz="4" w:space="0" w:color="auto"/>
              <w:left w:val="single" w:sz="4" w:space="0" w:color="auto"/>
              <w:bottom w:val="single" w:sz="4" w:space="0" w:color="auto"/>
              <w:right w:val="single" w:sz="4" w:space="0" w:color="auto"/>
            </w:tcBorders>
            <w:shd w:val="clear" w:color="auto" w:fill="92D050"/>
            <w:vAlign w:val="center"/>
            <w:tcPrChange w:id="16" w:author="Amélie Brito" w:date="2017-11-16T11:38:00Z">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14:paraId="3324591C" w14:textId="77777777" w:rsidR="00B10D34" w:rsidRPr="00D704AD" w:rsidRDefault="00B10D34" w:rsidP="00ED087F">
            <w:pPr>
              <w:keepNext/>
              <w:keepLines/>
              <w:jc w:val="center"/>
              <w:rPr>
                <w:sz w:val="18"/>
                <w:szCs w:val="18"/>
                <w:lang w:val="en-GB"/>
              </w:rPr>
            </w:pPr>
          </w:p>
        </w:tc>
      </w:tr>
      <w:tr w:rsidR="00D704AD" w:rsidRPr="00D704AD" w14:paraId="41DDC18B" w14:textId="77777777" w:rsidTr="00785345">
        <w:trPr>
          <w:trHeight w:val="238"/>
          <w:jc w:val="center"/>
          <w:trPrChange w:id="17" w:author="Amélie Brito" w:date="2017-11-16T11:38: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8" w:author="Amélie Brito" w:date="2017-11-16T11:38: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FDD081" w14:textId="77777777" w:rsidR="00B10D34" w:rsidRPr="00D704AD" w:rsidRDefault="00B10D34" w:rsidP="00ED087F">
            <w:pPr>
              <w:keepNext/>
              <w:keepLines/>
              <w:spacing w:after="20"/>
              <w:rPr>
                <w:sz w:val="18"/>
                <w:szCs w:val="18"/>
              </w:rPr>
            </w:pPr>
            <w:r>
              <w:rPr>
                <w:sz w:val="18"/>
                <w:szCs w:val="18"/>
              </w:rPr>
              <w:t>Non évalué / incertain</w:t>
            </w:r>
          </w:p>
        </w:tc>
        <w:tc>
          <w:tcPr>
            <w:tcW w:w="6221" w:type="dxa"/>
            <w:gridSpan w:val="2"/>
            <w:tcBorders>
              <w:top w:val="single" w:sz="4" w:space="0" w:color="auto"/>
              <w:left w:val="single" w:sz="4" w:space="0" w:color="auto"/>
              <w:bottom w:val="single" w:sz="4" w:space="0" w:color="auto"/>
              <w:right w:val="single" w:sz="4" w:space="0" w:color="auto"/>
            </w:tcBorders>
            <w:shd w:val="clear" w:color="auto" w:fill="D9D9D9"/>
            <w:vAlign w:val="center"/>
            <w:tcPrChange w:id="19" w:author="Amélie Brito" w:date="2017-11-16T11:38:00Z">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634C7B1" w14:textId="77777777" w:rsidR="00B10D34" w:rsidRPr="00D704AD" w:rsidRDefault="00B10D34" w:rsidP="00ED087F">
            <w:pPr>
              <w:keepNext/>
              <w:keepLines/>
              <w:jc w:val="center"/>
              <w:rPr>
                <w:sz w:val="18"/>
                <w:szCs w:val="18"/>
                <w:lang w:val="en-GB"/>
              </w:rPr>
            </w:pPr>
          </w:p>
        </w:tc>
      </w:tr>
    </w:tbl>
    <w:p w14:paraId="7356CF14" w14:textId="77777777" w:rsidR="00B10D34" w:rsidRPr="00D704AD" w:rsidRDefault="00B10D34" w:rsidP="00B10D34">
      <w:pPr>
        <w:keepNext/>
        <w:keepLines/>
        <w:widowControl w:val="0"/>
        <w:spacing w:before="120" w:after="120"/>
        <w:outlineLvl w:val="0"/>
        <w:rPr>
          <w:rFonts w:cs="Arial"/>
          <w:b/>
          <w:bCs/>
          <w:smallCaps/>
          <w:kern w:val="32"/>
        </w:rPr>
      </w:pPr>
      <w:r>
        <w:rPr>
          <w:b/>
          <w:bCs/>
          <w:smallCaps/>
        </w:rPr>
        <w:t>Stock de l’océan Indien – Avis de gestion</w:t>
      </w:r>
    </w:p>
    <w:p w14:paraId="64532D72" w14:textId="39EF0DB6" w:rsidR="00B10D34" w:rsidRPr="00D704AD" w:rsidRDefault="00B10D34" w:rsidP="00B10D34">
      <w:pPr>
        <w:spacing w:before="120"/>
        <w:jc w:val="both"/>
        <w:rPr>
          <w:rFonts w:ascii="Times New Roman" w:eastAsia="Calibri" w:hAnsi="Times New Roman" w:cs="Times New Roman"/>
          <w:bCs/>
          <w:snapToGrid w:val="0"/>
        </w:rPr>
      </w:pPr>
      <w:r>
        <w:rPr>
          <w:rFonts w:ascii="Times New Roman" w:hAnsi="Times New Roman"/>
          <w:b/>
          <w:i/>
          <w:snapToGrid w:val="0"/>
        </w:rPr>
        <w:t>État du stock.</w:t>
      </w:r>
      <w:r>
        <w:rPr>
          <w:rFonts w:ascii="Times New Roman" w:hAnsi="Times New Roman"/>
          <w:bCs/>
          <w:snapToGrid w:val="0"/>
        </w:rPr>
        <w:t xml:space="preserve"> </w:t>
      </w:r>
      <w:r>
        <w:rPr>
          <w:rFonts w:ascii="Times New Roman" w:hAnsi="Times New Roman"/>
          <w:bCs/>
          <w:snapToGrid w:val="0"/>
          <w:color w:val="000000" w:themeColor="text1"/>
        </w:rPr>
        <w:t>Aucune évaluation quantitative du stock de bonitou dans l’océan Indien n’est disponible à ce jour, et du fait du manque de données halieutiques sur plusieurs engins, seuls des indicateurs d'état de stock provisoires peuvent être utilisés. Certains aspects des pêcheries ciblant le bonitou, combinés au manque de données sur lesquelles baser une évaluation du stock, constituent une source d’inquiétude. L'état de stock, déterminé en fonction des points de référence cibles de la Commission que sont B</w:t>
      </w:r>
      <w:r>
        <w:rPr>
          <w:rFonts w:ascii="Times New Roman" w:hAnsi="Times New Roman"/>
          <w:bCs/>
          <w:snapToGrid w:val="0"/>
          <w:color w:val="000000" w:themeColor="text1"/>
          <w:vertAlign w:val="subscript"/>
        </w:rPr>
        <w:t>PME</w:t>
      </w:r>
      <w:r>
        <w:rPr>
          <w:rFonts w:ascii="Times New Roman" w:hAnsi="Times New Roman"/>
          <w:bCs/>
          <w:snapToGrid w:val="0"/>
          <w:color w:val="000000" w:themeColor="text1"/>
        </w:rPr>
        <w:t xml:space="preserve"> et F</w:t>
      </w:r>
      <w:r>
        <w:rPr>
          <w:rFonts w:ascii="Times New Roman" w:hAnsi="Times New Roman"/>
          <w:bCs/>
          <w:snapToGrid w:val="0"/>
          <w:color w:val="000000" w:themeColor="text1"/>
          <w:vertAlign w:val="subscript"/>
        </w:rPr>
        <w:t>PME</w:t>
      </w:r>
      <w:r>
        <w:rPr>
          <w:rFonts w:ascii="Times New Roman" w:hAnsi="Times New Roman"/>
          <w:bCs/>
          <w:snapToGrid w:val="0"/>
          <w:color w:val="000000" w:themeColor="text1"/>
        </w:rPr>
        <w:t>, demeure incertain (Tableau 1), indiquant ainsi qu'une approche de précaution devrait être appliquée à la gestion du bonitou.</w:t>
      </w:r>
    </w:p>
    <w:p w14:paraId="66035FEE" w14:textId="29132A8E" w:rsidR="00B10D34" w:rsidRPr="005C2FA6" w:rsidRDefault="00B10D34" w:rsidP="00B10D34">
      <w:pPr>
        <w:spacing w:before="120"/>
        <w:jc w:val="both"/>
        <w:rPr>
          <w:rFonts w:ascii="Times New Roman" w:eastAsia="Calibri" w:hAnsi="Times New Roman" w:cs="Times New Roman"/>
          <w:bCs/>
          <w:snapToGrid w:val="0"/>
          <w:color w:val="000000" w:themeColor="text1"/>
        </w:rPr>
      </w:pPr>
      <w:r>
        <w:rPr>
          <w:rFonts w:ascii="Times New Roman" w:hAnsi="Times New Roman"/>
          <w:b/>
          <w:i/>
          <w:snapToGrid w:val="0"/>
        </w:rPr>
        <w:t xml:space="preserve">Perspectives. </w:t>
      </w:r>
      <w:r>
        <w:rPr>
          <w:rFonts w:ascii="Times New Roman" w:hAnsi="Times New Roman"/>
          <w:bCs/>
          <w:snapToGrid w:val="0"/>
          <w:color w:val="000000" w:themeColor="text1"/>
        </w:rPr>
        <w:t>Les prises annuelles totales de bonitou des six dernières années ont fluctué mais se sont maintenues autour de 9 000 t (Fig.1). Il n'existe pas suffisamment d'informations pour évaluer l'effet que ces niveaux de capture, ou un accroissement des prises, peuvent avoir sur cette ressource. Les recherches permettant de rassembler les séries temporelles de prises par unité d’effort (PUE) des principales flottilles, les compositions en taille et les paramètres des traits de vie (p. ex. estimations de la croissance, de la mortalité naturelle, de la maturité, etc.) devraient être considérées comme ayant une priorité élevée pour la Commission.</w:t>
      </w:r>
    </w:p>
    <w:p w14:paraId="6B4F3F5C" w14:textId="77777777" w:rsidR="00AF27E9" w:rsidRDefault="00B10D34" w:rsidP="00B10D34">
      <w:pPr>
        <w:spacing w:after="0" w:line="240" w:lineRule="auto"/>
        <w:jc w:val="both"/>
        <w:rPr>
          <w:rFonts w:ascii="Times New Roman" w:eastAsia="Calibri" w:hAnsi="Times New Roman" w:cs="Times New Roman"/>
        </w:rPr>
      </w:pPr>
      <w:r>
        <w:rPr>
          <w:rFonts w:ascii="Times New Roman" w:hAnsi="Times New Roman"/>
          <w:b/>
          <w:i/>
          <w:snapToGrid w:val="0"/>
        </w:rPr>
        <w:t>Avis de gestion.</w:t>
      </w:r>
      <w:r>
        <w:rPr>
          <w:rFonts w:ascii="Times New Roman" w:hAnsi="Times New Roman"/>
        </w:rPr>
        <w:t xml:space="preserve"> </w:t>
      </w:r>
    </w:p>
    <w:p w14:paraId="3077330D" w14:textId="77777777" w:rsidR="00AF27E9" w:rsidRDefault="00AF27E9" w:rsidP="00B10D34">
      <w:pPr>
        <w:spacing w:after="0" w:line="240" w:lineRule="auto"/>
        <w:jc w:val="both"/>
        <w:rPr>
          <w:rFonts w:ascii="Times New Roman" w:eastAsia="Calibri" w:hAnsi="Times New Roman" w:cs="Times New Roman"/>
        </w:rPr>
      </w:pPr>
    </w:p>
    <w:p w14:paraId="6C5A9D70" w14:textId="5A9B2DDE" w:rsidR="00F62494" w:rsidRPr="005C2FA6" w:rsidRDefault="005F30EE" w:rsidP="005C2FA6">
      <w:pPr>
        <w:spacing w:after="0"/>
        <w:jc w:val="both"/>
        <w:rPr>
          <w:rFonts w:ascii="Times New Roman" w:eastAsia="Calibri" w:hAnsi="Times New Roman" w:cs="Times New Roman"/>
          <w:bCs/>
          <w:snapToGrid w:val="0"/>
          <w:color w:val="000000" w:themeColor="text1"/>
        </w:rPr>
      </w:pPr>
      <w:r>
        <w:rPr>
          <w:rFonts w:ascii="Times New Roman" w:hAnsi="Times New Roman"/>
          <w:bCs/>
          <w:snapToGrid w:val="0"/>
          <w:color w:val="000000" w:themeColor="text1"/>
        </w:rPr>
        <w:lastRenderedPageBreak/>
        <w:t>La Commission devrait envisager d’appliquer une approche de précaution à la gestion du bonitou, en s’assurant que les futures prises ne dépassent pas 9 037 t (moyenne de 2009–2015</w:t>
      </w:r>
      <w:r w:rsidR="00EA32FA">
        <w:rPr>
          <w:rStyle w:val="Appelnotedebasdep"/>
          <w:rFonts w:ascii="Times New Roman" w:eastAsia="Calibri" w:hAnsi="Times New Roman" w:cs="Times New Roman"/>
          <w:bCs/>
          <w:snapToGrid w:val="0"/>
          <w:color w:val="000000" w:themeColor="text1"/>
        </w:rPr>
        <w:footnoteReference w:id="1"/>
      </w:r>
      <w:r>
        <w:rPr>
          <w:rFonts w:ascii="Times New Roman" w:hAnsi="Times New Roman"/>
          <w:bCs/>
          <w:snapToGrid w:val="0"/>
          <w:color w:val="000000" w:themeColor="text1"/>
        </w:rPr>
        <w:t>). Cet avis sur les prises devrait être maintenu jusqu’à ce qu'une évaluation du bonitou soit disponible. La période de référence (2009-2015) a été choisie d’après les évaluations les plus récentes des espèces néritiques de l’océan Indien pour lesquelles une évaluation est disponible (thon mignon, thonine orientale et thazard rayé). On estime que la PME de ces espèces de thons néritiques de l’océan Indien a été atteinte entre 2009 et 2015. Le stock devrait être étroitement surveillé. Des mécanismes doivent être élaborés par la Commission pour améliorer les statistiques actuelles, en encourageant les CPC à se conformer aux exigences en matière d'enregistrement et de déclaration, afin de mieux informer les avis scientifiques.</w:t>
      </w:r>
    </w:p>
    <w:p w14:paraId="6B56B56A" w14:textId="77777777" w:rsidR="00F62494" w:rsidRPr="00D704AD" w:rsidRDefault="00F62494" w:rsidP="00F62494">
      <w:pPr>
        <w:spacing w:before="120"/>
        <w:jc w:val="both"/>
        <w:rPr>
          <w:rFonts w:ascii="Times New Roman" w:eastAsia="Calibri" w:hAnsi="Times New Roman" w:cs="Times New Roman"/>
          <w:snapToGrid w:val="0"/>
        </w:rPr>
      </w:pPr>
      <w:r>
        <w:rPr>
          <w:rFonts w:ascii="Times New Roman" w:hAnsi="Times New Roman"/>
          <w:snapToGrid w:val="0"/>
        </w:rPr>
        <w:t>Il convient de noter les points suivants :</w:t>
      </w:r>
    </w:p>
    <w:p w14:paraId="787A9AB7" w14:textId="77777777" w:rsidR="00F62494" w:rsidRPr="0049651A" w:rsidRDefault="00F62494" w:rsidP="00F62494">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rPr>
        <w:t>La production maximale équilibrée de l’ensemble de l’océan Indien est inconnue.</w:t>
      </w:r>
    </w:p>
    <w:p w14:paraId="34150A8E" w14:textId="3BD58B7F" w:rsidR="005D603B" w:rsidRPr="0049651A" w:rsidRDefault="005D603B" w:rsidP="005D603B">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snapToGrid w:val="0"/>
        </w:rPr>
        <w:t>Points de référence limites : La Commission n'a pas adopté de points de référence limites pour les thons néritiques sous son mandat.</w:t>
      </w:r>
    </w:p>
    <w:p w14:paraId="7AC7B1D6" w14:textId="45FBADD3" w:rsidR="00F62494" w:rsidRPr="00EA49D0" w:rsidRDefault="006F03C2" w:rsidP="00EA49D0">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 xml:space="preserve"> D’autres travaux sont nécessaires pour améliorer la fiabilité des séries de captures. Les prises déclarées devraient être vérifiées ou estimées, si des carences sont constatées, grâce aux connaissances des experts en matière d’historique des diverses pêcheries ou au travers de méthodes statistiques d’extrapolation.</w:t>
      </w:r>
      <w:r>
        <w:rPr>
          <w:rFonts w:ascii="Times New Roman" w:hAnsi="Times New Roman"/>
          <w:snapToGrid w:val="0"/>
        </w:rPr>
        <w:t xml:space="preserve"> </w:t>
      </w:r>
    </w:p>
    <w:p w14:paraId="6F30E0AB" w14:textId="249A0335" w:rsidR="005D603B" w:rsidRPr="002443F7" w:rsidRDefault="005D603B" w:rsidP="00F62494">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rPr>
        <w:t>Les recherches permettant de rassembler les séries temporelles de prises par unité d’effort (PUE) des principales flottilles, les compositions en taille et les paramètres des traits de vie (p. ex. estimations de la croissance, de la mortalité naturelle, de la maturité, etc.) devraient être considérées comme ayant une priorité élevée pour la Commission.</w:t>
      </w:r>
    </w:p>
    <w:p w14:paraId="4288AABB" w14:textId="77777777" w:rsidR="002443F7" w:rsidRPr="0049651A" w:rsidRDefault="002443F7" w:rsidP="002443F7">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rPr>
        <w:t>L'identification de l'espèce, la collecte et la déclaration des données doivent être améliorées de toute urgence.</w:t>
      </w:r>
    </w:p>
    <w:p w14:paraId="70B6F14C" w14:textId="1A9C8593" w:rsidR="005D603B" w:rsidRDefault="00BD43CE" w:rsidP="005D603B">
      <w:pPr>
        <w:numPr>
          <w:ilvl w:val="0"/>
          <w:numId w:val="14"/>
        </w:numPr>
        <w:spacing w:after="0"/>
        <w:ind w:left="1138" w:right="432" w:hanging="432"/>
        <w:jc w:val="both"/>
        <w:rPr>
          <w:rFonts w:ascii="Times New Roman" w:hAnsi="Times New Roman" w:cs="Times New Roman"/>
        </w:rPr>
      </w:pPr>
      <w:r>
        <w:rPr>
          <w:rFonts w:ascii="Times New Roman" w:hAnsi="Times New Roman"/>
        </w:rPr>
        <w:t>Les informations soumises par les CPC en ce qui concerne leurs prises totales, leurs prises et effort et leurs données sur les tailles des thons néritiques sont limitées, en dépit de l’obligation de les déclarer.  Dans le cas des prises 2016, 85 % des prises totales ont été entièrement ou partiellement estimées par le Secrétariat de la CTOI, ce qui renforce l’incertitude des évaluations de stock utilisant ces données. C’est pourquoi l’avis de gestion à la Commission inclut la nécessité que les CPC respectent les exigences de la CTOI en matière de données, conformément aux Résolutions 15/01 et 15/02.</w:t>
      </w:r>
    </w:p>
    <w:p w14:paraId="67DAF586" w14:textId="77777777" w:rsidR="006C376F" w:rsidRPr="00D704AD" w:rsidRDefault="006C376F" w:rsidP="0063348B">
      <w:pPr>
        <w:spacing w:after="0"/>
        <w:ind w:right="432"/>
        <w:jc w:val="both"/>
        <w:rPr>
          <w:rFonts w:ascii="Times New Roman" w:eastAsia="Calibri" w:hAnsi="Times New Roman" w:cs="Times New Roman"/>
          <w:snapToGrid w:val="0"/>
          <w:lang w:val="en-GB"/>
        </w:rPr>
      </w:pPr>
    </w:p>
    <w:p w14:paraId="2842CA05" w14:textId="1512D7ED" w:rsidR="0063348B" w:rsidRDefault="0063348B" w:rsidP="0063348B">
      <w:pPr>
        <w:jc w:val="center"/>
        <w:rPr>
          <w:rFonts w:ascii="Times New Roman" w:eastAsia="Times New Roman" w:hAnsi="Times New Roman" w:cs="Times New Roman"/>
          <w:b/>
        </w:rPr>
      </w:pPr>
      <w:r>
        <w:rPr>
          <w:rFonts w:ascii="Times New Roman" w:hAnsi="Times New Roman"/>
          <w:b/>
          <w:noProof/>
          <w:lang w:eastAsia="ja-JP"/>
        </w:rPr>
        <w:drawing>
          <wp:inline distT="0" distB="0" distL="0" distR="0" wp14:anchorId="43E61B12" wp14:editId="7A0B0D86">
            <wp:extent cx="3721608" cy="2697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608" cy="2697480"/>
                    </a:xfrm>
                    <a:prstGeom prst="rect">
                      <a:avLst/>
                    </a:prstGeom>
                    <a:noFill/>
                  </pic:spPr>
                </pic:pic>
              </a:graphicData>
            </a:graphic>
          </wp:inline>
        </w:drawing>
      </w:r>
    </w:p>
    <w:p w14:paraId="254CF4C4" w14:textId="65E9033B" w:rsidR="0063348B" w:rsidRPr="00467C71" w:rsidRDefault="0063348B" w:rsidP="0063348B">
      <w:pPr>
        <w:jc w:val="center"/>
        <w:rPr>
          <w:rFonts w:ascii="Times New Roman" w:eastAsia="Times New Roman" w:hAnsi="Times New Roman" w:cs="Times New Roman"/>
          <w:b/>
        </w:rPr>
      </w:pPr>
      <w:r>
        <w:rPr>
          <w:rFonts w:ascii="Times New Roman" w:hAnsi="Times New Roman"/>
          <w:b/>
          <w:szCs w:val="20"/>
        </w:rPr>
        <w:t>Fig. 1.</w:t>
      </w:r>
      <w:r>
        <w:rPr>
          <w:rFonts w:ascii="Times New Roman" w:hAnsi="Times New Roman"/>
          <w:szCs w:val="20"/>
        </w:rPr>
        <w:t xml:space="preserve"> Bonitou : Prises de bonitou par engin, telles qu’enregistrées dans la base de données de la CTOI  (1950–2016).</w:t>
      </w:r>
    </w:p>
    <w:sectPr w:rsidR="0063348B" w:rsidRPr="00467C71" w:rsidSect="00654936">
      <w:headerReference w:type="default" r:id="rId11"/>
      <w:footerReference w:type="default" r:id="rId12"/>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1B56C" w14:textId="77777777" w:rsidR="003C01B5" w:rsidRDefault="003C01B5" w:rsidP="00E51002">
      <w:pPr>
        <w:spacing w:after="0" w:line="240" w:lineRule="auto"/>
      </w:pPr>
      <w:r>
        <w:separator/>
      </w:r>
    </w:p>
  </w:endnote>
  <w:endnote w:type="continuationSeparator" w:id="0">
    <w:p w14:paraId="39FD734D" w14:textId="77777777" w:rsidR="003C01B5" w:rsidRDefault="003C01B5" w:rsidP="00E5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8A053" w14:textId="77777777" w:rsidR="00BC6B6A" w:rsidRPr="007B4DD8" w:rsidRDefault="00BC6B6A" w:rsidP="00DB56B6">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PAGE </w:instrText>
    </w:r>
    <w:r w:rsidRPr="00545983">
      <w:rPr>
        <w:rFonts w:ascii="Times New Roman" w:eastAsia="Times New Roman" w:hAnsi="Times New Roman" w:cs="Times New Roman"/>
        <w:b/>
        <w:bCs/>
        <w:sz w:val="24"/>
        <w:szCs w:val="24"/>
      </w:rPr>
      <w:fldChar w:fldCharType="separate"/>
    </w:r>
    <w:r w:rsidR="00785345">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NUMPAGES  </w:instrText>
    </w:r>
    <w:r w:rsidRPr="00545983">
      <w:rPr>
        <w:rFonts w:ascii="Times New Roman" w:eastAsia="Times New Roman" w:hAnsi="Times New Roman" w:cs="Times New Roman"/>
        <w:b/>
        <w:bCs/>
        <w:sz w:val="24"/>
        <w:szCs w:val="24"/>
      </w:rPr>
      <w:fldChar w:fldCharType="separate"/>
    </w:r>
    <w:r w:rsidR="00785345">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20879" w14:textId="77777777" w:rsidR="003C01B5" w:rsidRDefault="003C01B5" w:rsidP="00E51002">
      <w:pPr>
        <w:spacing w:after="0" w:line="240" w:lineRule="auto"/>
      </w:pPr>
      <w:r>
        <w:separator/>
      </w:r>
    </w:p>
  </w:footnote>
  <w:footnote w:type="continuationSeparator" w:id="0">
    <w:p w14:paraId="50BB36D1" w14:textId="77777777" w:rsidR="003C01B5" w:rsidRDefault="003C01B5" w:rsidP="00E51002">
      <w:pPr>
        <w:spacing w:after="0" w:line="240" w:lineRule="auto"/>
      </w:pPr>
      <w:r>
        <w:continuationSeparator/>
      </w:r>
    </w:p>
  </w:footnote>
  <w:footnote w:id="1">
    <w:p w14:paraId="0E3B8640" w14:textId="79FEA45C" w:rsidR="00EA32FA" w:rsidRDefault="00EA32FA">
      <w:pPr>
        <w:pStyle w:val="Notedebasdepage"/>
      </w:pPr>
      <w:r>
        <w:rPr>
          <w:rStyle w:val="Appelnotedebasdep"/>
        </w:rPr>
        <w:footnoteRef/>
      </w:r>
      <w:r>
        <w:t xml:space="preserve"> D’après les chiffres contenus dans la base de données de la CTOI sur les prises nominales au moment du GTTN07, en juin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78019" w14:textId="757F7389" w:rsidR="00BC6B6A" w:rsidRPr="00DB75FB" w:rsidRDefault="00DB75FB" w:rsidP="00DB75FB">
    <w:pPr>
      <w:pBdr>
        <w:bottom w:val="single" w:sz="4" w:space="1" w:color="auto"/>
      </w:pBdr>
      <w:tabs>
        <w:tab w:val="right" w:pos="10800"/>
      </w:tabs>
      <w:spacing w:after="0" w:line="240" w:lineRule="auto"/>
      <w:rPr>
        <w:rFonts w:ascii="Times New Roman" w:hAnsi="Times New Roman" w:cs="Times New Roman"/>
        <w:sz w:val="32"/>
      </w:rPr>
    </w:pPr>
    <w:r>
      <w:rPr>
        <w:rFonts w:ascii="Times New Roman" w:hAnsi="Times New Roman"/>
        <w:sz w:val="32"/>
      </w:rPr>
      <w:t>Bonitou</w:t>
    </w:r>
    <w:r>
      <w:rPr>
        <w:rFonts w:ascii="Times New Roman" w:hAnsi="Times New Roman"/>
        <w:sz w:val="32"/>
      </w:rPr>
      <w:tab/>
    </w:r>
    <w:r>
      <w:rPr>
        <w:rFonts w:ascii="Times New Roman" w:hAnsi="Times New Roman"/>
        <w:sz w:val="28"/>
        <w:szCs w:val="28"/>
      </w:rPr>
      <w:t>Mise à jour : novembre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0C4CB9"/>
    <w:multiLevelType w:val="hybridMultilevel"/>
    <w:tmpl w:val="8A4E4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CB45346"/>
    <w:multiLevelType w:val="hybridMultilevel"/>
    <w:tmpl w:val="D9402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20800221"/>
    <w:multiLevelType w:val="hybridMultilevel"/>
    <w:tmpl w:val="5748C4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8"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2"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3"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7"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8"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0"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9"/>
  </w:num>
  <w:num w:numId="2">
    <w:abstractNumId w:val="14"/>
  </w:num>
  <w:num w:numId="3">
    <w:abstractNumId w:val="31"/>
  </w:num>
  <w:num w:numId="4">
    <w:abstractNumId w:val="9"/>
  </w:num>
  <w:num w:numId="5">
    <w:abstractNumId w:val="8"/>
  </w:num>
  <w:num w:numId="6">
    <w:abstractNumId w:val="7"/>
  </w:num>
  <w:num w:numId="7">
    <w:abstractNumId w:val="27"/>
  </w:num>
  <w:num w:numId="8">
    <w:abstractNumId w:val="22"/>
  </w:num>
  <w:num w:numId="9">
    <w:abstractNumId w:val="17"/>
  </w:num>
  <w:num w:numId="10">
    <w:abstractNumId w:val="26"/>
  </w:num>
  <w:num w:numId="11">
    <w:abstractNumId w:val="0"/>
  </w:num>
  <w:num w:numId="12">
    <w:abstractNumId w:val="11"/>
  </w:num>
  <w:num w:numId="13">
    <w:abstractNumId w:val="25"/>
  </w:num>
  <w:num w:numId="14">
    <w:abstractNumId w:val="28"/>
  </w:num>
  <w:num w:numId="15">
    <w:abstractNumId w:val="21"/>
  </w:num>
  <w:num w:numId="16">
    <w:abstractNumId w:val="20"/>
  </w:num>
  <w:num w:numId="17">
    <w:abstractNumId w:val="19"/>
  </w:num>
  <w:num w:numId="18">
    <w:abstractNumId w:val="23"/>
  </w:num>
  <w:num w:numId="19">
    <w:abstractNumId w:val="5"/>
  </w:num>
  <w:num w:numId="20">
    <w:abstractNumId w:val="15"/>
  </w:num>
  <w:num w:numId="21">
    <w:abstractNumId w:val="30"/>
  </w:num>
  <w:num w:numId="22">
    <w:abstractNumId w:val="13"/>
  </w:num>
  <w:num w:numId="23">
    <w:abstractNumId w:val="4"/>
  </w:num>
  <w:num w:numId="24">
    <w:abstractNumId w:val="16"/>
  </w:num>
  <w:num w:numId="25">
    <w:abstractNumId w:val="24"/>
  </w:num>
  <w:num w:numId="26">
    <w:abstractNumId w:val="18"/>
  </w:num>
  <w:num w:numId="27">
    <w:abstractNumId w:val="10"/>
  </w:num>
  <w:num w:numId="28">
    <w:abstractNumId w:val="12"/>
  </w:num>
  <w:num w:numId="29">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élie Brito">
    <w15:presenceInfo w15:providerId="Windows Live" w15:userId="99467b47103fa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07199"/>
    <w:rsid w:val="00025D7F"/>
    <w:rsid w:val="0003423A"/>
    <w:rsid w:val="0005240C"/>
    <w:rsid w:val="000536AC"/>
    <w:rsid w:val="00066037"/>
    <w:rsid w:val="00071B46"/>
    <w:rsid w:val="00073FBF"/>
    <w:rsid w:val="000935C3"/>
    <w:rsid w:val="000A33F2"/>
    <w:rsid w:val="000F0977"/>
    <w:rsid w:val="000F0BD8"/>
    <w:rsid w:val="000F4002"/>
    <w:rsid w:val="00105DE4"/>
    <w:rsid w:val="00121B08"/>
    <w:rsid w:val="00132B89"/>
    <w:rsid w:val="00154F14"/>
    <w:rsid w:val="00163480"/>
    <w:rsid w:val="00167952"/>
    <w:rsid w:val="00182455"/>
    <w:rsid w:val="001A31EE"/>
    <w:rsid w:val="001B2F2F"/>
    <w:rsid w:val="001B52B0"/>
    <w:rsid w:val="00201AB6"/>
    <w:rsid w:val="0020453F"/>
    <w:rsid w:val="00234F2F"/>
    <w:rsid w:val="002443F7"/>
    <w:rsid w:val="00247656"/>
    <w:rsid w:val="00256CD1"/>
    <w:rsid w:val="002602DD"/>
    <w:rsid w:val="00295A05"/>
    <w:rsid w:val="002A1A5B"/>
    <w:rsid w:val="002A5352"/>
    <w:rsid w:val="002A75F6"/>
    <w:rsid w:val="002B6912"/>
    <w:rsid w:val="002C2D51"/>
    <w:rsid w:val="002C3C94"/>
    <w:rsid w:val="002F0540"/>
    <w:rsid w:val="002F45E3"/>
    <w:rsid w:val="00325757"/>
    <w:rsid w:val="0035075B"/>
    <w:rsid w:val="003A20B1"/>
    <w:rsid w:val="003B6D19"/>
    <w:rsid w:val="003C01B5"/>
    <w:rsid w:val="003C1802"/>
    <w:rsid w:val="003D5220"/>
    <w:rsid w:val="00426011"/>
    <w:rsid w:val="0043028D"/>
    <w:rsid w:val="004361A5"/>
    <w:rsid w:val="0045534E"/>
    <w:rsid w:val="00467C71"/>
    <w:rsid w:val="0047241F"/>
    <w:rsid w:val="0049651A"/>
    <w:rsid w:val="004A3C45"/>
    <w:rsid w:val="004B0DAD"/>
    <w:rsid w:val="004E0343"/>
    <w:rsid w:val="004E2B94"/>
    <w:rsid w:val="004E7F6E"/>
    <w:rsid w:val="00512C80"/>
    <w:rsid w:val="00534B27"/>
    <w:rsid w:val="00571674"/>
    <w:rsid w:val="0058703E"/>
    <w:rsid w:val="005944D7"/>
    <w:rsid w:val="0059564C"/>
    <w:rsid w:val="005B2462"/>
    <w:rsid w:val="005C2FA6"/>
    <w:rsid w:val="005C4964"/>
    <w:rsid w:val="005C4C19"/>
    <w:rsid w:val="005D603B"/>
    <w:rsid w:val="005E37D6"/>
    <w:rsid w:val="005E668D"/>
    <w:rsid w:val="005F30EE"/>
    <w:rsid w:val="005F6077"/>
    <w:rsid w:val="00616727"/>
    <w:rsid w:val="006215AD"/>
    <w:rsid w:val="0063194D"/>
    <w:rsid w:val="0063348B"/>
    <w:rsid w:val="006456B5"/>
    <w:rsid w:val="00647A16"/>
    <w:rsid w:val="00654936"/>
    <w:rsid w:val="00661979"/>
    <w:rsid w:val="00686286"/>
    <w:rsid w:val="00687E50"/>
    <w:rsid w:val="006A583A"/>
    <w:rsid w:val="006B48C5"/>
    <w:rsid w:val="006C376F"/>
    <w:rsid w:val="006C4B80"/>
    <w:rsid w:val="006C697D"/>
    <w:rsid w:val="006D3341"/>
    <w:rsid w:val="006E2837"/>
    <w:rsid w:val="006E3ED4"/>
    <w:rsid w:val="006E6D04"/>
    <w:rsid w:val="006F03C2"/>
    <w:rsid w:val="006F4F34"/>
    <w:rsid w:val="007242C0"/>
    <w:rsid w:val="00751714"/>
    <w:rsid w:val="007626A6"/>
    <w:rsid w:val="007734D7"/>
    <w:rsid w:val="00785345"/>
    <w:rsid w:val="007B223E"/>
    <w:rsid w:val="007B4DD8"/>
    <w:rsid w:val="007C7BB4"/>
    <w:rsid w:val="007D28F3"/>
    <w:rsid w:val="007D6CBF"/>
    <w:rsid w:val="007F3366"/>
    <w:rsid w:val="00821161"/>
    <w:rsid w:val="00827378"/>
    <w:rsid w:val="00832CC2"/>
    <w:rsid w:val="008453A9"/>
    <w:rsid w:val="008466B3"/>
    <w:rsid w:val="00846F9C"/>
    <w:rsid w:val="00853C09"/>
    <w:rsid w:val="00865BB1"/>
    <w:rsid w:val="008664CB"/>
    <w:rsid w:val="008846F9"/>
    <w:rsid w:val="00894E5F"/>
    <w:rsid w:val="008B7FB4"/>
    <w:rsid w:val="008D16D6"/>
    <w:rsid w:val="0091709F"/>
    <w:rsid w:val="009243CC"/>
    <w:rsid w:val="00933CA3"/>
    <w:rsid w:val="00935621"/>
    <w:rsid w:val="0099777F"/>
    <w:rsid w:val="009C2D12"/>
    <w:rsid w:val="009E2F6D"/>
    <w:rsid w:val="00A06069"/>
    <w:rsid w:val="00A14222"/>
    <w:rsid w:val="00A35E78"/>
    <w:rsid w:val="00A474F4"/>
    <w:rsid w:val="00A57731"/>
    <w:rsid w:val="00A66DC3"/>
    <w:rsid w:val="00A73CC5"/>
    <w:rsid w:val="00AB5497"/>
    <w:rsid w:val="00AD1686"/>
    <w:rsid w:val="00AD4EA3"/>
    <w:rsid w:val="00AD4F7F"/>
    <w:rsid w:val="00AD7495"/>
    <w:rsid w:val="00AF27E9"/>
    <w:rsid w:val="00B03625"/>
    <w:rsid w:val="00B10D34"/>
    <w:rsid w:val="00B2077A"/>
    <w:rsid w:val="00B338AF"/>
    <w:rsid w:val="00B61948"/>
    <w:rsid w:val="00B6668E"/>
    <w:rsid w:val="00B8330E"/>
    <w:rsid w:val="00BC6B6A"/>
    <w:rsid w:val="00BD43CE"/>
    <w:rsid w:val="00BD7703"/>
    <w:rsid w:val="00BE12F1"/>
    <w:rsid w:val="00BE31C3"/>
    <w:rsid w:val="00BF083C"/>
    <w:rsid w:val="00BF0FD9"/>
    <w:rsid w:val="00BF14CA"/>
    <w:rsid w:val="00C360D8"/>
    <w:rsid w:val="00C56A5C"/>
    <w:rsid w:val="00C571EF"/>
    <w:rsid w:val="00C76892"/>
    <w:rsid w:val="00C95BF2"/>
    <w:rsid w:val="00C95E9A"/>
    <w:rsid w:val="00CA777F"/>
    <w:rsid w:val="00CA77E7"/>
    <w:rsid w:val="00CB7486"/>
    <w:rsid w:val="00CE2DAB"/>
    <w:rsid w:val="00D17202"/>
    <w:rsid w:val="00D20807"/>
    <w:rsid w:val="00D4534A"/>
    <w:rsid w:val="00D53110"/>
    <w:rsid w:val="00D575BD"/>
    <w:rsid w:val="00D61174"/>
    <w:rsid w:val="00D704AD"/>
    <w:rsid w:val="00DA5063"/>
    <w:rsid w:val="00DB1707"/>
    <w:rsid w:val="00DB56B6"/>
    <w:rsid w:val="00DB75FB"/>
    <w:rsid w:val="00DC1C56"/>
    <w:rsid w:val="00DE64E4"/>
    <w:rsid w:val="00DF5379"/>
    <w:rsid w:val="00E1041D"/>
    <w:rsid w:val="00E144DD"/>
    <w:rsid w:val="00E325F1"/>
    <w:rsid w:val="00E51002"/>
    <w:rsid w:val="00E70471"/>
    <w:rsid w:val="00E719F0"/>
    <w:rsid w:val="00E84ECD"/>
    <w:rsid w:val="00EA32FA"/>
    <w:rsid w:val="00EA49D0"/>
    <w:rsid w:val="00EA559B"/>
    <w:rsid w:val="00EA588A"/>
    <w:rsid w:val="00EA6547"/>
    <w:rsid w:val="00EA6E7C"/>
    <w:rsid w:val="00EB390B"/>
    <w:rsid w:val="00EF07DA"/>
    <w:rsid w:val="00F52544"/>
    <w:rsid w:val="00F62494"/>
    <w:rsid w:val="00FD3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60AD2"/>
  <w15:docId w15:val="{C751A95F-3F5E-4386-A718-16A8B4A0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eading 1 Appendix"/>
    <w:basedOn w:val="Normal"/>
    <w:next w:val="Normal"/>
    <w:link w:val="Titre1Car"/>
    <w:qFormat/>
    <w:rsid w:val="00E51002"/>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E51002"/>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E51002"/>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E51002"/>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E51002"/>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E51002"/>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E51002"/>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E51002"/>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E51002"/>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E51002"/>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E51002"/>
    <w:rPr>
      <w:rFonts w:ascii="Arial" w:eastAsia="Times New Roman" w:hAnsi="Arial" w:cs="Arial"/>
      <w:b/>
      <w:bCs/>
      <w:i/>
      <w:iCs/>
      <w:sz w:val="28"/>
      <w:szCs w:val="28"/>
      <w:lang w:eastAsia="fr-FR"/>
    </w:rPr>
  </w:style>
  <w:style w:type="character" w:customStyle="1" w:styleId="Titre3Car">
    <w:name w:val="Titre 3 Car"/>
    <w:basedOn w:val="Policepardfaut"/>
    <w:link w:val="Titre3"/>
    <w:rsid w:val="00E51002"/>
    <w:rPr>
      <w:rFonts w:ascii="Arial" w:eastAsia="Times New Roman" w:hAnsi="Arial" w:cs="Times New Roman"/>
      <w:b/>
      <w:sz w:val="26"/>
      <w:lang w:eastAsia="fr-FR"/>
    </w:rPr>
  </w:style>
  <w:style w:type="character" w:customStyle="1" w:styleId="Titre4Car">
    <w:name w:val="Titre 4 Car"/>
    <w:basedOn w:val="Policepardfaut"/>
    <w:link w:val="Titre4"/>
    <w:rsid w:val="00E51002"/>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E51002"/>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E51002"/>
    <w:rPr>
      <w:rFonts w:ascii="Times New Roman" w:eastAsia="Times New Roman" w:hAnsi="Times New Roman" w:cs="Times New Roman"/>
      <w:b/>
      <w:lang w:eastAsia="fr-FR"/>
    </w:rPr>
  </w:style>
  <w:style w:type="character" w:customStyle="1" w:styleId="Titre7Car">
    <w:name w:val="Titre 7 Car"/>
    <w:basedOn w:val="Policepardfaut"/>
    <w:link w:val="Titre7"/>
    <w:rsid w:val="00E51002"/>
    <w:rPr>
      <w:rFonts w:ascii="Times New Roman" w:eastAsia="Times New Roman" w:hAnsi="Times New Roman" w:cs="Times New Roman"/>
      <w:lang w:eastAsia="fr-FR"/>
    </w:rPr>
  </w:style>
  <w:style w:type="character" w:customStyle="1" w:styleId="Titre8Car">
    <w:name w:val="Titre 8 Car"/>
    <w:basedOn w:val="Policepardfaut"/>
    <w:link w:val="Titre8"/>
    <w:rsid w:val="00E51002"/>
    <w:rPr>
      <w:rFonts w:ascii="Verdana" w:eastAsia="Times New Roman" w:hAnsi="Verdana" w:cs="Times New Roman"/>
      <w:b/>
      <w:sz w:val="20"/>
      <w:lang w:val="fr-FR" w:eastAsia="fr-FR"/>
    </w:rPr>
  </w:style>
  <w:style w:type="character" w:customStyle="1" w:styleId="Titre9Car">
    <w:name w:val="Titre 9 Car"/>
    <w:basedOn w:val="Policepardfaut"/>
    <w:link w:val="Titre9"/>
    <w:rsid w:val="00E51002"/>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E51002"/>
  </w:style>
  <w:style w:type="paragraph" w:customStyle="1" w:styleId="FAOAbstracttitle">
    <w:name w:val="FAO Abstract title"/>
    <w:basedOn w:val="Titre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E51002"/>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E51002"/>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E51002"/>
    <w:rPr>
      <w:rFonts w:ascii="Times New Roman" w:eastAsia="Times New Roman" w:hAnsi="Times New Roman" w:cs="Times New Roman"/>
      <w:lang w:eastAsia="fr-FR"/>
    </w:rPr>
  </w:style>
  <w:style w:type="paragraph" w:styleId="Pieddepage">
    <w:name w:val="footer"/>
    <w:basedOn w:val="Normal"/>
    <w:link w:val="PieddepageCar"/>
    <w:uiPriority w:val="99"/>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E51002"/>
    <w:rPr>
      <w:rFonts w:ascii="Times New Roman" w:eastAsia="Times New Roman" w:hAnsi="Times New Roman" w:cs="Times New Roman"/>
      <w:lang w:eastAsia="fr-FR"/>
    </w:rPr>
  </w:style>
  <w:style w:type="character" w:styleId="Numrodepage">
    <w:name w:val="page number"/>
    <w:basedOn w:val="Policepardfaut"/>
    <w:rsid w:val="00E51002"/>
  </w:style>
  <w:style w:type="paragraph" w:customStyle="1" w:styleId="IOTCHeading1">
    <w:name w:val="IOTC Heading 1"/>
    <w:basedOn w:val="Titre1"/>
    <w:rsid w:val="00E51002"/>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E51002"/>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qFormat/>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eastAsia="fr-FR"/>
    </w:rPr>
  </w:style>
  <w:style w:type="character" w:styleId="Lienhypertexte">
    <w:name w:val="Hyperlink"/>
    <w:basedOn w:val="Policepardfaut"/>
    <w:uiPriority w:val="99"/>
    <w:rsid w:val="00E51002"/>
    <w:rPr>
      <w:color w:val="0000FF"/>
      <w:u w:val="single"/>
    </w:rPr>
  </w:style>
  <w:style w:type="paragraph" w:customStyle="1" w:styleId="IOTCHeading3">
    <w:name w:val="IOTC Heading 3"/>
    <w:basedOn w:val="IOTCHeading2"/>
    <w:rsid w:val="00E51002"/>
    <w:pPr>
      <w:spacing w:after="120"/>
      <w:ind w:left="360"/>
    </w:pPr>
    <w:rPr>
      <w:i w:val="0"/>
      <w:kern w:val="28"/>
      <w:sz w:val="22"/>
    </w:rPr>
  </w:style>
  <w:style w:type="character" w:customStyle="1" w:styleId="IOTC-NormalChar1">
    <w:name w:val="IOTC-Normal Char1"/>
    <w:basedOn w:val="Policepardfaut"/>
    <w:rsid w:val="00E51002"/>
    <w:rPr>
      <w:sz w:val="22"/>
      <w:szCs w:val="22"/>
      <w:lang w:val="fr-FR"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E51002"/>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E51002"/>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E51002"/>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E51002"/>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E51002"/>
    <w:rPr>
      <w:rFonts w:ascii="Times New Roman" w:eastAsia="Times New Roman" w:hAnsi="Times New Roman" w:cs="Times New Roman"/>
      <w:sz w:val="28"/>
      <w:lang w:val="fr-FR" w:eastAsia="fr-FR"/>
    </w:rPr>
  </w:style>
  <w:style w:type="paragraph" w:customStyle="1" w:styleId="H2">
    <w:name w:val="H2"/>
    <w:basedOn w:val="Titre2"/>
    <w:next w:val="Normal"/>
    <w:rsid w:val="00E51002"/>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E51002"/>
    <w:rPr>
      <w:noProof w:val="0"/>
      <w:sz w:val="22"/>
      <w:lang w:val="fr-FR"/>
    </w:rPr>
  </w:style>
  <w:style w:type="paragraph" w:customStyle="1" w:styleId="IOTCAgendaH1">
    <w:name w:val="IOTC Agenda H1"/>
    <w:basedOn w:val="IOTCHeading1"/>
    <w:next w:val="IOTC-Normal"/>
    <w:rsid w:val="00E51002"/>
    <w:pPr>
      <w:numPr>
        <w:numId w:val="12"/>
      </w:numPr>
      <w:spacing w:after="60"/>
    </w:pPr>
    <w:rPr>
      <w:color w:val="000000"/>
      <w:kern w:val="32"/>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E51002"/>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E51002"/>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E51002"/>
    <w:rPr>
      <w:sz w:val="26"/>
    </w:rPr>
  </w:style>
  <w:style w:type="paragraph" w:styleId="Textebrut">
    <w:name w:val="Plain Text"/>
    <w:basedOn w:val="Normal"/>
    <w:link w:val="TextebrutCar"/>
    <w:rsid w:val="00E51002"/>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E51002"/>
    <w:rPr>
      <w:rFonts w:ascii="MS Mincho" w:eastAsia="MS Mincho" w:hAnsi="Courier New" w:cs="Times New Roman"/>
      <w:kern w:val="2"/>
      <w:sz w:val="21"/>
      <w:lang w:eastAsia="ja-JP"/>
    </w:rPr>
  </w:style>
  <w:style w:type="character" w:styleId="lev">
    <w:name w:val="Strong"/>
    <w:basedOn w:val="Policepardfau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E51002"/>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E51002"/>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E51002"/>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E51002"/>
    <w:rPr>
      <w:rFonts w:ascii="Times New Roman" w:eastAsia="Times New Roman" w:hAnsi="Times New Roman" w:cs="Times New Roman"/>
      <w:lang w:eastAsia="fr-FR"/>
    </w:rPr>
  </w:style>
  <w:style w:type="character" w:customStyle="1" w:styleId="CharChar">
    <w:name w:val="Char Char"/>
    <w:basedOn w:val="Policepardfaut"/>
    <w:rsid w:val="00E51002"/>
    <w:rPr>
      <w:noProof w:val="0"/>
      <w:sz w:val="24"/>
      <w:lang w:val="fr-FR"/>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E51002"/>
    <w:pPr>
      <w:keepNext/>
      <w:spacing w:before="240"/>
    </w:pPr>
    <w:rPr>
      <w:b/>
      <w:i/>
      <w:caps/>
      <w:kern w:val="28"/>
      <w:sz w:val="22"/>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e">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E51002"/>
    <w:pPr>
      <w:ind w:left="1440"/>
    </w:pPr>
    <w:rPr>
      <w:rFonts w:ascii="Verdana" w:hAnsi="Verdana"/>
      <w:i/>
      <w:sz w:val="22"/>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E51002"/>
    <w:pPr>
      <w:keepNext/>
    </w:pPr>
    <w:rPr>
      <w:rFonts w:ascii="Verdana" w:hAnsi="Verdana"/>
      <w:b w:val="0"/>
      <w:sz w:val="20"/>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Titre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E51002"/>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E51002"/>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E51002"/>
    <w:rPr>
      <w:sz w:val="22"/>
      <w:szCs w:val="22"/>
      <w:lang w:val="fr-FR" w:eastAsia="fr-FR" w:bidi="ar-SA"/>
    </w:rPr>
  </w:style>
  <w:style w:type="paragraph" w:customStyle="1" w:styleId="Style1">
    <w:name w:val="Style1"/>
    <w:basedOn w:val="IOTC-Normal"/>
    <w:rsid w:val="00E51002"/>
  </w:style>
  <w:style w:type="character" w:styleId="AcronymeHTML">
    <w:name w:val="HTML Acronym"/>
    <w:basedOn w:val="Policepardfau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rsid w:val="00E51002"/>
    <w:rPr>
      <w:vertAlign w:val="superscript"/>
    </w:rPr>
  </w:style>
  <w:style w:type="paragraph" w:styleId="Textedebulles">
    <w:name w:val="Balloon Text"/>
    <w:basedOn w:val="Normal"/>
    <w:link w:val="TextedebullesCar"/>
    <w:rsid w:val="00E51002"/>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E51002"/>
    <w:rPr>
      <w:rFonts w:ascii="Times New Roman" w:eastAsia="Times New Roman" w:hAnsi="Times New Roman" w:cs="Times New Roman"/>
      <w:sz w:val="20"/>
      <w:szCs w:val="20"/>
      <w:lang w:val="fr-FR"/>
    </w:rPr>
  </w:style>
  <w:style w:type="paragraph" w:styleId="Listepuces">
    <w:name w:val="List Bullet"/>
    <w:basedOn w:val="Normal"/>
    <w:autoRedefine/>
    <w:rsid w:val="00E51002"/>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uiPriority w:val="99"/>
    <w:rsid w:val="00E51002"/>
    <w:rPr>
      <w:sz w:val="18"/>
    </w:rPr>
  </w:style>
  <w:style w:type="paragraph" w:styleId="Commentaire">
    <w:name w:val="annotation text"/>
    <w:basedOn w:val="Normal"/>
    <w:link w:val="CommentaireCar"/>
    <w:uiPriority w:val="99"/>
    <w:rsid w:val="00E51002"/>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uiPriority w:val="99"/>
    <w:rsid w:val="00E5100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E51002"/>
    <w:rPr>
      <w:sz w:val="22"/>
      <w:szCs w:val="22"/>
    </w:rPr>
  </w:style>
  <w:style w:type="character" w:customStyle="1" w:styleId="ObjetducommentaireCar">
    <w:name w:val="Objet du commentaire Car"/>
    <w:basedOn w:val="CommentaireCar"/>
    <w:link w:val="Objetducommentaire"/>
    <w:rsid w:val="00E51002"/>
    <w:rPr>
      <w:rFonts w:ascii="Times New Roman" w:eastAsia="Times New Roman" w:hAnsi="Times New Roman" w:cs="Times New Roman"/>
      <w:sz w:val="24"/>
      <w:szCs w:val="24"/>
      <w:lang w:eastAsia="fr-FR"/>
    </w:rPr>
  </w:style>
  <w:style w:type="paragraph" w:styleId="Adresseexpditeur">
    <w:name w:val="envelope return"/>
    <w:basedOn w:val="Normal"/>
    <w:rsid w:val="00E51002"/>
    <w:pPr>
      <w:spacing w:before="120" w:after="0" w:line="240" w:lineRule="auto"/>
    </w:pPr>
    <w:rPr>
      <w:rFonts w:ascii="Arial" w:eastAsia="Times New Roman" w:hAnsi="Arial" w:cs="Times New Roman"/>
      <w:i/>
      <w:sz w:val="18"/>
      <w:szCs w:val="20"/>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E51002"/>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E51002"/>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E51002"/>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E51002"/>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E51002"/>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E51002"/>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E51002"/>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E51002"/>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E51002"/>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E51002"/>
    <w:rPr>
      <w:rFonts w:ascii="Times New Roman" w:eastAsia="Times New Roman" w:hAnsi="Times New Roman" w:cs="Times New Roman"/>
      <w:szCs w:val="20"/>
      <w:lang w:val="fr-FR"/>
    </w:rPr>
  </w:style>
  <w:style w:type="paragraph" w:styleId="Date">
    <w:name w:val="Date"/>
    <w:basedOn w:val="Normal"/>
    <w:next w:val="Normal"/>
    <w:link w:val="DateCar"/>
    <w:uiPriority w:val="99"/>
    <w:rsid w:val="00E51002"/>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E51002"/>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E51002"/>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E51002"/>
    <w:rPr>
      <w:rFonts w:ascii="Times New Roman" w:eastAsia="Times New Roman" w:hAnsi="Times New Roman" w:cs="Times New Roman"/>
      <w:szCs w:val="20"/>
      <w:lang w:val="fr-FR"/>
    </w:rPr>
  </w:style>
  <w:style w:type="paragraph" w:styleId="Adressedestinataire">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E51002"/>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E51002"/>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E51002"/>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E51002"/>
    <w:rPr>
      <w:rFonts w:ascii="Courier New" w:eastAsia="Times New Roman" w:hAnsi="Courier New" w:cs="Courier New"/>
      <w:sz w:val="20"/>
      <w:szCs w:val="20"/>
      <w:lang w:val="fr-FR"/>
    </w:rPr>
  </w:style>
  <w:style w:type="paragraph" w:styleId="Liste2">
    <w:name w:val="List 2"/>
    <w:basedOn w:val="Normal"/>
    <w:rsid w:val="00E51002"/>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E51002"/>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E51002"/>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E51002"/>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E51002"/>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E51002"/>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E51002"/>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E51002"/>
    <w:rPr>
      <w:rFonts w:ascii="Times New Roman" w:eastAsia="Times New Roman" w:hAnsi="Times New Roman" w:cs="Times New Roman"/>
      <w:szCs w:val="20"/>
      <w:lang w:val="fr-FR"/>
    </w:rPr>
  </w:style>
  <w:style w:type="paragraph" w:styleId="Signature">
    <w:name w:val="Signature"/>
    <w:basedOn w:val="Normal"/>
    <w:link w:val="Signatur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E51002"/>
    <w:rPr>
      <w:rFonts w:ascii="Times New Roman" w:eastAsia="Times New Roman" w:hAnsi="Times New Roman" w:cs="Times New Roman"/>
      <w:szCs w:val="20"/>
      <w:lang w:val="fr-FR"/>
    </w:rPr>
  </w:style>
  <w:style w:type="paragraph" w:styleId="Sous-titre">
    <w:name w:val="Subtitle"/>
    <w:basedOn w:val="Normal"/>
    <w:link w:val="Sous-titreCar"/>
    <w:qFormat/>
    <w:rsid w:val="00E51002"/>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E51002"/>
    <w:rPr>
      <w:rFonts w:ascii="Arial" w:eastAsia="Times New Roman" w:hAnsi="Arial" w:cs="Arial"/>
      <w:sz w:val="24"/>
      <w:szCs w:val="24"/>
      <w:lang w:val="fr-FR"/>
    </w:rPr>
  </w:style>
  <w:style w:type="character" w:styleId="CodeHTML">
    <w:name w:val="HTML Code"/>
    <w:basedOn w:val="Policepardfau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E51002"/>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E51002"/>
    <w:rPr>
      <w:rFonts w:ascii="Arial Narrow" w:eastAsia="Calibri" w:hAnsi="Arial Narrow" w:cs="Times New Roman"/>
      <w:b/>
      <w:color w:val="000000"/>
      <w:sz w:val="24"/>
    </w:rPr>
  </w:style>
  <w:style w:type="table" w:styleId="Grilledutableau">
    <w:name w:val="Table Grid"/>
    <w:basedOn w:val="TableauNormal"/>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eastAsia="zh-CN"/>
    </w:rPr>
  </w:style>
  <w:style w:type="paragraph" w:customStyle="1" w:styleId="CM20">
    <w:name w:val="CM20"/>
    <w:basedOn w:val="Default"/>
    <w:next w:val="Default"/>
    <w:rsid w:val="00E51002"/>
    <w:pPr>
      <w:widowControl w:val="0"/>
      <w:spacing w:after="538"/>
    </w:pPr>
    <w:rPr>
      <w:rFonts w:eastAsia="SimSun"/>
      <w:color w:val="auto"/>
      <w:lang w:eastAsia="zh-CN"/>
    </w:rPr>
  </w:style>
  <w:style w:type="paragraph" w:customStyle="1" w:styleId="CM16">
    <w:name w:val="CM16"/>
    <w:basedOn w:val="Default"/>
    <w:next w:val="Default"/>
    <w:rsid w:val="00E51002"/>
    <w:pPr>
      <w:widowControl w:val="0"/>
      <w:spacing w:line="256" w:lineRule="atLeast"/>
    </w:pPr>
    <w:rPr>
      <w:rFonts w:eastAsia="SimSun"/>
      <w:color w:val="auto"/>
      <w:lang w:eastAsia="zh-CN"/>
    </w:rPr>
  </w:style>
  <w:style w:type="paragraph" w:customStyle="1" w:styleId="CM17">
    <w:name w:val="CM17"/>
    <w:basedOn w:val="Default"/>
    <w:next w:val="Default"/>
    <w:rsid w:val="00E51002"/>
    <w:pPr>
      <w:widowControl w:val="0"/>
      <w:spacing w:line="256" w:lineRule="atLeast"/>
    </w:pPr>
    <w:rPr>
      <w:rFonts w:eastAsia="SimSun"/>
      <w:color w:val="auto"/>
      <w:lang w:eastAsia="zh-CN"/>
    </w:rPr>
  </w:style>
  <w:style w:type="paragraph" w:customStyle="1" w:styleId="DocTitle">
    <w:name w:val="DocTitle"/>
    <w:basedOn w:val="Country"/>
    <w:rsid w:val="00E51002"/>
    <w:pPr>
      <w:jc w:val="center"/>
    </w:pPr>
  </w:style>
  <w:style w:type="paragraph" w:styleId="Lgende">
    <w:name w:val="caption"/>
    <w:aliases w:val="Section heading"/>
    <w:basedOn w:val="Normal"/>
    <w:next w:val="Normal"/>
    <w:uiPriority w:val="99"/>
    <w:qFormat/>
    <w:rsid w:val="00E51002"/>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E51002"/>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E51002"/>
    <w:rPr>
      <w:rFonts w:ascii="Tahoma" w:eastAsia="Times New Roman" w:hAnsi="Tahoma" w:cs="Tahoma"/>
      <w:sz w:val="16"/>
      <w:szCs w:val="16"/>
      <w:lang w:eastAsia="fr-FR"/>
    </w:rPr>
  </w:style>
  <w:style w:type="paragraph" w:styleId="Notedefin">
    <w:name w:val="endnote text"/>
    <w:basedOn w:val="Normal"/>
    <w:link w:val="NotedefinCar"/>
    <w:unhideWhenUsed/>
    <w:rsid w:val="00E51002"/>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E51002"/>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E51002"/>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E51002"/>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E51002"/>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E51002"/>
    <w:pPr>
      <w:outlineLvl w:val="9"/>
    </w:pPr>
    <w:rPr>
      <w:rFonts w:ascii="Cambria" w:hAnsi="Cambria" w:cs="Times New Roman"/>
    </w:rPr>
  </w:style>
  <w:style w:type="numbering" w:customStyle="1" w:styleId="NoList11">
    <w:name w:val="No List11"/>
    <w:next w:val="Aucuneliste"/>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E51002"/>
    <w:pPr>
      <w:spacing w:line="199" w:lineRule="auto"/>
    </w:pPr>
    <w:rPr>
      <w:rFonts w:cs="Times New Roman"/>
      <w:szCs w:val="22"/>
    </w:rPr>
  </w:style>
  <w:style w:type="paragraph" w:styleId="Paragraphedeliste">
    <w:name w:val="List Paragraph"/>
    <w:basedOn w:val="Normal"/>
    <w:uiPriority w:val="34"/>
    <w:qFormat/>
    <w:rsid w:val="00E51002"/>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E51002"/>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E51002"/>
    <w:pPr>
      <w:spacing w:before="120" w:after="0"/>
      <w:ind w:left="283" w:firstLine="210"/>
    </w:pPr>
    <w:rPr>
      <w:szCs w:val="20"/>
      <w:lang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E51002"/>
    <w:rPr>
      <w:rFonts w:cs="Times New Roman"/>
    </w:rPr>
  </w:style>
  <w:style w:type="character" w:customStyle="1" w:styleId="Lienhype">
    <w:name w:val="Lien hype"/>
    <w:basedOn w:val="Policepardfaut"/>
    <w:uiPriority w:val="99"/>
    <w:rsid w:val="00E51002"/>
    <w:rPr>
      <w:rFonts w:cs="Times New Roman"/>
      <w:color w:val="0000FF"/>
      <w:u w:val="single"/>
    </w:rPr>
  </w:style>
  <w:style w:type="character" w:customStyle="1" w:styleId="Lienhypertextes">
    <w:name w:val="Lien hypertexte s"/>
    <w:basedOn w:val="Policepardfaut"/>
    <w:uiPriority w:val="99"/>
    <w:rsid w:val="00E51002"/>
    <w:rPr>
      <w:rFonts w:cs="Times New Roman"/>
      <w:color w:val="800080"/>
      <w:u w:val="single"/>
    </w:rPr>
  </w:style>
  <w:style w:type="table" w:customStyle="1" w:styleId="TableGrid1">
    <w:name w:val="Table Grid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E51002"/>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E51002"/>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E51002"/>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E51002"/>
  </w:style>
  <w:style w:type="table" w:customStyle="1" w:styleId="TableGrid2">
    <w:name w:val="Table Grid2"/>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E51002"/>
    <w:rPr>
      <w:smallCaps/>
      <w:color w:val="C0504D"/>
      <w:u w:val="single"/>
    </w:rPr>
  </w:style>
  <w:style w:type="character" w:customStyle="1" w:styleId="Rfrenceintense1">
    <w:name w:val="Référence intense1"/>
    <w:basedOn w:val="Policepardfaut"/>
    <w:uiPriority w:val="32"/>
    <w:qFormat/>
    <w:rsid w:val="00E51002"/>
    <w:rPr>
      <w:b/>
      <w:bCs/>
      <w:smallCaps/>
      <w:color w:val="C0504D"/>
      <w:spacing w:val="5"/>
      <w:u w:val="single"/>
    </w:rPr>
  </w:style>
  <w:style w:type="character" w:customStyle="1" w:styleId="Titredulivre1">
    <w:name w:val="Titre du livre1"/>
    <w:basedOn w:val="Policepardfau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E51002"/>
    <w:pPr>
      <w:widowControl w:val="0"/>
    </w:pPr>
    <w:rPr>
      <w:rFonts w:ascii="PMEGME+TimesNewRoman" w:hAnsi="PMEGME+TimesNewRoman"/>
      <w:color w:val="auto"/>
      <w:lang w:eastAsia="fr-FR"/>
    </w:rPr>
  </w:style>
  <w:style w:type="paragraph" w:customStyle="1" w:styleId="CM8">
    <w:name w:val="CM8"/>
    <w:basedOn w:val="Default"/>
    <w:next w:val="Default"/>
    <w:uiPriority w:val="99"/>
    <w:rsid w:val="00E51002"/>
    <w:pPr>
      <w:widowControl w:val="0"/>
      <w:spacing w:before="240" w:after="120"/>
      <w:jc w:val="center"/>
    </w:pPr>
    <w:rPr>
      <w:b/>
      <w:i/>
      <w:u w:val="single"/>
      <w:lang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E51002"/>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E51002"/>
    <w:rPr>
      <w:rFonts w:cs="Times New Roman"/>
      <w:color w:val="0000FF"/>
    </w:rPr>
  </w:style>
  <w:style w:type="character" w:customStyle="1" w:styleId="Marker1">
    <w:name w:val="Marker1"/>
    <w:basedOn w:val="Policepardfaut"/>
    <w:rsid w:val="00E51002"/>
    <w:rPr>
      <w:rFonts w:cs="Times New Roman"/>
      <w:color w:val="008000"/>
    </w:rPr>
  </w:style>
  <w:style w:type="character" w:customStyle="1" w:styleId="Marker2">
    <w:name w:val="Marker2"/>
    <w:basedOn w:val="Policepardfau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E51002"/>
    <w:rPr>
      <w:rFonts w:cs="Times New Roman"/>
      <w:b/>
      <w:u w:val="single"/>
    </w:rPr>
  </w:style>
  <w:style w:type="character" w:customStyle="1" w:styleId="Deleted">
    <w:name w:val="Deleted"/>
    <w:basedOn w:val="Policepardfau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E51002"/>
    <w:pPr>
      <w:keepNext w:val="0"/>
      <w:keepLines w:val="0"/>
      <w:spacing w:before="0"/>
      <w:jc w:val="both"/>
    </w:pPr>
    <w:rPr>
      <w:sz w:val="18"/>
      <w:szCs w:val="18"/>
      <w:lang w:eastAsia="en-GB"/>
    </w:rPr>
  </w:style>
  <w:style w:type="paragraph" w:customStyle="1" w:styleId="Style3">
    <w:name w:val="Style3"/>
    <w:basedOn w:val="Notedebasdepage"/>
    <w:link w:val="Style3Char"/>
    <w:qFormat/>
    <w:rsid w:val="00E51002"/>
    <w:pPr>
      <w:keepNext w:val="0"/>
      <w:keepLines w:val="0"/>
      <w:spacing w:before="0"/>
      <w:jc w:val="both"/>
    </w:pPr>
    <w:rPr>
      <w:b/>
      <w:bCs/>
      <w:sz w:val="18"/>
      <w:szCs w:val="18"/>
      <w:lang w:eastAsia="en-GB"/>
    </w:rPr>
  </w:style>
  <w:style w:type="paragraph" w:customStyle="1" w:styleId="Style5">
    <w:name w:val="Style5"/>
    <w:basedOn w:val="Notedebasdepage"/>
    <w:autoRedefine/>
    <w:rsid w:val="00E51002"/>
    <w:pPr>
      <w:keepNext w:val="0"/>
      <w:keepLines w:val="0"/>
      <w:spacing w:before="0"/>
      <w:jc w:val="both"/>
    </w:pPr>
    <w:rPr>
      <w:b/>
      <w:bCs/>
      <w:sz w:val="18"/>
      <w:szCs w:val="18"/>
      <w:lang w:eastAsia="en-GB"/>
    </w:rPr>
  </w:style>
  <w:style w:type="character" w:customStyle="1" w:styleId="Style">
    <w:name w:val="Style"/>
    <w:basedOn w:val="Appelnotedebasdep"/>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E51002"/>
    <w:rPr>
      <w:vertAlign w:val="superscript"/>
    </w:rPr>
  </w:style>
  <w:style w:type="numbering" w:customStyle="1" w:styleId="NoList3">
    <w:name w:val="No List3"/>
    <w:next w:val="Aucuneliste"/>
    <w:uiPriority w:val="99"/>
    <w:semiHidden/>
    <w:rsid w:val="00E51002"/>
  </w:style>
  <w:style w:type="paragraph" w:customStyle="1" w:styleId="SourceCode">
    <w:name w:val="Source Code"/>
    <w:basedOn w:val="Corpsdetexte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E51002"/>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E51002"/>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Policepardfaut"/>
    <w:rsid w:val="00E51002"/>
    <w:rPr>
      <w:lang w:val="fr-FR"/>
    </w:rPr>
  </w:style>
  <w:style w:type="numbering" w:customStyle="1" w:styleId="NoList12">
    <w:name w:val="No List12"/>
    <w:next w:val="Aucuneliste"/>
    <w:semiHidden/>
    <w:unhideWhenUsed/>
    <w:rsid w:val="00E51002"/>
  </w:style>
  <w:style w:type="table" w:customStyle="1" w:styleId="TableGrid12">
    <w:name w:val="Table Grid1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E51002"/>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E51002"/>
  </w:style>
  <w:style w:type="paragraph" w:customStyle="1" w:styleId="FootnoteCharChar">
    <w:name w:val="Footnote Char Char"/>
    <w:basedOn w:val="Corpsdetexte"/>
    <w:link w:val="FootnoteCharCharChar"/>
    <w:rsid w:val="00E51002"/>
    <w:pPr>
      <w:jc w:val="both"/>
    </w:pPr>
    <w:rPr>
      <w:rFonts w:eastAsia="SimSun"/>
      <w:iCs/>
      <w:sz w:val="18"/>
      <w:szCs w:val="20"/>
      <w:lang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E51002"/>
    <w:pPr>
      <w:jc w:val="both"/>
    </w:pPr>
    <w:rPr>
      <w:rFonts w:eastAsia="SimSun"/>
      <w:iCs/>
      <w:sz w:val="18"/>
      <w:szCs w:val="24"/>
      <w:lang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fr-FR"/>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E51002"/>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E51002"/>
  </w:style>
  <w:style w:type="numbering" w:customStyle="1" w:styleId="NoList13">
    <w:name w:val="No List13"/>
    <w:next w:val="Aucuneliste"/>
    <w:uiPriority w:val="99"/>
    <w:semiHidden/>
    <w:unhideWhenUsed/>
    <w:rsid w:val="00E51002"/>
  </w:style>
  <w:style w:type="table" w:customStyle="1" w:styleId="TableGrid8">
    <w:name w:val="Table Grid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E51002"/>
  </w:style>
  <w:style w:type="table" w:customStyle="1" w:styleId="TableGrid21">
    <w:name w:val="Table Grid2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E51002"/>
  </w:style>
  <w:style w:type="table" w:customStyle="1" w:styleId="TableElegant1">
    <w:name w:val="Table Elegant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E51002"/>
  </w:style>
  <w:style w:type="table" w:customStyle="1" w:styleId="TableGrid32">
    <w:name w:val="Table Grid3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E51002"/>
  </w:style>
  <w:style w:type="table" w:customStyle="1" w:styleId="TableGrid121">
    <w:name w:val="Table Grid12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E51002"/>
  </w:style>
  <w:style w:type="table" w:customStyle="1" w:styleId="TableGrid62">
    <w:name w:val="Table Grid62"/>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E51002"/>
  </w:style>
  <w:style w:type="table" w:customStyle="1" w:styleId="TableGrid81">
    <w:name w:val="Table Grid8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E51002"/>
    <w:pPr>
      <w:spacing w:after="120" w:line="240" w:lineRule="atLeast"/>
      <w:ind w:firstLine="284"/>
      <w:jc w:val="both"/>
    </w:pPr>
    <w:rPr>
      <w:rFonts w:ascii="Arial" w:eastAsia="Times New Roman" w:hAnsi="Arial" w:cs="Arial"/>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E51002"/>
    <w:rPr>
      <w:i/>
      <w:iCs/>
    </w:rPr>
  </w:style>
  <w:style w:type="table" w:customStyle="1" w:styleId="TableGrid9">
    <w:name w:val="Table Grid9"/>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E51002"/>
  </w:style>
  <w:style w:type="numbering" w:customStyle="1" w:styleId="NoList14">
    <w:name w:val="No List14"/>
    <w:next w:val="Aucuneliste"/>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E51002"/>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fr-FR"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Titre2"/>
    <w:rsid w:val="00E51002"/>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E51002"/>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E51002"/>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Titre3"/>
    <w:link w:val="AppendixHeading3Char"/>
    <w:rsid w:val="00E51002"/>
    <w:pPr>
      <w:keepLines/>
      <w:tabs>
        <w:tab w:val="right" w:pos="993"/>
      </w:tabs>
      <w:spacing w:before="120" w:after="120"/>
      <w:ind w:left="1134" w:hanging="567"/>
    </w:pPr>
    <w:rPr>
      <w:sz w:val="24"/>
      <w:szCs w:val="24"/>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Lgende"/>
    <w:rsid w:val="00E51002"/>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E51002"/>
    <w:rPr>
      <w:rFonts w:ascii="Courier New" w:hAnsi="Courier New" w:cs="Courier New"/>
    </w:rPr>
  </w:style>
  <w:style w:type="character" w:customStyle="1" w:styleId="spelle">
    <w:name w:val="spelle"/>
    <w:basedOn w:val="Policepardfau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E51002"/>
    <w:pPr>
      <w:numPr>
        <w:numId w:val="16"/>
      </w:numPr>
    </w:pPr>
  </w:style>
  <w:style w:type="paragraph" w:customStyle="1" w:styleId="FAOSectHeading">
    <w:name w:val="FAO Sect Heading"/>
    <w:basedOn w:val="Titre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eastAsia="en-GB"/>
    </w:rPr>
  </w:style>
  <w:style w:type="paragraph" w:customStyle="1" w:styleId="CM29">
    <w:name w:val="CM29"/>
    <w:basedOn w:val="Default"/>
    <w:next w:val="Default"/>
    <w:uiPriority w:val="99"/>
    <w:rsid w:val="00E51002"/>
    <w:rPr>
      <w:color w:val="auto"/>
      <w:lang w:eastAsia="en-GB"/>
    </w:rPr>
  </w:style>
  <w:style w:type="paragraph" w:customStyle="1" w:styleId="Heading1numbered">
    <w:name w:val="Heading 1 numbered"/>
    <w:basedOn w:val="Titre1"/>
    <w:next w:val="Normal"/>
    <w:rsid w:val="00E51002"/>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E51002"/>
  </w:style>
  <w:style w:type="numbering" w:customStyle="1" w:styleId="NoList22">
    <w:name w:val="No List22"/>
    <w:next w:val="Aucuneliste"/>
    <w:semiHidden/>
    <w:rsid w:val="00E51002"/>
  </w:style>
  <w:style w:type="numbering" w:customStyle="1" w:styleId="NoList32">
    <w:name w:val="No List32"/>
    <w:next w:val="Aucuneliste"/>
    <w:semiHidden/>
    <w:rsid w:val="00E51002"/>
  </w:style>
  <w:style w:type="numbering" w:customStyle="1" w:styleId="NoList42">
    <w:name w:val="No List42"/>
    <w:next w:val="Aucuneliste"/>
    <w:semiHidden/>
    <w:rsid w:val="00E51002"/>
  </w:style>
  <w:style w:type="table" w:customStyle="1" w:styleId="TableGrid17">
    <w:name w:val="Table Grid17"/>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E51002"/>
  </w:style>
  <w:style w:type="table" w:customStyle="1" w:styleId="TableGrid22">
    <w:name w:val="Table Grid22"/>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Corpsdetexte"/>
    <w:rsid w:val="00E51002"/>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E51002"/>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E51002"/>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E51002"/>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E51002"/>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rPr>
  </w:style>
  <w:style w:type="paragraph" w:customStyle="1" w:styleId="Titlesummary1">
    <w:name w:val="Title summary 1"/>
    <w:basedOn w:val="Default"/>
    <w:rsid w:val="00E51002"/>
    <w:pPr>
      <w:jc w:val="center"/>
    </w:pPr>
    <w:rPr>
      <w:rFonts w:ascii="Arial" w:eastAsia="Calibri" w:hAnsi="Arial" w:cs="Arial"/>
      <w:b/>
      <w:sz w:val="28"/>
      <w:szCs w:val="26"/>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E51002"/>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fr-FR"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En-ttedemessageCar">
    <w:name w:val="En-tête de message Car"/>
    <w:link w:val="En-ttedemessage"/>
    <w:uiPriority w:val="99"/>
    <w:rsid w:val="00E51002"/>
    <w:rPr>
      <w:rFonts w:ascii="Arial" w:eastAsia="Times New Roman" w:hAnsi="Arial" w:cs="Arial"/>
      <w:sz w:val="24"/>
      <w:szCs w:val="24"/>
      <w:shd w:val="pct20" w:color="auto" w:fill="auto"/>
      <w:lang w:val="fr-FR"/>
    </w:rPr>
  </w:style>
  <w:style w:type="character" w:customStyle="1" w:styleId="QuoteChar1">
    <w:name w:val="Quote Char1"/>
    <w:uiPriority w:val="29"/>
    <w:rsid w:val="00E51002"/>
    <w:rPr>
      <w:i/>
      <w:iCs/>
      <w:color w:val="000000"/>
    </w:rPr>
  </w:style>
  <w:style w:type="table" w:customStyle="1" w:styleId="TableGrid34">
    <w:name w:val="Table Grid3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E51002"/>
  </w:style>
  <w:style w:type="numbering" w:customStyle="1" w:styleId="NoList15">
    <w:name w:val="No List15"/>
    <w:next w:val="Aucuneliste"/>
    <w:semiHidden/>
    <w:unhideWhenUsed/>
    <w:rsid w:val="00E51002"/>
  </w:style>
  <w:style w:type="table" w:customStyle="1" w:styleId="TableGrid18">
    <w:name w:val="Table Grid18"/>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E51002"/>
  </w:style>
  <w:style w:type="numbering" w:customStyle="1" w:styleId="NoList113">
    <w:name w:val="No List113"/>
    <w:next w:val="Aucuneliste"/>
    <w:semiHidden/>
    <w:rsid w:val="00E51002"/>
  </w:style>
  <w:style w:type="numbering" w:customStyle="1" w:styleId="NoList23">
    <w:name w:val="No List23"/>
    <w:next w:val="Aucuneliste"/>
    <w:semiHidden/>
    <w:rsid w:val="00E51002"/>
  </w:style>
  <w:style w:type="numbering" w:customStyle="1" w:styleId="NoList33">
    <w:name w:val="No List33"/>
    <w:next w:val="Aucuneliste"/>
    <w:semiHidden/>
    <w:rsid w:val="00E51002"/>
  </w:style>
  <w:style w:type="numbering" w:customStyle="1" w:styleId="NoList43">
    <w:name w:val="No List43"/>
    <w:next w:val="Aucuneliste"/>
    <w:semiHidden/>
    <w:rsid w:val="00E51002"/>
  </w:style>
  <w:style w:type="table" w:customStyle="1" w:styleId="TableGrid19">
    <w:name w:val="Table Grid19"/>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E51002"/>
  </w:style>
  <w:style w:type="table" w:customStyle="1" w:styleId="TableGrid23">
    <w:name w:val="Table Grid23"/>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E51002"/>
    <w:rPr>
      <w:b/>
      <w:bCs/>
      <w:i/>
      <w:iCs/>
      <w:color w:val="4F81BD"/>
      <w:sz w:val="24"/>
    </w:rPr>
  </w:style>
  <w:style w:type="character" w:customStyle="1" w:styleId="CitationCar">
    <w:name w:val="Citation Car"/>
    <w:basedOn w:val="Policepardfaut"/>
    <w:link w:val="Citation"/>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E51002"/>
    <w:rPr>
      <w:i/>
      <w:iCs/>
      <w:color w:val="000000"/>
      <w:sz w:val="24"/>
    </w:rPr>
  </w:style>
  <w:style w:type="character" w:customStyle="1" w:styleId="QuoteChar2">
    <w:name w:val="Quote Char2"/>
    <w:basedOn w:val="Policepardfaut"/>
    <w:uiPriority w:val="29"/>
    <w:rsid w:val="00E51002"/>
    <w:rPr>
      <w:i/>
      <w:iCs/>
      <w:color w:val="000000" w:themeColor="text1"/>
      <w:lang w:val="fr-FR"/>
    </w:rPr>
  </w:style>
  <w:style w:type="table" w:customStyle="1" w:styleId="TableGrid35">
    <w:name w:val="Table Grid3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E51002"/>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E51002"/>
  </w:style>
  <w:style w:type="numbering" w:customStyle="1" w:styleId="NoList16">
    <w:name w:val="No List16"/>
    <w:next w:val="Aucuneliste"/>
    <w:uiPriority w:val="99"/>
    <w:semiHidden/>
    <w:unhideWhenUsed/>
    <w:rsid w:val="00E51002"/>
  </w:style>
  <w:style w:type="table" w:customStyle="1" w:styleId="TableGrid20">
    <w:name w:val="Table Grid2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E51002"/>
    <w:pPr>
      <w:numPr>
        <w:numId w:val="3"/>
      </w:numPr>
    </w:pPr>
  </w:style>
  <w:style w:type="numbering" w:customStyle="1" w:styleId="NoList114">
    <w:name w:val="No List114"/>
    <w:next w:val="Aucuneliste"/>
    <w:semiHidden/>
    <w:rsid w:val="00E51002"/>
  </w:style>
  <w:style w:type="numbering" w:customStyle="1" w:styleId="NoList24">
    <w:name w:val="No List24"/>
    <w:next w:val="Aucuneliste"/>
    <w:semiHidden/>
    <w:rsid w:val="00E51002"/>
  </w:style>
  <w:style w:type="numbering" w:customStyle="1" w:styleId="NoList34">
    <w:name w:val="No List34"/>
    <w:next w:val="Aucuneliste"/>
    <w:semiHidden/>
    <w:rsid w:val="00E51002"/>
  </w:style>
  <w:style w:type="numbering" w:customStyle="1" w:styleId="NoList44">
    <w:name w:val="No List44"/>
    <w:next w:val="Aucuneliste"/>
    <w:semiHidden/>
    <w:rsid w:val="00E51002"/>
  </w:style>
  <w:style w:type="table" w:customStyle="1" w:styleId="TableGrid110">
    <w:name w:val="Table Grid110"/>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E51002"/>
  </w:style>
  <w:style w:type="table" w:customStyle="1" w:styleId="TableGrid24">
    <w:name w:val="Table Grid24"/>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E51002"/>
    <w:rPr>
      <w:b/>
      <w:bCs/>
      <w:smallCaps/>
      <w:spacing w:val="5"/>
    </w:rPr>
  </w:style>
  <w:style w:type="table" w:customStyle="1" w:styleId="TableGrid36">
    <w:name w:val="Table Grid3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E51002"/>
  </w:style>
  <w:style w:type="numbering" w:customStyle="1" w:styleId="NoList17">
    <w:name w:val="No List17"/>
    <w:next w:val="Aucuneliste"/>
    <w:uiPriority w:val="99"/>
    <w:semiHidden/>
    <w:unhideWhenUsed/>
    <w:rsid w:val="00E51002"/>
  </w:style>
  <w:style w:type="table" w:customStyle="1" w:styleId="TableGrid28">
    <w:name w:val="Table Grid2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E51002"/>
  </w:style>
  <w:style w:type="table" w:customStyle="1" w:styleId="TableGrid29">
    <w:name w:val="Table Grid2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E51002"/>
  </w:style>
  <w:style w:type="table" w:customStyle="1" w:styleId="TableElegant2">
    <w:name w:val="Table Elegant2"/>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E51002"/>
  </w:style>
  <w:style w:type="table" w:customStyle="1" w:styleId="TableGrid38">
    <w:name w:val="Table Grid38"/>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E51002"/>
  </w:style>
  <w:style w:type="table" w:customStyle="1" w:styleId="TableGrid122">
    <w:name w:val="Table Grid12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E51002"/>
  </w:style>
  <w:style w:type="table" w:customStyle="1" w:styleId="TableGrid610">
    <w:name w:val="Table Grid610"/>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E51002"/>
  </w:style>
  <w:style w:type="numbering" w:customStyle="1" w:styleId="NoList131">
    <w:name w:val="No List131"/>
    <w:next w:val="Aucuneliste"/>
    <w:uiPriority w:val="99"/>
    <w:semiHidden/>
    <w:unhideWhenUsed/>
    <w:rsid w:val="00E51002"/>
  </w:style>
  <w:style w:type="table" w:customStyle="1" w:styleId="TableGrid85">
    <w:name w:val="Table Grid8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E51002"/>
  </w:style>
  <w:style w:type="table" w:customStyle="1" w:styleId="TableGrid211">
    <w:name w:val="Table Grid21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E51002"/>
  </w:style>
  <w:style w:type="table" w:customStyle="1" w:styleId="TableElegant11">
    <w:name w:val="Table Elegant1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E51002"/>
  </w:style>
  <w:style w:type="table" w:customStyle="1" w:styleId="TableGrid322">
    <w:name w:val="Table Grid32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E51002"/>
  </w:style>
  <w:style w:type="table" w:customStyle="1" w:styleId="TableGrid1211">
    <w:name w:val="Table Grid12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E51002"/>
  </w:style>
  <w:style w:type="table" w:customStyle="1" w:styleId="TableGrid621">
    <w:name w:val="Table Grid621"/>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E51002"/>
  </w:style>
  <w:style w:type="table" w:customStyle="1" w:styleId="TableGrid811">
    <w:name w:val="Table Grid81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E51002"/>
  </w:style>
  <w:style w:type="numbering" w:customStyle="1" w:styleId="NoList141">
    <w:name w:val="No List141"/>
    <w:next w:val="Aucuneliste"/>
    <w:semiHidden/>
    <w:unhideWhenUsed/>
    <w:rsid w:val="00E51002"/>
  </w:style>
  <w:style w:type="table" w:customStyle="1" w:styleId="TableGrid161">
    <w:name w:val="Table Grid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E51002"/>
  </w:style>
  <w:style w:type="numbering" w:customStyle="1" w:styleId="NoList1121">
    <w:name w:val="No List1121"/>
    <w:next w:val="Aucuneliste"/>
    <w:semiHidden/>
    <w:rsid w:val="00E51002"/>
  </w:style>
  <w:style w:type="numbering" w:customStyle="1" w:styleId="NoList221">
    <w:name w:val="No List221"/>
    <w:next w:val="Aucuneliste"/>
    <w:semiHidden/>
    <w:rsid w:val="00E51002"/>
  </w:style>
  <w:style w:type="numbering" w:customStyle="1" w:styleId="NoList321">
    <w:name w:val="No List321"/>
    <w:next w:val="Aucuneliste"/>
    <w:semiHidden/>
    <w:rsid w:val="00E51002"/>
  </w:style>
  <w:style w:type="numbering" w:customStyle="1" w:styleId="NoList421">
    <w:name w:val="No List421"/>
    <w:next w:val="Aucuneliste"/>
    <w:semiHidden/>
    <w:rsid w:val="00E51002"/>
  </w:style>
  <w:style w:type="table" w:customStyle="1" w:styleId="TableGrid171">
    <w:name w:val="Table Grid17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E51002"/>
  </w:style>
  <w:style w:type="table" w:customStyle="1" w:styleId="TableGrid221">
    <w:name w:val="Table Grid22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E51002"/>
  </w:style>
  <w:style w:type="numbering" w:customStyle="1" w:styleId="NoList151">
    <w:name w:val="No List151"/>
    <w:next w:val="Aucuneliste"/>
    <w:semiHidden/>
    <w:unhideWhenUsed/>
    <w:rsid w:val="00E51002"/>
  </w:style>
  <w:style w:type="table" w:customStyle="1" w:styleId="TableGrid181">
    <w:name w:val="Table Grid18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E51002"/>
  </w:style>
  <w:style w:type="numbering" w:customStyle="1" w:styleId="NoList1131">
    <w:name w:val="No List1131"/>
    <w:next w:val="Aucuneliste"/>
    <w:semiHidden/>
    <w:rsid w:val="00E51002"/>
  </w:style>
  <w:style w:type="numbering" w:customStyle="1" w:styleId="NoList231">
    <w:name w:val="No List231"/>
    <w:next w:val="Aucuneliste"/>
    <w:semiHidden/>
    <w:rsid w:val="00E51002"/>
  </w:style>
  <w:style w:type="numbering" w:customStyle="1" w:styleId="NoList331">
    <w:name w:val="No List331"/>
    <w:next w:val="Aucuneliste"/>
    <w:semiHidden/>
    <w:rsid w:val="00E51002"/>
  </w:style>
  <w:style w:type="numbering" w:customStyle="1" w:styleId="NoList431">
    <w:name w:val="No List431"/>
    <w:next w:val="Aucuneliste"/>
    <w:semiHidden/>
    <w:rsid w:val="00E51002"/>
  </w:style>
  <w:style w:type="table" w:customStyle="1" w:styleId="TableGrid191">
    <w:name w:val="Table Grid19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E51002"/>
  </w:style>
  <w:style w:type="table" w:customStyle="1" w:styleId="TableGrid231">
    <w:name w:val="Table Grid23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E51002"/>
  </w:style>
  <w:style w:type="numbering" w:customStyle="1" w:styleId="NoList161">
    <w:name w:val="No List161"/>
    <w:next w:val="Aucuneliste"/>
    <w:uiPriority w:val="99"/>
    <w:semiHidden/>
    <w:unhideWhenUsed/>
    <w:rsid w:val="00E51002"/>
  </w:style>
  <w:style w:type="table" w:customStyle="1" w:styleId="TableGrid201">
    <w:name w:val="Table Grid20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E51002"/>
  </w:style>
  <w:style w:type="numbering" w:customStyle="1" w:styleId="NoList1141">
    <w:name w:val="No List1141"/>
    <w:next w:val="Aucuneliste"/>
    <w:semiHidden/>
    <w:rsid w:val="00E51002"/>
  </w:style>
  <w:style w:type="numbering" w:customStyle="1" w:styleId="NoList241">
    <w:name w:val="No List241"/>
    <w:next w:val="Aucuneliste"/>
    <w:semiHidden/>
    <w:rsid w:val="00E51002"/>
  </w:style>
  <w:style w:type="numbering" w:customStyle="1" w:styleId="NoList341">
    <w:name w:val="No List341"/>
    <w:next w:val="Aucuneliste"/>
    <w:semiHidden/>
    <w:rsid w:val="00E51002"/>
  </w:style>
  <w:style w:type="numbering" w:customStyle="1" w:styleId="NoList441">
    <w:name w:val="No List441"/>
    <w:next w:val="Aucuneliste"/>
    <w:semiHidden/>
    <w:rsid w:val="00E51002"/>
  </w:style>
  <w:style w:type="table" w:customStyle="1" w:styleId="TableGrid1101">
    <w:name w:val="Table Grid110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E51002"/>
  </w:style>
  <w:style w:type="table" w:customStyle="1" w:styleId="TableGrid241">
    <w:name w:val="Table Grid24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E51002"/>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E51002"/>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E51002"/>
    <w:rPr>
      <w:b/>
      <w:bCs/>
      <w:i/>
      <w:iCs/>
      <w:color w:val="4F81BD"/>
      <w:lang w:val="fr-FR"/>
    </w:rPr>
  </w:style>
  <w:style w:type="character" w:customStyle="1" w:styleId="SansinterligneCar">
    <w:name w:val="Sans interligne Car"/>
    <w:basedOn w:val="Policepardfaut"/>
    <w:link w:val="Sansinterligne"/>
    <w:uiPriority w:val="1"/>
    <w:rsid w:val="00E51002"/>
    <w:rPr>
      <w:rFonts w:ascii="Times New Roman" w:eastAsia="Times New Roman" w:hAnsi="Times New Roman" w:cs="Times New Roman"/>
      <w:sz w:val="24"/>
      <w:szCs w:val="24"/>
    </w:rPr>
  </w:style>
  <w:style w:type="table" w:customStyle="1" w:styleId="TableGrid30">
    <w:name w:val="Table Grid30"/>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E51002"/>
    <w:pPr>
      <w:spacing w:after="0" w:line="240" w:lineRule="auto"/>
    </w:pPr>
    <w:rPr>
      <w:rFonts w:ascii="Times New Roman" w:eastAsia="MS Mincho" w:hAnsi="Times New Roman" w:cs="Times New Roman"/>
      <w:b/>
      <w:bCs/>
      <w:i/>
      <w:iCs/>
      <w:color w:val="4F81BD"/>
      <w:sz w:val="24"/>
      <w:szCs w:val="20"/>
      <w:lang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E51002"/>
    <w:pPr>
      <w:spacing w:after="0" w:line="240" w:lineRule="auto"/>
    </w:pPr>
    <w:rPr>
      <w:rFonts w:ascii="Times New Roman" w:eastAsia="MS Mincho" w:hAnsi="Times New Roman" w:cs="Times New Roman"/>
      <w:i/>
      <w:iCs/>
      <w:color w:val="000000"/>
      <w:sz w:val="24"/>
      <w:szCs w:val="20"/>
      <w:lang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E51002"/>
  </w:style>
  <w:style w:type="table" w:customStyle="1" w:styleId="TableGrid48">
    <w:name w:val="Table Grid48"/>
    <w:basedOn w:val="TableauNormal"/>
    <w:next w:val="Grilledutableau"/>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E51002"/>
    <w:pPr>
      <w:spacing w:after="100"/>
    </w:pPr>
  </w:style>
  <w:style w:type="table" w:styleId="Grillemoyenne3-Accent2">
    <w:name w:val="Medium Grid 3 Accent 2"/>
    <w:basedOn w:val="Tableau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E51002"/>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E51002"/>
    <w:rPr>
      <w:b/>
      <w:bCs/>
      <w:i/>
      <w:iCs/>
      <w:color w:val="4F81BD" w:themeColor="accent1"/>
      <w:lang w:val="fr-FR"/>
    </w:rPr>
  </w:style>
  <w:style w:type="table" w:customStyle="1" w:styleId="TableGrid519">
    <w:name w:val="Table Grid519"/>
    <w:basedOn w:val="TableauNormal"/>
    <w:next w:val="Grilledutableau"/>
    <w:uiPriority w:val="59"/>
    <w:rsid w:val="007B4DD8"/>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auNormal"/>
    <w:next w:val="Grilledutableau"/>
    <w:uiPriority w:val="59"/>
    <w:rsid w:val="007B4DD8"/>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auNormal"/>
    <w:next w:val="Grilledutableau"/>
    <w:uiPriority w:val="59"/>
    <w:rsid w:val="00CB748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auNormal"/>
    <w:next w:val="Grilledutableau"/>
    <w:uiPriority w:val="59"/>
    <w:rsid w:val="00CB7486"/>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7">
    <w:name w:val="Table Grid5207"/>
    <w:basedOn w:val="TableauNormal"/>
    <w:next w:val="Grilledutableau"/>
    <w:uiPriority w:val="59"/>
    <w:rsid w:val="00B10D34"/>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auNormal"/>
    <w:next w:val="Grilledutableau"/>
    <w:uiPriority w:val="59"/>
    <w:rsid w:val="00B10D34"/>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123288">
      <w:bodyDiv w:val="1"/>
      <w:marLeft w:val="0"/>
      <w:marRight w:val="0"/>
      <w:marTop w:val="0"/>
      <w:marBottom w:val="0"/>
      <w:divBdr>
        <w:top w:val="none" w:sz="0" w:space="0" w:color="auto"/>
        <w:left w:val="none" w:sz="0" w:space="0" w:color="auto"/>
        <w:bottom w:val="none" w:sz="0" w:space="0" w:color="auto"/>
        <w:right w:val="none" w:sz="0" w:space="0" w:color="auto"/>
      </w:divBdr>
    </w:div>
    <w:div w:id="139061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tif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8C8F9-8977-4B22-8288-282CE914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2</Pages>
  <Words>879</Words>
  <Characters>4839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Amélie Brito</cp:lastModifiedBy>
  <cp:revision>13</cp:revision>
  <cp:lastPrinted>2017-02-06T13:05:00Z</cp:lastPrinted>
  <dcterms:created xsi:type="dcterms:W3CDTF">2017-07-25T11:27:00Z</dcterms:created>
  <dcterms:modified xsi:type="dcterms:W3CDTF">2017-11-16T10:38:00Z</dcterms:modified>
</cp:coreProperties>
</file>