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846" w:rsidRDefault="00E153D4" w:rsidP="002F5B30">
      <w:pPr>
        <w:pStyle w:val="Heading1"/>
      </w:pPr>
      <w:r>
        <w:t xml:space="preserve">Global and regional mortality from </w:t>
      </w:r>
      <w:r w:rsidR="002F5B30">
        <w:t xml:space="preserve">235 </w:t>
      </w:r>
      <w:r>
        <w:t xml:space="preserve">causes of death for 20 age-groups in 1990 and 2010: A systematic analysis. </w:t>
      </w:r>
    </w:p>
    <w:p w:rsidR="008D2342" w:rsidRDefault="008D2342" w:rsidP="00073728">
      <w:pPr>
        <w:spacing w:after="0" w:line="240" w:lineRule="auto"/>
      </w:pPr>
    </w:p>
    <w:p w:rsidR="00073728" w:rsidRDefault="00073728" w:rsidP="00073728">
      <w:pPr>
        <w:spacing w:after="0" w:line="240" w:lineRule="auto"/>
        <w:rPr>
          <w:rFonts w:ascii="Calibri" w:eastAsia="Times New Roman" w:hAnsi="Calibri" w:cs="Calibri"/>
        </w:rPr>
      </w:pPr>
      <w:r>
        <w:t xml:space="preserve">Rafael Lozano, </w:t>
      </w:r>
      <w:r w:rsidRPr="009A6DCD">
        <w:t>Mohsen</w:t>
      </w:r>
      <w:r>
        <w:t xml:space="preserve"> Naghavi</w:t>
      </w:r>
      <w:r w:rsidRPr="009A6DCD">
        <w:t xml:space="preserve">, Kyle Foreman, </w:t>
      </w:r>
      <w:r>
        <w:t>Stephen Lim, Kenji Shibuya</w:t>
      </w:r>
      <w:r w:rsidRPr="009A6DCD">
        <w:t xml:space="preserve">, </w:t>
      </w:r>
      <w:r>
        <w:t xml:space="preserve">Victor Aboyans*, Tim Adair*, Rakesh Aggarwal*, Stephanie Ahn*, Miriam Alvarado*, Kathryn Andrews*, H. Ross Anderson*, Charles Atkinson*, Derrick Bennett*, Robert J. Berry*, Kavi Bhalla*, Boris Bikbov*, Ian Bolliger*, Chiara Bucello*, Christine Budke*, Peter Burney*, Charles Canter*, Jonathan Carapetis*, Honglei Chen*, David Chou*, Salim Chowdhury*, Sumeet Chugh*, Luc Coffeng*, Samantha Colquhoun*, Katherine Colson*, Leslie Cooper*, Matthew Corriere*, Monica Cotrinovis*, Karen Courville de Vaccaro*, William Couser*, Benjamin Cowie*, Michael Criqui*, Kaustubh Dabhadkar*, Nabila Dahodwala*, Diego De Leo*, Louisa Degenhardt*, Allyne Delossantos*, Herbert Duber*, Don Des Jarlais*, E. Ray Dorsey*, Patricia Espindola*, Patricia Erwin*, Majid Ezzati*, Abraham D. Flaxman*, Mohammad H. Forouzanfar*, Richard Franklin*, Michael K. Freeman*, Emmanuela Gakidou*, Flavio Gaspari*, Diego Gonzalez-Medina*, Yara Halasa*, Diana Haring*, James Harrison*, Rasmus Havmoeller*, Roderick Hay*, Peter Hotez*, Damian Hoy*, Kathryn Jacosben*, Spencer L. James*, Rashmi Jasrasaria*,  Rachel Jenkins*, Nicole Johns*, Ganesan Karthikeyan*, Nicholas Kassebaum*, Andre Keren*, Rita Krishnamurthi*, Steven Lipshultz*, Michael F. MacIntyre*, Leslie Mallinger*, Lyn March*, Guy Marks*, Robin Marks*, Akira Matsumori*, Richard Matzopoulos*, Bongani Mayosi*, Mary McDermott*, John McGrath*, George Mensah*, Tony Merriman*, Catherine Michaud*, Matthew Miller*, Ali A. Mokdad*, Andrew Moran*, Luigi Naldi*, K.M. Venkat Narayan*, Kiumarss Nasseri*, Paul Norman*, Summer Lockett Ohno*, Saad B. Omer*, Katrina Ortblad*, Richard Osborne*, Doruk Ozgediz*, Bishnu Pahari*, Andrea Panozo Rivero*, Rogelio Perez Padilla*, Fernando Perez-Ruiz*, Norberto Perico*, David Phillips*, Kelsey Pierce*, C. Arden Pope III*, Esteban Porrini*, Murugesan Raju*, Dharani Ranganathan*, Juergen Rehm*, David Rein*, Guiseppe Remuzzi*, Fred Rivara*, Thomas Roberts*, Felipe Rodriguez De </w:t>
      </w:r>
      <w:r w:rsidRPr="00380AC2">
        <w:rPr>
          <w:rFonts w:ascii="Calibri" w:eastAsia="Times New Roman" w:hAnsi="Calibri" w:cs="Calibri"/>
        </w:rPr>
        <w:t>Leòn</w:t>
      </w:r>
      <w:r>
        <w:rPr>
          <w:rFonts w:ascii="Calibri" w:eastAsia="Times New Roman" w:hAnsi="Calibri" w:cs="Calibri"/>
        </w:rPr>
        <w:t>*, Lisa Rosenfeld*, Joshua Salomon*, Uchechukwu Sampson*, Ella Sanman*, David Schwebel*, Donald Shepard*, Jessica Singleton*, Andrew Steer*, Bernadette Thomas*, Imad Tleyjeh*, Thomas Truelsen*, Jaakko Tuomilehto*, Eduardo Undurraga*, Lakshmi Vijayakumar*, Theo Vos*, Gregory Wagner*, Mengru Wang*, Kerrianne Watt*, Martin Weinstock*, Robert Weintraub*, James Wilkinson*, Anthony Woolf*, Sarah Wulf*, Paul Yip*, Azadeh Zabtian*, Alan D. Lopez</w:t>
      </w:r>
      <w:r>
        <w:rPr>
          <w:rFonts w:cstheme="minorHAnsi"/>
        </w:rPr>
        <w:t>†</w:t>
      </w:r>
      <w:r>
        <w:rPr>
          <w:rFonts w:ascii="Calibri" w:eastAsia="Times New Roman" w:hAnsi="Calibri" w:cs="Calibri"/>
        </w:rPr>
        <w:t>, Christopher JL Murray</w:t>
      </w:r>
      <w:r>
        <w:rPr>
          <w:rFonts w:cstheme="minorHAnsi"/>
        </w:rPr>
        <w:t>†</w:t>
      </w:r>
      <w:r w:rsidR="008D2342" w:rsidRPr="008D2342">
        <w:rPr>
          <w:rFonts w:cstheme="minorHAnsi"/>
          <w:vertAlign w:val="superscript"/>
        </w:rPr>
        <w:t>,</w:t>
      </w:r>
      <w:r w:rsidR="008D2342" w:rsidRPr="008D2342">
        <w:rPr>
          <w:vertAlign w:val="superscript"/>
        </w:rPr>
        <w:t>§</w:t>
      </w:r>
    </w:p>
    <w:p w:rsidR="008D2342" w:rsidRDefault="008D2342" w:rsidP="008D2342"/>
    <w:p w:rsidR="00073728" w:rsidRDefault="008D2342" w:rsidP="00681CA6">
      <w:pPr>
        <w:spacing w:after="0"/>
      </w:pPr>
      <w:r w:rsidRPr="008D2342">
        <w:t>*</w:t>
      </w:r>
      <w:r>
        <w:t>Listed alphabetically</w:t>
      </w:r>
    </w:p>
    <w:p w:rsidR="008D2342" w:rsidRDefault="008D2342" w:rsidP="00681CA6">
      <w:pPr>
        <w:spacing w:after="0"/>
        <w:rPr>
          <w:rFonts w:cstheme="minorHAnsi"/>
        </w:rPr>
      </w:pPr>
      <w:r>
        <w:rPr>
          <w:rFonts w:cstheme="minorHAnsi"/>
        </w:rPr>
        <w:t>†Senior authors</w:t>
      </w:r>
    </w:p>
    <w:p w:rsidR="008D2342" w:rsidRDefault="008D2342" w:rsidP="00681CA6">
      <w:pPr>
        <w:spacing w:after="0"/>
      </w:pPr>
      <w:r w:rsidRPr="000538AB">
        <w:t>§</w:t>
      </w:r>
      <w:r>
        <w:t xml:space="preserve"> </w:t>
      </w:r>
      <w:r>
        <w:rPr>
          <w:rFonts w:cstheme="minorHAnsi"/>
        </w:rPr>
        <w:t>Corresponding author</w:t>
      </w:r>
    </w:p>
    <w:p w:rsidR="00073728" w:rsidRDefault="00073728" w:rsidP="00BF7E82">
      <w:pPr>
        <w:pStyle w:val="Heading2"/>
      </w:pPr>
    </w:p>
    <w:p w:rsidR="00073728" w:rsidRDefault="00073728" w:rsidP="00BF7E82">
      <w:pPr>
        <w:pStyle w:val="Heading2"/>
      </w:pPr>
    </w:p>
    <w:p w:rsidR="00AA001F" w:rsidRDefault="00AA001F" w:rsidP="00AA001F"/>
    <w:p w:rsidR="006B01F7" w:rsidRPr="00AA001F" w:rsidRDefault="006B01F7" w:rsidP="00AA001F"/>
    <w:p w:rsidR="00BF7E82" w:rsidRPr="00BF226D" w:rsidRDefault="00BF7E82" w:rsidP="00BF7E82">
      <w:pPr>
        <w:pStyle w:val="Heading2"/>
      </w:pPr>
      <w:r w:rsidRPr="00BF226D">
        <w:lastRenderedPageBreak/>
        <w:t>Abstract</w:t>
      </w:r>
    </w:p>
    <w:p w:rsidR="00BF7E82" w:rsidRPr="00BF226D" w:rsidRDefault="00BF7E82" w:rsidP="00BF7E82">
      <w:pPr>
        <w:pStyle w:val="Heading3"/>
      </w:pPr>
      <w:r w:rsidRPr="00BF226D">
        <w:t>Background</w:t>
      </w:r>
    </w:p>
    <w:p w:rsidR="00E114D5" w:rsidRPr="00BF226D" w:rsidRDefault="00E114D5" w:rsidP="00BF7E82">
      <w:r w:rsidRPr="00BF226D">
        <w:t>Reliable and timely information on the leading causes of death in populations, and how these are changing, is a critical input into health policy debates. We aimed to estimate annual deaths for the world and 21 regions over the period 1980-2010 for 235 causes, with uncertainty intervals, separately by age and sex.</w:t>
      </w:r>
    </w:p>
    <w:p w:rsidR="00BF7E82" w:rsidRPr="00BF226D" w:rsidRDefault="00BF7E82" w:rsidP="00BF7E82">
      <w:pPr>
        <w:pStyle w:val="Heading3"/>
      </w:pPr>
      <w:r w:rsidRPr="00BF226D">
        <w:t>Methods</w:t>
      </w:r>
    </w:p>
    <w:p w:rsidR="00E114D5" w:rsidRPr="00BF226D" w:rsidRDefault="00E114D5" w:rsidP="00BF7E82">
      <w:r w:rsidRPr="00BF226D">
        <w:t>We attempted to identify all available data on causes of death for 187 countries from 1980 to 2010 from vital registration, verbal autopsy, mortality surveillance, censuses, surveys, hospitals, police records</w:t>
      </w:r>
      <w:r w:rsidR="001346B4">
        <w:t>,</w:t>
      </w:r>
      <w:r w:rsidRPr="00BF226D">
        <w:t xml:space="preserve"> and mortuaries. Data quality was assessed for completeness, diagnostic accuracy, missing data, stochastic variations and probable causes of d</w:t>
      </w:r>
      <w:r w:rsidR="004742EB" w:rsidRPr="00BF226D">
        <w:t xml:space="preserve">eath. We applied </w:t>
      </w:r>
      <w:r w:rsidR="00670007" w:rsidRPr="00BF226D">
        <w:t>six</w:t>
      </w:r>
      <w:r w:rsidR="004742EB" w:rsidRPr="00BF226D">
        <w:t xml:space="preserve"> different</w:t>
      </w:r>
      <w:r w:rsidRPr="00BF226D">
        <w:t xml:space="preserve"> </w:t>
      </w:r>
      <w:r w:rsidR="00D2316A" w:rsidRPr="00BF226D">
        <w:t>modeling</w:t>
      </w:r>
      <w:r w:rsidRPr="00BF226D">
        <w:t xml:space="preserve"> strategies to estimate cause-specific mortality trends depending on the strength of the data. For </w:t>
      </w:r>
      <w:r w:rsidR="005A3BC4">
        <w:t>13</w:t>
      </w:r>
      <w:r w:rsidR="00392C8F">
        <w:t>3</w:t>
      </w:r>
      <w:r w:rsidR="005A3BC4">
        <w:t xml:space="preserve"> </w:t>
      </w:r>
      <w:r w:rsidR="00392C8F">
        <w:t xml:space="preserve">causes and three special aggregates </w:t>
      </w:r>
      <w:r w:rsidRPr="00BF226D">
        <w:t xml:space="preserve">we </w:t>
      </w:r>
      <w:r w:rsidR="003A6EE3" w:rsidRPr="00BF226D">
        <w:t xml:space="preserve">utilized the Cause of Death Ensemble model (CODEm) approach, which utilizes </w:t>
      </w:r>
      <w:r w:rsidRPr="00BF226D">
        <w:t>four families of statistical models testing a large set of different models using different permutations of covariates. Model ensembles were developed from these component models.</w:t>
      </w:r>
      <w:r w:rsidR="00C47B5C" w:rsidRPr="00BF226D">
        <w:t xml:space="preserve"> </w:t>
      </w:r>
      <w:r w:rsidRPr="00BF226D">
        <w:t xml:space="preserve">Model performance was assessed using rigorous out-of-sample testing of prediction error and the validity of </w:t>
      </w:r>
      <w:r w:rsidR="00BA4CAB" w:rsidRPr="00BF226D">
        <w:t xml:space="preserve">95% </w:t>
      </w:r>
      <w:r w:rsidRPr="00BF226D">
        <w:t>uncertainty intervals.</w:t>
      </w:r>
      <w:r w:rsidR="00C47B5C" w:rsidRPr="00BF226D">
        <w:t xml:space="preserve"> </w:t>
      </w:r>
      <w:r w:rsidRPr="00BF226D">
        <w:t xml:space="preserve">For </w:t>
      </w:r>
      <w:r w:rsidR="00670007" w:rsidRPr="00BF226D">
        <w:t>nine</w:t>
      </w:r>
      <w:r w:rsidRPr="00BF226D">
        <w:t xml:space="preserve"> causes with low observed numbers of deaths, we developed negative binomial models with plausible covariates. For </w:t>
      </w:r>
      <w:r w:rsidR="005A3BC4">
        <w:t>2</w:t>
      </w:r>
      <w:r w:rsidR="00650D4F">
        <w:t>8</w:t>
      </w:r>
      <w:r w:rsidR="005A3BC4">
        <w:t xml:space="preserve"> </w:t>
      </w:r>
      <w:r w:rsidRPr="00BF226D">
        <w:t xml:space="preserve">causes where death is rare, we </w:t>
      </w:r>
      <w:r w:rsidR="00D2316A" w:rsidRPr="00BF226D">
        <w:t>modeled</w:t>
      </w:r>
      <w:r w:rsidRPr="00BF226D">
        <w:t xml:space="preserve"> the </w:t>
      </w:r>
      <w:r w:rsidR="00E34AC8">
        <w:t xml:space="preserve">higher level cause in the </w:t>
      </w:r>
      <w:r w:rsidRPr="00BF226D">
        <w:t>GBD cause hierarchy and then allocated deaths across component causes proportionately, estimated from all available data in the database. For selecte</w:t>
      </w:r>
      <w:r w:rsidR="00DE45A0" w:rsidRPr="00BF226D">
        <w:t>d causes (African trypanosomiasi</w:t>
      </w:r>
      <w:r w:rsidRPr="00BF226D">
        <w:t>s, congenital syphilis, whooping cough, measles and HIV) we used natural history models based on information on incidence, prevalence</w:t>
      </w:r>
      <w:r w:rsidR="00BF34E2" w:rsidRPr="00BF226D">
        <w:t>,</w:t>
      </w:r>
      <w:r w:rsidRPr="00BF226D">
        <w:t xml:space="preserve"> and case-fatality. We separately estimated e</w:t>
      </w:r>
      <w:r w:rsidR="00D2316A" w:rsidRPr="00BF226D">
        <w:t>tiological fractions for diarrh</w:t>
      </w:r>
      <w:r w:rsidRPr="00BF226D">
        <w:t>ea, lower respiratory infections, meningitis, chronic kidney disease, maternal conditions, cirrhosis</w:t>
      </w:r>
      <w:r w:rsidR="003A6EE3" w:rsidRPr="00BF226D">
        <w:t>,</w:t>
      </w:r>
      <w:r w:rsidRPr="00BF226D">
        <w:t xml:space="preserve"> and liver cancer. </w:t>
      </w:r>
      <w:r w:rsidR="00670007" w:rsidRPr="00BF226D">
        <w:t xml:space="preserve">For deaths due to collective violence and natural disasters, we used mortality shock regressions.  </w:t>
      </w:r>
      <w:r w:rsidR="00BA4CAB" w:rsidRPr="00BF226D">
        <w:t xml:space="preserve">For </w:t>
      </w:r>
      <w:r w:rsidR="00040100" w:rsidRPr="00BF226D">
        <w:t>every</w:t>
      </w:r>
      <w:r w:rsidR="00CA1C2D">
        <w:t xml:space="preserve"> </w:t>
      </w:r>
      <w:r w:rsidR="00BA4CAB" w:rsidRPr="00BF226D">
        <w:t>cause, we estimate</w:t>
      </w:r>
      <w:r w:rsidR="00E34AC8">
        <w:t>d</w:t>
      </w:r>
      <w:r w:rsidR="00BA4CAB" w:rsidRPr="00BF226D">
        <w:t xml:space="preserve"> 95% uncertainty intervals that capture both parameter estimation uncertainty and uncertainty due to model specification where CODEm has been used.   </w:t>
      </w:r>
      <w:r w:rsidRPr="00BF226D">
        <w:t xml:space="preserve">We constrained cause-specific fractions within each age-sex group to sum to total mortality based on draws from </w:t>
      </w:r>
      <w:r w:rsidR="00CA1C2D">
        <w:t xml:space="preserve">the </w:t>
      </w:r>
      <w:r w:rsidRPr="00BF226D">
        <w:t xml:space="preserve">uncertainty distributions. </w:t>
      </w:r>
    </w:p>
    <w:p w:rsidR="00BF7E82" w:rsidRPr="00BF226D" w:rsidRDefault="00BF7E82" w:rsidP="00BF7E82">
      <w:pPr>
        <w:pStyle w:val="Heading3"/>
      </w:pPr>
      <w:r w:rsidRPr="00BF226D">
        <w:t>Findings</w:t>
      </w:r>
    </w:p>
    <w:p w:rsidR="005E25F9" w:rsidRDefault="005E25F9" w:rsidP="005E25F9">
      <w:r w:rsidRPr="00FB29C2">
        <w:t>In 2010 there w</w:t>
      </w:r>
      <w:r w:rsidR="00E34AC8">
        <w:t xml:space="preserve">ere a </w:t>
      </w:r>
      <w:r w:rsidRPr="00FB29C2">
        <w:t>total of 52·8 million deaths</w:t>
      </w:r>
      <w:r w:rsidR="00E34AC8">
        <w:t xml:space="preserve"> globally</w:t>
      </w:r>
      <w:r w:rsidRPr="00FB29C2">
        <w:t>. At the</w:t>
      </w:r>
      <w:r>
        <w:t xml:space="preserve"> most aggregate level, communicable, maternal, neonatal, and nutritional causes (CMNN) </w:t>
      </w:r>
      <w:r w:rsidR="001346B4">
        <w:t xml:space="preserve">were </w:t>
      </w:r>
      <w:r>
        <w:t>2</w:t>
      </w:r>
      <w:r w:rsidR="00ED27D1">
        <w:t>4·8</w:t>
      </w:r>
      <w:r>
        <w:t>% of deaths worldwide in 2010, down</w:t>
      </w:r>
      <w:r w:rsidR="001346B4">
        <w:t xml:space="preserve"> from</w:t>
      </w:r>
      <w:r>
        <w:t xml:space="preserve"> 34% in 1990. This was largely due to declines in mortality from diarrheal disease (2·5 to 1·4 million), lower respiratory infections (3·4 to 2·8 million), neonatal conditions (3·1 to 2·2 million), measles (0·63 to 0·13 million), and tetanus (0·27 to 0·06 million). Deaths from HIV/AIDS increased from 0·30 million in 1990 to 1·5 million in 2010, reaching a peak of 1·7 million in 2006. Malaria mortality has also risen by an estimated 19·9% since 1990 to 1·17 million deaths in 2010. Tuberculosis killed 1·2 million people in 2010. Deaths </w:t>
      </w:r>
      <w:r w:rsidR="001346B4">
        <w:t xml:space="preserve">from </w:t>
      </w:r>
      <w:r w:rsidR="00333507">
        <w:t>noncommunicable</w:t>
      </w:r>
      <w:r>
        <w:t xml:space="preserve"> diseases (NCDs) rose by just under eight million deaths between 1990 and 2010, accounting for two out of every three deaths (34·5 million) worldwide by 2010</w:t>
      </w:r>
      <w:r w:rsidRPr="00FB29C2">
        <w:t xml:space="preserve">. </w:t>
      </w:r>
      <w:r w:rsidR="001346B4">
        <w:t>Eight</w:t>
      </w:r>
      <w:r w:rsidRPr="00FB29C2">
        <w:t xml:space="preserve"> million</w:t>
      </w:r>
      <w:r>
        <w:t xml:space="preserve"> people died from cancer in 2010, 38% more than two decades ago; of these, 1·5 million (19%) were from trachea, bronchus, and lung cancer. Ischemic heart disease (IHD) and stroke </w:t>
      </w:r>
      <w:r>
        <w:lastRenderedPageBreak/>
        <w:t>collectively killed 12.9 million people in 2010, or one in four deaths worldwide, compared with one in five in 1990; 1·3 million deaths were due to diabetes, twice as many as in 1990. The fraction of global deaths due to injuries (5·1 million deaths) was marginally higher in 2010 (9·6%) compared with two decades earlier (8·8%). This was driven by a 46% rise in deaths worldwide due to road traffic accidents (1·3 million in 2010) and a rise in deaths from falls. IHD, stroke, chronic obstructive pulmonary disease (COPD), lower respiratory infections (LRI), lung cancer, and HIV</w:t>
      </w:r>
      <w:r w:rsidR="001346B4">
        <w:t>/AIDS</w:t>
      </w:r>
      <w:r>
        <w:t xml:space="preserve"> were the leading causes of death in 2010.  IHD, LRI, stroke, diarrheal disease, malaria, and HIV</w:t>
      </w:r>
      <w:r w:rsidR="001346B4">
        <w:t>/AIDS</w:t>
      </w:r>
      <w:r>
        <w:t xml:space="preserve"> being the leading causes of</w:t>
      </w:r>
      <w:r w:rsidR="00D647BA">
        <w:t xml:space="preserve"> years of life lost due to premature mortality</w:t>
      </w:r>
      <w:r>
        <w:t xml:space="preserve"> </w:t>
      </w:r>
      <w:r w:rsidR="00D647BA">
        <w:t>(</w:t>
      </w:r>
      <w:r>
        <w:t>YLLs</w:t>
      </w:r>
      <w:r w:rsidR="00D647BA">
        <w:t>)</w:t>
      </w:r>
      <w:r>
        <w:t xml:space="preserve"> in 2010, similar to what was estimated for 1990 (HIV</w:t>
      </w:r>
      <w:r w:rsidR="001346B4">
        <w:t>/AIDS</w:t>
      </w:r>
      <w:r>
        <w:t xml:space="preserve"> added, preterm conditions dropped). YLLs from LRI and diarrhea have declined by 45-54% since 1990; IHD and stroke YLLs increased by 17-28%. Regional variations in leading causes of death are substantial.  Communicable, maternal, and neonatal causes still accounted for 50% of premature mortality in sub-Saharan Africa in 2010. Age standardized death rates from some key condition have risen (HIV</w:t>
      </w:r>
      <w:r w:rsidR="001346B4">
        <w:t>/AIDS</w:t>
      </w:r>
      <w:r>
        <w:t>, Alzheimer’s disease, diabetes mellitus, and chronic kidney disease in particular), but for the vast majority of diseases, death rates have fallen over the past two decades; includin</w:t>
      </w:r>
      <w:r w:rsidR="00925D17">
        <w:t>g major vascular diseases, COPD</w:t>
      </w:r>
      <w:r>
        <w:t>,</w:t>
      </w:r>
      <w:r w:rsidR="00925D17">
        <w:t xml:space="preserve"> </w:t>
      </w:r>
      <w:r>
        <w:t>all forms of cancer, liver cirrhosis, and maternal conditions. For others, notably malaria, prostate cancer, and injuries, there has been little change.</w:t>
      </w:r>
    </w:p>
    <w:p w:rsidR="00BF7E82" w:rsidRPr="00BF226D" w:rsidRDefault="00BF7E82" w:rsidP="00BF7E82">
      <w:pPr>
        <w:pStyle w:val="Heading3"/>
      </w:pPr>
      <w:r w:rsidRPr="00BF226D">
        <w:t>Interpretation</w:t>
      </w:r>
    </w:p>
    <w:p w:rsidR="00CA1C2D" w:rsidRDefault="00CA1C2D" w:rsidP="000020E8">
      <w:r>
        <w:t>Population growth, increased average age of the world’s population</w:t>
      </w:r>
      <w:r w:rsidR="001346B4">
        <w:t>,</w:t>
      </w:r>
      <w:r>
        <w:t xml:space="preserve"> and largely declining age, sex</w:t>
      </w:r>
      <w:r w:rsidR="001346B4">
        <w:t>,</w:t>
      </w:r>
      <w:r>
        <w:t xml:space="preserve"> and cause-specific death rates combine to drive a broad shift from communicable, maternal, neonatal and nutritional causes towards noncommunicable diseases.  Nevertheless, </w:t>
      </w:r>
      <w:r w:rsidR="001346B4">
        <w:t>communicable, maternal, neonatal, and n</w:t>
      </w:r>
      <w:r w:rsidR="00BC4C0B">
        <w:t>utritional</w:t>
      </w:r>
      <w:r>
        <w:t xml:space="preserve"> causes remain the dominant causes of YLLs in sub-Saharan Africa.   Overlaid on this general pattern of the epidemiological transition there is marked regional variation in many causes including interpersonal violence, suicide, liver cancer, diabetes, cirrhosis, Chagas disease, African trypanosomiasis, melanoma</w:t>
      </w:r>
      <w:r w:rsidR="001346B4">
        <w:t>,</w:t>
      </w:r>
      <w:r>
        <w:t xml:space="preserve"> and others.  Regional heterogeneity highlights the importance of sound epidemiological assessments of the causes </w:t>
      </w:r>
      <w:r w:rsidR="006B01F7">
        <w:t xml:space="preserve">of death on a regular basis.   </w:t>
      </w:r>
    </w:p>
    <w:p w:rsidR="00BD4DA0" w:rsidRDefault="00BD4DA0" w:rsidP="00483982">
      <w:pPr>
        <w:pStyle w:val="Heading1"/>
      </w:pPr>
    </w:p>
    <w:p w:rsidR="00483982" w:rsidRDefault="00483982" w:rsidP="00483982">
      <w:pPr>
        <w:pStyle w:val="Heading1"/>
      </w:pPr>
      <w:r>
        <w:t>Introduction</w:t>
      </w:r>
    </w:p>
    <w:p w:rsidR="00E153D4" w:rsidRDefault="00E153D4" w:rsidP="00E153D4">
      <w:r>
        <w:t xml:space="preserve">Cause-specific mortality is </w:t>
      </w:r>
      <w:r w:rsidR="00855C79">
        <w:t>arguably</w:t>
      </w:r>
      <w:r w:rsidR="00D43E0A">
        <w:t xml:space="preserve"> one of</w:t>
      </w:r>
      <w:r>
        <w:t xml:space="preserve"> the most fundamental metric</w:t>
      </w:r>
      <w:r w:rsidR="00D43E0A">
        <w:t>s</w:t>
      </w:r>
      <w:r>
        <w:t xml:space="preserve"> of population health.</w:t>
      </w:r>
      <w:r w:rsidR="00C47B5C">
        <w:t xml:space="preserve"> </w:t>
      </w:r>
      <w:r>
        <w:t xml:space="preserve">The rates and numbers of </w:t>
      </w:r>
      <w:r w:rsidR="00855C79">
        <w:t>people who die</w:t>
      </w:r>
      <w:r>
        <w:t>, where</w:t>
      </w:r>
      <w:r w:rsidR="00855C79">
        <w:t>,</w:t>
      </w:r>
      <w:r>
        <w:t xml:space="preserve"> </w:t>
      </w:r>
      <w:r w:rsidR="00855C79">
        <w:t>at what age</w:t>
      </w:r>
      <w:r w:rsidR="003C317A">
        <w:t>,</w:t>
      </w:r>
      <w:r w:rsidR="00855C79">
        <w:t xml:space="preserve"> </w:t>
      </w:r>
      <w:r>
        <w:t xml:space="preserve">and from what, </w:t>
      </w:r>
      <w:r w:rsidR="00855C79">
        <w:t xml:space="preserve">is </w:t>
      </w:r>
      <w:r w:rsidR="00364F55">
        <w:t xml:space="preserve">a </w:t>
      </w:r>
      <w:r w:rsidR="00855C79">
        <w:t>critical</w:t>
      </w:r>
      <w:r>
        <w:t xml:space="preserve"> input into </w:t>
      </w:r>
      <w:r w:rsidR="00855C79">
        <w:t>policy debates and</w:t>
      </w:r>
      <w:r w:rsidR="00C47B5C">
        <w:t xml:space="preserve"> </w:t>
      </w:r>
      <w:r>
        <w:t>planning current interventions</w:t>
      </w:r>
      <w:r w:rsidR="00BF34E2">
        <w:t>,</w:t>
      </w:r>
      <w:r>
        <w:t xml:space="preserve"> a</w:t>
      </w:r>
      <w:r w:rsidR="00855C79">
        <w:t xml:space="preserve">s well as </w:t>
      </w:r>
      <w:r>
        <w:t xml:space="preserve">prioritizing research for new </w:t>
      </w:r>
      <w:r w:rsidR="00855C79">
        <w:t>health technologies</w:t>
      </w:r>
      <w:r>
        <w:t>.</w:t>
      </w:r>
      <w:r w:rsidR="00C47B5C">
        <w:t xml:space="preserve"> </w:t>
      </w:r>
      <w:r>
        <w:t xml:space="preserve">Trends in causes of death provide an important </w:t>
      </w:r>
      <w:r w:rsidR="005458F9">
        <w:t xml:space="preserve">geographical </w:t>
      </w:r>
      <w:r w:rsidR="00855C79">
        <w:t>summary</w:t>
      </w:r>
      <w:r>
        <w:t xml:space="preserve"> of whe</w:t>
      </w:r>
      <w:r w:rsidR="00855C79">
        <w:t xml:space="preserve">ther </w:t>
      </w:r>
      <w:r>
        <w:t>society is</w:t>
      </w:r>
      <w:r w:rsidR="001346B4">
        <w:t xml:space="preserve"> or is not</w:t>
      </w:r>
      <w:r>
        <w:t xml:space="preserve"> making progress</w:t>
      </w:r>
      <w:r w:rsidR="005458F9">
        <w:t xml:space="preserve"> </w:t>
      </w:r>
      <w:r>
        <w:t>in reducing the burden of premature</w:t>
      </w:r>
      <w:r w:rsidR="00855C79">
        <w:t xml:space="preserve"> (and especially avoidable)</w:t>
      </w:r>
      <w:r>
        <w:t xml:space="preserve"> mortality and where renewed efforts are required.</w:t>
      </w:r>
      <w:r w:rsidR="00C47B5C">
        <w:t xml:space="preserve"> </w:t>
      </w:r>
      <w:r>
        <w:t>I</w:t>
      </w:r>
      <w:r w:rsidR="00855C79">
        <w:t>f</w:t>
      </w:r>
      <w:r w:rsidR="00364F55">
        <w:t xml:space="preserve"> </w:t>
      </w:r>
      <w:r>
        <w:t xml:space="preserve">a health information system is not providing timely and accurate information on causes of death by age and sex, major reforms are required to provide </w:t>
      </w:r>
      <w:r w:rsidR="00855C79">
        <w:t>health planners</w:t>
      </w:r>
      <w:r>
        <w:t xml:space="preserve"> with </w:t>
      </w:r>
      <w:r w:rsidR="00855C79">
        <w:t>this essential</w:t>
      </w:r>
      <w:r>
        <w:t xml:space="preserve"> health intelligence. </w:t>
      </w:r>
    </w:p>
    <w:p w:rsidR="00E153D4" w:rsidRDefault="00E153D4" w:rsidP="00E153D4">
      <w:r>
        <w:t xml:space="preserve">Despite the importance of tracking causes of death and the tradition </w:t>
      </w:r>
      <w:r w:rsidR="0067551D">
        <w:t xml:space="preserve">since 1893 </w:t>
      </w:r>
      <w:r>
        <w:t>of standardizing definitions and coding for causes of death in the International Classification of Diseases and Injuries</w:t>
      </w:r>
      <w:r w:rsidR="00925D17">
        <w:t xml:space="preserve"> </w:t>
      </w:r>
      <w:r w:rsidR="00925D17">
        <w:lastRenderedPageBreak/>
        <w:t>(ICD)</w:t>
      </w:r>
      <w:r>
        <w:t>, global assessments of causes of death are</w:t>
      </w:r>
      <w:r w:rsidR="00D1726F">
        <w:t xml:space="preserve"> a major analytical</w:t>
      </w:r>
      <w:r>
        <w:t xml:space="preserve"> challeng</w:t>
      </w:r>
      <w:r w:rsidR="00855C79">
        <w:t>e</w:t>
      </w:r>
      <w:r>
        <w:t>.</w:t>
      </w:r>
      <w:r w:rsidR="00C47B5C">
        <w:t xml:space="preserve"> </w:t>
      </w:r>
      <w:r>
        <w:t xml:space="preserve">Vital registration systems that </w:t>
      </w:r>
      <w:r w:rsidR="00F92BD3">
        <w:t xml:space="preserve">include </w:t>
      </w:r>
      <w:r>
        <w:t>medical certification of the cause of death capture</w:t>
      </w:r>
      <w:r w:rsidR="009B0256">
        <w:t>d</w:t>
      </w:r>
      <w:r>
        <w:t xml:space="preserve"> </w:t>
      </w:r>
      <w:r w:rsidR="00EE47B2" w:rsidRPr="00DD2D21">
        <w:t>approxima</w:t>
      </w:r>
      <w:r w:rsidR="00EE47B2" w:rsidRPr="004A72F4">
        <w:t xml:space="preserve">tely </w:t>
      </w:r>
      <w:r w:rsidR="00B868AF">
        <w:t>18</w:t>
      </w:r>
      <w:r w:rsidR="00B868AF" w:rsidRPr="008E7650">
        <w:t>·</w:t>
      </w:r>
      <w:r w:rsidR="00B868AF">
        <w:t>8</w:t>
      </w:r>
      <w:r w:rsidR="00266F6C" w:rsidRPr="008E7650">
        <w:t xml:space="preserve"> </w:t>
      </w:r>
      <w:r w:rsidRPr="008E7650">
        <w:t>million deaths out of</w:t>
      </w:r>
      <w:r w:rsidR="007410A8" w:rsidRPr="008E7650">
        <w:t xml:space="preserve"> an </w:t>
      </w:r>
      <w:r w:rsidR="005E25F9">
        <w:t xml:space="preserve">as </w:t>
      </w:r>
      <w:r w:rsidR="007410A8" w:rsidRPr="008E7650">
        <w:t>estimated</w:t>
      </w:r>
      <w:r w:rsidR="00855C79" w:rsidRPr="008E7650">
        <w:t xml:space="preserve"> annual total of </w:t>
      </w:r>
      <w:r w:rsidR="0011448A" w:rsidRPr="008E7650">
        <w:t>51·</w:t>
      </w:r>
      <w:r w:rsidR="00B868AF">
        <w:t>7</w:t>
      </w:r>
      <w:r w:rsidR="00266F6C" w:rsidRPr="008E7650">
        <w:t xml:space="preserve"> </w:t>
      </w:r>
      <w:r w:rsidRPr="008E7650">
        <w:t>million deaths</w:t>
      </w:r>
      <w:r w:rsidR="00EE47B2" w:rsidRPr="008E7650">
        <w:t xml:space="preserve"> in </w:t>
      </w:r>
      <w:r w:rsidR="0088376E" w:rsidRPr="008E7650">
        <w:t>200</w:t>
      </w:r>
      <w:r w:rsidR="00B868AF">
        <w:t>5</w:t>
      </w:r>
      <w:r w:rsidR="00EE47B2" w:rsidRPr="008E7650">
        <w:t>,</w:t>
      </w:r>
      <w:r w:rsidR="00EE47B2" w:rsidRPr="004A72F4">
        <w:t xml:space="preserve"> which is</w:t>
      </w:r>
      <w:r w:rsidR="00EE47B2" w:rsidRPr="00DD2D21">
        <w:t xml:space="preserve"> the</w:t>
      </w:r>
      <w:r w:rsidR="009C664F">
        <w:t xml:space="preserve"> latest </w:t>
      </w:r>
      <w:r w:rsidR="00EE47B2" w:rsidRPr="00DD2D21">
        <w:t xml:space="preserve"> year </w:t>
      </w:r>
      <w:r w:rsidR="009C664F">
        <w:t>for</w:t>
      </w:r>
      <w:r w:rsidR="00FA046B">
        <w:t xml:space="preserve"> which</w:t>
      </w:r>
      <w:r w:rsidR="007410A8">
        <w:t xml:space="preserve"> the</w:t>
      </w:r>
      <w:r w:rsidR="00EE47B2" w:rsidRPr="00DD2D21">
        <w:t xml:space="preserve"> largest number of countries reported deaths by a vital registration system</w:t>
      </w:r>
      <w:r w:rsidR="00DD2D21">
        <w:t>.</w:t>
      </w:r>
      <w:r w:rsidR="00C47B5C">
        <w:t xml:space="preserve"> </w:t>
      </w:r>
      <w:r>
        <w:t xml:space="preserve">Even for these deaths, </w:t>
      </w:r>
      <w:r w:rsidR="001E26B5">
        <w:t xml:space="preserve">the </w:t>
      </w:r>
      <w:r>
        <w:t xml:space="preserve">comparability of </w:t>
      </w:r>
      <w:r w:rsidR="001E26B5">
        <w:t>findings on the leading causes of death</w:t>
      </w:r>
      <w:r>
        <w:t xml:space="preserve"> </w:t>
      </w:r>
      <w:r w:rsidR="00B918EA">
        <w:t>is affected</w:t>
      </w:r>
      <w:r>
        <w:t xml:space="preserve"> </w:t>
      </w:r>
      <w:r w:rsidR="002A06BA">
        <w:t>by</w:t>
      </w:r>
      <w:r>
        <w:t xml:space="preserve"> variation in certification skill</w:t>
      </w:r>
      <w:r w:rsidR="001E26B5">
        <w:t>s among physicians</w:t>
      </w:r>
      <w:r>
        <w:t>, the diagnostic and pathological data available at the time of completing a death certificate</w:t>
      </w:r>
      <w:r w:rsidR="00FA046B">
        <w:t>,</w:t>
      </w:r>
      <w:r>
        <w:t xml:space="preserve"> variation</w:t>
      </w:r>
      <w:r w:rsidR="00066EB9">
        <w:t>s</w:t>
      </w:r>
      <w:r>
        <w:t xml:space="preserve"> in medical culture in choosing</w:t>
      </w:r>
      <w:r w:rsidR="00FA046B">
        <w:t xml:space="preserve"> the</w:t>
      </w:r>
      <w:r>
        <w:t xml:space="preserve"> underl</w:t>
      </w:r>
      <w:r w:rsidR="003C317A">
        <w:t>y</w:t>
      </w:r>
      <w:r>
        <w:t>ing cause</w:t>
      </w:r>
      <w:r w:rsidR="00BF34E2">
        <w:t>,</w:t>
      </w:r>
      <w:r>
        <w:t xml:space="preserve"> </w:t>
      </w:r>
      <w:r w:rsidR="006A1D55">
        <w:t>and legal and institutional frameworks for governing mortality reporting</w:t>
      </w:r>
      <w:r>
        <w:t>.</w:t>
      </w:r>
      <w:r w:rsidR="00FD2A6F">
        <w:fldChar w:fldCharType="begin"/>
      </w:r>
      <w:r w:rsidR="00355799">
        <w:instrText xml:space="preserve"> ADDIN ZOTERO_ITEM CSL_CITATION {"citationID":"2g0brv7sek","properties":{"formattedCitation":"{\\rtf \\super 1\\uc0\\u8211{}5\\nosupersub{}}","plainCitation":"1–5"},"citationItems":[{"id":1756,"uris":["http://zotero.org/groups/21876/items/857X8DU6"],"uri":["http://zotero.org/groups/21876/items/857X8DU6"],"itemData":{"id":1756,"type":"article-journal","title":"Understanding the coronary heart disease versus total cardiovascular mortality paradox: a method to enhance the comparability of cardiovascular death statistics in the United States","container-title":"Circulation","page":"2071-2081","volume":"113","issue":"17","abstract":"BACKGROUND\n\nCoronary heart disease (CHD) represents the largest share of cardiovascular disease in the United States, but there are conspicuous discrepancies between CHD and total cardiovascular death rates across the states, possibly due in part to variations in physician assignment of causes of death. Our aim was to identify exogenous individual- and community-level predictors of cause-of-death assignment and variability and to use these predictors to improve the comparability of CHD mortality estimates across states.\n\n\nMETHODS AND RESULTS\n\nWe performed a multinomial logistic regression analysis to estimate the effect of individual- and community-level factors on the likelihood of a death being certified as 1 of 3 ill-defined clusters (general atherosclerosis and unspecified heart disease, heart failure, and cardiac arrest) relative to being certified as CHD. The individual-level variables were the decedent's race, sex, age, education, and place of death; the community-level variable was the number of cardiologists per capita. We used the model to estimate state-level CHD rates that are standardized with regard to the levels of individual- and community-level determinants of cause-of-death assignment. Decedents who died in hospitals and in counties with more cardiologists per capita were more likely to be assigned to CHD than to the ill-defined categories, as were white males relative to other race-sex combinations. Adjustment for these factors resulted in substantially improved correlation between death rates for CHD and all cardiovascular causes. Increases in CHD death rates across states after adjustment for external predictors of cause-of-death assignment ranged from 2% (North Dakota) to 72% (Washington, DC); New York had a decrease (1%) in CHD death rates after adjustment. Nationally, CHD death rates increased 10% for males and 15% for females. The total number of deaths in 2001 attributed to CHD in patients over 30 years of age rose from 433,625 to 489,836 after adjustment.\n\n\nCONCLUSIONS\n\nGreater presence of medical knowledge at the time of death, reflected by place of death and cardiologists per capita, reduces the use of the ill-defined cardiovascular clusters. Racial and gender effects on CHD assignment may reflect disparities in access to care and quality of care. By adjusting for differentials in these parameters, a comparable and consistent set of CHD mortality estimates can be created. The role of the exogenous predictors in validity and comparability of cause-of-death statistics should be confirmed in carefully designed validation autopsy studies.","DOI":"10.1161/CIRCULATIONAHA.105.595777","note":"PMID: 16636170","shortTitle":"Understanding the coronary heart disease versus total cardiovascular mortality paradox","journalAbbreviation":"Circulation","author":[{"family":"Murray","given":"Christopher J L"},{"family":"Kulkarni","given":"Sandeep C"},{"family":"Ezzati","given":"Majid"}],"issued":{"year":2006,"month":5,"day":2},"accessed":{"year":2012,"month":6,"day":29},"page-first":"2071"},"label":"page"},{"id":5226,"uris":["http://zotero.org/groups/21876/items/KZFJ74UX"],"uri":["http://zotero.org/groups/21876/items/KZFJ74UX"],"itemData":{"id":5226,"type":"article-journal","title":"The use of cause-of-death statistics for health situation assessment: national and international experiences","container-title":"World health statistics quarterly. Rapport trimestriel de statistiques sanitaires mondiales","page":"249-258","volume":"43","issue":"4","abstract":"About 80 countries or areas regularly report detailed cause-of-death data to WHO based on the International Statistical Classification of Diseases, Injuries, and Causes of Death (ICD). These data refer to about 35% of all deaths estimated to occur in the world, although the actual coverage may be somewhat higher due to the representativeness of data-collection schemes in countries such as China. These data are systematically validated and documented by WHO before their dissemination, principally through publication in the World health statistics annual. This article describes the collection and use of these data by WHO for assessing the global and regional health situation, and for monitoring trends in health status. In addition, several issues in the use of mortality data and the ICD for national health situation assessment are discussed, including the need for documenting the quality and coverage of cause-of-death statistics, identifying biases and evaluating mortality trends.","call-number":"0079","note":"PMID: 2293493","shortTitle":"The use of cause-of-death statistics for health situation assessment","journalAbbreviation":"World Health Stat Q","author":[{"family":"Ruzicka","given":"L T"},{"family":"Lopez","given":"A D"}],"issued":{"year":1990},"accessed":{"year":2012,"month":6,"day":5},"page-first":"249"},"label":"page"},{"id":5046,"uris":["http://zotero.org/groups/21876/items/KBC2P93F"],"uri":["http://zotero.org/groups/21876/items/KBC2P93F"],"itemData":{"id":5046,"type":"chapter","title":"Causes of Death in the Industrialized and Developing Countries: Estimates for 1985-1990","container-title":"Disease Control Priorities in Developing Countries: Oxford Medical Publications","publisher":"Oxford University Press","page":"15-30","language":"en","author":[{"family":"Lopez","given":"Alan"}],"issued":{"year":1993},"page-first":"15"},"label":"page"},{"id":3579,"uris":["http://zotero.org/groups/21876/items/EQDW9PD4"],"uri":["http://zotero.org/groups/21876/items/EQDW9PD4"],"itemData":{"id":3579,"type":"article-journal","title":"Counting the dead and what they died from: an assessment of the global status of cause of death data","container-title":"Bulletin of the World Health Organization","page":"171-177","volume":"83","issue":"3","abstract":"OBJECTIVE\n\nWe sought to assess the current status of global data on death registration and to examine several indicators of data completeness and quality.\n\n\nMETHODS\n\nWe summarized the availability of death registration data by year and country. Indicators of data quality were assessed for each country and included the timeliness, completeness and coverage of registration and the proportion of deaths assigned to ill-defined causes.\n\n\nFINDINGS\n\nAt the end of 2003 data on death registration were available from 115 countries, although they were essentially complete for only 64 countries. Coverage of death registration varies from close to 100% in the WHO European Region to less than 10% in the African Region. Only 23 countries have data that are more than 90% complete, where ill-defined causes account for less than 10% of total of causes of death, and where ICD-9 or ICD-10 codes are used. There are 28 countries where less than 70% of the data are complete or where ill-defined codes are assigned to more than 20% of deaths. Twelve high-income countries in western Europe are included among the 55 countries with intermediate-quality data.\n\n\nCONCLUSION\n\nFew countries have good-quality data on mortality that can be used to adequately support policy development and implementation. There is an urgent need for countries to implement death registration systems, even if only through sample registration, or enhance their existing systems in order to rapidly improve knowledge about the most basic of health statistics: who dies from what?","DOI":"/S0042-96862005000300009","call-number":"0424","note":"PMID: 15798840","shortTitle":"Counting the dead and what they died from","journalAbbreviation":"Bull. World Health Organ.","author":[{"family":"Mathers","given":"Colin D"},{"family":"Fat","given":"Doris Ma"},{"family":"Inoue","given":"Mie"},{"family":"Rao","given":"Chalapati"},{"family":"Lopez","given":"Alan D"}],"issued":{"year":2005,"month":3},"accessed":{"year":2012,"month":6,"day":5},"page-first":"171"},"label":"page"},{"id":8351,"uris":["http://zotero.org/groups/21876/items/XMT5RQVW"],"uri":["http://zotero.org/groups/21876/items/XMT5RQVW"],"itemData":{"id":8351,"type":"article-journal","title":"Diversity in death certification: A case vignette approach","container-title":"Journal of Clinical Epidemiology","page":"1086-1093","volume":"54","issue":"11","abstract":"Previous studies have revealed high rates of errors in death certification, but few have discussed the nature of these errors. To explore the diversity among physicians in death certification and its relationship with the complexity of the causal sequence of death, we asked 145 physicians attending a continuing medical education course to complete the cause-of-death section on dummy death certificates of four case vignettes. The difficulty in determining the causal sequence of death varied from relatively simple to complex. Variations in death certification were classified according to wording, diagnostic semantics, combinations of expressions, correctness of certification format, and concordance with the referent underlying cause of death (UCOD). Given the same case history information, physicians showed great variation in wording and diagnostic semantics in death certification. The rates of correct certification format and concordance with referent UCOD varied with the level of complexity of the causal sequence of death. The greatest source of diversity was choosing between an acute condition of a chronic disease and the chronic disease itself, and between competing prominent comorbidities. Experience in death certification was significantly associated with correct certification format but not with concordance with referent UCOD. Knowledge of death certification was not associated with correct certification format or concordance with referent UCOD. Our findings indicate that the traditional concept of UCOD tabulation and using a single standard ICD code in evaluating the quality of death certification oversimplifies a complex situation. Variations in death certification, especially the selection of UCOD, were due to differences in interpreting the information rather than differences in knowledge of death certification.","DOI":"10.1016/S0895-4356(01)00383-3","shortTitle":"Diversity in death certification","author":[{"family":"Lu","given":"Tsung-Hsueh"},{"family":"Shih","given":"Tai-Ping"},{"family":"Lee","given":"Meng-Chih"},{"family":"Chou","given":"Ming-Chih"},{"family":"Lin","given":"Chen-Kun"}],"issued":{"year":2001,"month":11},"accessed":{"year":2012,"month":7,"day":10},"page-first":"1086"},"label":"page"}],"schema":"https://github.com/citation-style-language/schema/raw/master/csl-citation.json"} </w:instrText>
      </w:r>
      <w:r w:rsidR="00FD2A6F">
        <w:fldChar w:fldCharType="separate"/>
      </w:r>
      <w:r w:rsidR="0070376C" w:rsidRPr="0070376C">
        <w:rPr>
          <w:rFonts w:ascii="Calibri" w:hAnsi="Calibri" w:cs="Calibri"/>
          <w:szCs w:val="24"/>
          <w:vertAlign w:val="superscript"/>
        </w:rPr>
        <w:t>1–5</w:t>
      </w:r>
      <w:r w:rsidR="00FD2A6F">
        <w:fldChar w:fldCharType="end"/>
      </w:r>
      <w:r>
        <w:t xml:space="preserve"> For the </w:t>
      </w:r>
      <w:r w:rsidR="001E26B5">
        <w:t>remaining</w:t>
      </w:r>
      <w:r w:rsidR="00364F55">
        <w:t xml:space="preserve"> </w:t>
      </w:r>
      <w:r>
        <w:t>deaths</w:t>
      </w:r>
      <w:r w:rsidR="001E26B5">
        <w:t xml:space="preserve"> which are not medically certified</w:t>
      </w:r>
      <w:r>
        <w:t>, many different data sources</w:t>
      </w:r>
      <w:r w:rsidR="001E26B5">
        <w:t xml:space="preserve"> and diagnostic approaches</w:t>
      </w:r>
      <w:r>
        <w:t xml:space="preserve"> must be used from surveillance systems, demographic research sites, surveys, censuses, disease registr</w:t>
      </w:r>
      <w:r w:rsidR="00364F55">
        <w:t>i</w:t>
      </w:r>
      <w:r>
        <w:t>es</w:t>
      </w:r>
      <w:r w:rsidR="00FA046B">
        <w:t>,</w:t>
      </w:r>
      <w:r>
        <w:t xml:space="preserve"> and police records to construct a </w:t>
      </w:r>
      <w:r w:rsidR="001E26B5">
        <w:t xml:space="preserve">consolidated </w:t>
      </w:r>
      <w:r>
        <w:t>picture of causes of death in various p</w:t>
      </w:r>
      <w:r w:rsidR="00EA2C6C">
        <w:t>opulations.</w:t>
      </w:r>
      <w:r w:rsidR="00C47B5C">
        <w:t xml:space="preserve"> </w:t>
      </w:r>
      <w:r w:rsidR="00EA2C6C">
        <w:t xml:space="preserve">Because of the variety of data sources and their associated biases, cause of death assessments are </w:t>
      </w:r>
      <w:r w:rsidR="001E26B5">
        <w:t xml:space="preserve">inherently </w:t>
      </w:r>
      <w:r w:rsidR="00EA2C6C">
        <w:t>uncertain and subject t</w:t>
      </w:r>
      <w:r w:rsidR="00DF6B30">
        <w:t>o vigorous debate</w:t>
      </w:r>
      <w:r w:rsidR="00EA2C6C">
        <w:t>.</w:t>
      </w:r>
      <w:r w:rsidR="00FD2A6F">
        <w:fldChar w:fldCharType="begin"/>
      </w:r>
      <w:r w:rsidR="00355799">
        <w:instrText xml:space="preserve"> ADDIN ZOTERO_ITEM CSL_CITATION {"citationID":"2dav7p45l4","properties":{"formattedCitation":"{\\rtf \\super 6\\uc0\\u8211{}8\\nosupersub{}}","plainCitation":"6–8"},"citationItems":[{"id":1349,"uris":["http://zotero.org/groups/21876/items/6MEPWGMS"],"uri":["http://zotero.org/groups/21876/items/6MEPWGMS"],"itemData":{"id":1349,"type":"article-journal","title":"New estimates of maternal mortality and how to interpret them: choice or confusion?","container-title":"Reproductive Health Matters","page":"117-128","volume":"19","issue":"37","abstract":"Two independent exercises to estimate levels of maternal mortality took place during 2010, one published by the Institute for Health Metrics and Evaluation in Seattle, USA, the other published by four UN agencies (UNICEF, UNFPA, World Bank and World Health Organization). Although both approaches are based on similar sets of empirical country data, their statistical methods differ in important respects – with implications for the resulting global, regional and country estimates. This paper examines the differences, discusses both the value and inherent limitations in such exercises, proposes ways of interpreting the different estimates and suggests how such exercises could be made more relevant to the needs of country-level decision-makers. It calls on the global community to invest seriously in working with countries to generate primary data on maternal mortality using measurement methods that reduce uncertainty and generate data on a continuing basis. The best routine source of data on maternal deaths is a civil registration system that assures permanent, compulsory and universal recording of the occurrence and characteristics of vital events, including births and deaths, and causes of death. The record of deaths among women of reproductive age derived from civil registration is often the first step in conducting a confidential enquiry into and preventing maternal deaths.","DOI":"10.1016/S0968-8080(11)37550-7","shortTitle":"New estimates of maternal mortality and how to interpret them","author":[{"family":"AbouZahr","given":"Carla"}],"issued":{"year":2011,"month":5},"accessed":{"year":2012,"month":7,"day":5},"page-first":"117"},"label":"page"},{"id":5388,"uris":["http://zotero.org/groups/21876/items/MKI9TTPS"],"uri":["http://zotero.org/groups/21876/items/MKI9TTPS"],"itemData":{"id":5388,"type":"article-journal","title":"Uncertainty in estimates of HIV/AIDS: the estimation and application of plausibility bounds","container-title":"Sexually transmitted infections","page":"i31-38","volume":"80 Suppl 1","abstract":"OBJECTIVES\n\nTo establish the accuracy of the country specific estimates of HIV prevalence, incidence, and AIDS mortality published every 2 years by UNAIDS and WHO.\n\n\nMETHODS\n\nWe review sources of error in the data used to generate national HIV/AIDS and where possible estimate their statistical properties. We use numerical and approximate analytic methods to estimate the combined impact of these errors on HIV/AIDS estimates. Heuristic rules are then derived to produce plausible bounds about these estimates for countries with different types of epidemic and different qualities of surveillance system.\n\n\nRESULTS\n\nAlthough 95% confidence intervals (CIs) can be estimated for some sources of error, the sizes of other sources of error must be based on expert judgment. We therefore produce plausible bounds about HIV/AIDS estimates rather than statistical CIs. The magnitude of these bounds depends on the stage of the epidemic and the quality and coverage of the sentinel HIV surveillance system. The bounds for adult estimates are narrower than those for children, and those for prevalence are narrower than those for new infections.\n\n\nCONCLUSIONS\n\nThis paper presents a first attempt at a rigorous description of the errors associated with estimation of global statistics of an infectious disease. The proposed methods work well in countries with generalised epidemics (&gt;1% adult HIV prevalence) where the quality of surveillance is good. Although methods have also been derived for countries with low level or concentrated epidemics, more data on the biases in the estimation process are required.","DOI":"10.1136/sti.2004.010637","note":"PMID: 15249697","shortTitle":"Uncertainty in estimates of HIV/AIDS","journalAbbreviation":"Sex Transm Infect","author":[{"family":"Grassly","given":"N C"},{"family":"Morgan","given":"M"},{"family":"Walker","given":"N"},{"family":"Garnett","given":"G"},{"family":"Stanecki","given":"K A"},{"family":"Stover","given":"J"},{"family":"Brown","given":"T"},{"family":"Ghys","given":"P D"}],"issued":{"year":2004,"month":8},"accessed":{"year":2012,"month":7,"day":6},"page-first":"i31"},"label":"page"},{"id":769,"uris":["http://zotero.org/groups/21876/items/4HS7NTWI"],"uri":["http://zotero.org/groups/21876/items/4HS7NTWI"],"itemData":{"id":769,"type":"article-journal","title":"Disease burden in sub-Saharan Africa: what should we conclude in the absence of data?","container-title":"Lancet","page":"208-210","volume":"351","issue":"9097","DOI":"10.1016/S0140-6736(97)06512-4","note":"PMID: 9449884","shortTitle":"Disease burden in sub-Saharan Africa","journalAbbreviation":"Lancet","author":[{"family":"Cooper","given":"R S"},{"family":"Osotimehin","given":"B"},{"family":"Kaufman","given":"J S"},{"family":"Forrester","given":"T"}],"issued":{"year":1998,"month":1,"day":17},"accessed":{"year":2012,"month":6,"day":29},"page-first":"208"},"label":"page"}],"schema":"https://github.com/citation-style-language/schema/raw/master/csl-citation.json"} </w:instrText>
      </w:r>
      <w:r w:rsidR="00FD2A6F">
        <w:fldChar w:fldCharType="separate"/>
      </w:r>
      <w:r w:rsidR="0070376C" w:rsidRPr="0070376C">
        <w:rPr>
          <w:rFonts w:ascii="Calibri" w:hAnsi="Calibri" w:cs="Calibri"/>
          <w:szCs w:val="24"/>
          <w:vertAlign w:val="superscript"/>
        </w:rPr>
        <w:t>6–8</w:t>
      </w:r>
      <w:r w:rsidR="00FD2A6F">
        <w:fldChar w:fldCharType="end"/>
      </w:r>
      <w:r w:rsidR="00C47B5C">
        <w:t xml:space="preserve"> </w:t>
      </w:r>
    </w:p>
    <w:p w:rsidR="00C64F41" w:rsidRDefault="00EA2C6C" w:rsidP="00E153D4">
      <w:r>
        <w:t>Efforts to develop global assessments for selected causes began in the 1980s.</w:t>
      </w:r>
      <w:r w:rsidR="00FD2A6F">
        <w:fldChar w:fldCharType="begin"/>
      </w:r>
      <w:r w:rsidR="00355799">
        <w:instrText xml:space="preserve"> ADDIN ZOTERO_ITEM CSL_CITATION {"citationID":"1jk23r78e3","properties":{"formattedCitation":"{\\rtf \\super 9\\uc0\\u8211{}11\\nosupersub{}}","plainCitation":"9–11"},"citationItems":[{"id":1267,"uris":["http://zotero.org/groups/21876/items/6CFAREES"],"uri":["http://zotero.org/groups/21876/items/6CFAREES"],"itemData":{"id":1267,"type":"article-journal","title":"Global and regional mortality patterns by cause of death in 1980","container-title":"International journal of epidemiology","page":"226-233","volume":"15","issue":"2","abstract":"Mortality attributable to major causes of death around 1980 has been estimated for different regions in the world. The World Health Organization's mortality data bank has been employed to derive the rates for the developed areas in the world whereas for the developing areas, cause-specific mortality has been estimated on the basis of total mortality using a linear regression method. For the cause grouping chosen, infectious and parasitic diseases claim one third of all deaths in the world. Although diseases of the circulatory system and neoplasms are the two most common causes of death in the developed countries, more than 50% of all deaths in the world due to these causes occur in the developing world. Mortality due to injury and poisoning is--contrary to that due to the other main causes of death--almost independent of the level of development of the area. The results are aimed to assist the information back-up for health policies concerning the developing world.","call-number":"0048","note":"PMID: 3721685","journalAbbreviation":"Int J Epidemiol","author":[{"family":"Hakulinen","given":"T"},{"family":"Hansluwka","given":"H"},{"family":"Lopez","given":"A D"},{"family":"Nakada","given":"T"}],"issued":{"year":1986,"month":6},"accessed":{"year":2012,"month":6,"day":5},"page-first":"226"},"label":"page"},{"id":7278,"uris":["http://zotero.org/groups/21876/items/TSAENGVT"],"uri":["http://zotero.org/groups/21876/items/TSAENGVT"],"itemData":{"id":7278,"type":"book","title":"Global estimates and projections of mortality by cause, 1970-2015","publisher":"Population and Human Resources Dept., the World Bank","number-of-pages":"94","language":"en","author":[{"family":"Bulatao","given":"Rodolfo A."},{"family":"Stephens","given":"P. Wolanya"}],"issued":{"year":1992}},"label":"page"},{"id":8679,"uris":["http://zotero.org/groups/21876/items/ZW76DRIC"],"uri":["http://zotero.org/groups/21876/items/ZW76DRIC"],"itemData":{"id":8679,"type":"article-journal","title":"A note on estimating the cause of death structure in high mortality populations","container-title":"Population bulletin of the United Nations","page":"66-70","issue":"14","abstract":"Strategies for reducing mortality should be based on an informed assessment of the underlying structure of causes of death. In the absence of an adequate vital registration scheme, cause of death information is generally derived from fragmentary data which are often limited to specific sectors of the population. Using the previous mortality experience of industrialized countries at higher levels of mortality and the cause of death returns of contemporary developing societies with reasonably accurate and complete mortality data, a linear model has been developed to estimate the cause-structure of mortality in a population from knowledge of the crude death rate alone. Through an appropriate weighting of age-cause-specific mortality rates, emphasis is placed on those causes of death likely to be of greatest concern in high mortality populations. Using the model parameters derived in this fashion, the technique is applied to estimate the cause-structure of mortality in Java. The resulting distribution of deaths differs markedly from that suggested by an older age-standard and is much more in accord with epidemiological opinion about likely causes of death based on rural health surveys, hospital records, and other health data. Regression parameters for estimating the cause of death structure during infancy and early childhood are also shown and may be used independently of the all-age regression estimates.","call-number":"3028","note":"PMID: 12264850","journalAbbreviation":"Popul Bull UN","author":[{"family":"Lopez","given":"A D"},{"family":"Hull","given":"T H"}],"issued":{"year":1982},"accessed":{"year":2012,"month":6,"day":5},"page-first":"66"},"label":"page"}],"schema":"https://github.com/citation-style-language/schema/raw/master/csl-citation.json"} </w:instrText>
      </w:r>
      <w:r w:rsidR="00FD2A6F">
        <w:fldChar w:fldCharType="separate"/>
      </w:r>
      <w:r w:rsidR="0070376C" w:rsidRPr="0070376C">
        <w:rPr>
          <w:rFonts w:ascii="Calibri" w:hAnsi="Calibri" w:cs="Calibri"/>
          <w:szCs w:val="24"/>
          <w:vertAlign w:val="superscript"/>
        </w:rPr>
        <w:t>9–11</w:t>
      </w:r>
      <w:r w:rsidR="00FD2A6F">
        <w:fldChar w:fldCharType="end"/>
      </w:r>
      <w:r w:rsidR="00C47B5C">
        <w:t xml:space="preserve"> </w:t>
      </w:r>
      <w:r w:rsidR="003842A3">
        <w:t>These efforts were motivated in part because the</w:t>
      </w:r>
      <w:r>
        <w:t xml:space="preserve"> sum of various</w:t>
      </w:r>
      <w:r w:rsidR="009E4585">
        <w:t xml:space="preserve"> disease-</w:t>
      </w:r>
      <w:r w:rsidR="003842A3">
        <w:t>specific</w:t>
      </w:r>
      <w:r>
        <w:t xml:space="preserve"> estimates substantially exceeded the estimated number of deaths in the world</w:t>
      </w:r>
      <w:r w:rsidR="001E26B5">
        <w:t>, particularly for children</w:t>
      </w:r>
      <w:r>
        <w:t>.</w:t>
      </w:r>
      <w:r w:rsidR="00FD2A6F">
        <w:fldChar w:fldCharType="begin"/>
      </w:r>
      <w:r w:rsidR="00355799">
        <w:instrText xml:space="preserve"> ADDIN ZOTERO_ITEM CSL_CITATION {"citationID":"51H6HvzE","properties":{"formattedCitation":"{\\rtf \\super 12\\nosupersub{}}","plainCitation":"12"},"citationItems":[{"id":4478,"uris":["http://zotero.org/groups/21876/items/I83TMI3R"],"uri":["http://zotero.org/groups/21876/items/I83TMI3R"],"itemData":{"id":4478,"type":"article-journal","title":"Evidence-Based Health Policy--Lessons from the Global Burden of Disease Study","container-title":"Science","page":"740-743","volume":"274","issue":"5288","abstract":"The Global Burden of Disease Study, a comprehensive regional and global assessment of mortality and disability from 107 diseases and injuries and 10 risk factors, is an example of an evidence-based input to public health policy debate. The study, which includes projections of the burden through the year 2020, uses the disability-adjusted life year as a composite measure of years of life lost due to premature mortality and years lived with disability. Future patterns of death and disability are likely to change dramatically because of aging of the world's population, the epidemic of tobacco-related disease, the human immunodeficiency virus epidemic, and the likely reduction in death rates from communicable diseases in children.","DOI":"10.1126/science.274.5288.740","journalAbbreviation":"Science","language":"en","author":[{"family":"Murray","given":"Christopher J. L."},{"family":"Lopez","given":"Alan D."}],"issued":{"year":1996,"month":11,"day":1},"accessed":{"year":2012,"month":7,"day":5},"page-first":"740"}}],"schema":"https://github.com/citation-style-language/schema/raw/master/csl-citation.json"} </w:instrText>
      </w:r>
      <w:r w:rsidR="00FD2A6F">
        <w:fldChar w:fldCharType="separate"/>
      </w:r>
      <w:r w:rsidR="0070376C" w:rsidRPr="0070376C">
        <w:rPr>
          <w:rFonts w:ascii="Calibri" w:hAnsi="Calibri" w:cs="Calibri"/>
          <w:szCs w:val="24"/>
          <w:vertAlign w:val="superscript"/>
        </w:rPr>
        <w:t>12</w:t>
      </w:r>
      <w:r w:rsidR="00FD2A6F">
        <w:fldChar w:fldCharType="end"/>
      </w:r>
      <w:r w:rsidR="00C47B5C">
        <w:t xml:space="preserve"> </w:t>
      </w:r>
      <w:r w:rsidR="008C6D2A" w:rsidRPr="00DF6B30">
        <w:t xml:space="preserve">Lopez and </w:t>
      </w:r>
      <w:r w:rsidR="001E26B5" w:rsidRPr="00DF6B30">
        <w:t>Hull</w:t>
      </w:r>
      <w:r w:rsidR="00FD2A6F">
        <w:rPr>
          <w:highlight w:val="green"/>
        </w:rPr>
        <w:fldChar w:fldCharType="begin"/>
      </w:r>
      <w:r w:rsidR="00355799">
        <w:rPr>
          <w:highlight w:val="green"/>
        </w:rPr>
        <w:instrText xml:space="preserve"> ADDIN ZOTERO_ITEM CSL_CITATION {"citationID":"COOK6nOk","properties":{"formattedCitation":"{\\rtf \\super 11\\nosupersub{}}","plainCitation":"11"},"citationItems":[{"id":8679,"uris":["http://zotero.org/groups/21876/items/ZW76DRIC"],"uri":["http://zotero.org/groups/21876/items/ZW76DRIC"],"itemData":{"id":8679,"type":"article-journal","title":"A note on estimating the cause of death structure in high mortality populations","container-title":"Population bulletin of the United Nations","page":"66-70","issue":"14","abstract":"Strategies for reducing mortality should be based on an informed assessment of the underlying structure of causes of death. In the absence of an adequate vital registration scheme, cause of death information is generally derived from fragmentary data which are often limited to specific sectors of the population. Using the previous mortality experience of industrialized countries at higher levels of mortality and the cause of death returns of contemporary developing societies with reasonably accurate and complete mortality data, a linear model has been developed to estimate the cause-structure of mortality in a population from knowledge of the crude death rate alone. Through an appropriate weighting of age-cause-specific mortality rates, emphasis is placed on those causes of death likely to be of greatest concern in high mortality populations. Using the model parameters derived in this fashion, the technique is applied to estimate the cause-structure of mortality in Java. The resulting distribution of deaths differs markedly from that suggested by an older age-standard and is much more in accord with epidemiological opinion about likely causes of death based on rural health surveys, hospital records, and other health data. Regression parameters for estimating the cause of death structure during infancy and early childhood are also shown and may be used independently of the all-age regression estimates.","call-number":"3028","note":"PMID: 12264850","journalAbbreviation":"Popul Bull UN","author":[{"family":"Lopez","given":"A D"},{"family":"Hull","given":"T H"}],"issued":{"year":1982},"accessed":{"year":2012,"month":6,"day":5},"page-first":"66"}}],"schema":"https://github.com/citation-style-language/schema/raw/master/csl-citation.json"} </w:instrText>
      </w:r>
      <w:r w:rsidR="00FD2A6F">
        <w:rPr>
          <w:highlight w:val="green"/>
        </w:rPr>
        <w:fldChar w:fldCharType="separate"/>
      </w:r>
      <w:r w:rsidR="0070376C" w:rsidRPr="0070376C">
        <w:rPr>
          <w:rFonts w:ascii="Calibri" w:hAnsi="Calibri" w:cs="Calibri"/>
          <w:szCs w:val="24"/>
          <w:vertAlign w:val="superscript"/>
        </w:rPr>
        <w:t>11</w:t>
      </w:r>
      <w:r w:rsidR="00FD2A6F">
        <w:rPr>
          <w:highlight w:val="green"/>
        </w:rPr>
        <w:fldChar w:fldCharType="end"/>
      </w:r>
      <w:r>
        <w:t xml:space="preserve"> attempted to develop a set of estimates of under-five mortality </w:t>
      </w:r>
      <w:r w:rsidR="001E26B5">
        <w:t>by cause</w:t>
      </w:r>
      <w:r>
        <w:t xml:space="preserve"> consistent with all-cause mortality data in</w:t>
      </w:r>
      <w:r w:rsidR="003C317A">
        <w:t xml:space="preserve"> </w:t>
      </w:r>
      <w:r w:rsidR="001E26B5">
        <w:t>1983</w:t>
      </w:r>
      <w:r>
        <w:t>.</w:t>
      </w:r>
      <w:r w:rsidR="00C47B5C">
        <w:t xml:space="preserve"> </w:t>
      </w:r>
      <w:r>
        <w:t xml:space="preserve">The GBD 1990 was the first comprehensive attempt to do </w:t>
      </w:r>
      <w:r w:rsidR="00A74223">
        <w:t xml:space="preserve">so, </w:t>
      </w:r>
      <w:r w:rsidR="00D96D1C">
        <w:t>and included</w:t>
      </w:r>
      <w:r w:rsidR="001346B4">
        <w:t xml:space="preserve"> </w:t>
      </w:r>
      <w:r w:rsidR="00E34AC8">
        <w:t xml:space="preserve">134 </w:t>
      </w:r>
      <w:r>
        <w:t>causes covering all age groups.</w:t>
      </w:r>
      <w:r w:rsidR="00C47B5C">
        <w:t xml:space="preserve"> </w:t>
      </w:r>
      <w:r>
        <w:t>The GBD</w:t>
      </w:r>
      <w:r w:rsidR="00C64F41">
        <w:t xml:space="preserve"> 1990 cause of death </w:t>
      </w:r>
      <w:r>
        <w:t xml:space="preserve">approach has been applied with some refinements to yield estimates of causes of death for </w:t>
      </w:r>
      <w:r w:rsidR="00DD2D21">
        <w:t xml:space="preserve">1999, </w:t>
      </w:r>
      <w:r>
        <w:t>2000</w:t>
      </w:r>
      <w:r w:rsidR="00DD2D21">
        <w:t>, 2001</w:t>
      </w:r>
      <w:r>
        <w:t>, 2002, 2004</w:t>
      </w:r>
      <w:r w:rsidR="003C317A">
        <w:t>,</w:t>
      </w:r>
      <w:r>
        <w:t xml:space="preserve"> and 2008.</w:t>
      </w:r>
      <w:r w:rsidR="00FD2A6F">
        <w:fldChar w:fldCharType="begin"/>
      </w:r>
      <w:r w:rsidR="00355799">
        <w:instrText xml:space="preserve"> ADDIN ZOTERO_ITEM CSL_CITATION {"citationID":"tg4ee4knf","properties":{"formattedCitation":"{\\rtf \\super 13\\uc0\\u8211{}17\\nosupersub{}}","plainCitation":"13–17"},"citationItems":[{"id":7887,"uris":["http://zotero.org/groups/21876/items/VVMTCWAT"],"uri":["http://zotero.org/groups/21876/items/VVMTCWAT"],"itemData":{"id":7887,"type":"report","title":"The world health report 2000 - Health systems: improving performance","URL":"http://www.who.int/whr/2000/en/whr00_en.pdf","shortTitle":"WHO | The world health report 2000 - Health systems","author":[{"family":"World Health Organization","given":""}],"issued":{"year":2000},"accessed":{"year":2012,"month":7,"day":9}},"label":"page"},{"id":2269,"uris":["http://zotero.org/groups/21876/items/9X3A6R73"],"uri":["http://zotero.org/groups/21876/items/9X3A6R73"],"itemData":{"id":2269,"type":"report","title":"The world health report 2001 - Mental Health: New Understanding, New Hope","URL":"http://www.who.int/whr/2001/en/whr01_en.pdf","shortTitle":"WHO | The world health report 2001 - Mental Health","author":[{"family":"World Health Organization","given":""}],"issued":{"year":2001},"accessed":{"year":2012,"month":6,"day":25}},"label":"page"},{"id":7378,"uris":["http://zotero.org/groups/21876/items/TXIWPSUK"],"uri":["http://zotero.org/groups/21876/items/TXIWPSUK"],"itemData":{"id":7378,"type":"report","title":"The world health report 2002 - Reducing Risks, Promoting Healthy Life","URL":"http://www.who.int/whr/2002/en/whr02_en.pdf","author":[{"family":"World Health Organization","given":""}],"issued":{"year":2002},"accessed":{"year":2012,"month":7,"day":9}},"label":"page"},{"id":255,"uris":["http://zotero.org/groups/21876/items/2PBXAG76"],"uri":["http://zotero.org/groups/21876/items/2PBXAG76"],"itemData":{"id":255,"type":"book","title":"The Global Burden of Disease: 2004 Update","publisher":"World Health Organization","number-of-pages":"156","abstract":"This report provides a comprehensive assessment of the health of the world's population in 2004. Consistent and comparative description of the burden of diseases and injuries is an important input to health decision-making and planning processes. The Global Burden of Diseaseprovides a framework for integrating the available information on mortality and health in populations to assess the comparative importance of diseases and injuries in causing premature death, loss of health and disability in all regions of the world. This report draws upon the extensive databases of the World Health Organization and information provided by Member States to provide detailed estimates of premature mortality, disability and loss of health for 135 causes by age and sex for the world as a whole, for regions of the world, and for countries grouped by average income per capita. It builds on previous assessments for the years 2000-2002 published in The World Health Reportsand World Health Statistics.","ISBN":"9789241563710","call-number":"1357","shortTitle":"The Global Burden of Disease","language":"en","author":[{"family":"Mathers","given":"Colin"},{"family":"Fat","given":"Doris Ma"},{"family":"Organization","given":"World Health"},{"family":"Boerma","given":"J. T."}],"issued":{"year":2008}},"label":"page"},{"id":458,"uris":["http://zotero.org/groups/21876/items/3DIR9PH7"],"uri":["http://zotero.org/groups/21876/items/3DIR9PH7"],"itemData":{"id":458,"type":"webpage","title":"Disease and injury regional estimates. Cause-specific mortality: regional estimates for 2008","container-title":"WHO","URL":"http://www.who.int/healthinfo/global_burden_disease/estimates_regional/en/index.html","author":[{"family":"WHO","given":""}],"accessed":{"year":2012,"month":7,"day":10}},"label":"page"}],"schema":"https://github.com/citation-style-language/schema/raw/master/csl-citation.json"} </w:instrText>
      </w:r>
      <w:r w:rsidR="00FD2A6F">
        <w:fldChar w:fldCharType="separate"/>
      </w:r>
      <w:r w:rsidR="0070376C" w:rsidRPr="0070376C">
        <w:rPr>
          <w:rFonts w:ascii="Calibri" w:hAnsi="Calibri" w:cs="Calibri"/>
          <w:szCs w:val="24"/>
          <w:vertAlign w:val="superscript"/>
        </w:rPr>
        <w:t>13–17</w:t>
      </w:r>
      <w:r w:rsidR="00FD2A6F">
        <w:fldChar w:fldCharType="end"/>
      </w:r>
      <w:r w:rsidR="00C47B5C">
        <w:t xml:space="preserve"> </w:t>
      </w:r>
      <w:r w:rsidR="001E26B5">
        <w:t>O</w:t>
      </w:r>
      <w:r w:rsidR="00C64F41">
        <w:t>ver this period, special attention has been paid to priority diseases such as malaria, HIV</w:t>
      </w:r>
      <w:r w:rsidR="001346B4">
        <w:t>/AIDS</w:t>
      </w:r>
      <w:r w:rsidR="003C317A">
        <w:t>,</w:t>
      </w:r>
      <w:r w:rsidR="00C64F41">
        <w:t xml:space="preserve"> and tuberculosis.</w:t>
      </w:r>
      <w:r w:rsidR="00C47B5C">
        <w:t xml:space="preserve"> </w:t>
      </w:r>
      <w:r w:rsidR="00C64F41">
        <w:t xml:space="preserve">The Child Health Epidemiology Reference Group (CHERG) has also produced estimates of under-five mortality from </w:t>
      </w:r>
      <w:r w:rsidR="00967ED0">
        <w:t>16</w:t>
      </w:r>
      <w:r w:rsidR="00C64F41">
        <w:t xml:space="preserve"> causes that sum to estimates of under-five deaths </w:t>
      </w:r>
      <w:r w:rsidR="005B6464">
        <w:t>for 2000</w:t>
      </w:r>
      <w:r w:rsidR="001D091B">
        <w:t>-2003</w:t>
      </w:r>
      <w:r w:rsidR="005B6464">
        <w:t>, 2008</w:t>
      </w:r>
      <w:r w:rsidR="006F78EA">
        <w:t>,</w:t>
      </w:r>
      <w:r w:rsidR="00C64F41">
        <w:t xml:space="preserve"> and </w:t>
      </w:r>
      <w:r w:rsidR="005B6464">
        <w:t>2010</w:t>
      </w:r>
      <w:r w:rsidR="00FD2A6F">
        <w:fldChar w:fldCharType="begin"/>
      </w:r>
      <w:r w:rsidR="00355799">
        <w:instrText xml:space="preserve"> ADDIN ZOTERO_ITEM CSL_CITATION {"citationID":"24lgras2h2","properties":{"formattedCitation":"{\\rtf \\super 18\\uc0\\u8211{}20\\nosupersub{}}","plainCitation":"18–20"},"citationItems":[{"id":1229,"uris":["http://zotero.org/groups/21876/items/6885WTSK"],"uri":["http://zotero.org/groups/21876/items/6885WTSK"],"itemData":{"id":1229,"type":"article-journal","title":"WHO estimates of the causes of death in children","container-title":"Lancet","page":"1147-1152","volume":"365","issue":"9465","abstract":"BACKGROUND\n\nChild survival efforts can be effective only if they are based on accurate information about causes of deaths. Here, we report on a 4-year effort by WHO to improve the accuracy of this information.\n\n\nMETHODS\n\nWHO established the external Child Health Epidemiology Reference Group (CHERG) in 2001 to develop estimates of the proportion of deaths in children younger than age 5 years attributable to pneumonia, diarrhoea, malaria, measles, and the major causes of death in the first 28 days of life. Various methods, including single-cause and multi-cause proportionate mortality models, were used. The role of undernutrition as an underlying cause of death was estimated in collaboration with CHERG.\n\n\nFINDINGS\n\nIn 2000-03, six causes accounted for 73% of the 10.6 million yearly deaths in children younger than age 5 years: pneumonia (19%), diarrhoea (18%), malaria (8%), neonatal pneumonia or sepsis (10%), preterm delivery (10%), and asphyxia at birth (8%). The four communicable disease categories account for more than half (54%) of all child deaths. The greatest communicable disease killers are similar in all WHO regions with the exception of malaria; 94% of global deaths attributable to this disease occur in the Africa region. Undernutrition is an underlying cause of 53% of all deaths in children younger than age 5 years.\n\n\nINTERPRETATION\n\nAchievement of the millennium development goal of reducing child mortality by two-thirds from the 1990 rate will depend on renewed efforts to prevent and control pneumonia, diarrhoea, and undernutrition in all WHO regions, and malaria in the Africa region. In all regions, deaths in the neonatal period, primarily due to preterm delivery, sepsis or pneumonia, and birth asphyxia should also be addressed. These estimates of the causes of child deaths should be used to guide public-health policies and programmes.","DOI":"10.1016/S0140-6736(05)71877-8","call-number":"1009","note":"PMID: 15794969","journalAbbreviation":"Lancet","author":[{"family":"Bryce","given":"Jennifer"},{"family":"Boschi-Pinto","given":"Cynthia"},{"family":"Shibuya","given":"Kenji"},{"family":"Black","given":"Robert E"}],"issued":{"year":2005,"month":4,"day":26},"accessed":{"year":2012,"month":6,"day":5},"page-first":"1147"},"label":"page"},{"id":892,"uris":["http://zotero.org/groups/21876/items/52DT5XXJ"],"uri":["http://zotero.org/groups/21876/items/52DT5XXJ"],"itemData":{"id":892,"type":"article-journal","title":"Global, regional, and national causes of child mortality in 2008: a systematic analysis","container-title":"Lancet","page":"1969-1987","volume":"375","issue":"9730","abstract":"BACKGROUND\n\nUp-to-date information on the causes of child deaths is crucial to guide global efforts to improve child survival. We report new estimates for 2008 of the major causes of death in children younger than 5 years.\n\n\nMETHODS\n\nWe used multicause proportionate mortality models to estimate deaths in neonates aged 0-27 days and children aged 1-59 months, and selected single-cause disease models and analysis of vital registration data when available to estimate causes of child deaths. New data from China and India permitted national data to be used for these countries instead of predictions based on global statistical models, as was done previously. We estimated proportional causes of death for 193 countries, and by application of these proportions to the country-specific mortality rates in children younger than 5 years and birth rates, the numbers of deaths by cause were calculated for countries, regions, and the world.\n\n\nFINDINGS\n\nOf the estimated 8.795 million deaths in children younger than 5 years worldwide in 2008, infectious diseases caused 68% (5.970 million), with the largest percentages due to pneumonia (18%, 1.575 million, uncertainty range [UR] 1.046 million-1.874 million), diarrhoea (15%, 1.336 million, 0.822 million-2.004 million), and malaria (8%, 0.732 million, 0.601 million-0.851 million). 41% (3.575 million) of deaths occurred in neonates, and the most important single causes were preterm birth complications (12%, 1.033 million, UR 0.717 million-1.216 million), birth asphyxia (9%, 0.814 million, 0.563 million-0.997 million), sepsis (6%, 0.521 million, 0.356 million-0.735 million), and pneumonia (4%, 0.386 million, 0.264 million-0.545 million). 49% (4.294 million) of child deaths occurred in five countries: India, Nigeria, Democratic Republic of the Congo, Pakistan, and China.\n\n\nINTERPRETATION\n\nThese country-specific estimates of the major causes of child deaths should help to focus national programmes and donor assistance. Achievement of Millennium Development Goal 4, to reduce child mortality by two-thirds, is only possible if the high numbers of deaths are addressed by maternal, newborn, and child health interventions.\n\n\nFUNDING\n\nWHO, UNICEF, and Bill &amp; Melinda Gates Foundation.","DOI":"10.1016/S0140-6736(10)60549-1","call-number":"0459","note":"PMID: 20466419","shortTitle":"Global, regional, and national causes of child mortality in 2008","journalAbbreviation":"Lancet","author":[{"family":"Black","given":"Robert E"},{"family":"Cousens","given":"Simon"},{"family":"Johnson","given":"Hope L"},{"family":"Lawn","given":"Joy E"},{"family":"Rudan","given":"Igor"},{"family":"Bassani","given":"Diego G"},{"family":"Jha","given":"Prabhat"},{"family":"Campbell","given":"Harry"},{"family":"Walker","given":"Christa Fischer"},{"family":"Cibulskis","given":"Richard"},{"family":"Eisele","given":"Thomas"},{"family":"Liu","given":"Li"},{"family":"Mathers","given":"Colin"}],"issued":{"year":2010,"month":6,"day":5},"accessed":{"year":2012,"month":6,"day":5},"page-first":"1969"},"label":"page"},{"id":5434,"uris":["http://zotero.org/groups/21876/items/MSJEMPE5"],"uri":["http://zotero.org/groups/21876/items/MSJEMPE5"],"itemData":{"id":5434,"type":"article-journal","title":"Global, regional, and national causes of child mortality: an updated systematic analysis for 2010 with time trends since 2000","container-title":"Lancet","abstract":"BACKGROUND: Information about the distribution of causes of and time trends for child mortality should be periodically updated. We report the latest estimates of causes of child mortality in 2010 with time trends since 2000. METHODS: Updated total numbers of deaths in children aged 0-27 days and 1-59 months were applied to the corresponding country-specific distribution of deaths by cause. We did the following to derive the number of deaths in children aged 1-59 months: we used vital registration data for countries with an adequate vital registration system; we applied a multinomial logistic regression model to vital registration data for low-mortality countries without adequate vital registration; we used a similar multinomial logistic regression with verbal autopsy data for high-mortality countries; for India and China, we developed national models. We aggregated country results to generate regional and global estimates. FINDINGS: Of 7·6 million deaths in children younger than 5 years in 2010, 64·0% (4·879 million) were attributable to infectious causes and 40·3% (3·072 million) occurred in neonates. Preterm birth complications (14·1%; 1·078 million, uncertainty range [UR] 0·916-1·325), intrapartum-related complications (9·4%; 0·717 million, 0·610-0·876), and sepsis or meningitis (5·2%; 0·393 million, 0·252-0·552) were the leading causes of neonatal death. In older children, pneumonia (14·1%; 1·071 million, 0·977-1·176), diarrhoea (9·9%; 0·751 million, 0·538-1·031), and malaria (7·4%; 0·564 million, 0·432-0·709) claimed the most lives. Despite tremendous efforts to identify relevant data, the causes of only 2·7% (0·205 million) of deaths in children younger than 5 years were medically certified in 2010. Between 2000 and 2010, the global burden of deaths in children younger than 5 years decreased by 2 million, of which pneumonia, measles, and diarrhoea contributed the most to the overall reduction (0·451 million [0·339-0·547], 0·363 million [0·283-0·419], and 0·359 million [0·215-0·476], respectively). However, only tetanus, measles, AIDS, and malaria (in Africa) decreased at an annual rate sufficient to attain the Millennium Development Goal 4. INTERPRETATION: Child survival strategies should direct resources toward the leading causes of child mortality, with attention focusing on infectious and neonatal causes. More rapid decreases from 2010-15 will need accelerated reduction for the most common causes of death, notably pneumonia and preterm birth complications. Continued efforts to gather high-quality data and enhance estimation methods are essential for the improvement of future estimates. FUNDING: The Bill &amp; Melinda Gates Foundation.","URL":"http://www.ncbi.nlm.nih.gov/pubmed/22579125","DOI":"10.1016/S0140-6736(12)60560-1","call-number":"0000","note":"PMID: 22579125","shortTitle":"Global, regional, and national causes of child mortality","author":[{"family":"Liu","given":"Li"},{"family":"Johnson","given":"Hope L"},{"family":"Cousens","given":"Simon"},{"family":"Perin","given":"Jamie"},{"family":"Scott","given":"Susana"},{"family":"Lawn","given":"Joy E"},{"family":"Rudan","given":"Igor"},{"family":"Campbell","given":"Harry"},{"family":"Cibulskis","given":"Richard"},{"family":"Li","given":"Mengying"},{"family":"Mathers","given":"Colin"},{"family":"Black","given":"Robert E"}],"issued":{"year":2012,"month":5,"day":10},"accessed":{"year":2012,"month":6,"day":5}},"label":"page"}],"schema":"https://github.com/citation-style-language/schema/raw/master/csl-citation.json"} </w:instrText>
      </w:r>
      <w:r w:rsidR="00FD2A6F">
        <w:fldChar w:fldCharType="separate"/>
      </w:r>
      <w:r w:rsidR="0070376C" w:rsidRPr="0070376C">
        <w:rPr>
          <w:rFonts w:ascii="Calibri" w:hAnsi="Calibri" w:cs="Calibri"/>
          <w:szCs w:val="24"/>
          <w:vertAlign w:val="superscript"/>
        </w:rPr>
        <w:t>18–20</w:t>
      </w:r>
      <w:r w:rsidR="00FD2A6F">
        <w:fldChar w:fldCharType="end"/>
      </w:r>
      <w:r w:rsidR="00C64F41">
        <w:t xml:space="preserve"> </w:t>
      </w:r>
      <w:r w:rsidR="003842A3">
        <w:t xml:space="preserve">partially </w:t>
      </w:r>
      <w:r w:rsidR="00C64F41">
        <w:t xml:space="preserve">using the GBD 1990 </w:t>
      </w:r>
      <w:r w:rsidR="00F92BD3">
        <w:t xml:space="preserve">approach </w:t>
      </w:r>
      <w:r w:rsidR="003842A3">
        <w:t>combined with</w:t>
      </w:r>
      <w:r w:rsidR="00A74223">
        <w:t xml:space="preserve"> </w:t>
      </w:r>
      <w:r w:rsidR="00C64F41">
        <w:t>other methods</w:t>
      </w:r>
      <w:r w:rsidR="002A06BA">
        <w:t>, and putting</w:t>
      </w:r>
      <w:r w:rsidR="00C64F41">
        <w:t xml:space="preserve"> special emphas</w:t>
      </w:r>
      <w:r w:rsidR="00FA046B">
        <w:t>is on the use of verbal autopsy</w:t>
      </w:r>
      <w:r w:rsidR="00C64F41">
        <w:t xml:space="preserve"> as a source of data in low-income settings.</w:t>
      </w:r>
      <w:r w:rsidR="00C47B5C">
        <w:t xml:space="preserve"> </w:t>
      </w:r>
      <w:r w:rsidR="00C64F41">
        <w:t>In addition to these comprehensive appro</w:t>
      </w:r>
      <w:r w:rsidR="009E4585">
        <w:t>aches, the tradition of disease-</w:t>
      </w:r>
      <w:r w:rsidR="00C64F41">
        <w:t xml:space="preserve">specific analyses that began in the 1980s </w:t>
      </w:r>
      <w:r w:rsidR="00A0304F">
        <w:t>with global cancer mortality</w:t>
      </w:r>
      <w:r w:rsidR="003C317A">
        <w:t xml:space="preserve"> </w:t>
      </w:r>
      <w:r w:rsidR="00C64F41">
        <w:t>has continue</w:t>
      </w:r>
      <w:r w:rsidR="001346B4">
        <w:t>d and intensified. In the last five</w:t>
      </w:r>
      <w:r w:rsidR="00C64F41">
        <w:t xml:space="preserve"> years, for example, papers and reports have been published on </w:t>
      </w:r>
      <w:r w:rsidR="00A0304F">
        <w:t xml:space="preserve">global </w:t>
      </w:r>
      <w:r w:rsidR="00C64F41">
        <w:t>mortality from maternal causes,</w:t>
      </w:r>
      <w:r w:rsidR="00FD2A6F">
        <w:fldChar w:fldCharType="begin"/>
      </w:r>
      <w:r w:rsidR="00355799">
        <w:instrText xml:space="preserve"> ADDIN ZOTERO_ITEM CSL_CITATION {"citationID":"24u2k5ijs7","properties":{"formattedCitation":"{\\rtf \\super 21\\uc0\\u8211{}24\\nosupersub{}}","plainCitation":"21–24"},"citationItems":[{"id":8474,"uris":["http://zotero.org/groups/21876/items/Z4Q7K4ZM"],"uri":["http://zotero.org/groups/21876/items/Z4Q7K4ZM"],"itemData":{"id":8474,"type":"article-journal","title":"Estimates of maternal mortality worldwide between 1990 and 2005: an assessment of available data","container-title":"The Lancet","page":"1311-1319","volume":"370","issue":"9595","abstract":"SummaryBackground\nMaternal mortality, as a largely avoidable cause of death, is an important focus of international development efforts, and a target for Millennium Development Goal (MDG) 5. However, data weaknesses have made monitoring progress problematic. In 2006, a new maternal mortality working group was established to develop improved estimation methods and make new estimates of maternal mortality for 2005, and to analyse trends in maternal mortality since 1990.\nMethods\nWe developed and used a range of methods, depending on the type of data available, to produce comparable country, regional, and global estimates of maternal mortality ratios for 2005 and to assess trends between 1990 and 2005.\nFindings\nWe estimate that there were 535 900 maternal deaths in 2005, corresponding to a maternal mortality ratio of 402 (uncertainty bounds 216–654) deaths per 100 000 livebirths. Most maternal deaths in 2005 were concentrated in sub-Saharan Africa (270 500, 50%) and Asia (240 600, 45%). For all countries with data, there was a decrease of 2·5% per year in the maternal mortality ratio between 1990 and 2005 (p&amp;lt;0·0001); however, there was no evidence of a significant reduction in maternal mortality ratios in sub-Saharan Africa in the same period.\nInterpretation\nAlthough some regions have shown some progress since 1990 in reducing maternal deaths, maternal mortality ratios in sub-Saharan Africa have remained very high, with little evidence of improvement in the past 15 years. To achieve MDG5 targets by 2015 will require sustained and urgent emphasis on improved pregnancy and delivery care throughout the developing world.","DOI":"10.1016/S0140-6736(07)61572-4","shortTitle":"Estimates of maternal mortality worldwide between 1990 and 2005","author":[{"family":"Hill","given":"Kenneth"},{"family":"Thomas","given":"Kevin"},{"family":"AbouZahr","given":"Carla"},{"family":"Walker","given":"Neff"},{"family":"Say","given":"Lale"},{"family":"Inoue","given":"Mie"},{"family":"Suzuki","given":"Emi"}],"issued":{"literal":"13"},"page-first":"1311"},"label":"page"},{"id":8362,"uris":["http://zotero.org/groups/21876/items/XPQP7A9G"],"uri":["http://zotero.org/groups/21876/items/XPQP7A9G"],"itemData":{"id":8362,"type":"article-journal","title":"Maternal mortality for 181 countries, 1980–2008: a systematic analysis of progress towards Millennium Development Goal 5","container-title":"The Lancet","page":"1609-1623","volume":"375","issue":"9726","abstract":"SummaryBackground\nMaternal mortality remains a major challenge to health systems worldwide. Reliable information about the rates and trends in maternal mortality is essential for resource mobilisation, and for planning and assessment of progress towards Millennium Development Goal 5 (MDG 5), the target for which is a 75% reduction in the maternal mortality ratio (MMR) from 1990 to 2015. We assessed levels and trends in maternal mortality for 181 countries.\nMethods\nWe constructed a database of 2651 observations of maternal mortality for 181 countries for 1980–2008, from vital registration data, censuses, surveys, and verbal autopsy studies. We used robust analytical methods to generate estimates of maternal deaths and the MMR for each year between 1980 and 2008. We explored the sensitivity of our data to model specification and show the out-of-sample predictive validity of our methods.\nFindings\nWe estimated that there were 342 900 (uncertainty interval 302 100–394 300) maternal deaths worldwide in 2008, down from 526 300 (446 400–629 600) in 1980. The global MMR decreased from 422 (358–505) in 1980 to 320 (272–388) in 1990, and was 251 (221–289) per 100 000 livebirths in 2008. The yearly rate of decline of the global MMR since 1990 was 1·3% (1·0–1·5). During 1990–2008, rates of yearly decline in the MMR varied between countries, from 8·8% (8·7–14·1) in the Maldives to an increase of 5·5% (5·2–5·6) in Zimbabwe. More than 50% of all maternal deaths were in only six countries in 2008 (India, Nigeria, Pakistan, Afghanistan, Ethiopia, and the Democratic Republic of the Congo). In the absence of HIV, there would have been 281 500 (243 900–327 900) maternal deaths worldwide in 2008.\nInterpretation\nSubstantial, albeit varied, progress has been made towards MDG 5. Although only 23 countries are on track to achieve a 75% decrease in MMR by 2015, countries such as Egypt, China, Ecuador, and Bolivia have been achieving accelerated progress.\nFunding\nBill &amp;amp; Melinda Gates Foundation.","DOI":"10.1016/S0140-6736(10)60518-1","shortTitle":"Maternal mortality for 181 countries, 1980–2008","author":[{"family":"Hogan","given":"Margaret C"},{"family":"Foreman","given":"Kyle J"},{"family":"Naghavi","given":"Mohsen"},{"family":"Ahn","given":"Stephanie Y"},{"family":"Wang","given":"Mengru"},{"family":"Makela","given":"Susanna M"},{"family":"Lopez","given":"Alan D"},{"family":"Lozano","given":"Rafael"},{"family":"Murray","given":"Christopher JL"}],"issued":{"literal":"8"},"page-first":"1609"},"label":"page"},{"id":4125,"uris":["http://zotero.org/groups/21876/items/GTKX57D5"],"uri":["http://zotero.org/groups/21876/items/GTKX57D5"],"itemData":{"id":4125,"type":"article-journal","title":"Progress towards Millennium Development Goals 4 and 5 on maternal and child mortality: an updated systematic analysis","container-title":"The Lancet","page":"1139-1165","volume":"378","issue":"9797","abstract":"SummaryBackground\nWith 4 years until 2015, it is essential to monitor progress towards Millennium Development Goals (MDGs) 4 and 5. Although estimates of maternal and child mortality were published in 2010, an update of estimates is timely in view of additional data sources that have become available and new methods developed. Our aim was to update previous estimates of maternal and child mortality using better data and more robust methods to provide the best available evidence for tracking progress on MDGs 4 and 5.\nMethods\nWe update the analyses of the progress towards MDGs 4 and 5 from 2010 with additional surveys, censuses, vital registration, and verbal autopsy data. For children, we estimate early neonatal (0–6 days), late neonatal (7–28 days), postneonatal (29–364 days), childhood (ages 1–4 years), and under-5 mortality. We use an improved model for estimating mortality by age under 5 years. For maternal mortality, our updated analysis includes greater than 1000 additional site-years of data. We tested a large set of alternative models for maternal mortality; we used an ensemble model based on the models with the best out-of-sample predictive validity to generate new estimates from 1990 to 2011.\nFindings\nUnder-5 deaths have continued to decline, reaching 7·2 million in 2011 of which 2·2 million were early neonatal, 0·7 million late neonatal, 2·1 million postneonatal, and 2·2 million during childhood (ages 1–4 years). Comparing rates of decline from 1990 to 2000 with 2000 to 2011 shows that 106 countries have accelerated declines in the child mortality rate in the past decade. Maternal mortality has also continued to decline from 409 100 (uncertainty interval 382 900–437 900) in 1990 to 273 500 (256 300–291 700) deaths in 2011. We estimate that 56 100 maternal deaths in 2011 were HIV-related deaths during pregnancy. Based on recent trends in developing countries, 31 countries will achieve MDG 4, 13 countries MDG 5, and nine countries will achieve both.\nInterpretation\nEven though progress on reducing maternal and child mortality in most countries is accelerating, most developing countries will take many years past 2015 to achieve the targets of the MDGs 4 and 5. Similarly, although there continues to be progress on maternal mortality the pace is slow, without any overall evidence of acceleration. Immediate concerted action is needed for a large number of countries to achieve MDG 4 and MDG 5.\nFunding\nBill &amp;amp; Melinda Gates Foundation.","DOI":"10.1016/S0140-6736(11)61337-8","shortTitle":"Progress towards Millennium Development Goals 4 and 5 on maternal and child mortality","author":[{"family":"Lozano","given":"Rafael"},{"family":"Wang","given":"Haidong"},{"family":"Foreman","given":"Kyle J"},{"family":"Rajaratnam","given":"Julie Knoll"},{"family":"Naghavi","given":"Mohsen"},{"family":"Marcus","given":"Jake R"},{"family":"Dwyer-Lindgren","given":"Laura"},{"family":"Lofgren","given":"Katherine T"},{"family":"Phillips","given":"David"},{"family":"Atkinson","given":"Charles"},{"family":"Lopez","given":"Alan D"},{"family":"Murray","given":"Christopher JL"}],"issued":{"literal":"24"},"page-first":"1139"},"label":"page"},{"id":514,"uris":["http://zotero.org/groups/21876/items/3MJ84UFI"],"uri":["http://zotero.org/groups/21876/items/3MJ84UFI"],"itemData":{"id":514,"type":"report","title":"Trends in Maternal Mortality: 1990 to 2010","URL":"http://www.unfpa.org/webdav/site/global/shared/documents/publications/2012/Trends_in_maternal_mortality_A4-1.pdf","call-number":"0000","author":[{"family":"UNFPA","given":""},{"family":"UNICEF","given":""},{"family":"WHO","given":""},{"family":"World Bank","given":""}],"issued":{"year":2012},"accessed":{"year":2012,"month":6,"day":7}},"label":"page"}],"schema":"https://github.com/citation-style-language/schema/raw/master/csl-citation.json"} </w:instrText>
      </w:r>
      <w:r w:rsidR="00FD2A6F">
        <w:fldChar w:fldCharType="separate"/>
      </w:r>
      <w:r w:rsidR="00B45B26" w:rsidRPr="00B45B26">
        <w:rPr>
          <w:rFonts w:ascii="Calibri" w:hAnsi="Calibri" w:cs="Calibri"/>
          <w:szCs w:val="24"/>
          <w:vertAlign w:val="superscript"/>
        </w:rPr>
        <w:t>21–24</w:t>
      </w:r>
      <w:r w:rsidR="00FD2A6F">
        <w:fldChar w:fldCharType="end"/>
      </w:r>
      <w:r w:rsidR="00C64F41">
        <w:t xml:space="preserve"> malaria,</w:t>
      </w:r>
      <w:r w:rsidR="00FD2A6F">
        <w:fldChar w:fldCharType="begin"/>
      </w:r>
      <w:r w:rsidR="00355799">
        <w:instrText xml:space="preserve"> ADDIN ZOTERO_ITEM CSL_CITATION {"citationID":"2hucrntkk3","properties":{"formattedCitation":"{\\rtf \\super 25,26\\nosupersub{}}","plainCitation":"25,26"},"citationItems":[{"id":7348,"uris":["http://zotero.org/groups/21876/items/TVPCAQVB"],"uri":["http://zotero.org/groups/21876/items/TVPCAQVB"],"itemData":{"id":7348,"type":"article-journal","title":"Global malaria mortality between 1980 and 2010: a systematic analysis","container-title":"The Lancet","page":"413-431","volume":"379","issue":"9814","abstract":"SummaryBackground\nDuring the past decade, renewed global and national efforts to combat malaria have led to ambitious goals. We aimed to provide an accurate assessment of the levels and time trends in malaria mortality to aid assessment of progress towards these goals and the focusing of future efforts.\nMethods\nWe systematically collected all available data for malaria mortality for the period 1980–2010, correcting for misclassification bias. We developed a range of predictive models, including ensemble models, to estimate malaria mortality with uncertainty by age, sex, country, and year. We used key predictors of malaria mortality such as Plasmodium falciparum parasite prevalence, first-line antimalarial drug resistance, and vector control. We used out-of-sample predictive validity to select the final model.\nFindings\nGlobal malaria deaths increased from 995 000 (95% uncertainty interval 711 000–1 412 000) in 1980 to a peak of 1 817 000 (1 430 000–2 366 000) in 2004, decreasing to 1 238 000 (929 000–1 685 000) in 2010. In Africa, malaria deaths increased from 493 000 (290 000–747 000) in 1980 to 1 613 000 (1 243 000–2 145 000) in 2004, decreasing by about 30% to 1 133 000 (848 000–1 591 000) in 2010. Outside of Africa, malaria deaths have steadily decreased from 502 000 (322 000–833 000) in 1980 to 104 000 (45 000–191 000) in 2010. We estimated more deaths in individuals aged 5 years or older than has been estimated in previous studies: 435 000 (307 000–658 000) deaths in Africa and 89 000 (33 000–177 000) deaths outside of Africa in 2010.\nInterpretation\nOur findings show that the malaria mortality burden is larger than previously estimated, especially in adults. There has been a rapid decrease in malaria mortality in Africa because of the scaling up of control activities supported by international donors. Donor support, however, needs to be increased if malaria elimination and eradication and broader health and development goals are to be met.\nFunding\nThe Bill &amp;amp; Melinda Gates Foundation.","DOI":"10.1016/S0140-6736(12)60034-8","shortTitle":"Global malaria mortality between 1980 and 2010","author":[{"family":"Murray","given":"Christopher JL"},{"family":"Rosenfeld","given":"Lisa C"},{"family":"Lim","given":"Stephen S"},{"family":"Andrews","given":"Kathryn G"},{"family":"Foreman","given":"Kyle J"},{"family":"Haring","given":"Diana"},{"family":"Fullman","given":"Nancy"},{"family":"Naghavi","given":"Mohsen"},{"family":"Lozano","given":"Rafael"},{"family":"Lopez","given":"Alan D"}],"issued":{"literal":"4"},"page-first":"413"},"label":"page"},{"id":809,"uris":["http://zotero.org/groups/21876/items/4QDE72DK"],"uri":["http://zotero.org/groups/21876/items/4QDE72DK"],"itemData":{"id":809,"type":"report","title":"World Malaria Report 2011","URL":"http://www.who.int/malaria/world_malaria_report_2011/9789241564403_eng.pdf","author":[{"family":"WHO","given":""}],"accessed":{"year":2012,"month":7,"day":2}},"label":"page"}],"schema":"https://github.com/citation-style-language/schema/raw/master/csl-citation.json"} </w:instrText>
      </w:r>
      <w:r w:rsidR="00FD2A6F">
        <w:fldChar w:fldCharType="separate"/>
      </w:r>
      <w:r w:rsidR="00B45B26" w:rsidRPr="00B45B26">
        <w:rPr>
          <w:rFonts w:ascii="Calibri" w:hAnsi="Calibri" w:cs="Calibri"/>
          <w:szCs w:val="24"/>
          <w:vertAlign w:val="superscript"/>
        </w:rPr>
        <w:t>25,26</w:t>
      </w:r>
      <w:r w:rsidR="00FD2A6F">
        <w:fldChar w:fldCharType="end"/>
      </w:r>
      <w:r w:rsidR="00C64F41">
        <w:t xml:space="preserve"> tuberculosis,</w:t>
      </w:r>
      <w:r w:rsidR="00FD2A6F">
        <w:fldChar w:fldCharType="begin"/>
      </w:r>
      <w:r w:rsidR="00355799">
        <w:instrText xml:space="preserve"> ADDIN ZOTERO_ITEM CSL_CITATION {"citationID":"lkr6s295v","properties":{"formattedCitation":"{\\rtf \\super 27,28\\nosupersub{}}","plainCitation":"27,28"},"citationItems":[{"id":4567,"uris":["http://zotero.org/groups/21876/items/IIJRZEWV"],"uri":["http://zotero.org/groups/21876/items/IIJRZEWV"],"itemData":{"id":4567,"type":"article-journal","title":"Lives saved by tuberculosis control and prospects for achieving the 2015 global target for reducing tuberculosis mortality","container-title":"Bulletin of the World Health Organization","page":"573-582","volume":"89","issue":"8","DOI":"10.1590/S0042-96862011000800010","author":[{"family":"Glaziou","given":"Philippe"},{"family":"Floyd","given":"Katherine"},{"family":"Korenromp","given":"Eline L."},{"family":"Sismanidis","given":"Charalambos"},{"family":"Bierrenbach","given":"Ana L."},{"family":"Williams","given":"Brian G."},{"family":"Atun","given":"Rifat"},{"family":"Raviglione","given":"Mario"}],"issued":{"year":2011,"month":8},"accessed":{"year":2012,"month":7,"day":10},"page-first":"573"},"label":"page"},{"id":3428,"uris":["http://zotero.org/groups/21876/items/E78EXU6H"],"uri":["http://zotero.org/groups/21876/items/E78EXU6H"],"itemData":{"id":3428,"type":"report","title":"Global tuberculosis control 2011","URL":"http://www.who.int/entity/tb/publications/global_report/2011/gtbr11_full.pdf","author":[{"family":"WHO","given":""}],"accessed":{"year":2012,"month":7,"day":2}},"label":"page"}],"schema":"https://github.com/citation-style-language/schema/raw/master/csl-citation.json"} </w:instrText>
      </w:r>
      <w:r w:rsidR="00FD2A6F">
        <w:fldChar w:fldCharType="separate"/>
      </w:r>
      <w:r w:rsidR="00B45B26" w:rsidRPr="00B45B26">
        <w:rPr>
          <w:rFonts w:ascii="Calibri" w:hAnsi="Calibri" w:cs="Calibri"/>
          <w:szCs w:val="24"/>
          <w:vertAlign w:val="superscript"/>
        </w:rPr>
        <w:t>27,28</w:t>
      </w:r>
      <w:r w:rsidR="00FD2A6F">
        <w:fldChar w:fldCharType="end"/>
      </w:r>
      <w:r w:rsidR="00C64F41">
        <w:t xml:space="preserve"> HIV</w:t>
      </w:r>
      <w:r w:rsidR="001346B4">
        <w:t>/AIDS</w:t>
      </w:r>
      <w:r w:rsidR="00C64F41">
        <w:t>,</w:t>
      </w:r>
      <w:r w:rsidR="00FD2A6F">
        <w:fldChar w:fldCharType="begin"/>
      </w:r>
      <w:r w:rsidR="00355799">
        <w:instrText xml:space="preserve"> ADDIN ZOTERO_ITEM CSL_CITATION {"citationID":"KT2IzbnP","properties":{"formattedCitation":"{\\rtf \\super 29\\nosupersub{}}","plainCitation":"29"},"citationItems":[{"id":4900,"uris":["http://zotero.org/groups/21876/items/JQJCTN3Z"],"uri":["http://zotero.org/groups/21876/items/JQJCTN3Z"],"itemData":{"id":4900,"type":"report","title":"UNAIDS Report on the Global Aids Epidemic 2010","publisher":"UNAIDS","URL":"http://www.unaids.org/globalreport/documents/20101123_GlobalReport_full_en.pdf"}}],"schema":"https://github.com/citation-style-language/schema/raw/master/csl-citation.json"} </w:instrText>
      </w:r>
      <w:r w:rsidR="00FD2A6F">
        <w:fldChar w:fldCharType="separate"/>
      </w:r>
      <w:r w:rsidR="00446C91" w:rsidRPr="00446C91">
        <w:rPr>
          <w:rFonts w:ascii="Calibri" w:hAnsi="Calibri" w:cs="Calibri"/>
          <w:szCs w:val="24"/>
          <w:vertAlign w:val="superscript"/>
        </w:rPr>
        <w:t>29</w:t>
      </w:r>
      <w:r w:rsidR="00FD2A6F">
        <w:fldChar w:fldCharType="end"/>
      </w:r>
      <w:r w:rsidR="00C64F41">
        <w:t xml:space="preserve"> road traffic accidents,</w:t>
      </w:r>
      <w:r w:rsidR="00FD2A6F">
        <w:fldChar w:fldCharType="begin"/>
      </w:r>
      <w:r w:rsidR="00355799">
        <w:instrText xml:space="preserve"> ADDIN ZOTERO_ITEM CSL_CITATION {"citationID":"9J6aMoqn","properties":{"formattedCitation":"{\\rtf \\super 30\\nosupersub{}}","plainCitation":"30"},"citationItems":[{"id":4593,"uris":["http://zotero.org/groups/21876/items/IMX73KFZ"],"uri":["http://zotero.org/groups/21876/items/IMX73KFZ"],"itemData":{"id":4593,"type":"report","title":"Global status report on road safety 2009","URL":"http://whqlibdoc.who.int/publications/2009/9789241563840_eng.pdf","author":[{"family":"World Health Organization","given":""}],"issued":{"year":2009},"accessed":{"year":2012,"month":6,"day":29}}}],"schema":"https://github.com/citation-style-language/schema/raw/master/csl-citation.json"} </w:instrText>
      </w:r>
      <w:r w:rsidR="00FD2A6F">
        <w:fldChar w:fldCharType="separate"/>
      </w:r>
      <w:r w:rsidR="00446C91" w:rsidRPr="00446C91">
        <w:rPr>
          <w:rFonts w:ascii="Calibri" w:hAnsi="Calibri" w:cs="Calibri"/>
          <w:szCs w:val="24"/>
          <w:vertAlign w:val="superscript"/>
        </w:rPr>
        <w:t>30</w:t>
      </w:r>
      <w:r w:rsidR="00FD2A6F">
        <w:fldChar w:fldCharType="end"/>
      </w:r>
      <w:r w:rsidR="00C64F41">
        <w:t xml:space="preserve"> site-specific cancers,</w:t>
      </w:r>
      <w:r w:rsidR="00FD2A6F">
        <w:fldChar w:fldCharType="begin"/>
      </w:r>
      <w:r w:rsidR="00355799">
        <w:instrText xml:space="preserve"> ADDIN ZOTERO_ITEM CSL_CITATION {"citationID":"2fmni22gqf","properties":{"formattedCitation":"{\\rtf \\super 31,32\\nosupersub{}}","plainCitation":"31,32"},"citationItems":[{"id":4725,"uris":["http://zotero.org/groups/21876/items/J6TQC6CQ"],"uri":["http://zotero.org/groups/21876/items/J6TQC6CQ"],"itemData":{"id":4725,"type":"article-journal","title":"Breast and cervical cancer in 187 countries between 1980 and 2010: a systematic analysis","container-title":"The Lancet","page":"1461-1484","volume":"378","issue":"9801","abstract":"SummaryBackground\nBreast and cervical cancer are important causes of mortality in women aged ≥15 years. We undertook annual age-specific assessments of breast and cervical cancer in 187 countries.\nMethods\nWe systematically collected cancer registry data on mortality and incidence, vital registration, and verbal autopsy data for the period 1980–2010. We modelled the mortality-to-incidence (MI) ratio using a hierarchical model. Vital registration and verbal autopsy were supplemented with incidence multiplied by the MI ratio to yield a comprehensive database of mortality rates. We used Gaussian process regression to develop estimates of mortality with uncertainty by age, sex, country, and year. We used out-of-sample predictive validity to select the final model. Estimates of incidence with uncertainty were also generated with mortality and MI ratios.\nFindings\nGlobal breast cancer incidence increased from 641 000 (95% uncertainty intervals 610 000–750 000) cases in 1980 to 1 643 000 (1 421 000–1 782 000) cases in 2010, an annual rate of increase of 3·1%. Global cervical cancer incidence increased from 378 000 (256 000–489 000) cases per year in 1980 to 454 000 (318 000–620 000) cases per year in 2010—a 0·6% annual rate of increase. Breast cancer killed 425 000 (359 000–453 000) women in 2010, of whom 68 000 (62 000–74 000) were aged 15–49 years in developing countries. Cervical cancer death rates have been decreasing but the disease still killed 200 000 (139 000–276 000) women in 2010, of whom 46 000 (33 000–64 000) were aged 15–49 years in developing countries. We recorded pronounced variation in the trend in breast cancer mortality across regions and countries.\nInterpretation\nMore policy attention is needed to strengthen established health-system responses to reduce breast and cervical cancer, especially in developing countries.\nFunding\nSusan G Komen for the Cure and the Bill &amp;amp; Melinda Gates Foundation.","DOI":"10.1016/S0140-6736(11)61351-2","call-number":"0018","shortTitle":"Breast and cervical cancer in 187 countries between 1980 and 2010","author":[{"family":"Forouzanfar","given":"Mohammad H"},{"family":"Foreman","given":"Kyle J"},{"family":"Delossantos","given":"Allyne M"},{"family":"Lozano","given":"Rafael"},{"family":"Lopez","given":"Alan D"},{"family":"Murray","given":"Christopher J L"},{"family":"Naghavi","given":"Mohsen"}],"issued":{"literal":"22"},"page-first":"1461"},"label":"page"},{"id":6060,"uris":["http://zotero.org/groups/21876/items/Q5THT8VD"],"uri":["http://zotero.org/groups/21876/items/Q5THT8VD"],"itemData":{"id":6060,"type":"article-journal","title":"Estimates of worldwide burden of cancer in 2008: GLOBOCAN 2008","container-title":"International Journal of Cancer","page":"2893–2917","volume":"127","issue":"12","abstract":"Estimates of the worldwide incidence and mortality from 27 cancers in 2008 have been prepared for 182 countries as part of the GLOBOCAN series published by the International Agency for Research on Cancer. In this article, we present the results for 20 world regions, summarizing the global patterns for the eight most common cancers. Overall, an estimated 12.7 million new cancer cases and 7.6 million cancer deaths occur in 2008, with 56% of new cancer cases and 63% of the cancer deaths occurring in the less developed regions of the world. The most commonly diagnosed cancers worldwide are lung (1.61 million, 12.7% of the total), breast (1.38 million, 10.9%) and colorectal cancers (1.23 million, 9.7%). The most common causes of cancer death are lung cancer (1.38 million, 18.2% of the total), stomach cancer (738,000 deaths, 9.7%) and liver cancer (696,000 deaths, 9.2%). Cancer is neither rare anywhere in the world, nor mainly confined to high-resource countries. Striking differences in the patterns of cancer from region to region are observed.","DOI":"10.1002/ijc.25516","shortTitle":"Estimates of worldwide burden of cancer in 2008","language":"en","author":[{"family":"Ferlay","given":"Jacques"},{"family":"Shin","given":"Hai-Rim"},{"family":"Bray","given":"Freddie"},{"family":"Forman","given":"David"},{"family":"Mathers","given":"Colin"},{"family":"Parkin","given":"Donald Maxwell"}],"issued":{"year":2010},"accessed":{"year":2012,"month":7,"day":6},"page-first":"2893–2917"},"label":"page"}],"schema":"https://github.com/citation-style-language/schema/raw/master/csl-citation.json"} </w:instrText>
      </w:r>
      <w:r w:rsidR="00FD2A6F">
        <w:fldChar w:fldCharType="separate"/>
      </w:r>
      <w:r w:rsidR="00446C91" w:rsidRPr="00446C91">
        <w:rPr>
          <w:rFonts w:ascii="Calibri" w:hAnsi="Calibri" w:cs="Calibri"/>
          <w:szCs w:val="24"/>
          <w:vertAlign w:val="superscript"/>
        </w:rPr>
        <w:t>31,32</w:t>
      </w:r>
      <w:r w:rsidR="00FD2A6F">
        <w:fldChar w:fldCharType="end"/>
      </w:r>
      <w:r w:rsidR="00C64F41">
        <w:t xml:space="preserve"> </w:t>
      </w:r>
      <w:r w:rsidR="00BD0311">
        <w:t xml:space="preserve">and </w:t>
      </w:r>
      <w:r w:rsidR="00A0304F">
        <w:t>diabete</w:t>
      </w:r>
      <w:r w:rsidR="00F72E51">
        <w:t>s,</w:t>
      </w:r>
      <w:r w:rsidR="00FD2A6F">
        <w:fldChar w:fldCharType="begin"/>
      </w:r>
      <w:r w:rsidR="00355799">
        <w:instrText xml:space="preserve"> ADDIN ZOTERO_ITEM CSL_CITATION {"citationID":"ZK0Celvx","properties":{"formattedCitation":"{\\rtf \\super 33\\nosupersub{}}","plainCitation":"33"},"citationItems":[{"id":5086,"uris":["http://zotero.org/groups/21876/items/KF73JD2W"],"uri":["http://zotero.org/groups/21876/items/KF73JD2W"],"itemData":{"id":5086,"type":"article-journal","title":"The Burden of Mortality Attributable to Diabetes Realistic estimates for the year 2000","container-title":"Diabetes Care","page":"2130-2135","volume":"28","issue":"9","abstract":"OBJECTIVE—To estimate the global number of excess deaths due to diabetes in the year 2000.\nRESEARCH DESIGN AND METHODS—We used a computerized generic formal disease model (DisMod II), used by the World Health Organization to assess disease burden through modeling the relationships between incidence, prevalence, and disease-specific mortality. Baseline input data included population structure, age- and sex-specific estimates of diabetes prevalence, and available published estimates of relative risk of death for people with diabetes compared with people without diabetes. The results were validated with population-based observations and independent estimates of relative risk of death.\nRESULTS—The excess global mortality attributable to diabetes in the year 2000 was estimated to be 2.9 million deaths, equivalent to 5.2% of all deaths. Excess mortality attributable to diabetes accounted for 2–3% of deaths in poorest countries and over 8% in the U.S., Canada, and the Middle East. In people 35–64 years old, 6–27% of deaths were attributable to diabetes.\nCONCLUSIONS—These are the first global estimates of mortality attributable to diabetes. Globally, diabetes is likely to be the fifth leading cause of death.","DOI":"10.2337/diacare.28.9.2130","journalAbbreviation":"Dia Care","language":"en","author":[{"family":"Roglic","given":"Gojka"},{"family":"Unwin","given":"Nigel"},{"family":"Bennett","given":"Peter H."},{"family":"Mathers","given":"Colin"},{"family":"Tuomilehto","given":"Jaakko"},{"family":"Nag","given":"Satyajit"},{"family":"Connolly","given":"Vincent"},{"family":"King","given":"Hilary"}],"issued":{"year":2005,"month":9,"day":1},"accessed":{"year":2012,"month":7,"day":6},"page-first":"2130"}}],"schema":"https://github.com/citation-style-language/schema/raw/master/csl-citation.json"} </w:instrText>
      </w:r>
      <w:r w:rsidR="00FD2A6F">
        <w:fldChar w:fldCharType="separate"/>
      </w:r>
      <w:r w:rsidR="00446C91" w:rsidRPr="00446C91">
        <w:rPr>
          <w:rFonts w:ascii="Calibri" w:hAnsi="Calibri" w:cs="Calibri"/>
          <w:szCs w:val="24"/>
          <w:vertAlign w:val="superscript"/>
        </w:rPr>
        <w:t>33</w:t>
      </w:r>
      <w:r w:rsidR="00FD2A6F">
        <w:fldChar w:fldCharType="end"/>
      </w:r>
      <w:r w:rsidR="00A0304F">
        <w:t xml:space="preserve"> among </w:t>
      </w:r>
      <w:r w:rsidR="00C64F41">
        <w:t>others.</w:t>
      </w:r>
      <w:r w:rsidR="00FD2A6F">
        <w:fldChar w:fldCharType="begin"/>
      </w:r>
      <w:r w:rsidR="00355799">
        <w:instrText xml:space="preserve"> ADDIN ZOTERO_ITEM CSL_CITATION {"citationID":"gn8vq6lgu","properties":{"formattedCitation":"{\\rtf \\super 34,35\\nosupersub{}}","plainCitation":"34,35"},"citationItems":[{"id":2971,"uris":["http://zotero.org/groups/21876/items/CITKJDSJ"],"uri":["http://zotero.org/groups/21876/items/CITKJDSJ"],"itemData":{"id":2971,"type":"article-journal","title":"Assessment of the 2010 global measles mortality reduction goal: results from a model of surveillance data","container-title":"The Lancet","page":"2173-2178","volume":"379","issue":"9832","DOI":"10.1016/S0140-6736(12)60522-4","shortTitle":"Assessment of the 2010 global measles mortality reduction goal","author":[{"family":"Simons","given":"Emily"},{"family":"Ferrari","given":"Matthew"},{"family":"Fricks","given":"John"},{"family":"Wannemuehler","given":"Kathleen"},{"family":"Anand","given":"Abhijeet"},{"family":"Burton","given":"Anthony"},{"family":"Strebel","given":"Peter"}],"issued":{"year":2012,"month":6},"accessed":{"year":2012,"month":7,"day":6},"page-first":"2173"},"label":"page"},{"id":4886,"uris":["http://zotero.org/groups/21876/items/JPD2XQUZ"],"uri":["http://zotero.org/groups/21876/items/JPD2XQUZ"],"itemData":{"id":4886,"type":"article-journal","title":"Burden of disease caused by Streptococcus pneumoniae in children younger than 5 years: global estimates","container-title":"The Lancet","page":"893-902","volume":"374","issue":"9693","abstract":"SummaryBackground\nStreptococcus pneumoniae is a leading cause of bacterial pneumonia, meningitis, and sepsis in children worldwide. However, many countries lack national estimates of disease burden. Effective interventions are available, including pneumococcal conjugate vaccine and case management. To support local and global policy decisions on pneumococcal disease prevention and treatment, we estimated country-specific incidence of serious cases and deaths in children younger than 5 years.\nMethods\nWe measured the burden of pneumococcal pneumonia by applying the proportion of pneumonia cases caused by S pneumoniae derived from efficacy estimates from vaccine trials to WHO country-specific estimates of all-cause pneumonia cases and deaths. We also estimated burden of meningitis and non-pneumonia, non-meningitis invasive disease using disease incidence and case-fatality data from a systematic literature review. When high-quality data were available from a country, these were used for national estimates. Otherwise, estimates were based on data from neighbouring countries with similar child mortality. Estimates were adjusted for HIV prevalence and access to care and, when applicable, use of vaccine against Haemophilus influenzae type b.\nFindings\nIn 2000, about 14·5 million episodes of serious pneumococcal disease (uncertainty range 11·1–18·0 million) were estimated to occur. Pneumococcal disease caused about 826 000 deaths (582 000–926 000) in children aged 1–59 months, of which 91 000 (63 000–102 000) were in HIV-positive and 735 000 (519 000–825 000) in HIV-negative children. Of the deaths in HIV-negative children, over 61% (449 000 [316 000–501 000]) occurred in ten African and Asian countries.\nInterpretation\nS pneumoniae causes around 11% (8–12%) of all deaths in children aged 1–59 months (excluding pneumococcal deaths in HIV-positive children). Achievement of the UN Millennium Development Goal 4 for child mortality reduction can be accelerated by prevention and treatment of pneumococcal disease, especially in regions of the world with the greatest burden.\nFunding\nGAVI Alliance and the Vaccine Fund.","DOI":"10.1016/S0140-6736(09)61204-6","shortTitle":"Burden of disease caused by Streptococcus pneumoniae in children younger than 5 years","author":[{"family":"O'Brien","given":"Katherine L"},{"family":"Wolfson","given":"Lara J"},{"family":"Watt","given":"James P"},{"family":"Henkle","given":"Emily"},{"family":"Deloria-Knoll","given":"Maria"},{"family":"McCall","given":"Natalie"},{"family":"Lee","given":"Ellen"},{"family":"Mulholland","given":"Kim"},{"family":"Levine","given":"Orin S"},{"family":"Cherian","given":"Thomas"}],"issued":{"literal":"12"},"page-first":"893"},"label":"page"}],"schema":"https://github.com/citation-style-language/schema/raw/master/csl-citation.json"} </w:instrText>
      </w:r>
      <w:r w:rsidR="00FD2A6F">
        <w:fldChar w:fldCharType="separate"/>
      </w:r>
      <w:r w:rsidR="00446C91" w:rsidRPr="00446C91">
        <w:rPr>
          <w:rFonts w:ascii="Calibri" w:hAnsi="Calibri" w:cs="Calibri"/>
          <w:szCs w:val="24"/>
          <w:vertAlign w:val="superscript"/>
        </w:rPr>
        <w:t>34,35</w:t>
      </w:r>
      <w:r w:rsidR="00FD2A6F">
        <w:fldChar w:fldCharType="end"/>
      </w:r>
      <w:r w:rsidR="00C47B5C">
        <w:t xml:space="preserve"> </w:t>
      </w:r>
      <w:r w:rsidR="00C64F41">
        <w:t>These assessments of individual causes are</w:t>
      </w:r>
      <w:r w:rsidR="00A0304F">
        <w:t xml:space="preserve"> based on diverse epidemiological approaches of varying scientific </w:t>
      </w:r>
      <w:r w:rsidR="00F72E51">
        <w:t>rigor</w:t>
      </w:r>
      <w:r w:rsidR="00A0304F">
        <w:t>, and moreover are</w:t>
      </w:r>
      <w:r w:rsidR="00C64F41">
        <w:t xml:space="preserve"> not constrained to sum to estimates of all-cause mortality from demographic sources. </w:t>
      </w:r>
    </w:p>
    <w:p w:rsidR="005F3287" w:rsidRDefault="00BF0526" w:rsidP="00E153D4">
      <w:r>
        <w:t>Global cause of death assessments can be characterized in four dimensions: the universe of raw data identified and examined, efforts to evaluate and enhance quality and comparability of data</w:t>
      </w:r>
      <w:r w:rsidR="007932D2">
        <w:t>,</w:t>
      </w:r>
      <w:r>
        <w:t xml:space="preserve"> the statistical modeling strategy</w:t>
      </w:r>
      <w:r w:rsidR="007932D2">
        <w:t>,</w:t>
      </w:r>
      <w:r>
        <w:t xml:space="preserve"> and whether causes of death are constrained to sum to all-cause mortality.</w:t>
      </w:r>
      <w:r w:rsidR="00C47B5C">
        <w:t xml:space="preserve"> </w:t>
      </w:r>
      <w:r>
        <w:t>In terms of the universe of data, the various iterations of the GBD and CHERG analysis of under-five deaths have made substantial use of data on causes of death from systems that attempt to capture the event of death.</w:t>
      </w:r>
      <w:r w:rsidR="00C47B5C">
        <w:t xml:space="preserve"> </w:t>
      </w:r>
      <w:r w:rsidRPr="00FA046B">
        <w:t xml:space="preserve">Other </w:t>
      </w:r>
      <w:r w:rsidR="00FA046B">
        <w:t>single-</w:t>
      </w:r>
      <w:r w:rsidRPr="00FA046B">
        <w:t>cause analyses</w:t>
      </w:r>
      <w:r w:rsidR="002A06BA">
        <w:t>,</w:t>
      </w:r>
      <w:r w:rsidRPr="00FA046B">
        <w:t xml:space="preserve"> such as </w:t>
      </w:r>
      <w:r w:rsidR="002A06BA">
        <w:t>the</w:t>
      </w:r>
      <w:r w:rsidR="002A06BA" w:rsidRPr="00FA046B">
        <w:t xml:space="preserve"> </w:t>
      </w:r>
      <w:r w:rsidRPr="00FA046B">
        <w:t xml:space="preserve">annual </w:t>
      </w:r>
      <w:r w:rsidR="002A06BA">
        <w:t xml:space="preserve">UNAIDS </w:t>
      </w:r>
      <w:r w:rsidRPr="00FA046B">
        <w:t>effort</w:t>
      </w:r>
      <w:r w:rsidR="00072C4C">
        <w:t>s</w:t>
      </w:r>
      <w:r w:rsidRPr="00FA046B">
        <w:t xml:space="preserve"> to estimate HIV related deaths, measles </w:t>
      </w:r>
      <w:r w:rsidRPr="00FD2684">
        <w:t>estimates,</w:t>
      </w:r>
      <w:r w:rsidR="00FD2A6F">
        <w:fldChar w:fldCharType="begin"/>
      </w:r>
      <w:r w:rsidR="00355799">
        <w:instrText xml:space="preserve"> ADDIN ZOTERO_ITEM CSL_CITATION {"citationID":"T9JnGOuU","properties":{"formattedCitation":"{\\rtf \\super 34\\nosupersub{}}","plainCitation":"34"},"citationItems":[{"id":2971,"uris":["http://zotero.org/groups/21876/items/CITKJDSJ"],"uri":["http://zotero.org/groups/21876/items/CITKJDSJ"],"itemData":{"id":2971,"type":"article-journal","title":"Assessment of the 2010 global measles mortality reduction goal: results from a model of surveillance data","container-title":"The Lancet","page":"2173-2178","volume":"379","issue":"9832","DOI":"10.1016/S0140-6736(12)60522-4","shortTitle":"Assessment of the 2010 global measles mortality reduction goal","author":[{"family":"Simons","given":"Emily"},{"family":"Ferrari","given":"Matthew"},{"family":"Fricks","given":"John"},{"family":"Wannemuehler","given":"Kathleen"},{"family":"Anand","given":"Abhijeet"},{"family":"Burton","given":"Anthony"},{"family":"Strebel","given":"Peter"}],"issued":{"year":2012,"month":6},"accessed":{"year":2012,"month":7,"day":6},"page-first":"2173"}}],"schema":"https://github.com/citation-style-language/schema/raw/master/csl-citation.json"} </w:instrText>
      </w:r>
      <w:r w:rsidR="00FD2A6F">
        <w:fldChar w:fldCharType="separate"/>
      </w:r>
      <w:r w:rsidR="00C4275C" w:rsidRPr="00C4275C">
        <w:rPr>
          <w:rFonts w:ascii="Calibri" w:hAnsi="Calibri" w:cs="Calibri"/>
          <w:szCs w:val="24"/>
          <w:vertAlign w:val="superscript"/>
        </w:rPr>
        <w:t>34</w:t>
      </w:r>
      <w:r w:rsidR="00FD2A6F">
        <w:fldChar w:fldCharType="end"/>
      </w:r>
      <w:r w:rsidRPr="00FD2684">
        <w:t xml:space="preserve"> the</w:t>
      </w:r>
      <w:r w:rsidRPr="00FA046B">
        <w:t xml:space="preserve"> World Malaria Report,</w:t>
      </w:r>
      <w:r w:rsidR="00FD2A6F">
        <w:fldChar w:fldCharType="begin"/>
      </w:r>
      <w:r w:rsidR="00355799">
        <w:instrText xml:space="preserve"> ADDIN ZOTERO_ITEM CSL_CITATION {"citationID":"7pTQuycV","properties":{"formattedCitation":"{\\rtf \\super 26\\nosupersub{}}","plainCitation":"26"},"citationItems":[{"id":809,"uris":["http://zotero.org/groups/21876/items/4QDE72DK"],"uri":["http://zotero.org/groups/21876/items/4QDE72DK"],"itemData":{"id":809,"type":"report","title":"World Malaria Report 2011","URL":"http://www.who.int/malaria/world_malaria_report_2011/9789241564403_eng.pdf","author":[{"family":"WHO","given":""}],"accessed":{"year":2012,"month":7,"day":2}}}],"schema":"https://github.com/citation-style-language/schema/raw/master/csl-citation.json"} </w:instrText>
      </w:r>
      <w:r w:rsidR="00FD2A6F">
        <w:fldChar w:fldCharType="separate"/>
      </w:r>
      <w:r w:rsidR="00B45B26" w:rsidRPr="00B45B26">
        <w:rPr>
          <w:rFonts w:ascii="Calibri" w:hAnsi="Calibri" w:cs="Calibri"/>
          <w:szCs w:val="24"/>
          <w:vertAlign w:val="superscript"/>
        </w:rPr>
        <w:t>26</w:t>
      </w:r>
      <w:r w:rsidR="00FD2A6F">
        <w:fldChar w:fldCharType="end"/>
      </w:r>
      <w:r w:rsidRPr="00FA046B">
        <w:t xml:space="preserve"> </w:t>
      </w:r>
      <w:r w:rsidR="00C62196">
        <w:t>the WHO Global TB Control Report,</w:t>
      </w:r>
      <w:r w:rsidR="00FD2A6F">
        <w:fldChar w:fldCharType="begin"/>
      </w:r>
      <w:r w:rsidR="00355799">
        <w:instrText xml:space="preserve"> ADDIN ZOTERO_ITEM CSL_CITATION {"citationID":"u85ex0JU","properties":{"formattedCitation":"{\\rtf \\super 28\\nosupersub{}}","plainCitation":"28"},"citationItems":[{"id":3428,"uris":["http://zotero.org/groups/21876/items/E78EXU6H"],"uri":["http://zotero.org/groups/21876/items/E78EXU6H"],"itemData":{"id":3428,"type":"report","title":"Global tuberculosis control 2011","URL":"http://www.who.int/entity/tb/publications/global_report/2011/gtbr11_full.pdf","author":[{"family":"WHO","given":""}],"accessed":{"year":2012,"month":7,"day":2}}}],"schema":"https://github.com/citation-style-language/schema/raw/master/csl-citation.json"} </w:instrText>
      </w:r>
      <w:r w:rsidR="00FD2A6F">
        <w:fldChar w:fldCharType="separate"/>
      </w:r>
      <w:r w:rsidR="00B45B26" w:rsidRPr="00B45B26">
        <w:rPr>
          <w:rFonts w:ascii="Calibri" w:hAnsi="Calibri" w:cs="Calibri"/>
          <w:szCs w:val="24"/>
          <w:vertAlign w:val="superscript"/>
        </w:rPr>
        <w:t>28</w:t>
      </w:r>
      <w:r w:rsidR="00FD2A6F">
        <w:fldChar w:fldCharType="end"/>
      </w:r>
      <w:r w:rsidR="00C62196">
        <w:t xml:space="preserve"> </w:t>
      </w:r>
      <w:r w:rsidRPr="00FA046B">
        <w:t>and many others</w:t>
      </w:r>
      <w:r>
        <w:t xml:space="preserve"> have used data on disease incidence or prevalence and data on case-fatality rates combined in a natural history progression model.</w:t>
      </w:r>
      <w:r w:rsidR="00C47B5C">
        <w:t xml:space="preserve"> </w:t>
      </w:r>
      <w:r>
        <w:t xml:space="preserve">Perhaps the area of greatest variation in the published </w:t>
      </w:r>
      <w:r>
        <w:lastRenderedPageBreak/>
        <w:t xml:space="preserve">studies </w:t>
      </w:r>
      <w:r w:rsidR="00D27952">
        <w:t>is</w:t>
      </w:r>
      <w:r>
        <w:t xml:space="preserve"> the efforts to assess and enhance the quality and comparability of available data.</w:t>
      </w:r>
      <w:r w:rsidR="00C47B5C">
        <w:t xml:space="preserve"> </w:t>
      </w:r>
      <w:r>
        <w:t>These efforts often include very specific steps undertaken for different data sources and ar</w:t>
      </w:r>
      <w:r w:rsidR="0067551D">
        <w:t xml:space="preserve">e </w:t>
      </w:r>
      <w:r w:rsidR="00F92BD3">
        <w:t xml:space="preserve">frequently </w:t>
      </w:r>
      <w:r w:rsidR="0067551D">
        <w:t>poorly documented.</w:t>
      </w:r>
      <w:r w:rsidR="00C47B5C">
        <w:t xml:space="preserve"> </w:t>
      </w:r>
      <w:r w:rsidR="0067551D">
        <w:t>Third, o</w:t>
      </w:r>
      <w:r>
        <w:t>ver the last two decades, efforts to develop statistical models for causes of death have become more sophisticated.</w:t>
      </w:r>
      <w:r w:rsidR="00C47B5C">
        <w:t xml:space="preserve"> </w:t>
      </w:r>
      <w:r>
        <w:t>Compositional models that estimate cause fractions for several causes at once were first applied to global health by Salomon and Murray</w:t>
      </w:r>
      <w:r w:rsidR="00FD2A6F">
        <w:fldChar w:fldCharType="begin"/>
      </w:r>
      <w:r w:rsidR="00355799">
        <w:instrText xml:space="preserve"> ADDIN ZOTERO_ITEM CSL_CITATION {"citationID":"mtvTwHy1","properties":{"formattedCitation":"{\\rtf \\super 36\\nosupersub{}}","plainCitation":"36"},"citationItems":[{"id":1468,"uris":["http://zotero.org/groups/21876/items/74762VNA"],"uri":["http://zotero.org/groups/21876/items/74762VNA"],"itemData":{"id":1468,"type":"article-journal","title":"The Epidemiologic Transition Revisited: Compositional Models for Causes of Death by Age and Sex","container-title":"Population and Development Review","page":"205–228","volume":"28","issue":"2","abstract":"For decades, researchers have noted systematic shifts in cause-of-death patterns as mortality levels change. The notion of the “epidemiologic transition” has influenced thinking about the evolution of health in different societies and the response of the health system to these changes. This article re-examines the epidemiologic transition in terms of empirical regularities in the cause composition of mortality by age and sex since 1950, and considers whether the theory of epidemiologic transition presents a durable framework for understanding more recent patterns. Age-sex-specific mortality rates from three broad cause groups are analyzed: Group 1 (communicable diseases, maternal and perinatal causes, and nutritional deficiencies); Group 2 (noncommunicable diseases); and Group 3 (injuries), using the most extensive international database on mortality by cause, including 1,576 country-years of observation, and new statistical models for compositional data. The analyses relate changes in cause-of-death patterns to changing levels of all-cause mortality and income per capita. The results confirm that declines in overall mortality are accompanied by systematic changes in the composition of causes in many age groups. These changes are most pronounced among children, for whom Group 1 causes decline as overall mortality falls, and in younger adults, where strikingly different patterns are found for men (shift from Group 3 to Group 2) compared to women (shift toward Group 2 then Group 3). The underlying patterns that emerge from this analysis offer insights into the epidemiologic transition from high-mortality to low-mortality settings.","DOI":"10.1111/j.1728-4457.2002.00205.x","call-number":"0098","shortTitle":"The Epidemiologic Transition Revisited","language":"en","author":[{"family":"Salomon","given":"Joshua A."},{"family":"Murray","given":"Christopher J. L."}],"issued":{"year":2002},"accessed":{"year":2012,"month":6,"day":5},"page-first":"205–228"}}],"schema":"https://github.com/citation-style-language/schema/raw/master/csl-citation.json"} </w:instrText>
      </w:r>
      <w:r w:rsidR="00FD2A6F">
        <w:fldChar w:fldCharType="separate"/>
      </w:r>
      <w:r w:rsidR="00446C91" w:rsidRPr="00446C91">
        <w:rPr>
          <w:rFonts w:ascii="Calibri" w:hAnsi="Calibri" w:cs="Calibri"/>
          <w:szCs w:val="24"/>
          <w:vertAlign w:val="superscript"/>
        </w:rPr>
        <w:t>36</w:t>
      </w:r>
      <w:r w:rsidR="00FD2A6F">
        <w:fldChar w:fldCharType="end"/>
      </w:r>
      <w:r>
        <w:t xml:space="preserve"> and have been used extensively by CHERG</w:t>
      </w:r>
      <w:r w:rsidR="00D004CD">
        <w:t xml:space="preserve"> but only for a subset of causes</w:t>
      </w:r>
      <w:r>
        <w:t>.</w:t>
      </w:r>
      <w:r w:rsidR="00C47B5C">
        <w:t xml:space="preserve"> </w:t>
      </w:r>
      <w:r>
        <w:t>GBD revisions for</w:t>
      </w:r>
      <w:r w:rsidR="003C317A">
        <w:t xml:space="preserve"> </w:t>
      </w:r>
      <w:r w:rsidR="00E7104A">
        <w:t xml:space="preserve">1999, 2000, </w:t>
      </w:r>
      <w:r w:rsidR="00051E81">
        <w:t xml:space="preserve">2001, </w:t>
      </w:r>
      <w:r w:rsidR="00E7104A">
        <w:t xml:space="preserve">2002, </w:t>
      </w:r>
      <w:r w:rsidR="00051E81">
        <w:t>2004</w:t>
      </w:r>
      <w:r w:rsidR="003C317A">
        <w:t>,</w:t>
      </w:r>
      <w:r w:rsidR="00051E81">
        <w:t xml:space="preserve"> and 2008</w:t>
      </w:r>
      <w:r w:rsidR="00E7104A">
        <w:t xml:space="preserve"> </w:t>
      </w:r>
      <w:r>
        <w:t xml:space="preserve">have used these compositional models to allocate deaths </w:t>
      </w:r>
      <w:r w:rsidR="00051E81">
        <w:t>according to</w:t>
      </w:r>
      <w:r>
        <w:t xml:space="preserve"> three </w:t>
      </w:r>
      <w:r w:rsidR="00DC7E5D">
        <w:t>broad cause groups: c</w:t>
      </w:r>
      <w:r w:rsidR="00051E81">
        <w:t xml:space="preserve">ommunicable, maternal, </w:t>
      </w:r>
      <w:r w:rsidR="005A13EC">
        <w:t>neonatal</w:t>
      </w:r>
      <w:r w:rsidR="00F72E51">
        <w:t>,</w:t>
      </w:r>
      <w:r w:rsidR="005A13EC">
        <w:t xml:space="preserve"> and</w:t>
      </w:r>
      <w:r w:rsidR="00051E81">
        <w:t xml:space="preserve"> nutritional cau</w:t>
      </w:r>
      <w:r w:rsidR="00D004CD">
        <w:t xml:space="preserve">ses; </w:t>
      </w:r>
      <w:r w:rsidR="00DC7E5D">
        <w:t>n</w:t>
      </w:r>
      <w:r w:rsidR="00333507">
        <w:t>oncommunicable</w:t>
      </w:r>
      <w:r w:rsidR="00D004CD">
        <w:t xml:space="preserve"> diseases</w:t>
      </w:r>
      <w:r w:rsidR="00DC7E5D">
        <w:t>; and i</w:t>
      </w:r>
      <w:r w:rsidR="00051E81">
        <w:t>njuries.</w:t>
      </w:r>
      <w:r>
        <w:t xml:space="preserve"> More recently, the array of modeling strategies used for causes of death has been broadened to include spatial-tempor</w:t>
      </w:r>
      <w:r w:rsidR="00162D14">
        <w:t xml:space="preserve">al Gaussian </w:t>
      </w:r>
      <w:r w:rsidR="00891100">
        <w:t>p</w:t>
      </w:r>
      <w:r w:rsidR="00162D14">
        <w:t xml:space="preserve">rocess </w:t>
      </w:r>
      <w:r w:rsidR="00891100">
        <w:t>r</w:t>
      </w:r>
      <w:r w:rsidR="00162D14">
        <w:t>egression</w:t>
      </w:r>
      <w:r>
        <w:t>,</w:t>
      </w:r>
      <w:r w:rsidR="00FD2A6F">
        <w:fldChar w:fldCharType="begin"/>
      </w:r>
      <w:r w:rsidR="00355799">
        <w:instrText xml:space="preserve"> ADDIN ZOTERO_ITEM CSL_CITATION {"citationID":"1kmh1t55a3","properties":{"formattedCitation":"{\\rtf \\super 22,37\\nosupersub{}}","plainCitation":"22,37"},"citationItems":[{"id":1398,"uris":["http://zotero.org/groups/21876/items/6SVXD9UJ"],"uri":["http://zotero.org/groups/21876/items/6SVXD9UJ"],"itemData":{"id":1398,"type":"article-journal","title":"Neonatal, postneonatal, childhood, and under-5 mortality for 187 countries, 1970-2010: a systematic analysis of progress towards Millennium Development Goal 4","container-title":"The Lancet","page":"1988-2008","volume":"375","issue":"9730","abstract":"&lt;p&gt;SummaryBackground&lt;br/&gt;Previous assessments have highlighted that less than a quarter of countries are on track to achieve Millennium Development Goal 4 (MDG 4), which calls for a two-thirds reduction in mortality in children younger than 5 years between 1990 and 2015. In view of policy initiatives and investments made since 2000, it is important to see if there is acceleration towards the MDG 4 target. We assessed levels and trends in child mortality for 187 countries from 1970 to 2010.Methods&lt;br/&gt;We compiled a database of 16[punctuation space]174 measurements of mortality in children younger than 5 years for 187 countries from 1970 to 2009, by use of data from all available sources, including vital registration systems, summary birth histories in censuses and surveys, and complete birth histories. We used Gaussian process regression to generate estimates of the probability of death between birth and age 5 years. This is the first study that uses Gaussian process regression to estimate child mortality, and this technique has better out-of-sample predictive validity than do previous methods and captures uncertainty caused by sampling and non-sampling error across data types. Neonatal, postneonatal, and childhood mortality was estimated from mortality in children younger than 5 years by use of the 1760 measurements from vital registration systems and complete birth histories that contained specific information about neonatal and postneonatal mortality.Findings&lt;br/&gt;Worldwide mortality in children younger than 5 years has dropped from 11·9 million deaths in 1990 to 7·7 million deaths in 2010, consisting of 3·1 million neonatal deaths, 2·3 million postneonatal deaths, and 2·3 million childhood deaths (deaths in children aged 1-4 years). 33·0% of deaths in children younger than 5 years occur in south Asia and 49·6% occur in sub-Saharan Africa, with less than 1% of deaths occurring in high-income countries. Across 21 regions of the world, rates of neonatal, postneonatal, and childhood mortality are declining. The global decline from 1990 to 2010 is 2·1% per year for neonatal mortality, 2·3% for postneonatal mortality, and 2·2% for childhood mortality. In 13 regions of the world, including all regions in sub-Saharan Africa, there is evidence of accelerating declines from 2000 to 2010 compared with 1990 to 2000. Within sub-Saharan Africa, rates of decline have increased by more than 1% in Angola, Botswana, Cameroon, Congo, Democratic Republic of the Congo, Kenya, Lesotho, Liberia, Rwanda, Senegal, Sierra Leone, Swaziland, and The Gambia.Interpretation&lt;br/&gt;Robust measurement of mortality in children younger than 5 years shows that accelerating declines are occurring in several low-income countries. These positive developments deserve attention and might need enhanced policy attention and resources.Funding&lt;br/&gt;Bill &amp; Melinda Gates Foundation.&lt;/p&gt;","DOI":"16/S0140-6736(10)60703-9","shortTitle":"Neonatal, postneonatal, childhood, and under-5 mortality for 187 countries, 1970-2010","author":[{"family":"Rajaratnam","given":"Julie Knoll"},{"family":"Marcus","given":"Jake R"},{"family":"Flaxman","given":"Abraham D"},{"family":"Wang","given":"Haidong"},{"family":"Levin-Rector","given":"Alison"},{"family":"Dwyer","given":"Laura"},{"family":"Costa","given":"Megan"},{"family":"Lopez","given":"Alan D"},{"family":"Murray","given":"Christopher JL"}],"issued":{"year":2010,"month":6,"day":5},"accessed":{"year":2011,"month":7,"day":11},"page-first":"1988"},"label":"page"},{"id":8362,"uris":["http://zotero.org/groups/21876/items/XPQP7A9G"],"uri":["http://zotero.org/groups/21876/items/XPQP7A9G"],"itemData":{"id":8362,"type":"article-journal","title":"Maternal mortality for 181 countries, 1980–2008: a systematic analysis of progress towards Millennium Development Goal 5","container-title":"The Lancet","page":"1609-1623","volume":"375","issue":"9726","abstract":"SummaryBackground\nMaternal mortality remains a major challenge to health systems worldwide. Reliable information about the rates and trends in maternal mortality is essential for resource mobilisation, and for planning and assessment of progress towards Millennium Development Goal 5 (MDG 5), the target for which is a 75% reduction in the maternal mortality ratio (MMR) from 1990 to 2015. We assessed levels and trends in maternal mortality for 181 countries.\nMethods\nWe constructed a database of 2651 observations of maternal mortality for 181 countries for 1980–2008, from vital registration data, censuses, surveys, and verbal autopsy studies. We used robust analytical methods to generate estimates of maternal deaths and the MMR for each year between 1980 and 2008. We explored the sensitivity of our data to model specification and show the out-of-sample predictive validity of our methods.\nFindings\nWe estimated that there were 342 900 (uncertainty interval 302 100–394 300) maternal deaths worldwide in 2008, down from 526 300 (446 400–629 600) in 1980. The global MMR decreased from 422 (358–505) in 1980 to 320 (272–388) in 1990, and was 251 (221–289) per 100 000 livebirths in 2008. The yearly rate of decline of the global MMR since 1990 was 1·3% (1·0–1·5). During 1990–2008, rates of yearly decline in the MMR varied between countries, from 8·8% (8·7–14·1) in the Maldives to an increase of 5·5% (5·2–5·6) in Zimbabwe. More than 50% of all maternal deaths were in only six countries in 2008 (India, Nigeria, Pakistan, Afghanistan, Ethiopia, and the Democratic Republic of the Congo). In the absence of HIV, there would have been 281 500 (243 900–327 900) maternal deaths worldwide in 2008.\nInterpretation\nSubstantial, albeit varied, progress has been made towards MDG 5. Although only 23 countries are on track to achieve a 75% decrease in MMR by 2015, countries such as Egypt, China, Ecuador, and Bolivia have been achieving accelerated progress.\nFunding\nBill &amp;amp; Melinda Gates Foundation.","DOI":"10.1016/S0140-6736(10)60518-1","shortTitle":"Maternal mortality for 181 countries, 1980–2008","author":[{"family":"Hogan","given":"Margaret C"},{"family":"Foreman","given":"Kyle J"},{"family":"Naghavi","given":"Mohsen"},{"family":"Ahn","given":"Stephanie Y"},{"family":"Wang","given":"Mengru"},{"family":"Makela","given":"Susanna M"},{"family":"Lopez","given":"Alan D"},{"family":"Lozano","given":"Rafael"},{"family":"Murray","given":"Christopher JL"}],"issued":{"literal":"8"},"page-first":"1609"},"label":"page"}],"schema":"https://github.com/citation-style-language/schema/raw/master/csl-citation.json"} </w:instrText>
      </w:r>
      <w:r w:rsidR="00FD2A6F">
        <w:fldChar w:fldCharType="separate"/>
      </w:r>
      <w:r w:rsidR="002442FC" w:rsidRPr="002442FC">
        <w:rPr>
          <w:rFonts w:ascii="Calibri" w:hAnsi="Calibri" w:cs="Calibri"/>
          <w:szCs w:val="24"/>
          <w:vertAlign w:val="superscript"/>
        </w:rPr>
        <w:t>22,37</w:t>
      </w:r>
      <w:r w:rsidR="00FD2A6F">
        <w:fldChar w:fldCharType="end"/>
      </w:r>
      <w:r>
        <w:t xml:space="preserve"> mixed effects hierarchical models</w:t>
      </w:r>
      <w:r w:rsidR="00F72E51">
        <w:t>,</w:t>
      </w:r>
      <w:r>
        <w:t xml:space="preserve"> and ensemble models</w:t>
      </w:r>
      <w:r w:rsidR="00162D14">
        <w:t>.</w:t>
      </w:r>
      <w:r w:rsidR="00FD2A6F">
        <w:fldChar w:fldCharType="begin"/>
      </w:r>
      <w:r w:rsidR="00355799">
        <w:instrText xml:space="preserve"> ADDIN ZOTERO_ITEM CSL_CITATION {"citationID":"HGpSFGIx","properties":{"formattedCitation":"{\\rtf \\super 38\\nosupersub{}}","plainCitation":"38"},"citationItems":[{"id":2191,"uris":["http://zotero.org/groups/21876/items/9MATMDTX"],"uri":["http://zotero.org/groups/21876/items/9MATMDTX"],"itemData":{"id":2191,"type":"article-journal","title":"Modeling causes of death: an integrated approach using CODEm","container-title":"Population health metrics","page":"1","volume":"10","abstract":"UNLABELLED\n\nABSTRACT:\n\n\nBACKGROUND\n\nData on causes of death by age and sex are a critical input into health decision-making. Priority setting in public health should be informed not only by the current magnitude of health problems but by trends in them. However, cause of death data are often not available or are subject to substantial problems of comparability. We propose five general principles for cause of death model development, validation, and reporting.\n\n\nMETHODS\n\nWe detail a specific implementation of these principles that is embodied in an analytical tool - the Cause of Death Ensemble model (CODEm) - which explores a large variety of possible models to estimate trends in causes of death. Possible models are identified using a covariate selection algorithm that yields many plausible combinations of covariates, which are then run through four model classes. The model classes include mixed effects linear models and spatial-temporal Gaussian Process Regression models for cause fractions and death rates. All models for each cause of death are then assessed using out-of-sample predictive validity and combined into an ensemble with optimal out-of-sample predictive performance.\n\n\nRESULTS\n\nEnsemble models for cause of death estimation outperform any single component model in tests of root mean square error, frequency of predicting correct temporal trends, and achieving 95% coverage of the prediction interval. We present detailed results for CODEm applied to maternal mortality and summary results for several other causes of death, including cardiovascular disease and several cancers.\n\n\nCONCLUSIONS\n\nCODEm produces better estimates of cause of death trends than previous methods and is less susceptible to bias in model specification. We demonstrate the utility of CODEm for the estimation of several major causes of death.","DOI":"10.1186/1478-7954-10-1","call-number":"0000","note":"PMID: 22226226","shortTitle":"Modeling causes of death","journalAbbreviation":"Popul Health Metr","author":[{"family":"Foreman","given":"KJ"},{"family":"Lozano","given":"R"},{"family":"Lopez","given":"AD"},{"family":"Murray","given":"CJL"}],"issued":{"year":2012},"accessed":{"year":2012,"month":6,"day":5},"page-first":"1"}}],"schema":"https://github.com/citation-style-language/schema/raw/master/csl-citation.json"} </w:instrText>
      </w:r>
      <w:r w:rsidR="00FD2A6F">
        <w:fldChar w:fldCharType="separate"/>
      </w:r>
      <w:r w:rsidR="00446C91" w:rsidRPr="00446C91">
        <w:rPr>
          <w:rFonts w:ascii="Calibri" w:hAnsi="Calibri" w:cs="Calibri"/>
          <w:szCs w:val="24"/>
          <w:vertAlign w:val="superscript"/>
        </w:rPr>
        <w:t>38</w:t>
      </w:r>
      <w:r w:rsidR="00FD2A6F">
        <w:fldChar w:fldCharType="end"/>
      </w:r>
      <w:r w:rsidR="00C47B5C">
        <w:t xml:space="preserve"> </w:t>
      </w:r>
      <w:r w:rsidR="005F3287">
        <w:t>Given the profusion of statistical modeling options, an important innovation has been the reporting of out-of-sample predictive validity to document the performance of complex models</w:t>
      </w:r>
      <w:r w:rsidR="00162D14">
        <w:t>.</w:t>
      </w:r>
      <w:r w:rsidR="005F3287">
        <w:t xml:space="preserve"> </w:t>
      </w:r>
      <w:r w:rsidR="00FD2A6F">
        <w:fldChar w:fldCharType="begin"/>
      </w:r>
      <w:r w:rsidR="00355799">
        <w:instrText xml:space="preserve"> ADDIN ZOTERO_ITEM CSL_CITATION {"citationID":"172qqhp8i4","properties":{"formattedCitation":"{\\rtf \\super 22,38\\nosupersub{}}","plainCitation":"22,38"},"citationItems":[{"id":2191,"uris":["http://zotero.org/groups/21876/items/9MATMDTX"],"uri":["http://zotero.org/groups/21876/items/9MATMDTX"],"itemData":{"id":2191,"type":"article-journal","title":"Modeling causes of death: an integrated approach using CODEm","container-title":"Population health metrics","page":"1","volume":"10","abstract":"UNLABELLED\n\nABSTRACT:\n\n\nBACKGROUND\n\nData on causes of death by age and sex are a critical input into health decision-making. Priority setting in public health should be informed not only by the current magnitude of health problems but by trends in them. However, cause of death data are often not available or are subject to substantial problems of comparability. We propose five general principles for cause of death model development, validation, and reporting.\n\n\nMETHODS\n\nWe detail a specific implementation of these principles that is embodied in an analytical tool - the Cause of Death Ensemble model (CODEm) - which explores a large variety of possible models to estimate trends in causes of death. Possible models are identified using a covariate selection algorithm that yields many plausible combinations of covariates, which are then run through four model classes. The model classes include mixed effects linear models and spatial-temporal Gaussian Process Regression models for cause fractions and death rates. All models for each cause of death are then assessed using out-of-sample predictive validity and combined into an ensemble with optimal out-of-sample predictive performance.\n\n\nRESULTS\n\nEnsemble models for cause of death estimation outperform any single component model in tests of root mean square error, frequency of predicting correct temporal trends, and achieving 95% coverage of the prediction interval. We present detailed results for CODEm applied to maternal mortality and summary results for several other causes of death, including cardiovascular disease and several cancers.\n\n\nCONCLUSIONS\n\nCODEm produces better estimates of cause of death trends than previous methods and is less susceptible to bias in model specification. We demonstrate the utility of CODEm for the estimation of several major causes of death.","DOI":"10.1186/1478-7954-10-1","call-number":"0000","note":"PMID: 22226226","shortTitle":"Modeling causes of death","journalAbbreviation":"Popul Health Metr","author":[{"family":"Foreman","given":"KJ"},{"family":"Lozano","given":"R"},{"family":"Lopez","given":"AD"},{"family":"Murray","given":"CJL"}],"issued":{"year":2012},"accessed":{"year":2012,"month":6,"day":5},"page-first":"1"},"label":"page"},{"id":8362,"uris":["http://zotero.org/groups/21876/items/XPQP7A9G"],"uri":["http://zotero.org/groups/21876/items/XPQP7A9G"],"itemData":{"id":8362,"type":"article-journal","title":"Maternal mortality for 181 countries, 1980–2008: a systematic analysis of progress towards Millennium Development Goal 5","container-title":"The Lancet","page":"1609-1623","volume":"375","issue":"9726","abstract":"SummaryBackground\nMaternal mortality remains a major challenge to health systems worldwide. Reliable information about the rates and trends in maternal mortality is essential for resource mobilisation, and for planning and assessment of progress towards Millennium Development Goal 5 (MDG 5), the target for which is a 75% reduction in the maternal mortality ratio (MMR) from 1990 to 2015. We assessed levels and trends in maternal mortality for 181 countries.\nMethods\nWe constructed a database of 2651 observations of maternal mortality for 181 countries for 1980–2008, from vital registration data, censuses, surveys, and verbal autopsy studies. We used robust analytical methods to generate estimates of maternal deaths and the MMR for each year between 1980 and 2008. We explored the sensitivity of our data to model specification and show the out-of-sample predictive validity of our methods.\nFindings\nWe estimated that there were 342 900 (uncertainty interval 302 100–394 300) maternal deaths worldwide in 2008, down from 526 300 (446 400–629 600) in 1980. The global MMR decreased from 422 (358–505) in 1980 to 320 (272–388) in 1990, and was 251 (221–289) per 100 000 livebirths in 2008. The yearly rate of decline of the global MMR since 1990 was 1·3% (1·0–1·5). During 1990–2008, rates of yearly decline in the MMR varied between countries, from 8·8% (8·7–14·1) in the Maldives to an increase of 5·5% (5·2–5·6) in Zimbabwe. More than 50% of all maternal deaths were in only six countries in 2008 (India, Nigeria, Pakistan, Afghanistan, Ethiopia, and the Democratic Republic of the Congo). In the absence of HIV, there would have been 281 500 (243 900–327 900) maternal deaths worldwide in 2008.\nInterpretation\nSubstantial, albeit varied, progress has been made towards MDG 5. Although only 23 countries are on track to achieve a 75% decrease in MMR by 2015, countries such as Egypt, China, Ecuador, and Bolivia have been achieving accelerated progress.\nFunding\nBill &amp;amp; Melinda Gates Foundation.","DOI":"10.1016/S0140-6736(10)60518-1","shortTitle":"Maternal mortality for 181 countries, 1980–2008","author":[{"family":"Hogan","given":"Margaret C"},{"family":"Foreman","given":"Kyle J"},{"family":"Naghavi","given":"Mohsen"},{"family":"Ahn","given":"Stephanie Y"},{"family":"Wang","given":"Mengru"},{"family":"Makela","given":"Susanna M"},{"family":"Lopez","given":"Alan D"},{"family":"Lozano","given":"Rafael"},{"family":"Murray","given":"Christopher JL"}],"issued":{"literal":"8"},"page-first":"1609"},"label":"page"}],"schema":"https://github.com/citation-style-language/schema/raw/master/csl-citation.json"} </w:instrText>
      </w:r>
      <w:r w:rsidR="00FD2A6F">
        <w:fldChar w:fldCharType="separate"/>
      </w:r>
      <w:r w:rsidR="00446C91" w:rsidRPr="00446C91">
        <w:rPr>
          <w:rFonts w:ascii="Calibri" w:hAnsi="Calibri" w:cs="Calibri"/>
          <w:szCs w:val="24"/>
          <w:vertAlign w:val="superscript"/>
        </w:rPr>
        <w:t>22,38</w:t>
      </w:r>
      <w:r w:rsidR="00FD2A6F">
        <w:fldChar w:fldCharType="end"/>
      </w:r>
    </w:p>
    <w:p w:rsidR="005F3287" w:rsidRDefault="005F3287" w:rsidP="00E153D4">
      <w:r>
        <w:t xml:space="preserve">Given the developments in the field of </w:t>
      </w:r>
      <w:r w:rsidR="009C664F">
        <w:t xml:space="preserve">mortality and </w:t>
      </w:r>
      <w:r>
        <w:t xml:space="preserve">cause of death estimation, for the GBD 2010 we have completely re-evaluated all aspects of the GBD </w:t>
      </w:r>
      <w:r w:rsidR="009C664F">
        <w:t xml:space="preserve">analytical strategy, including demographic estimation of </w:t>
      </w:r>
      <w:r w:rsidR="00891100">
        <w:t>all-cause</w:t>
      </w:r>
      <w:r w:rsidR="009C664F">
        <w:t xml:space="preserve"> mortality.</w:t>
      </w:r>
      <w:r w:rsidR="00406C17">
        <w:fldChar w:fldCharType="begin"/>
      </w:r>
      <w:r w:rsidR="00355799">
        <w:instrText xml:space="preserve"> ADDIN ZOTERO_ITEM CSL_CITATION {"citationID":"109ovc5gk2","properties":{"formattedCitation":"{\\rtf \\super 39,40\\nosupersub{}}","plainCitation":"39,40"},"citationItems":[{"id":6819,"uris":["http://zotero.org/groups/21876/items/SW4PUTSE"],"uri":["http://zotero.org/groups/21876/items/SW4PUTSE"],"itemData":{"id":6819,"type":"article-journal","title":"Comprehensive Systematic Analysis of Global Epidemiology: Definitions, Methods, Simplification of DALYs, and Comparative Results from the Global Burden of Disease 2010 Study","author":[{"family":"Murray","given":"Christopher JL"},{"family":"Ezzati","given":"Majid"},{"family":"Flaxman","given":"Abraham"},{"family":"Lim","given":"Stephen"},{"family":"Lozano","given":"Rafael"},{"family":"Michaud","given":"Catherine"},{"family":"Naghavi","given":"Mohsen"},{"family":"Salomon","given":"Joshua"},{"family":"Shibuya","given":"Kenji"},{"family":"Vos","given":"Theo"},{"family":"Wikler","given":"Daniel"},{"family":"Lopez","given":"Alan D"}],"issued":{"literal":"In Preparation"}},"label":"page"},{"id":3720,"uris":["http://zotero.org/groups/21876/items/FAGCZAGC"],"uri":["http://zotero.org/groups/21876/items/FAGCZAGC"],"itemData":{"id":3720,"type":"article-journal","title":"Age- and Sex-Specific Mortality for 187 Countries, 1970-2010: A Systematic Analysis","author":[{"family":"Wang","given":"Haidong"},{"family":"Dwyer-Lindgren","given":"Laura"},{"family":"Lofgren","given":"Katherine T"},{"family":"Rajaratnam","given":"Julie Knoll"},{"family":"Marcus","given":"Jacob R"},{"family":"Levin-Rector","given":"Alison"},{"family":"Levitz","given":"Carly E"},{"family":"Lopez","given":"Alan D"},{"family":"Murray","given":"Christopher JL"}],"issued":{"literal":"(in submission)"}},"label":"page"}],"schema":"https://github.com/citation-style-language/schema/raw/master/csl-citation.json"} </w:instrText>
      </w:r>
      <w:r w:rsidR="00406C17">
        <w:fldChar w:fldCharType="separate"/>
      </w:r>
      <w:r w:rsidR="00406C17" w:rsidRPr="00406C17">
        <w:rPr>
          <w:rFonts w:ascii="Calibri" w:hAnsi="Calibri" w:cs="Calibri"/>
          <w:szCs w:val="24"/>
          <w:vertAlign w:val="superscript"/>
        </w:rPr>
        <w:t>39,40</w:t>
      </w:r>
      <w:r w:rsidR="00406C17">
        <w:fldChar w:fldCharType="end"/>
      </w:r>
      <w:r w:rsidR="00C47B5C">
        <w:t xml:space="preserve"> </w:t>
      </w:r>
      <w:r>
        <w:t xml:space="preserve">Because of the huge increase in published verbal autopsy studies and the availability </w:t>
      </w:r>
      <w:r w:rsidR="00051E81">
        <w:t>i</w:t>
      </w:r>
      <w:r>
        <w:t>n the public domain of cause of death data from government</w:t>
      </w:r>
      <w:r w:rsidR="003309B6">
        <w:t xml:space="preserve"> vital registration sources</w:t>
      </w:r>
      <w:r w:rsidR="00F21020">
        <w:t xml:space="preserve"> (</w:t>
      </w:r>
      <w:r w:rsidR="00A07814">
        <w:t>130</w:t>
      </w:r>
      <w:r w:rsidR="00C93321">
        <w:t xml:space="preserve"> </w:t>
      </w:r>
      <w:r w:rsidR="00051E81">
        <w:t>countries)</w:t>
      </w:r>
      <w:r>
        <w:t>, the universe of data has expanded</w:t>
      </w:r>
      <w:r w:rsidR="005A13EC">
        <w:t xml:space="preserve"> substantially</w:t>
      </w:r>
      <w:r>
        <w:t>.</w:t>
      </w:r>
      <w:r w:rsidR="00C47B5C">
        <w:t xml:space="preserve"> </w:t>
      </w:r>
      <w:r>
        <w:t>Assessing and enhancing the quality and comparability of data can now</w:t>
      </w:r>
      <w:r w:rsidR="00FA046B">
        <w:t xml:space="preserve"> take into account </w:t>
      </w:r>
      <w:r>
        <w:t>time trends in cause of death data from 1980 to 2010 that provide</w:t>
      </w:r>
      <w:r w:rsidR="00045EE5">
        <w:t xml:space="preserve"> important </w:t>
      </w:r>
      <w:r>
        <w:t>insights into changes in certification and coding.</w:t>
      </w:r>
      <w:r w:rsidR="00C47B5C">
        <w:t xml:space="preserve"> </w:t>
      </w:r>
      <w:r>
        <w:t>Borrowing from other</w:t>
      </w:r>
      <w:r w:rsidR="00045EE5">
        <w:t xml:space="preserve"> scientific </w:t>
      </w:r>
      <w:r>
        <w:t xml:space="preserve">fields, we have </w:t>
      </w:r>
      <w:r w:rsidR="00045EE5">
        <w:t>changed our analytical approach</w:t>
      </w:r>
      <w:r>
        <w:t xml:space="preserve"> (see below) to an ensemble modeling strategy </w:t>
      </w:r>
      <w:r w:rsidR="00045EE5">
        <w:t xml:space="preserve">in order </w:t>
      </w:r>
      <w:r>
        <w:t>to</w:t>
      </w:r>
      <w:r w:rsidR="003C317A">
        <w:t xml:space="preserve"> </w:t>
      </w:r>
      <w:r w:rsidR="00045EE5">
        <w:t>generate</w:t>
      </w:r>
      <w:r>
        <w:t xml:space="preserve"> more</w:t>
      </w:r>
      <w:r w:rsidR="0036194A">
        <w:t xml:space="preserve"> realistic </w:t>
      </w:r>
      <w:r>
        <w:t xml:space="preserve">uncertainty intervals and </w:t>
      </w:r>
      <w:r w:rsidR="00CF2ABC">
        <w:t xml:space="preserve">more accurate </w:t>
      </w:r>
      <w:r>
        <w:t>predictions.</w:t>
      </w:r>
      <w:r w:rsidR="00FD2A6F">
        <w:fldChar w:fldCharType="begin"/>
      </w:r>
      <w:r w:rsidR="00355799">
        <w:instrText xml:space="preserve"> ADDIN ZOTERO_ITEM CSL_CITATION {"citationID":"QHRTkmXK","properties":{"formattedCitation":"{\\rtf \\super 38\\nosupersub{}}","plainCitation":"38"},"citationItems":[{"id":2191,"uris":["http://zotero.org/groups/21876/items/9MATMDTX"],"uri":["http://zotero.org/groups/21876/items/9MATMDTX"],"itemData":{"id":2191,"type":"article-journal","title":"Modeling causes of death: an integrated approach using CODEm","container-title":"Population health metrics","page":"1","volume":"10","abstract":"UNLABELLED\n\nABSTRACT:\n\n\nBACKGROUND\n\nData on causes of death by age and sex are a critical input into health decision-making. Priority setting in public health should be informed not only by the current magnitude of health problems but by trends in them. However, cause of death data are often not available or are subject to substantial problems of comparability. We propose five general principles for cause of death model development, validation, and reporting.\n\n\nMETHODS\n\nWe detail a specific implementation of these principles that is embodied in an analytical tool - the Cause of Death Ensemble model (CODEm) - which explores a large variety of possible models to estimate trends in causes of death. Possible models are identified using a covariate selection algorithm that yields many plausible combinations of covariates, which are then run through four model classes. The model classes include mixed effects linear models and spatial-temporal Gaussian Process Regression models for cause fractions and death rates. All models for each cause of death are then assessed using out-of-sample predictive validity and combined into an ensemble with optimal out-of-sample predictive performance.\n\n\nRESULTS\n\nEnsemble models for cause of death estimation outperform any single component model in tests of root mean square error, frequency of predicting correct temporal trends, and achieving 95% coverage of the prediction interval. We present detailed results for CODEm applied to maternal mortality and summary results for several other causes of death, including cardiovascular disease and several cancers.\n\n\nCONCLUSIONS\n\nCODEm produces better estimates of cause of death trends than previous methods and is less susceptible to bias in model specification. We demonstrate the utility of CODEm for the estimation of several major causes of death.","DOI":"10.1186/1478-7954-10-1","call-number":"0000","note":"PMID: 22226226","shortTitle":"Modeling causes of death","journalAbbreviation":"Popul Health Metr","author":[{"family":"Foreman","given":"KJ"},{"family":"Lozano","given":"R"},{"family":"Lopez","given":"AD"},{"family":"Murray","given":"CJL"}],"issued":{"year":2012},"accessed":{"year":2012,"month":6,"day":5},"page-first":"1"}}],"schema":"https://github.com/citation-style-language/schema/raw/master/csl-citation.json"} </w:instrText>
      </w:r>
      <w:r w:rsidR="00FD2A6F">
        <w:fldChar w:fldCharType="separate"/>
      </w:r>
      <w:r w:rsidR="00446C91" w:rsidRPr="00446C91">
        <w:rPr>
          <w:rFonts w:ascii="Calibri" w:hAnsi="Calibri" w:cs="Calibri"/>
          <w:szCs w:val="24"/>
          <w:vertAlign w:val="superscript"/>
        </w:rPr>
        <w:t>38</w:t>
      </w:r>
      <w:r w:rsidR="00FD2A6F">
        <w:fldChar w:fldCharType="end"/>
      </w:r>
      <w:r w:rsidR="00C47B5C">
        <w:t xml:space="preserve"> </w:t>
      </w:r>
      <w:r>
        <w:t xml:space="preserve">These innovations have been </w:t>
      </w:r>
      <w:r w:rsidR="00A9172D">
        <w:t xml:space="preserve">used in estimating mortality for </w:t>
      </w:r>
      <w:r>
        <w:t>an expanded GBD cause list of 2</w:t>
      </w:r>
      <w:r w:rsidR="00FA046B">
        <w:t>91</w:t>
      </w:r>
      <w:r>
        <w:t xml:space="preserve"> </w:t>
      </w:r>
      <w:r w:rsidR="00045EE5">
        <w:t>c</w:t>
      </w:r>
      <w:r>
        <w:t xml:space="preserve">auses </w:t>
      </w:r>
      <w:r w:rsidR="00045EE5">
        <w:t>compared with 1</w:t>
      </w:r>
      <w:r w:rsidR="0067551D">
        <w:t>34</w:t>
      </w:r>
      <w:r w:rsidR="00045EE5">
        <w:t xml:space="preserve"> in the GBD </w:t>
      </w:r>
      <w:r w:rsidR="00790400">
        <w:t xml:space="preserve">1990 </w:t>
      </w:r>
      <w:r w:rsidR="00045EE5">
        <w:t>Study</w:t>
      </w:r>
      <w:r w:rsidR="00D004CD">
        <w:t xml:space="preserve">; of the </w:t>
      </w:r>
      <w:r w:rsidR="00D2316A">
        <w:t xml:space="preserve">291 causes, 235 </w:t>
      </w:r>
      <w:r w:rsidR="00072C4C">
        <w:t xml:space="preserve">are </w:t>
      </w:r>
      <w:r w:rsidR="00D2316A">
        <w:t>cause</w:t>
      </w:r>
      <w:r w:rsidR="00072C4C">
        <w:t>s of</w:t>
      </w:r>
      <w:r w:rsidR="00D2316A">
        <w:t xml:space="preserve"> mortality, while </w:t>
      </w:r>
      <w:r w:rsidR="00D004CD">
        <w:t xml:space="preserve">the remaining causes account for </w:t>
      </w:r>
      <w:r w:rsidR="003E66BC">
        <w:t xml:space="preserve">years </w:t>
      </w:r>
      <w:r w:rsidR="00F92BD3">
        <w:t>lived with disability (</w:t>
      </w:r>
      <w:r w:rsidR="003E66BC">
        <w:t>YLDs)</w:t>
      </w:r>
      <w:r w:rsidR="00D96D1C">
        <w:t xml:space="preserve"> but no</w:t>
      </w:r>
      <w:r w:rsidR="009C664F">
        <w:t>t</w:t>
      </w:r>
      <w:r w:rsidR="00D96D1C">
        <w:t xml:space="preserve"> deaths</w:t>
      </w:r>
      <w:r w:rsidR="00F21020">
        <w:t>.</w:t>
      </w:r>
      <w:r w:rsidR="00C47B5C">
        <w:t xml:space="preserve"> </w:t>
      </w:r>
      <w:r w:rsidR="005A13EC">
        <w:t>We use a unified framework for all causes such that the sum of cause-specific estimates equals the number of deaths from all causes</w:t>
      </w:r>
      <w:r w:rsidR="00DE7C17">
        <w:t xml:space="preserve"> </w:t>
      </w:r>
      <w:r w:rsidR="00DE7C17" w:rsidRPr="00DE7C17">
        <w:t>in each country or region, period, age group</w:t>
      </w:r>
      <w:r w:rsidR="00DC7E5D">
        <w:t>,</w:t>
      </w:r>
      <w:r w:rsidR="00DE7C17" w:rsidRPr="00DE7C17">
        <w:t xml:space="preserve"> and sex</w:t>
      </w:r>
      <w:r w:rsidR="005A13EC">
        <w:t>.</w:t>
      </w:r>
      <w:r w:rsidR="00BA4CAB">
        <w:t xml:space="preserve"> This creates a link between the sys</w:t>
      </w:r>
      <w:r w:rsidR="00DC7E5D">
        <w:t>tematic analysis of data on all-</w:t>
      </w:r>
      <w:r w:rsidR="00BA4CAB">
        <w:t>cause mortality reported by Wang et al</w:t>
      </w:r>
      <w:r w:rsidR="00406C17">
        <w:fldChar w:fldCharType="begin"/>
      </w:r>
      <w:r w:rsidR="00355799">
        <w:instrText xml:space="preserve"> ADDIN ZOTERO_ITEM CSL_CITATION {"citationID":"AqPch289","properties":{"formattedCitation":"{\\rtf \\super 40\\nosupersub{}}","plainCitation":"40"},"citationItems":[{"id":3720,"uris":["http://zotero.org/groups/21876/items/FAGCZAGC"],"uri":["http://zotero.org/groups/21876/items/FAGCZAGC"],"itemData":{"id":3720,"type":"article-journal","title":"Age- and Sex-Specific Mortality for 187 Countries, 1970-2010: A Systematic Analysis","author":[{"family":"Wang","given":"Haidong"},{"family":"Dwyer-Lindgren","given":"Laura"},{"family":"Lofgren","given":"Katherine T"},{"family":"Rajaratnam","given":"Julie Knoll"},{"family":"Marcus","given":"Jacob R"},{"family":"Levin-Rector","given":"Alison"},{"family":"Levitz","given":"Carly E"},{"family":"Lopez","given":"Alan D"},{"family":"Murray","given":"Christopher JL"}],"issued":{"literal":"(in submission)"}}}],"schema":"https://github.com/citation-style-language/schema/raw/master/csl-citation.json"} </w:instrText>
      </w:r>
      <w:r w:rsidR="00406C17">
        <w:fldChar w:fldCharType="separate"/>
      </w:r>
      <w:r w:rsidR="00406C17" w:rsidRPr="00406C17">
        <w:rPr>
          <w:rFonts w:ascii="Calibri" w:hAnsi="Calibri" w:cs="Calibri"/>
          <w:szCs w:val="24"/>
          <w:vertAlign w:val="superscript"/>
        </w:rPr>
        <w:t>40</w:t>
      </w:r>
      <w:r w:rsidR="00406C17">
        <w:fldChar w:fldCharType="end"/>
      </w:r>
      <w:r w:rsidR="00BA4CAB">
        <w:t xml:space="preserve"> and results by cause presented here. </w:t>
      </w:r>
      <w:r w:rsidR="00C47B5C">
        <w:t xml:space="preserve"> </w:t>
      </w:r>
      <w:r>
        <w:t>In this paper, we provide a summary overview of the vast array of data and methods th</w:t>
      </w:r>
      <w:r w:rsidR="00603200">
        <w:t>at have gone into this revision</w:t>
      </w:r>
      <w:r w:rsidR="00072C4C">
        <w:t xml:space="preserve"> of the GBD</w:t>
      </w:r>
      <w:r w:rsidR="00045EE5">
        <w:t xml:space="preserve">, as well as what we believe are the </w:t>
      </w:r>
      <w:r>
        <w:t xml:space="preserve">key global and regional </w:t>
      </w:r>
      <w:r w:rsidR="00045EE5">
        <w:t xml:space="preserve">findings </w:t>
      </w:r>
      <w:r w:rsidR="00072C4C">
        <w:t xml:space="preserve">of importance </w:t>
      </w:r>
      <w:r w:rsidR="00045EE5">
        <w:t>for health priority debates.</w:t>
      </w:r>
      <w:r>
        <w:t xml:space="preserve"> </w:t>
      </w:r>
    </w:p>
    <w:p w:rsidR="008E5383" w:rsidRDefault="008E5383" w:rsidP="008E5383">
      <w:pPr>
        <w:pStyle w:val="Heading1"/>
      </w:pPr>
      <w:r>
        <w:t xml:space="preserve">Data and </w:t>
      </w:r>
      <w:r w:rsidR="008417B6">
        <w:t>m</w:t>
      </w:r>
      <w:r>
        <w:t>ethods</w:t>
      </w:r>
    </w:p>
    <w:p w:rsidR="00C10E9A" w:rsidRPr="00C10E9A" w:rsidRDefault="00C10E9A" w:rsidP="00C10E9A">
      <w:r>
        <w:t xml:space="preserve">Some general aspects of the analytical framework such as the creation of the 21 </w:t>
      </w:r>
      <w:r w:rsidR="00782CF8">
        <w:t>GBD regions and</w:t>
      </w:r>
      <w:r>
        <w:t xml:space="preserve"> t</w:t>
      </w:r>
      <w:r w:rsidR="007F2B6F">
        <w:t>he full hierarchical cause list</w:t>
      </w:r>
      <w:r>
        <w:t xml:space="preserve"> including the mapping of the International Classification of Diseases and Injuries</w:t>
      </w:r>
      <w:r w:rsidR="00782CF8">
        <w:t xml:space="preserve"> (ICD)</w:t>
      </w:r>
      <w:r>
        <w:t xml:space="preserve"> to the GBD cause list are reported elsewhere.</w:t>
      </w:r>
      <w:r w:rsidR="00626957">
        <w:fldChar w:fldCharType="begin"/>
      </w:r>
      <w:r w:rsidR="00355799">
        <w:instrText xml:space="preserve"> ADDIN ZOTERO_ITEM CSL_CITATION {"citationID":"SIX5xpvE","properties":{"formattedCitation":"{\\rtf \\super 39\\nosupersub{}}","plainCitation":"39"},"citationItems":[{"id":6819,"uris":["http://zotero.org/groups/21876/items/SW4PUTSE"],"uri":["http://zotero.org/groups/21876/items/SW4PUTSE"],"itemData":{"id":6819,"type":"article-journal","title":"Comprehensive Systematic Analysis of Global Epidemiology: Definitions, Methods, Simplification of DALYs, and Comparative Results from the Global Burden of Disease 2010 Study","author":[{"family":"Murray","given":"Christopher JL"},{"family":"Ezzati","given":"Majid"},{"family":"Flaxman","given":"Abraham"},{"family":"Lim","given":"Stephen"},{"family":"Lozano","given":"Rafael"},{"family":"Michaud","given":"Catherine"},{"family":"Naghavi","given":"Mohsen"},{"family":"Salomon","given":"Joshua"},{"family":"Shibuya","given":"Kenji"},{"family":"Vos","given":"Theo"},{"family":"Wikler","given":"Daniel"},{"family":"Lopez","given":"Alan D"}],"issued":{"literal":"In Preparation"}}}],"schema":"https://github.com/citation-style-language/schema/raw/master/csl-citation.json"} </w:instrText>
      </w:r>
      <w:r w:rsidR="00626957">
        <w:fldChar w:fldCharType="separate"/>
      </w:r>
      <w:r w:rsidR="00626957" w:rsidRPr="00626957">
        <w:rPr>
          <w:rFonts w:ascii="Calibri" w:hAnsi="Calibri" w:cs="Calibri"/>
          <w:szCs w:val="24"/>
          <w:vertAlign w:val="superscript"/>
        </w:rPr>
        <w:t>39</w:t>
      </w:r>
      <w:r w:rsidR="00626957">
        <w:fldChar w:fldCharType="end"/>
      </w:r>
      <w:r w:rsidR="001621F6">
        <w:t xml:space="preserve"> </w:t>
      </w:r>
      <w:r>
        <w:t>While results are reported in this paper at the regional level for 1990 and 2010</w:t>
      </w:r>
      <w:r w:rsidR="006F6BE6">
        <w:t>, t</w:t>
      </w:r>
      <w:r>
        <w:t>he cause of death analysis has been undertaken a</w:t>
      </w:r>
      <w:r w:rsidR="000A21AE">
        <w:t>t</w:t>
      </w:r>
      <w:r>
        <w:t xml:space="preserve"> the country level for 187 countries from 1980 to 2010</w:t>
      </w:r>
      <w:r w:rsidR="00BA4CAB">
        <w:t xml:space="preserve">.  Using longer time series improves the performance of many types of estimation models; data prior </w:t>
      </w:r>
      <w:r w:rsidR="00782CF8">
        <w:t xml:space="preserve">to 1980, however, are much </w:t>
      </w:r>
      <w:r w:rsidR="00BA4CAB">
        <w:t>sparse</w:t>
      </w:r>
      <w:r w:rsidR="00782CF8">
        <w:t>r</w:t>
      </w:r>
      <w:r w:rsidR="00BA4CAB">
        <w:t xml:space="preserve"> for developing countries</w:t>
      </w:r>
      <w:r w:rsidR="00FD1E19">
        <w:t xml:space="preserve"> so we have restricted the analysis to 1980-2010</w:t>
      </w:r>
      <w:r w:rsidR="00BA4CAB">
        <w:t xml:space="preserve">.  </w:t>
      </w:r>
    </w:p>
    <w:p w:rsidR="009F03E5" w:rsidRDefault="009F03E5" w:rsidP="009F03E5">
      <w:pPr>
        <w:pStyle w:val="Heading2"/>
      </w:pPr>
      <w:r>
        <w:lastRenderedPageBreak/>
        <w:t xml:space="preserve">Database </w:t>
      </w:r>
      <w:r w:rsidR="008417B6">
        <w:t>d</w:t>
      </w:r>
      <w:r>
        <w:t>evelopment</w:t>
      </w:r>
    </w:p>
    <w:p w:rsidR="009F03E5" w:rsidRDefault="008417B6" w:rsidP="009F03E5">
      <w:r>
        <w:t>Over the five year</w:t>
      </w:r>
      <w:r w:rsidR="00F21020">
        <w:t xml:space="preserve"> </w:t>
      </w:r>
      <w:r w:rsidR="00FD1E19">
        <w:t xml:space="preserve">duration </w:t>
      </w:r>
      <w:r w:rsidR="009F03E5">
        <w:t>of the GBD 2010 study, we have sought to identify all published and unpublished data sources relevant to estimating causes of death for 187 countries from 1980 to 2010.</w:t>
      </w:r>
      <w:r w:rsidR="00C47B5C">
        <w:t xml:space="preserve"> </w:t>
      </w:r>
      <w:r w:rsidR="009F03E5">
        <w:t>Depending on the cause, multiple sources of data have been used.</w:t>
      </w:r>
      <w:r w:rsidR="00C47B5C">
        <w:t xml:space="preserve"> </w:t>
      </w:r>
      <w:r w:rsidR="009F03E5">
        <w:t xml:space="preserve">We briefly outline </w:t>
      </w:r>
      <w:r w:rsidR="00045EE5">
        <w:t xml:space="preserve">below </w:t>
      </w:r>
      <w:r w:rsidR="009F03E5">
        <w:t>the main types of data identified and how they have been used.</w:t>
      </w:r>
      <w:r w:rsidR="00C47B5C">
        <w:t xml:space="preserve"> </w:t>
      </w:r>
      <w:r w:rsidR="00F330CC" w:rsidRPr="00F330CC">
        <w:rPr>
          <w:b/>
        </w:rPr>
        <w:t>Web</w:t>
      </w:r>
      <w:r w:rsidR="00A332CF">
        <w:t xml:space="preserve"> </w:t>
      </w:r>
      <w:r w:rsidR="009F03E5" w:rsidRPr="002576E7">
        <w:rPr>
          <w:b/>
        </w:rPr>
        <w:t>Table 1</w:t>
      </w:r>
      <w:r w:rsidR="00DD2BC0">
        <w:rPr>
          <w:b/>
        </w:rPr>
        <w:t>a</w:t>
      </w:r>
      <w:r w:rsidR="009F03E5">
        <w:t xml:space="preserve"> provides a summary of the site-years of data identified by broad type of data system</w:t>
      </w:r>
      <w:r w:rsidR="00DD2BC0">
        <w:t xml:space="preserve"> and, similarly, </w:t>
      </w:r>
      <w:r w:rsidR="00F330CC" w:rsidRPr="00F330CC">
        <w:rPr>
          <w:b/>
        </w:rPr>
        <w:t>Web</w:t>
      </w:r>
      <w:r w:rsidR="00A332CF">
        <w:t xml:space="preserve"> </w:t>
      </w:r>
      <w:r w:rsidR="00DD2BC0">
        <w:rPr>
          <w:b/>
        </w:rPr>
        <w:t>Table 1b</w:t>
      </w:r>
      <w:r w:rsidR="00DD2BC0">
        <w:t xml:space="preserve"> </w:t>
      </w:r>
      <w:r w:rsidR="00DD2BC0" w:rsidRPr="008417B6">
        <w:t xml:space="preserve">illustrates </w:t>
      </w:r>
      <w:r w:rsidR="00DD2BC0" w:rsidRPr="008417B6">
        <w:rPr>
          <w:rFonts w:eastAsia="Times New Roman" w:cstheme="minorHAnsi"/>
        </w:rPr>
        <w:t>the number of site-years by GBD region</w:t>
      </w:r>
      <w:r w:rsidR="009F03E5" w:rsidRPr="008417B6">
        <w:t>.</w:t>
      </w:r>
      <w:r w:rsidR="00C47B5C" w:rsidRPr="008417B6">
        <w:t xml:space="preserve"> </w:t>
      </w:r>
      <w:r w:rsidR="00C93565" w:rsidRPr="008417B6">
        <w:t xml:space="preserve">The data presented in this table are mapped at the most detailed </w:t>
      </w:r>
      <w:r w:rsidR="00C93565">
        <w:t>level</w:t>
      </w:r>
      <w:r w:rsidR="00574FA1">
        <w:t xml:space="preserve"> for a given study</w:t>
      </w:r>
      <w:r w:rsidR="00C93565">
        <w:t>; the aggregate levels are created by combining the detailed levels.</w:t>
      </w:r>
      <w:r w:rsidR="005E5D5E">
        <w:t xml:space="preserve">  Of the GBD regions</w:t>
      </w:r>
      <w:r w:rsidR="00A332CF">
        <w:t xml:space="preserve">, </w:t>
      </w:r>
      <w:r w:rsidR="00FD1E19">
        <w:t xml:space="preserve">sub-Saharan Africa Central has the most limited evidence base with data </w:t>
      </w:r>
      <w:r w:rsidR="00782CF8">
        <w:t xml:space="preserve">on only </w:t>
      </w:r>
      <w:r w:rsidR="00FD1E19">
        <w:t xml:space="preserve">27 causes from at least one country.  </w:t>
      </w:r>
    </w:p>
    <w:p w:rsidR="009F03E5" w:rsidRDefault="009F03E5" w:rsidP="009F03E5">
      <w:pPr>
        <w:pStyle w:val="Heading3"/>
      </w:pPr>
      <w:r>
        <w:t>Vital registration with medical certification of causes of death</w:t>
      </w:r>
      <w:r w:rsidR="000F6105">
        <w:t xml:space="preserve"> </w:t>
      </w:r>
    </w:p>
    <w:p w:rsidR="000F6105" w:rsidRPr="00D1731A" w:rsidRDefault="000F6105" w:rsidP="000F6105">
      <w:pPr>
        <w:rPr>
          <w:i/>
        </w:rPr>
      </w:pPr>
      <w:r w:rsidRPr="000F6105">
        <w:t xml:space="preserve">We have identified </w:t>
      </w:r>
      <w:r w:rsidR="00D1731A">
        <w:t>2,7</w:t>
      </w:r>
      <w:r w:rsidR="00C0297D">
        <w:t>98</w:t>
      </w:r>
      <w:r w:rsidRPr="000F6105">
        <w:t xml:space="preserve"> </w:t>
      </w:r>
      <w:r w:rsidR="0092340F">
        <w:t>site</w:t>
      </w:r>
      <w:r w:rsidRPr="000F6105">
        <w:t xml:space="preserve">-years of </w:t>
      </w:r>
      <w:r w:rsidR="00072C4C">
        <w:t>vital registration (</w:t>
      </w:r>
      <w:r w:rsidRPr="000F6105">
        <w:t>VR</w:t>
      </w:r>
      <w:r w:rsidR="00072C4C">
        <w:t>)</w:t>
      </w:r>
      <w:r w:rsidR="0092340F">
        <w:t xml:space="preserve"> data from 130</w:t>
      </w:r>
      <w:r w:rsidRPr="000F6105">
        <w:t xml:space="preserve"> countries over the period </w:t>
      </w:r>
      <w:r w:rsidR="0092340F">
        <w:t>1980 to 2010.</w:t>
      </w:r>
      <w:r w:rsidR="00C47B5C">
        <w:t xml:space="preserve"> </w:t>
      </w:r>
      <w:r w:rsidR="0092340F">
        <w:t>3% of the site</w:t>
      </w:r>
      <w:r w:rsidRPr="000F6105">
        <w:t>-</w:t>
      </w:r>
      <w:r w:rsidR="0092340F">
        <w:t>years were cod</w:t>
      </w:r>
      <w:r w:rsidR="00470B4E">
        <w:t xml:space="preserve">ed using </w:t>
      </w:r>
      <w:r w:rsidR="00392C8F">
        <w:t>ICD</w:t>
      </w:r>
      <w:r w:rsidR="00470B4E">
        <w:t>8, 4</w:t>
      </w:r>
      <w:r w:rsidR="00C0297D">
        <w:t>4</w:t>
      </w:r>
      <w:r w:rsidR="00392C8F">
        <w:t>% using ICD</w:t>
      </w:r>
      <w:r w:rsidR="00470B4E">
        <w:t xml:space="preserve">9, </w:t>
      </w:r>
      <w:r w:rsidR="00C0297D">
        <w:t>40</w:t>
      </w:r>
      <w:r w:rsidR="00392C8F">
        <w:t>% using ICD</w:t>
      </w:r>
      <w:r w:rsidRPr="000F6105">
        <w:t>10</w:t>
      </w:r>
      <w:r w:rsidR="00A11B72">
        <w:t>, 1</w:t>
      </w:r>
      <w:r w:rsidR="00C0297D">
        <w:t>2</w:t>
      </w:r>
      <w:r w:rsidR="00470B4E">
        <w:t>% use country-specific tabulations</w:t>
      </w:r>
      <w:r w:rsidR="00A11B72">
        <w:t xml:space="preserve"> of ICD8, ICD9 and ICD10, and </w:t>
      </w:r>
      <w:r w:rsidR="00C0297D">
        <w:t>1</w:t>
      </w:r>
      <w:r w:rsidR="00470B4E">
        <w:t>% use non-ICD tabulations</w:t>
      </w:r>
      <w:r w:rsidRPr="000F6105">
        <w:t>.</w:t>
      </w:r>
      <w:r w:rsidR="00C47B5C">
        <w:t xml:space="preserve"> </w:t>
      </w:r>
      <w:r w:rsidRPr="000F6105">
        <w:t>In addition, there is country to country variation in the detail used to report causes of death included in national reporting lists, namely the basic tabulation list for I</w:t>
      </w:r>
      <w:r w:rsidR="00782CF8">
        <w:t>CD9, the ICD10 tabulation list, three digit and four</w:t>
      </w:r>
      <w:r w:rsidRPr="000F6105">
        <w:t xml:space="preserve"> digit detail</w:t>
      </w:r>
      <w:r w:rsidR="00F72E51">
        <w:t>,</w:t>
      </w:r>
      <w:r w:rsidRPr="000F6105">
        <w:t xml:space="preserve"> and special reporting lists.</w:t>
      </w:r>
      <w:r w:rsidR="00C47B5C">
        <w:t xml:space="preserve"> </w:t>
      </w:r>
      <w:r w:rsidRPr="000F6105">
        <w:t xml:space="preserve">Overall, we identified </w:t>
      </w:r>
      <w:r w:rsidR="0092340F">
        <w:t>2</w:t>
      </w:r>
      <w:r w:rsidR="00735708">
        <w:t>5</w:t>
      </w:r>
      <w:r w:rsidR="003309B6" w:rsidRPr="000F6105">
        <w:t xml:space="preserve"> </w:t>
      </w:r>
      <w:r w:rsidRPr="000F6105">
        <w:t>variants of cause of death reporting lists in use from 1980 to 2010</w:t>
      </w:r>
      <w:r w:rsidR="00F0059A">
        <w:t xml:space="preserve"> across all sources of vital registration</w:t>
      </w:r>
      <w:r w:rsidRPr="000F6105">
        <w:t>.</w:t>
      </w:r>
      <w:r w:rsidR="00C47B5C">
        <w:t xml:space="preserve"> </w:t>
      </w:r>
    </w:p>
    <w:p w:rsidR="004E1D67" w:rsidRDefault="004E1D67" w:rsidP="004E1D67">
      <w:pPr>
        <w:pStyle w:val="Heading3"/>
      </w:pPr>
      <w:r>
        <w:t>Verbal autopsy data collected through sample registration systems, demographic surveillance systems</w:t>
      </w:r>
      <w:r w:rsidR="00782CF8">
        <w:t>,</w:t>
      </w:r>
      <w:r>
        <w:t xml:space="preserve"> or surveys</w:t>
      </w:r>
    </w:p>
    <w:p w:rsidR="004E1D67" w:rsidRDefault="00942245" w:rsidP="003551B0">
      <w:r w:rsidRPr="0038434F">
        <w:t xml:space="preserve">Verbal autopsy (VA) is a </w:t>
      </w:r>
      <w:r>
        <w:t>means for ascertaining the cause of death of individuals and the cause-specific mortality fraction</w:t>
      </w:r>
      <w:r w:rsidR="00066EB9">
        <w:t xml:space="preserve">s in </w:t>
      </w:r>
      <w:r w:rsidR="00EE4E10">
        <w:t>populations</w:t>
      </w:r>
      <w:r>
        <w:t xml:space="preserve"> with incomplete vital registration systems.</w:t>
      </w:r>
      <w:r w:rsidR="00C47B5C">
        <w:t xml:space="preserve"> </w:t>
      </w:r>
      <w:r>
        <w:t xml:space="preserve">A trained interviewer uses a structured questionnaire to ask about the signs, symptoms, and demographic characteristics of a recently deceased individual from the next of kin. </w:t>
      </w:r>
      <w:r w:rsidR="004E1D67">
        <w:t xml:space="preserve">We identified </w:t>
      </w:r>
      <w:r w:rsidR="007F57CA">
        <w:t>48</w:t>
      </w:r>
      <w:r w:rsidR="00C0297D">
        <w:t>6</w:t>
      </w:r>
      <w:r w:rsidR="004E1D67">
        <w:t xml:space="preserve"> </w:t>
      </w:r>
      <w:r w:rsidR="00472D5E">
        <w:t>site</w:t>
      </w:r>
      <w:r w:rsidR="004E1D67">
        <w:t xml:space="preserve">-years of published and unpublished </w:t>
      </w:r>
      <w:r w:rsidR="00782CF8">
        <w:t>VA</w:t>
      </w:r>
      <w:r w:rsidR="004E1D67">
        <w:t xml:space="preserve"> data</w:t>
      </w:r>
      <w:r w:rsidR="003A78BF">
        <w:t xml:space="preserve"> across 66 countries</w:t>
      </w:r>
      <w:r w:rsidR="007F57CA">
        <w:t>, of which 10</w:t>
      </w:r>
      <w:r w:rsidR="00BD0311">
        <w:t>% were nationally representative</w:t>
      </w:r>
      <w:r w:rsidR="004E1D67">
        <w:t>.</w:t>
      </w:r>
      <w:r w:rsidR="00C47B5C">
        <w:t xml:space="preserve"> </w:t>
      </w:r>
      <w:r w:rsidR="00782CF8">
        <w:t>VA</w:t>
      </w:r>
      <w:r w:rsidR="004E1D67">
        <w:t xml:space="preserve"> data </w:t>
      </w:r>
      <w:r w:rsidR="00882D60">
        <w:t>are</w:t>
      </w:r>
      <w:r w:rsidR="004E1D67">
        <w:t xml:space="preserve"> highly heterogeneous: studies use different instruments, different cause lists from single causes to full ICD cause lists, different methods for assigning cause of death based on a completed VA, different recall periods</w:t>
      </w:r>
      <w:r w:rsidR="00782CF8">
        <w:t xml:space="preserve">, and different age </w:t>
      </w:r>
      <w:r w:rsidR="004E1D67">
        <w:t>groups</w:t>
      </w:r>
      <w:r w:rsidR="00045EE5">
        <w:t>, quite apart from cultural differences in the interpretation of specific questions.</w:t>
      </w:r>
      <w:r w:rsidR="00C47B5C">
        <w:t xml:space="preserve"> </w:t>
      </w:r>
      <w:r w:rsidR="00F330CC">
        <w:rPr>
          <w:b/>
        </w:rPr>
        <w:t>Web</w:t>
      </w:r>
      <w:r w:rsidR="00C33631" w:rsidRPr="00FA046B">
        <w:rPr>
          <w:b/>
        </w:rPr>
        <w:t xml:space="preserve"> </w:t>
      </w:r>
      <w:r w:rsidR="00A332CF">
        <w:rPr>
          <w:b/>
        </w:rPr>
        <w:t xml:space="preserve">Table </w:t>
      </w:r>
      <w:r w:rsidR="00F330CC">
        <w:rPr>
          <w:b/>
        </w:rPr>
        <w:t>2</w:t>
      </w:r>
      <w:r w:rsidR="00C33631">
        <w:t xml:space="preserve"> provides a full listing of the sources used for all </w:t>
      </w:r>
      <w:r w:rsidR="00782CF8">
        <w:t>VA</w:t>
      </w:r>
      <w:r w:rsidR="003A78BF">
        <w:t xml:space="preserve"> and non-VR</w:t>
      </w:r>
      <w:r w:rsidR="00C33631">
        <w:t xml:space="preserve"> data organized by country.</w:t>
      </w:r>
      <w:r w:rsidR="00C47B5C">
        <w:t xml:space="preserve"> </w:t>
      </w:r>
    </w:p>
    <w:p w:rsidR="0036480C" w:rsidRDefault="0036480C" w:rsidP="0036480C">
      <w:pPr>
        <w:pStyle w:val="Heading3"/>
      </w:pPr>
      <w:r>
        <w:t>Population-</w:t>
      </w:r>
      <w:r w:rsidR="008417B6">
        <w:t>b</w:t>
      </w:r>
      <w:r>
        <w:t xml:space="preserve">ased </w:t>
      </w:r>
      <w:r w:rsidR="008417B6">
        <w:t>c</w:t>
      </w:r>
      <w:r>
        <w:t xml:space="preserve">ancer </w:t>
      </w:r>
      <w:r w:rsidR="008417B6">
        <w:t>r</w:t>
      </w:r>
      <w:r>
        <w:t>egistries</w:t>
      </w:r>
    </w:p>
    <w:p w:rsidR="0036480C" w:rsidRDefault="0036480C" w:rsidP="0036480C">
      <w:r>
        <w:t>Population-based cancer registries provide an important source of data on incidence of cancers in various countries.</w:t>
      </w:r>
      <w:r w:rsidR="00C47B5C">
        <w:t xml:space="preserve"> </w:t>
      </w:r>
      <w:r w:rsidR="008F79E6">
        <w:t xml:space="preserve">We identified 2,715 site-years of cancer registry data across 93 countries. </w:t>
      </w:r>
      <w:r w:rsidR="00CA1D24">
        <w:t>Some</w:t>
      </w:r>
      <w:r w:rsidR="00F21020">
        <w:t xml:space="preserve"> </w:t>
      </w:r>
      <w:r>
        <w:t xml:space="preserve">registries also track </w:t>
      </w:r>
      <w:r w:rsidR="00CA1D24">
        <w:t xml:space="preserve">cancer </w:t>
      </w:r>
      <w:r>
        <w:t>mortality and provide plausible data on the mortality to incidence ratio by age, sex</w:t>
      </w:r>
      <w:r w:rsidR="00FA046B">
        <w:t>,</w:t>
      </w:r>
      <w:r>
        <w:t xml:space="preserve"> and site.</w:t>
      </w:r>
      <w:r w:rsidR="00C47B5C">
        <w:t xml:space="preserve"> </w:t>
      </w:r>
      <w:r>
        <w:t>Following the methods developed by F</w:t>
      </w:r>
      <w:r w:rsidR="00F21020">
        <w:t>o</w:t>
      </w:r>
      <w:r>
        <w:t>rouzanfar et al</w:t>
      </w:r>
      <w:r w:rsidR="004D036F">
        <w:t>,</w:t>
      </w:r>
      <w:r w:rsidR="00FD2A6F">
        <w:fldChar w:fldCharType="begin"/>
      </w:r>
      <w:r w:rsidR="00355799">
        <w:instrText xml:space="preserve"> ADDIN ZOTERO_ITEM CSL_CITATION {"citationID":"fLI3fekW","properties":{"formattedCitation":"{\\rtf \\super 31\\nosupersub{}}","plainCitation":"31"},"citationItems":[{"id":4725,"uris":["http://zotero.org/groups/21876/items/J6TQC6CQ"],"uri":["http://zotero.org/groups/21876/items/J6TQC6CQ"],"itemData":{"id":4725,"type":"article-journal","title":"Breast and cervical cancer in 187 countries between 1980 and 2010: a systematic analysis","container-title":"The Lancet","page":"1461-1484","volume":"378","issue":"9801","abstract":"SummaryBackground\nBreast and cervical cancer are important causes of mortality in women aged ≥15 years. We undertook annual age-specific assessments of breast and cervical cancer in 187 countries.\nMethods\nWe systematically collected cancer registry data on mortality and incidence, vital registration, and verbal autopsy data for the period 1980–2010. We modelled the mortality-to-incidence (MI) ratio using a hierarchical model. Vital registration and verbal autopsy were supplemented with incidence multiplied by the MI ratio to yield a comprehensive database of mortality rates. We used Gaussian process regression to develop estimates of mortality with uncertainty by age, sex, country, and year. We used out-of-sample predictive validity to select the final model. Estimates of incidence with uncertainty were also generated with mortality and MI ratios.\nFindings\nGlobal breast cancer incidence increased from 641 000 (95% uncertainty intervals 610 000–750 000) cases in 1980 to 1 643 000 (1 421 000–1 782 000) cases in 2010, an annual rate of increase of 3·1%. Global cervical cancer incidence increased from 378 000 (256 000–489 000) cases per year in 1980 to 454 000 (318 000–620 000) cases per year in 2010—a 0·6% annual rate of increase. Breast cancer killed 425 000 (359 000–453 000) women in 2010, of whom 68 000 (62 000–74 000) were aged 15–49 years in developing countries. Cervical cancer death rates have been decreasing but the disease still killed 200 000 (139 000–276 000) women in 2010, of whom 46 000 (33 000–64 000) were aged 15–49 years in developing countries. We recorded pronounced variation in the trend in breast cancer mortality across regions and countries.\nInterpretation\nMore policy attention is needed to strengthen established health-system responses to reduce breast and cervical cancer, especially in developing countries.\nFunding\nSusan G Komen for the Cure and the Bill &amp;amp; Melinda Gates Foundation.","DOI":"10.1016/S0140-6736(11)61351-2","call-number":"0018","shortTitle":"Breast and cervical cancer in 187 countries between 1980 and 2010","author":[{"family":"Forouzanfar","given":"Mohammad H"},{"family":"Foreman","given":"Kyle J"},{"family":"Delossantos","given":"Allyne M"},{"family":"Lozano","given":"Rafael"},{"family":"Lopez","given":"Alan D"},{"family":"Murray","given":"Christopher J L"},{"family":"Naghavi","given":"Mohsen"}],"issued":{"literal":"22"},"page-first":"1461"}}],"schema":"https://github.com/citation-style-language/schema/raw/master/csl-citation.json"} </w:instrText>
      </w:r>
      <w:r w:rsidR="00FD2A6F">
        <w:fldChar w:fldCharType="separate"/>
      </w:r>
      <w:r w:rsidR="00446C91" w:rsidRPr="00446C91">
        <w:rPr>
          <w:rFonts w:ascii="Calibri" w:hAnsi="Calibri" w:cs="Calibri"/>
          <w:szCs w:val="24"/>
          <w:vertAlign w:val="superscript"/>
        </w:rPr>
        <w:t>31</w:t>
      </w:r>
      <w:r w:rsidR="00FD2A6F">
        <w:fldChar w:fldCharType="end"/>
      </w:r>
      <w:r w:rsidR="00C47B5C">
        <w:t xml:space="preserve"> </w:t>
      </w:r>
      <w:r>
        <w:t xml:space="preserve">we have </w:t>
      </w:r>
      <w:r w:rsidR="0090744E">
        <w:t xml:space="preserve">developed estimated </w:t>
      </w:r>
      <w:r w:rsidR="0052489C">
        <w:t>mortality</w:t>
      </w:r>
      <w:r w:rsidR="0090744E">
        <w:t xml:space="preserve"> to incidence</w:t>
      </w:r>
      <w:r w:rsidR="00882D60">
        <w:t xml:space="preserve"> (MI)</w:t>
      </w:r>
      <w:r w:rsidR="0090744E">
        <w:t xml:space="preserve"> ratios for all major cancers by age, sex</w:t>
      </w:r>
      <w:r w:rsidR="00A91AB9">
        <w:t>,</w:t>
      </w:r>
      <w:r w:rsidR="0090744E">
        <w:t xml:space="preserve"> and country.</w:t>
      </w:r>
      <w:r w:rsidR="00C47B5C">
        <w:t xml:space="preserve"> </w:t>
      </w:r>
      <w:r w:rsidR="00300C67">
        <w:t xml:space="preserve">The log of the MI ratio has been estimated as a function </w:t>
      </w:r>
      <w:r w:rsidR="00C26B65">
        <w:t>of</w:t>
      </w:r>
      <w:r w:rsidR="00C26B65" w:rsidRPr="00C26B65">
        <w:t xml:space="preserve"> national income per capita with random effects for country, year, and age</w:t>
      </w:r>
      <w:r w:rsidR="00C26B65">
        <w:rPr>
          <w:color w:val="1F497D"/>
        </w:rPr>
        <w:t xml:space="preserve">. </w:t>
      </w:r>
      <w:r w:rsidR="00F4185B">
        <w:t>The</w:t>
      </w:r>
      <w:r w:rsidR="0090744E">
        <w:t xml:space="preserve"> estimated </w:t>
      </w:r>
      <w:r w:rsidR="0052489C">
        <w:t>mortality</w:t>
      </w:r>
      <w:r w:rsidR="0090744E">
        <w:t xml:space="preserve"> to incidence ratios have been used to </w:t>
      </w:r>
      <w:r>
        <w:t xml:space="preserve">map cancer registry data </w:t>
      </w:r>
      <w:r w:rsidR="0090744E">
        <w:t xml:space="preserve">on incidence </w:t>
      </w:r>
      <w:r>
        <w:t>to expected deaths</w:t>
      </w:r>
      <w:r w:rsidR="0090744E">
        <w:t xml:space="preserve"> which have </w:t>
      </w:r>
      <w:r>
        <w:t>been incorporated into the database.</w:t>
      </w:r>
      <w:r w:rsidR="00C47B5C">
        <w:t xml:space="preserve"> </w:t>
      </w:r>
      <w:r w:rsidR="00782CF8">
        <w:t>MI</w:t>
      </w:r>
      <w:r w:rsidR="0052489C">
        <w:t xml:space="preserve"> ratios by country</w:t>
      </w:r>
      <w:r w:rsidR="00A91AB9">
        <w:t>,</w:t>
      </w:r>
      <w:r w:rsidR="0052489C">
        <w:t xml:space="preserve"> age</w:t>
      </w:r>
      <w:r w:rsidR="00A91AB9">
        <w:t>,</w:t>
      </w:r>
      <w:r w:rsidR="0052489C">
        <w:t xml:space="preserve"> and sex are available on </w:t>
      </w:r>
      <w:r w:rsidR="00704560">
        <w:t>request</w:t>
      </w:r>
      <w:r w:rsidR="0052489C">
        <w:t xml:space="preserve">. </w:t>
      </w:r>
    </w:p>
    <w:p w:rsidR="0036480C" w:rsidRDefault="0036480C" w:rsidP="0036480C">
      <w:pPr>
        <w:pStyle w:val="Heading3"/>
      </w:pPr>
      <w:r>
        <w:lastRenderedPageBreak/>
        <w:t xml:space="preserve">Police reports </w:t>
      </w:r>
    </w:p>
    <w:p w:rsidR="0036480C" w:rsidRDefault="001A7150" w:rsidP="0036480C">
      <w:r w:rsidRPr="001A7150">
        <w:t xml:space="preserve">In most countries, police and crime reports are an important source of information for some types of injuries, </w:t>
      </w:r>
      <w:r w:rsidR="00D20B0B" w:rsidRPr="001A7150">
        <w:t>notably road</w:t>
      </w:r>
      <w:r w:rsidRPr="001A7150">
        <w:t xml:space="preserve"> injuries and inter-personal violence</w:t>
      </w:r>
      <w:r w:rsidR="000F6105">
        <w:t xml:space="preserve">. </w:t>
      </w:r>
      <w:r w:rsidR="000F6105" w:rsidRPr="00FA046B">
        <w:t xml:space="preserve">The police reports used in </w:t>
      </w:r>
      <w:r w:rsidR="00072C4C">
        <w:t xml:space="preserve">this </w:t>
      </w:r>
      <w:r w:rsidR="000F6105" w:rsidRPr="00FA046B">
        <w:t xml:space="preserve">analysis were collected from published </w:t>
      </w:r>
      <w:r w:rsidR="00300C67">
        <w:t>studies</w:t>
      </w:r>
      <w:r w:rsidR="000F6105" w:rsidRPr="00FA046B">
        <w:t xml:space="preserve">, national agencies, and </w:t>
      </w:r>
      <w:r w:rsidR="003A78BF" w:rsidRPr="00FA046B">
        <w:t>institutional surveys</w:t>
      </w:r>
      <w:r w:rsidR="00162D5B" w:rsidRPr="00FA046B">
        <w:t xml:space="preserve"> such as </w:t>
      </w:r>
      <w:r w:rsidR="003A78BF" w:rsidRPr="00FA046B">
        <w:t>the United Nations Crime Trends survey</w:t>
      </w:r>
      <w:r w:rsidR="00162D5B" w:rsidRPr="00FA046B">
        <w:t xml:space="preserve"> and</w:t>
      </w:r>
      <w:r w:rsidR="003A78BF" w:rsidRPr="00FA046B">
        <w:t xml:space="preserve"> the WHO Global Status Report on Road Safety Survey</w:t>
      </w:r>
      <w:r w:rsidR="000F6105" w:rsidRPr="00FA046B">
        <w:t>.</w:t>
      </w:r>
      <w:r w:rsidR="00FD2A6F">
        <w:fldChar w:fldCharType="begin"/>
      </w:r>
      <w:r w:rsidR="00355799">
        <w:instrText xml:space="preserve"> ADDIN ZOTERO_ITEM CSL_CITATION {"citationID":"1t7v72hvu3","properties":{"formattedCitation":"{\\rtf \\super 30,41\\nosupersub{}}","plainCitation":"30,41"},"citationItems":[{"id":4593,"uris":["http://zotero.org/groups/21876/items/IMX73KFZ"],"uri":["http://zotero.org/groups/21876/items/IMX73KFZ"],"itemData":{"id":4593,"type":"report","title":"Global status report on road safety 2009","URL":"http://whqlibdoc.who.int/publications/2009/9789241563840_eng.pdf","author":[{"family":"World Health Organization","given":""}],"issued":{"year":2009},"accessed":{"year":2012,"month":6,"day":29}},"label":"page"},{"id":5242,"uris":["http://zotero.org/groups/21876/items/M38HI7TJ"],"uri":["http://zotero.org/groups/21876/items/M38HI7TJ"],"itemData":{"id":5242,"type":"webpage","title":"United Nations Surveys on Crime Trends and the Operations of Criminal Justice Systems","URL":"http://www.unodc.org/unodc/en/data-and-analysis/United-Nations-Surveys-on-Crime-Trends-and-the-Operations-of-Criminal-Justice-Systems.html"},"label":"page"}],"schema":"https://github.com/citation-style-language/schema/raw/master/csl-citation.json"} </w:instrText>
      </w:r>
      <w:r w:rsidR="00FD2A6F">
        <w:fldChar w:fldCharType="separate"/>
      </w:r>
      <w:r w:rsidR="00406C17" w:rsidRPr="00406C17">
        <w:rPr>
          <w:rFonts w:ascii="Calibri" w:hAnsi="Calibri" w:cs="Calibri"/>
          <w:szCs w:val="24"/>
          <w:vertAlign w:val="superscript"/>
        </w:rPr>
        <w:t>30,41</w:t>
      </w:r>
      <w:r w:rsidR="00FD2A6F">
        <w:fldChar w:fldCharType="end"/>
      </w:r>
      <w:r w:rsidR="00C47B5C">
        <w:t xml:space="preserve"> </w:t>
      </w:r>
      <w:r w:rsidR="00300C67">
        <w:t xml:space="preserve">By comparing to other sources such as </w:t>
      </w:r>
      <w:r w:rsidR="00782CF8">
        <w:t>VR</w:t>
      </w:r>
      <w:r w:rsidR="00300C67">
        <w:t xml:space="preserve"> data, we have evaluated whether police reports are likely to be complete and cover the entire country.</w:t>
      </w:r>
      <w:r w:rsidR="00C47B5C">
        <w:t xml:space="preserve"> </w:t>
      </w:r>
      <w:r w:rsidR="00300C67">
        <w:t>I</w:t>
      </w:r>
      <w:r w:rsidR="0092340F">
        <w:t xml:space="preserve">n total, we </w:t>
      </w:r>
      <w:r w:rsidR="007F2B6F">
        <w:t>included in the analysis</w:t>
      </w:r>
      <w:r w:rsidR="0092340F">
        <w:t xml:space="preserve"> </w:t>
      </w:r>
      <w:r w:rsidR="007F57CA">
        <w:t>1,129</w:t>
      </w:r>
      <w:r w:rsidR="00D10C6C">
        <w:t xml:space="preserve"> </w:t>
      </w:r>
      <w:r w:rsidR="0092340F">
        <w:t>site</w:t>
      </w:r>
      <w:r w:rsidR="000F6105">
        <w:t xml:space="preserve">-years of police reports from </w:t>
      </w:r>
      <w:r w:rsidR="009F0067">
        <w:t>12</w:t>
      </w:r>
      <w:r w:rsidR="00D10C6C">
        <w:t>2</w:t>
      </w:r>
      <w:r w:rsidR="009F0067">
        <w:t xml:space="preserve"> </w:t>
      </w:r>
      <w:r w:rsidR="000F6105">
        <w:t>count</w:t>
      </w:r>
      <w:r>
        <w:t>r</w:t>
      </w:r>
      <w:r w:rsidR="000F6105">
        <w:t>ies from 1980 to 2010</w:t>
      </w:r>
      <w:r w:rsidR="00C10E9A">
        <w:t xml:space="preserve"> that met our criteria</w:t>
      </w:r>
      <w:r w:rsidR="000F6105">
        <w:t>.</w:t>
      </w:r>
      <w:r w:rsidR="00C47B5C">
        <w:t xml:space="preserve"> </w:t>
      </w:r>
    </w:p>
    <w:p w:rsidR="0036480C" w:rsidRDefault="0036480C" w:rsidP="0036480C">
      <w:pPr>
        <w:pStyle w:val="Heading3"/>
      </w:pPr>
      <w:r>
        <w:t xml:space="preserve">Burial site and mortuary data </w:t>
      </w:r>
    </w:p>
    <w:p w:rsidR="00D05EE0" w:rsidRDefault="00D05EE0" w:rsidP="00D05EE0">
      <w:r>
        <w:t xml:space="preserve">We </w:t>
      </w:r>
      <w:r w:rsidR="00072C4C">
        <w:t xml:space="preserve">identified </w:t>
      </w:r>
      <w:r w:rsidR="00423F34">
        <w:t>32</w:t>
      </w:r>
      <w:r w:rsidR="0029037A">
        <w:t xml:space="preserve"> site-</w:t>
      </w:r>
      <w:r>
        <w:t xml:space="preserve">years of burial and mortuary data </w:t>
      </w:r>
      <w:r w:rsidR="0090744E">
        <w:t xml:space="preserve">in 11 countries </w:t>
      </w:r>
      <w:r>
        <w:t xml:space="preserve">from </w:t>
      </w:r>
      <w:r w:rsidR="00711EEC">
        <w:t>ministries of health</w:t>
      </w:r>
      <w:r>
        <w:t xml:space="preserve">, published reports, and </w:t>
      </w:r>
      <w:r w:rsidR="0090744E">
        <w:t xml:space="preserve">mortuaries </w:t>
      </w:r>
      <w:r>
        <w:t>themselves.</w:t>
      </w:r>
      <w:r w:rsidR="0090744E">
        <w:t xml:space="preserve"> </w:t>
      </w:r>
      <w:r>
        <w:t xml:space="preserve">Because of known bias in the epidemiological </w:t>
      </w:r>
      <w:r w:rsidR="00072C4C">
        <w:t xml:space="preserve">composition </w:t>
      </w:r>
      <w:r>
        <w:t xml:space="preserve">of </w:t>
      </w:r>
      <w:r w:rsidR="00246E9F">
        <w:t>burial and mortuary</w:t>
      </w:r>
      <w:r w:rsidR="00300C67">
        <w:t xml:space="preserve"> data, we only</w:t>
      </w:r>
      <w:r w:rsidR="00C10E9A">
        <w:t xml:space="preserve"> use</w:t>
      </w:r>
      <w:r w:rsidR="00300C67">
        <w:t xml:space="preserve"> </w:t>
      </w:r>
      <w:r w:rsidR="00882D60">
        <w:t xml:space="preserve">information on </w:t>
      </w:r>
      <w:r w:rsidR="00300C67">
        <w:t>the fraction of injuries due to specific sub-causes</w:t>
      </w:r>
      <w:r w:rsidR="00895D5A">
        <w:t xml:space="preserve"> </w:t>
      </w:r>
      <w:r>
        <w:t>from these sources.</w:t>
      </w:r>
      <w:r w:rsidR="001621F6">
        <w:t xml:space="preserve"> </w:t>
      </w:r>
      <w:r w:rsidR="00CB7F3A">
        <w:t xml:space="preserve">These </w:t>
      </w:r>
      <w:r w:rsidR="00882D60">
        <w:t xml:space="preserve">proportionate </w:t>
      </w:r>
      <w:r w:rsidR="00CB7F3A">
        <w:t>fractions of injury</w:t>
      </w:r>
      <w:r w:rsidR="00895D5A">
        <w:t xml:space="preserve"> deaths due to specific causes </w:t>
      </w:r>
      <w:r w:rsidR="00CB7F3A">
        <w:t>are transformed into fractions of all causes by multiplying by the fraction of all deaths due to injuries estimated from a model for all injuries</w:t>
      </w:r>
      <w:r w:rsidR="0078003E">
        <w:t xml:space="preserve"> (see CODEm modeling description below)</w:t>
      </w:r>
      <w:r w:rsidR="00CB7F3A">
        <w:t>.</w:t>
      </w:r>
      <w:r w:rsidR="001621F6">
        <w:t xml:space="preserve"> </w:t>
      </w:r>
    </w:p>
    <w:p w:rsidR="0036480C" w:rsidRDefault="0036480C" w:rsidP="0036480C">
      <w:pPr>
        <w:pStyle w:val="Heading3"/>
      </w:pPr>
      <w:r>
        <w:t xml:space="preserve">Survey and census data on pregnancy related deaths </w:t>
      </w:r>
      <w:r w:rsidR="00E06152">
        <w:t>and on injury mortality</w:t>
      </w:r>
    </w:p>
    <w:p w:rsidR="0008164F" w:rsidRDefault="0036480C" w:rsidP="0008164F">
      <w:r>
        <w:t>Multiple demographic and health surveys, other surveys</w:t>
      </w:r>
      <w:r w:rsidR="00B80775">
        <w:t>,</w:t>
      </w:r>
      <w:r>
        <w:t xml:space="preserve"> and censuses provide data on the fraction of</w:t>
      </w:r>
      <w:r w:rsidR="0078003E">
        <w:t xml:space="preserve"> deaths in the reproductive age </w:t>
      </w:r>
      <w:r>
        <w:t>groups that are pregnancy-related.</w:t>
      </w:r>
      <w:r w:rsidR="00C47B5C">
        <w:t xml:space="preserve"> </w:t>
      </w:r>
      <w:r>
        <w:t>W</w:t>
      </w:r>
      <w:r w:rsidR="000F6105">
        <w:t xml:space="preserve">e identified </w:t>
      </w:r>
      <w:r w:rsidR="00887F94">
        <w:t>1,557</w:t>
      </w:r>
      <w:r w:rsidR="00314D49">
        <w:t xml:space="preserve"> surveys </w:t>
      </w:r>
      <w:r w:rsidR="00FD1E19">
        <w:t xml:space="preserve">years </w:t>
      </w:r>
      <w:r w:rsidR="00314D49">
        <w:t xml:space="preserve">with sibling history data, and a further </w:t>
      </w:r>
      <w:r w:rsidR="00887F94">
        <w:t>52</w:t>
      </w:r>
      <w:r w:rsidR="009A6813">
        <w:t xml:space="preserve"> </w:t>
      </w:r>
      <w:r w:rsidR="009C6F83">
        <w:t>household survey</w:t>
      </w:r>
      <w:r>
        <w:t>/census years of da</w:t>
      </w:r>
      <w:r w:rsidR="000F6105">
        <w:t xml:space="preserve">ta covering </w:t>
      </w:r>
      <w:r w:rsidR="00887F94">
        <w:t>61</w:t>
      </w:r>
      <w:r>
        <w:t xml:space="preserve"> countries.</w:t>
      </w:r>
      <w:r w:rsidR="00C47B5C">
        <w:t xml:space="preserve"> </w:t>
      </w:r>
      <w:r w:rsidR="00887F94">
        <w:t>We also identified 52</w:t>
      </w:r>
      <w:r w:rsidR="00987764">
        <w:t xml:space="preserve"> survey</w:t>
      </w:r>
      <w:r w:rsidR="00A91AB9">
        <w:t>s</w:t>
      </w:r>
      <w:r w:rsidR="00987764">
        <w:t>/censuses covering i</w:t>
      </w:r>
      <w:r w:rsidR="0078003E">
        <w:t>njury mortality across 65 survey/census</w:t>
      </w:r>
      <w:r w:rsidR="00987764">
        <w:t xml:space="preserve"> years.</w:t>
      </w:r>
      <w:r w:rsidR="00C47B5C">
        <w:t xml:space="preserve"> </w:t>
      </w:r>
    </w:p>
    <w:p w:rsidR="0036480C" w:rsidRDefault="0036480C" w:rsidP="0036480C">
      <w:pPr>
        <w:pStyle w:val="Heading3"/>
      </w:pPr>
      <w:r>
        <w:t>Maternal mortality surveillance systems</w:t>
      </w:r>
    </w:p>
    <w:p w:rsidR="007152E8" w:rsidRDefault="007152E8" w:rsidP="007152E8">
      <w:r>
        <w:t xml:space="preserve">We identified </w:t>
      </w:r>
      <w:r w:rsidR="00A91AB9">
        <w:t>eight</w:t>
      </w:r>
      <w:r>
        <w:t xml:space="preserve"> countries with nationally representative maternal mortality </w:t>
      </w:r>
      <w:r w:rsidR="008F105F">
        <w:t>surveillance systems covering 83</w:t>
      </w:r>
      <w:r w:rsidR="009A6813">
        <w:t xml:space="preserve"> </w:t>
      </w:r>
      <w:r w:rsidR="002A4EBA">
        <w:t>site</w:t>
      </w:r>
      <w:r>
        <w:t>-years</w:t>
      </w:r>
      <w:r w:rsidR="009A6813">
        <w:t xml:space="preserve"> and </w:t>
      </w:r>
      <w:r w:rsidR="00A91AB9">
        <w:t>five</w:t>
      </w:r>
      <w:r w:rsidR="009A6813">
        <w:t xml:space="preserve"> GBD regions</w:t>
      </w:r>
      <w:r>
        <w:t>. Some surveillance systems were based on prospective verbal autopsy.</w:t>
      </w:r>
      <w:r w:rsidR="001621F6">
        <w:t xml:space="preserve"> </w:t>
      </w:r>
      <w:r w:rsidR="00CB7F3A">
        <w:t>Surveillance data on the number of maternal deaths, or the maternal mortality ratio multiplied by births, were converted into cause fractions by dividing by the total number of deaths es</w:t>
      </w:r>
      <w:r w:rsidR="0078003E">
        <w:t xml:space="preserve">timated in the reproductive age </w:t>
      </w:r>
      <w:r w:rsidR="00CB7F3A">
        <w:t>groups.</w:t>
      </w:r>
      <w:r w:rsidR="001621F6">
        <w:t xml:space="preserve"> </w:t>
      </w:r>
    </w:p>
    <w:p w:rsidR="0036480C" w:rsidRDefault="00E06152" w:rsidP="0036480C">
      <w:pPr>
        <w:pStyle w:val="Heading3"/>
      </w:pPr>
      <w:r>
        <w:t xml:space="preserve">Health </w:t>
      </w:r>
      <w:r w:rsidR="008417B6">
        <w:t>f</w:t>
      </w:r>
      <w:r>
        <w:t xml:space="preserve">acility </w:t>
      </w:r>
      <w:r w:rsidR="008417B6">
        <w:t>d</w:t>
      </w:r>
      <w:r>
        <w:t>ata</w:t>
      </w:r>
    </w:p>
    <w:p w:rsidR="00557D62" w:rsidRDefault="00CB7F3A" w:rsidP="0036480C">
      <w:r>
        <w:t xml:space="preserve">We included in addition </w:t>
      </w:r>
      <w:r w:rsidR="009A6813">
        <w:t>2</w:t>
      </w:r>
      <w:r w:rsidR="005850BA">
        <w:t>1</w:t>
      </w:r>
      <w:r w:rsidR="00557D62">
        <w:t xml:space="preserve"> </w:t>
      </w:r>
      <w:r w:rsidR="002A4EBA">
        <w:t>site</w:t>
      </w:r>
      <w:r w:rsidR="00557D62">
        <w:t>-years of data</w:t>
      </w:r>
      <w:r w:rsidR="009A6813">
        <w:t xml:space="preserve"> </w:t>
      </w:r>
      <w:r w:rsidR="00882D60">
        <w:t>based on</w:t>
      </w:r>
      <w:r w:rsidR="009A6813">
        <w:t xml:space="preserve"> </w:t>
      </w:r>
      <w:r>
        <w:t>deaths in health facilities.</w:t>
      </w:r>
      <w:r w:rsidR="001621F6">
        <w:t xml:space="preserve"> </w:t>
      </w:r>
      <w:r w:rsidR="00072C4C">
        <w:t xml:space="preserve">However, we </w:t>
      </w:r>
      <w:r w:rsidR="009A6813">
        <w:t>chose to only</w:t>
      </w:r>
      <w:r w:rsidR="00557D62">
        <w:t xml:space="preserve"> incorporate deaths due to injury</w:t>
      </w:r>
      <w:r w:rsidR="00882D60">
        <w:t xml:space="preserve"> from this source</w:t>
      </w:r>
      <w:r w:rsidR="00555016">
        <w:t xml:space="preserve"> because of </w:t>
      </w:r>
      <w:r w:rsidR="009A6813">
        <w:t>known bias</w:t>
      </w:r>
      <w:r w:rsidR="00557D62">
        <w:t>.</w:t>
      </w:r>
      <w:r w:rsidR="001621F6">
        <w:t xml:space="preserve"> </w:t>
      </w:r>
      <w:r>
        <w:t>Data were adjusted for bias using a</w:t>
      </w:r>
      <w:r w:rsidR="00882D60">
        <w:t xml:space="preserve"> revised </w:t>
      </w:r>
      <w:r>
        <w:t xml:space="preserve"> version of the hospital adjustment method which uses more data and is more consistent with the GBD cause list developed by Murray et al. 2007.</w:t>
      </w:r>
      <w:r>
        <w:fldChar w:fldCharType="begin"/>
      </w:r>
      <w:r w:rsidR="00355799">
        <w:instrText xml:space="preserve"> ADDIN ZOTERO_ITEM CSL_CITATION {"citationID":"IuaiLoNM","properties":{"formattedCitation":"{\\rtf \\super 42\\nosupersub{}}","plainCitation":"42"},"citationItems":[{"id":7446,"uris":["http://zotero.org/groups/21876/items/U6TPUEKJ"],"uri":["http://zotero.org/groups/21876/items/U6TPUEKJ"],"itemData":{"id":7446,"type":"article-journal","title":"Estimating Population Cause-Specific Mortality Fractions from in-Hospital Mortality: Validation of a New Method","container-title":"PLoS Med","page":"e326","volume":"4","issue":"11","abstract":"Working in Mexico and using vital registration data, Chris Murray and colleagues achieved encouraging results with a new method to estimate population cause-specific mortality fractions.","DOI":"10.1371/journal.pmed.0040326","shortTitle":"Estimating Population Cause-Specific Mortality Fractions from in-Hospital Mortality","journalAbbreviation":"PLoS Med","author":[{"family":"Murray","given":"Christopher J. L"},{"family":"Lopez","given":"Alan D"},{"family":"Barofsky","given":"Jeremy T"},{"family":"Bryson-Cahn","given":"Chloe"},{"family":"Lozano","given":"Rafael"}],"issued":{"year":2007,"month":11,"day":20},"accessed":{"year":2012,"month":7,"day":10},"page-first":"e326"}}],"schema":"https://github.com/citation-style-language/schema/raw/master/csl-citation.json"} </w:instrText>
      </w:r>
      <w:r>
        <w:fldChar w:fldCharType="separate"/>
      </w:r>
      <w:r w:rsidR="00406C17" w:rsidRPr="00406C17">
        <w:rPr>
          <w:rFonts w:ascii="Calibri" w:hAnsi="Calibri" w:cs="Calibri"/>
          <w:szCs w:val="24"/>
          <w:vertAlign w:val="superscript"/>
        </w:rPr>
        <w:t>42</w:t>
      </w:r>
      <w:r>
        <w:fldChar w:fldCharType="end"/>
      </w:r>
      <w:r w:rsidR="001621F6">
        <w:t xml:space="preserve"> </w:t>
      </w:r>
      <w:r w:rsidR="005E5D5E">
        <w:t xml:space="preserve">This method attempts to correct for selection bias in the deaths that occur in hospital.  </w:t>
      </w:r>
      <w:r>
        <w:t>Finally, we use only the fraction of injur</w:t>
      </w:r>
      <w:r w:rsidR="008D2846">
        <w:t>y deaths</w:t>
      </w:r>
      <w:r>
        <w:t xml:space="preserve"> due to specific injuries from these sources and convert them to fractions of deaths from all causes following the method described for burial and mortuary data. </w:t>
      </w:r>
    </w:p>
    <w:p w:rsidR="006D4FEF" w:rsidRDefault="006D4FEF" w:rsidP="006D4FEF">
      <w:pPr>
        <w:pStyle w:val="Heading2"/>
      </w:pPr>
      <w:r>
        <w:t xml:space="preserve">Assessing and </w:t>
      </w:r>
      <w:r w:rsidR="008417B6">
        <w:t>e</w:t>
      </w:r>
      <w:r>
        <w:t xml:space="preserve">nhancing </w:t>
      </w:r>
      <w:r w:rsidR="008417B6">
        <w:t>d</w:t>
      </w:r>
      <w:r>
        <w:t xml:space="preserve">ata </w:t>
      </w:r>
      <w:r w:rsidR="008417B6">
        <w:t>q</w:t>
      </w:r>
      <w:r>
        <w:t xml:space="preserve">uality and </w:t>
      </w:r>
      <w:r w:rsidR="008417B6">
        <w:t>c</w:t>
      </w:r>
      <w:r>
        <w:t>omparability</w:t>
      </w:r>
    </w:p>
    <w:p w:rsidR="006D4FEF" w:rsidRDefault="006D4FEF" w:rsidP="006D4FEF">
      <w:r>
        <w:t xml:space="preserve">Data quality was assessed and enhanced following </w:t>
      </w:r>
      <w:r w:rsidR="003B67A7">
        <w:t>six</w:t>
      </w:r>
      <w:r>
        <w:t xml:space="preserve"> steps which are outlined in more detail below.</w:t>
      </w:r>
      <w:r w:rsidR="00C47B5C">
        <w:t xml:space="preserve"> </w:t>
      </w:r>
    </w:p>
    <w:p w:rsidR="00BB2C4C" w:rsidRDefault="008417B6" w:rsidP="008417B6">
      <w:pPr>
        <w:pStyle w:val="Heading3"/>
        <w:ind w:left="360"/>
      </w:pPr>
      <w:r>
        <w:lastRenderedPageBreak/>
        <w:t xml:space="preserve">Step 1. </w:t>
      </w:r>
      <w:r w:rsidR="00BB2C4C">
        <w:t xml:space="preserve">Assessing </w:t>
      </w:r>
      <w:r>
        <w:t>c</w:t>
      </w:r>
      <w:r w:rsidR="00BB2C4C">
        <w:t xml:space="preserve">ompleteness of </w:t>
      </w:r>
      <w:r>
        <w:t>d</w:t>
      </w:r>
      <w:r w:rsidR="00BB2C4C">
        <w:t xml:space="preserve">eath </w:t>
      </w:r>
      <w:r>
        <w:t>r</w:t>
      </w:r>
      <w:r w:rsidR="00BB2C4C">
        <w:t xml:space="preserve">ecording in </w:t>
      </w:r>
      <w:r>
        <w:t>e</w:t>
      </w:r>
      <w:r w:rsidR="00BB2C4C">
        <w:t xml:space="preserve">ach </w:t>
      </w:r>
      <w:r>
        <w:t>s</w:t>
      </w:r>
      <w:r w:rsidR="00BB2C4C">
        <w:t>ource</w:t>
      </w:r>
    </w:p>
    <w:p w:rsidR="00472D5E" w:rsidRDefault="00BB2C4C" w:rsidP="00BB2C4C">
      <w:r>
        <w:t>In settings w</w:t>
      </w:r>
      <w:r w:rsidR="00B80775">
        <w:t xml:space="preserve">here a data source </w:t>
      </w:r>
      <w:r w:rsidR="00072C4C">
        <w:t>does not capture</w:t>
      </w:r>
      <w:r>
        <w:t xml:space="preserve"> all deaths in a population, the cause composition of deaths captured may be different than those </w:t>
      </w:r>
      <w:r w:rsidR="00072C4C">
        <w:t xml:space="preserve">that are </w:t>
      </w:r>
      <w:r>
        <w:t>not.</w:t>
      </w:r>
      <w:r w:rsidR="00C47B5C">
        <w:t xml:space="preserve"> </w:t>
      </w:r>
      <w:r>
        <w:t>Murray and Lopez</w:t>
      </w:r>
      <w:r w:rsidR="00FD2A6F">
        <w:fldChar w:fldCharType="begin"/>
      </w:r>
      <w:r w:rsidR="00355799">
        <w:instrText xml:space="preserve"> ADDIN ZOTERO_ITEM CSL_CITATION {"citationID":"cXuUa7Un","properties":{"formattedCitation":"{\\rtf \\super 43\\nosupersub{}}","plainCitation":"43"},"citationItems":[{"id":5897,"uris":["http://zotero.org/groups/21876/items/PGUMCEFT"],"uri":["http://zotero.org/groups/21876/items/PGUMCEFT"],"itemData":{"id":5897,"type":"chapter","title":"Estimating Causes of Death: New Methods and Global and Regional Application for 1990","container-title":"The global burden of disease: a comprehensive assessment of mortality and disability from diseases, injuries, and risk factors in 1990 and projected to 2020","publisher":"Published by the Harvard School of Public Health on behalf of the World Health Organization and the World Bank","page":"117-200","abstract":"The Global Burden of Disease and Injury Series details and analyzes global patterns of death and disability, providing a bold, comprehensive examination of the state of the world's health.  The Global Burden of Disease (GBD) provides systematic epidemiological estimates for an unprecedented 150 major health conditions. Its methods and results are presented here, including: disaggregated death and disability data; projections to the year 2020; and risk factor evaluations. While it minutely examines causes of death, the GBD is unique in its inclusion of disability. The authors explore the technical bases and moral implications of incorporating social, physical, and mental disabilities in health assessments, explicating the indicator they have developed, the disability-adjusted life-year (DALY). The GBD provides indispensable global and regional data for health planning, research, and education.  Among the study's results: Depression was the fourth leading cause of disease-burden in 1990 and by 2020 will be the single leading cause. Injuries cause over 15 percent of death and disability. HIV will by 2010 inflict as great a burden as the age-old epidemic tuberculosis. By 2020, tobacco use will account for 9 million deaths annually. Ultimately, pneumonia and diarrhea, both primarily diseases of childhood, will continue to inflict the greatest health burden of all.","ISBN":"9780674354487","call-number":"1941","language":"en","author":[{"family":"Murray","given":"Christopher J. L."},{"family":"López","given":"Alan D."}],"issued":{"year":1996},"page-first":"117"}}],"schema":"https://github.com/citation-style-language/schema/raw/master/csl-citation.json"} </w:instrText>
      </w:r>
      <w:r w:rsidR="00FD2A6F">
        <w:fldChar w:fldCharType="separate"/>
      </w:r>
      <w:r w:rsidR="00406C17" w:rsidRPr="00406C17">
        <w:rPr>
          <w:rFonts w:ascii="Calibri" w:hAnsi="Calibri" w:cs="Calibri"/>
          <w:szCs w:val="24"/>
          <w:vertAlign w:val="superscript"/>
        </w:rPr>
        <w:t>43</w:t>
      </w:r>
      <w:r w:rsidR="00FD2A6F">
        <w:fldChar w:fldCharType="end"/>
      </w:r>
      <w:r>
        <w:t xml:space="preserve"> </w:t>
      </w:r>
      <w:r w:rsidR="00CA1D24">
        <w:t xml:space="preserve">hypothesized </w:t>
      </w:r>
      <w:r>
        <w:t>in the GBD 1990</w:t>
      </w:r>
      <w:r w:rsidR="00F21020">
        <w:t xml:space="preserve"> </w:t>
      </w:r>
      <w:r w:rsidR="001621F6">
        <w:t>s</w:t>
      </w:r>
      <w:r w:rsidR="00CA1D24">
        <w:t xml:space="preserve">tudy </w:t>
      </w:r>
      <w:r>
        <w:t>that deaths recorded in countries with incom</w:t>
      </w:r>
      <w:r w:rsidR="00F21020">
        <w:t xml:space="preserve">plete vital registration would </w:t>
      </w:r>
      <w:r>
        <w:t xml:space="preserve">more likely </w:t>
      </w:r>
      <w:r w:rsidR="00CA1D24">
        <w:t>originate</w:t>
      </w:r>
      <w:r w:rsidR="00F21020">
        <w:t xml:space="preserve"> from </w:t>
      </w:r>
      <w:r w:rsidR="002A06BA">
        <w:t>wealthier</w:t>
      </w:r>
      <w:r w:rsidR="00F21020">
        <w:t xml:space="preserve"> sectors of</w:t>
      </w:r>
      <w:r>
        <w:t xml:space="preserve"> populations </w:t>
      </w:r>
      <w:r w:rsidR="00CA1D24">
        <w:t xml:space="preserve">where the </w:t>
      </w:r>
      <w:r>
        <w:t xml:space="preserve">cause of death structure </w:t>
      </w:r>
      <w:r w:rsidR="00CA1D24">
        <w:t xml:space="preserve">was skewed towards </w:t>
      </w:r>
      <w:r w:rsidR="00AE2888">
        <w:t>noncommunicable</w:t>
      </w:r>
      <w:r w:rsidR="00CA1D24">
        <w:t xml:space="preserve"> rather than communicable diseases</w:t>
      </w:r>
      <w:r w:rsidR="002A06BA">
        <w:t>,</w:t>
      </w:r>
      <w:r w:rsidR="00CA1D24">
        <w:t xml:space="preserve"> </w:t>
      </w:r>
      <w:r w:rsidR="00882D60">
        <w:t>the latter being</w:t>
      </w:r>
      <w:r w:rsidR="00CA1D24">
        <w:t xml:space="preserve"> more common among those who cannot afford appropriate treatment</w:t>
      </w:r>
      <w:r>
        <w:t>. They proposed a correction based on the assumption that th</w:t>
      </w:r>
      <w:r w:rsidR="00CA1D24">
        <w:t>is</w:t>
      </w:r>
      <w:r>
        <w:t xml:space="preserve"> inequality in death rates within a country was uniform across countries.</w:t>
      </w:r>
      <w:r w:rsidR="00C47B5C">
        <w:t xml:space="preserve"> </w:t>
      </w:r>
      <w:r w:rsidR="00CA1D24">
        <w:t>T</w:t>
      </w:r>
      <w:r>
        <w:t xml:space="preserve">his approach has been used in subsequent GBD revisions and </w:t>
      </w:r>
      <w:r w:rsidR="009B07F0">
        <w:t>in some of</w:t>
      </w:r>
      <w:r>
        <w:t xml:space="preserve"> the CHERG</w:t>
      </w:r>
      <w:r w:rsidR="00FD2A6F">
        <w:fldChar w:fldCharType="begin"/>
      </w:r>
      <w:r w:rsidR="00355799">
        <w:instrText xml:space="preserve"> ADDIN ZOTERO_ITEM CSL_CITATION {"citationID":"1v02emd2ss","properties":{"formattedCitation":"{\\rtf \\super 19,44\\nosupersub{}}","plainCitation":"19,44"},"citationItems":[{"id":892,"uris":["http://zotero.org/groups/21876/items/52DT5XXJ"],"uri":["http://zotero.org/groups/21876/items/52DT5XXJ"],"itemData":{"id":892,"type":"article-journal","title":"Global, regional, and national causes of child mortality in 2008: a systematic analysis","container-title":"Lancet","page":"1969-1987","volume":"375","issue":"9730","abstract":"BACKGROUND\n\nUp-to-date information on the causes of child deaths is crucial to guide global efforts to improve child survival. We report new estimates for 2008 of the major causes of death in children younger than 5 years.\n\n\nMETHODS\n\nWe used multicause proportionate mortality models to estimate deaths in neonates aged 0-27 days and children aged 1-59 months, and selected single-cause disease models and analysis of vital registration data when available to estimate causes of child deaths. New data from China and India permitted national data to be used for these countries instead of predictions based on global statistical models, as was done previously. We estimated proportional causes of death for 193 countries, and by application of these proportions to the country-specific mortality rates in children younger than 5 years and birth rates, the numbers of deaths by cause were calculated for countries, regions, and the world.\n\n\nFINDINGS\n\nOf the estimated 8.795 million deaths in children younger than 5 years worldwide in 2008, infectious diseases caused 68% (5.970 million), with the largest percentages due to pneumonia (18%, 1.575 million, uncertainty range [UR] 1.046 million-1.874 million), diarrhoea (15%, 1.336 million, 0.822 million-2.004 million), and malaria (8%, 0.732 million, 0.601 million-0.851 million). 41% (3.575 million) of deaths occurred in neonates, and the most important single causes were preterm birth complications (12%, 1.033 million, UR 0.717 million-1.216 million), birth asphyxia (9%, 0.814 million, 0.563 million-0.997 million), sepsis (6%, 0.521 million, 0.356 million-0.735 million), and pneumonia (4%, 0.386 million, 0.264 million-0.545 million). 49% (4.294 million) of child deaths occurred in five countries: India, Nigeria, Democratic Republic of the Congo, Pakistan, and China.\n\n\nINTERPRETATION\n\nThese country-specific estimates of the major causes of child deaths should help to focus national programmes and donor assistance. Achievement of Millennium Development Goal 4, to reduce child mortality by two-thirds, is only possible if the high numbers of deaths are addressed by maternal, newborn, and child health interventions.\n\n\nFUNDING\n\nWHO, UNICEF, and Bill &amp; Melinda Gates Foundation.","DOI":"10.1016/S0140-6736(10)60549-1","call-number":"0459","note":"PMID: 20466419","shortTitle":"Global, regional, and national causes of child mortality in 2008","journalAbbreviation":"Lancet","author":[{"family":"Black","given":"Robert E"},{"family":"Cousens","given":"Simon"},{"family":"Johnson","given":"Hope L"},{"family":"Lawn","given":"Joy E"},{"family":"Rudan","given":"Igor"},{"family":"Bassani","given":"Diego G"},{"family":"Jha","given":"Prabhat"},{"family":"Campbell","given":"Harry"},{"family":"Walker","given":"Christa Fischer"},{"family":"Cibulskis","given":"Richard"},{"family":"Eisele","given":"Thomas"},{"family":"Liu","given":"Li"},{"family":"Mathers","given":"Colin"}],"issued":{"year":2010,"month":6,"day":5},"accessed":{"year":2012,"month":6,"day":5},"page-first":"1969"},"label":"page"},{"id":3998,"uris":["http://zotero.org/groups/21876/items/GBSIRV5T"],"uri":["http://zotero.org/groups/21876/items/GBSIRV5T"],"itemData":{"id":3998,"type":"article-journal","title":"Estimating the causes of 4 million neonatal deaths in the year 2000","container-title":"International journal of epidemiology","page":"706-718","volume":"35","issue":"3","abstract":"BACKGROUND\n\nInformation on cause-of-death is lacking for 98% of the world's 4 million neonatal deaths that occur in countries with inadequate vital registration (VR). Our aim was to estimate, by country for the year 2000, the distribution of neonatal deaths across programme-relevant causes including: asphyxia, preterm birth, congenital abnormalities, sepsis/pneumonia, neonatal tetanus, diarrhoea, and 'other'.\n\n\nMETHODS\n\nTwo sources of neonatal cause-of-death data were examined: VR datasets for countries with high coverage (&gt;90%), and published and unpublished studies identified through systematic searches. Multinomial regression was used to model the distribution of neonatal deaths. A VR-based model was used to estimate the distribution of causes of death for 37 low-mortality countries without national data. A study-based model was applied to obtain estimates for 111 high-mortality countries. Uncertainty estimates were derived using the jackknife approach.\n\n\nRESULTS\n\nData from 44 countries with VR (96 797 neonatal deaths) and from 56 studies (29 countries, 13 685 neonatal deaths) met inclusion criteria. The distribution of reported causes of death varied substantially between countries and across studies. Based on 193 countries, the major causes of neonatal death globally were estimated to be infections (sepsis/pneumonia, tetanus, and diarrhoea, 35%), preterm birth (28%), and asphyxia (23%). Regional variation is important. Substantial uncertainty surrounds these estimates.\n\n\nCONCLUSIONS\n\nThis exercise highlights the lack of reliable cause-of-death data in the settings in which most neonatal deaths occur. Complex statistical models are not a panacea. Representative data with comparable case definitions and consistent hierarchical cause-of-death attribution are required.","DOI":"10.1093/ije/dyl043","note":"PMID: 16556647","journalAbbreviation":"Int J Epidemiol","author":[{"family":"Lawn","given":"Joy E"},{"family":"Wilczynska-Ketende","given":"Katarzyna"},{"family":"Cousens","given":"Simon N"}],"issued":{"year":2006,"month":6},"accessed":{"year":2012,"month":7,"day":10},"page-first":"706"},"label":"page"}],"schema":"https://github.com/citation-style-language/schema/raw/master/csl-citation.json"} </w:instrText>
      </w:r>
      <w:r w:rsidR="00FD2A6F">
        <w:fldChar w:fldCharType="separate"/>
      </w:r>
      <w:r w:rsidR="00406C17" w:rsidRPr="00406C17">
        <w:rPr>
          <w:rFonts w:ascii="Calibri" w:hAnsi="Calibri" w:cs="Calibri"/>
          <w:szCs w:val="24"/>
          <w:vertAlign w:val="superscript"/>
        </w:rPr>
        <w:t>19,44</w:t>
      </w:r>
      <w:r w:rsidR="00FD2A6F">
        <w:fldChar w:fldCharType="end"/>
      </w:r>
      <w:r w:rsidR="00E336DB">
        <w:t xml:space="preserve"> </w:t>
      </w:r>
      <w:r w:rsidR="009B07F0">
        <w:t xml:space="preserve">analyses </w:t>
      </w:r>
      <w:r w:rsidR="00F864BA">
        <w:t>when</w:t>
      </w:r>
      <w:r w:rsidR="00CA1D24">
        <w:t xml:space="preserve"> making </w:t>
      </w:r>
      <w:r>
        <w:t>use of vital registration data</w:t>
      </w:r>
      <w:r w:rsidR="00472D5E">
        <w:t xml:space="preserve">. </w:t>
      </w:r>
      <w:r w:rsidR="00E409A2">
        <w:t xml:space="preserve"> </w:t>
      </w:r>
    </w:p>
    <w:p w:rsidR="009B07F0" w:rsidRDefault="00472D5E" w:rsidP="00BB2C4C">
      <w:r>
        <w:t xml:space="preserve">There are reasons, however, to also be concerned that </w:t>
      </w:r>
      <w:r w:rsidR="005E5D5E">
        <w:t xml:space="preserve">deaths recorded in systems with low coverage </w:t>
      </w:r>
      <w:r>
        <w:t xml:space="preserve"> may be biased to</w:t>
      </w:r>
      <w:r w:rsidR="0011241D">
        <w:t>wards</w:t>
      </w:r>
      <w:r>
        <w:t xml:space="preserve"> </w:t>
      </w:r>
      <w:r w:rsidR="009B07F0">
        <w:t xml:space="preserve">selected </w:t>
      </w:r>
      <w:r>
        <w:t xml:space="preserve">causes that </w:t>
      </w:r>
      <w:r w:rsidR="009B07F0">
        <w:t xml:space="preserve">are more likely to </w:t>
      </w:r>
      <w:r>
        <w:t>occur in hospital.</w:t>
      </w:r>
      <w:r w:rsidR="00C47B5C">
        <w:t xml:space="preserve"> </w:t>
      </w:r>
      <w:r>
        <w:t>Many vital registration systems begin with in-hospital deaths and progressively capture deaths in the community.</w:t>
      </w:r>
      <w:r w:rsidR="00C47B5C">
        <w:t xml:space="preserve"> </w:t>
      </w:r>
      <w:r>
        <w:t>Murray</w:t>
      </w:r>
      <w:r w:rsidR="00923472">
        <w:t xml:space="preserve"> et al</w:t>
      </w:r>
      <w:r w:rsidR="00FD2A6F">
        <w:fldChar w:fldCharType="begin"/>
      </w:r>
      <w:r w:rsidR="00355799">
        <w:instrText xml:space="preserve"> ADDIN ZOTERO_ITEM CSL_CITATION {"citationID":"OekLB6Xc","properties":{"formattedCitation":"{\\rtf \\super 42\\nosupersub{}}","plainCitation":"42"},"citationItems":[{"id":7446,"uris":["http://zotero.org/groups/21876/items/U6TPUEKJ"],"uri":["http://zotero.org/groups/21876/items/U6TPUEKJ"],"itemData":{"id":7446,"type":"article-journal","title":"Estimating Population Cause-Specific Mortality Fractions from in-Hospital Mortality: Validation of a New Method","container-title":"PLoS Med","page":"e326","volume":"4","issue":"11","abstract":"Working in Mexico and using vital registration data, Chris Murray and colleagues achieved encouraging results with a new method to estimate population cause-specific mortality fractions.","DOI":"10.1371/journal.pmed.0040326","shortTitle":"Estimating Population Cause-Specific Mortality Fractions from in-Hospital Mortality","journalAbbreviation":"PLoS Med","author":[{"family":"Murray","given":"Christopher J. L"},{"family":"Lopez","given":"Alan D"},{"family":"Barofsky","given":"Jeremy T"},{"family":"Bryson-Cahn","given":"Chloe"},{"family":"Lozano","given":"Rafael"}],"issued":{"year":2007,"month":11,"day":20},"accessed":{"year":2012,"month":7,"day":10},"page-first":"e326"}}],"schema":"https://github.com/citation-style-language/schema/raw/master/csl-citation.json"} </w:instrText>
      </w:r>
      <w:r w:rsidR="00FD2A6F">
        <w:fldChar w:fldCharType="separate"/>
      </w:r>
      <w:r w:rsidR="00406C17" w:rsidRPr="00406C17">
        <w:rPr>
          <w:rFonts w:ascii="Calibri" w:hAnsi="Calibri" w:cs="Calibri"/>
          <w:szCs w:val="24"/>
          <w:vertAlign w:val="superscript"/>
        </w:rPr>
        <w:t>42</w:t>
      </w:r>
      <w:r w:rsidR="00FD2A6F">
        <w:fldChar w:fldCharType="end"/>
      </w:r>
      <w:r w:rsidR="00923472">
        <w:t xml:space="preserve"> </w:t>
      </w:r>
      <w:r>
        <w:t xml:space="preserve">showed that the fraction of deaths in hospital is higher for acute causes where death is not </w:t>
      </w:r>
      <w:r w:rsidR="009B07F0">
        <w:t>immediate</w:t>
      </w:r>
      <w:r>
        <w:t xml:space="preserve"> but </w:t>
      </w:r>
      <w:r w:rsidR="001621F6">
        <w:t>occurs</w:t>
      </w:r>
      <w:r>
        <w:t xml:space="preserve"> over a</w:t>
      </w:r>
      <w:r w:rsidR="009B07F0">
        <w:t xml:space="preserve"> matter of days</w:t>
      </w:r>
      <w:r>
        <w:t xml:space="preserve"> such as </w:t>
      </w:r>
      <w:r w:rsidR="00704560">
        <w:t xml:space="preserve">for </w:t>
      </w:r>
      <w:r w:rsidR="009B07F0">
        <w:t xml:space="preserve">some </w:t>
      </w:r>
      <w:r>
        <w:t>maternal causes.</w:t>
      </w:r>
      <w:r w:rsidR="00C47B5C">
        <w:t xml:space="preserve"> </w:t>
      </w:r>
      <w:r>
        <w:t>Further, e</w:t>
      </w:r>
      <w:r w:rsidR="00BB2C4C">
        <w:t>vidence on sub-national mortality patterns</w:t>
      </w:r>
      <w:r w:rsidR="00FD2A6F">
        <w:fldChar w:fldCharType="begin"/>
      </w:r>
      <w:r w:rsidR="00355799">
        <w:instrText xml:space="preserve"> ADDIN ZOTERO_ITEM CSL_CITATION {"citationID":"d6Lc4lZR","properties":{"formattedCitation":"{\\rtf \\super 45\\nosupersub{}}","plainCitation":"45"},"citationItems":[{"id":3439,"uris":["http://zotero.org/groups/21876/items/E8EM4DD3"],"uri":["http://zotero.org/groups/21876/items/E8EM4DD3"],"itemData":{"id":3439,"type":"article-journal","title":"Falling behind: life expectancy in US counties from 2000 to 2007 in an international context","container-title":"Population health metrics","page":"16","volume":"9","issue":"1","abstract":"UNLABELLED\n\nABSTRACT:\n\n\nBACKGROUND\n\nThe United States health care debate has focused on the nation's uniquely high rates of lack of insurance and poor health outcomes relative to other high-income countries. Large disparities in health outcomes are well-documented in the US, but the most recent assessment of county disparities in mortality is from 1999. It is critical to tracking progress of health reform legislation to have an up-to-date assessment of disparities in life expectancy across counties. US disparities can be seen more clearly in the context of how progress in each county compares to international trends.\n\n\nMETHODS\n\nWe use newly released mortality data by age, sex, and county for the US from 2000 to 2007 to compute life tables separately for each sex, for all races combined, for whites, and for blacks. We propose, validate, and apply novel methods to estimate recent life tables for small areas to generate up-to-date estimates. Life expectancy rates and changes in life expectancy for counties are compared to the life expectancies across nations in 2000 and 2007. We calculate the number of calendar years behind each county is in 2000 and 2007 compared to an international life expectancy time series.\n\n\nRESULTS\n\nAcross US counties, life expectancy in 2007 ranged from 65.9 to 81.1 years for men and 73.5 to 86.0 years for women. When compared against a time series of life expectancy in the 10 nations with the lowest mortality, US counties range from being 15 calendar years ahead to over 50 calendar years behind for men and 16 calendar years ahead to over 50 calendar years behind for women. County life expectancy for black men ranges from 59.4 to 77.2 years, with counties ranging from seven to over 50 calendar years behind the international frontier; for black women, the range is 69.6 to 82.6 years, with counties ranging from eight to over 50 calendar years behind. Between 2000 and 2007, 80% (men) and 91% (women) of American counties fell in standing against this international life expectancy standard.\n\n\nCONCLUSIONS\n\nThe US has extremely large geographic and racial disparities, with some communities having life expectancies already well behind those of the best-performing nations. At the same time, relative performance for most communities continues to drop. Efforts to address these issues will need to tackle the leading preventable causes of death.","DOI":"10.1186/1478-7954-9-16","note":"PMID: 21672269","shortTitle":"Falling behind","journalAbbreviation":"Popul Health Metr","author":[{"family":"Kulkarni","given":"Sandeep C"},{"family":"Levin-Rector","given":"Alison"},{"family":"Ezzati","given":"Majid"},{"family":"Murray","given":"Christopher Jl"}],"issued":{"year":2011},"accessed":{"year":2012,"month":7,"day":5},"page-first":"16"}}],"schema":"https://github.com/citation-style-language/schema/raw/master/csl-citation.json"} </w:instrText>
      </w:r>
      <w:r w:rsidR="00FD2A6F">
        <w:fldChar w:fldCharType="separate"/>
      </w:r>
      <w:r w:rsidR="00406C17" w:rsidRPr="00406C17">
        <w:rPr>
          <w:rFonts w:ascii="Calibri" w:hAnsi="Calibri" w:cs="Calibri"/>
          <w:szCs w:val="24"/>
          <w:vertAlign w:val="superscript"/>
        </w:rPr>
        <w:t>45</w:t>
      </w:r>
      <w:r w:rsidR="00FD2A6F">
        <w:fldChar w:fldCharType="end"/>
      </w:r>
      <w:r w:rsidR="00BB2C4C">
        <w:t xml:space="preserve"> clearly indicates that the assumption of uniform inequality is </w:t>
      </w:r>
      <w:r w:rsidR="00CA1D24">
        <w:t>unlikely to</w:t>
      </w:r>
      <w:r w:rsidR="00F21020">
        <w:t xml:space="preserve"> </w:t>
      </w:r>
      <w:r w:rsidR="00CA1D24">
        <w:t>be true</w:t>
      </w:r>
      <w:r w:rsidR="001621F6">
        <w:t>;</w:t>
      </w:r>
      <w:r w:rsidR="00BB2C4C">
        <w:t xml:space="preserve"> nor is the assumption that deaths are registered in order </w:t>
      </w:r>
      <w:r w:rsidR="00CA1D24">
        <w:t xml:space="preserve">from the </w:t>
      </w:r>
      <w:r w:rsidR="00BB2C4C">
        <w:t>riche</w:t>
      </w:r>
      <w:r w:rsidR="00CA1D24">
        <w:t>st</w:t>
      </w:r>
      <w:r w:rsidR="00BB2C4C">
        <w:t xml:space="preserve"> to</w:t>
      </w:r>
      <w:r w:rsidR="00CA1D24">
        <w:t xml:space="preserve"> the </w:t>
      </w:r>
      <w:r w:rsidR="00BB2C4C">
        <w:t>poorest communities.</w:t>
      </w:r>
      <w:r w:rsidR="00C47B5C">
        <w:t xml:space="preserve"> </w:t>
      </w:r>
      <w:r>
        <w:t>F</w:t>
      </w:r>
      <w:r w:rsidR="00BB2C4C">
        <w:t xml:space="preserve">or the GBD 2010, we have assessed the completeness of vital registration or sample registration data </w:t>
      </w:r>
      <w:r w:rsidR="0078003E">
        <w:t>over age five</w:t>
      </w:r>
      <w:r w:rsidR="00555016">
        <w:t xml:space="preserve"> </w:t>
      </w:r>
      <w:r w:rsidR="00BB2C4C">
        <w:t xml:space="preserve">using </w:t>
      </w:r>
      <w:r w:rsidR="00555016">
        <w:t>the most accurate variants of death distribution methods: synthetic extinct generations, the generalized growth balance method</w:t>
      </w:r>
      <w:r w:rsidR="00A91AB9">
        <w:t>,</w:t>
      </w:r>
      <w:r w:rsidR="00555016">
        <w:t xml:space="preserve"> and </w:t>
      </w:r>
      <w:r w:rsidR="00704560">
        <w:t>a</w:t>
      </w:r>
      <w:r w:rsidR="00555016">
        <w:t xml:space="preserve"> hybrid of the two.</w:t>
      </w:r>
      <w:r w:rsidR="00FD2A6F">
        <w:fldChar w:fldCharType="begin"/>
      </w:r>
      <w:r w:rsidR="00355799">
        <w:instrText xml:space="preserve"> ADDIN ZOTERO_ITEM CSL_CITATION {"citationID":"cLunBSqK","properties":{"formattedCitation":"{\\rtf \\super 46\\nosupersub{}}","plainCitation":"46"},"citationItems":[{"id":404,"uris":["http://zotero.org/groups/21876/items/3752ZGIZ"],"uri":["http://zotero.org/groups/21876/items/3752ZGIZ"],"itemData":{"id":404,"type":"article-journal","title":"What Can We Conclude from Death Registration? Improved Methods for Evaluating Completeness","container-title":"PLoS Med","page":"e1000262","volume":"7","issue":"4","abstract":"Julie Rajaratnam and colleagues evaluate the performance of a suite of demographic methods that estimate the fraction of deaths registered and counted by civil registration systems, and identify three variants that generally perform the best.","DOI":"10.1371/journal.pmed.1000262","shortTitle":"What Can We Conclude from Death Registration?","journalAbbreviation":"PLoS Med","author":[{"family":"Murray","given":"Christopher J. L."},{"family":"Rajaratnam","given":"Julie Knoll"},{"family":"Marcus","given":"Jacob"},{"family":"Laakso","given":"Thomas"},{"family":"Lopez","given":"Alan D."}],"issued":{"year":2010,"month":4,"day":13},"accessed":{"year":2012,"month":7,"day":10},"page-first":"e1000262"}}],"schema":"https://github.com/citation-style-language/schema/raw/master/csl-citation.json"} </w:instrText>
      </w:r>
      <w:r w:rsidR="00FD2A6F">
        <w:fldChar w:fldCharType="separate"/>
      </w:r>
      <w:r w:rsidR="00406C17" w:rsidRPr="00406C17">
        <w:rPr>
          <w:rFonts w:ascii="Calibri" w:hAnsi="Calibri" w:cs="Calibri"/>
          <w:szCs w:val="24"/>
          <w:vertAlign w:val="superscript"/>
        </w:rPr>
        <w:t>46</w:t>
      </w:r>
      <w:r w:rsidR="00FD2A6F">
        <w:fldChar w:fldCharType="end"/>
      </w:r>
      <w:r w:rsidR="00C47B5C">
        <w:t xml:space="preserve"> </w:t>
      </w:r>
      <w:r w:rsidR="00555016">
        <w:t>Under ag</w:t>
      </w:r>
      <w:r w:rsidR="00C50E83">
        <w:t>e</w:t>
      </w:r>
      <w:r w:rsidR="008D5CE1">
        <w:t xml:space="preserve"> </w:t>
      </w:r>
      <w:r w:rsidR="0078003E">
        <w:t>five</w:t>
      </w:r>
      <w:r w:rsidR="00555016">
        <w:t xml:space="preserve"> completeness has been assessed by comparing registration data to survey and census data on child mortality.</w:t>
      </w:r>
      <w:r w:rsidR="00C47B5C">
        <w:t xml:space="preserve"> </w:t>
      </w:r>
      <w:r w:rsidR="00555016">
        <w:t>More details on how the synthesis of these methods is c</w:t>
      </w:r>
      <w:r w:rsidR="00704560">
        <w:t>arried out</w:t>
      </w:r>
      <w:r w:rsidR="00555016">
        <w:t xml:space="preserve"> are provided in </w:t>
      </w:r>
      <w:r w:rsidR="00BB2C4C" w:rsidRPr="0014792D">
        <w:t>Wang et al (2012).</w:t>
      </w:r>
      <w:r w:rsidR="00FD2A6F">
        <w:fldChar w:fldCharType="begin"/>
      </w:r>
      <w:r w:rsidR="00355799">
        <w:instrText xml:space="preserve"> ADDIN ZOTERO_ITEM CSL_CITATION {"citationID":"hOoL1a00","properties":{"formattedCitation":"{\\rtf \\super 47\\nosupersub{}}","plainCitation":"47"},"citationItems":[{"id":5802,"uris":["http://zotero.org/groups/21876/items/P6E52CDN"],"uri":["http://zotero.org/groups/21876/items/P6E52CDN"],"itemData":{"id":5802,"type":"article-journal","title":"Global and Regional Age-Specific Mortality 1970-2010: A Systematic Analysis","author":[{"family":"Wang","given":"H"},{"family":"Dwyer-Lindgren","given":"L"},{"family":"Lofgren","given":"Katherine"},{"family":"Rajaratnam","given":"Julie"},{"family":"Marcus","given":"Jacob"},{"family":"Levin-Rector","given":"Alison"},{"family":"Levitz","given":"C"},{"family":"Lopez","given":"A"},{"family":"Murray","given":"CJL"}],"issued":{"literal":"In preparation"}}}],"schema":"https://github.com/citation-style-language/schema/raw/master/csl-citation.json"} </w:instrText>
      </w:r>
      <w:r w:rsidR="00FD2A6F">
        <w:fldChar w:fldCharType="separate"/>
      </w:r>
      <w:r w:rsidR="00406C17" w:rsidRPr="00406C17">
        <w:rPr>
          <w:rFonts w:ascii="Calibri" w:hAnsi="Calibri" w:cs="Calibri"/>
          <w:szCs w:val="24"/>
          <w:vertAlign w:val="superscript"/>
        </w:rPr>
        <w:t>47</w:t>
      </w:r>
      <w:r w:rsidR="00FD2A6F">
        <w:fldChar w:fldCharType="end"/>
      </w:r>
      <w:r w:rsidR="00C47B5C">
        <w:t xml:space="preserve"> </w:t>
      </w:r>
      <w:r w:rsidR="00B80775">
        <w:t>Completeness is</w:t>
      </w:r>
      <w:r w:rsidR="006E7183">
        <w:t xml:space="preserve"> </w:t>
      </w:r>
      <w:r w:rsidR="008D5CE1">
        <w:t xml:space="preserve">often substantially </w:t>
      </w:r>
      <w:r w:rsidR="006E7183">
        <w:t xml:space="preserve">different for child and adult deaths; </w:t>
      </w:r>
      <w:r w:rsidR="009B07F0">
        <w:t>in some regions such as Latin America</w:t>
      </w:r>
      <w:r w:rsidR="001C0B83">
        <w:t>,</w:t>
      </w:r>
      <w:r w:rsidR="009B07F0">
        <w:t xml:space="preserve"> c</w:t>
      </w:r>
      <w:r w:rsidR="006E7183">
        <w:t xml:space="preserve">hild completeness is </w:t>
      </w:r>
      <w:r w:rsidR="009B07F0">
        <w:t xml:space="preserve">usually </w:t>
      </w:r>
      <w:r w:rsidR="006E7183">
        <w:t>lower than adult completeness</w:t>
      </w:r>
      <w:r w:rsidR="001C0B83">
        <w:t>,</w:t>
      </w:r>
      <w:r w:rsidR="009B07F0">
        <w:t xml:space="preserve"> but other patterns are observed in Asia</w:t>
      </w:r>
      <w:r w:rsidR="006E7183">
        <w:t>.</w:t>
      </w:r>
      <w:r w:rsidR="00FD2A6F">
        <w:fldChar w:fldCharType="begin"/>
      </w:r>
      <w:r w:rsidR="00355799">
        <w:instrText xml:space="preserve"> ADDIN ZOTERO_ITEM CSL_CITATION {"citationID":"qGuE6GNG","properties":{"formattedCitation":"{\\rtf \\super 40\\nosupersub{}}","plainCitation":"40"},"citationItems":[{"id":3720,"uris":["http://zotero.org/groups/21876/items/FAGCZAGC"],"uri":["http://zotero.org/groups/21876/items/FAGCZAGC"],"itemData":{"id":3720,"type":"article-journal","title":"Age- and Sex-Specific Mortality for 187 Countries, 1970-2010: A Systematic Analysis","author":[{"family":"Wang","given":"Haidong"},{"family":"Dwyer-Lindgren","given":"Laura"},{"family":"Lofgren","given":"Katherine T"},{"family":"Rajaratnam","given":"Julie Knoll"},{"family":"Marcus","given":"Jacob R"},{"family":"Levin-Rector","given":"Alison"},{"family":"Levitz","given":"Carly E"},{"family":"Lopez","given":"Alan D"},{"family":"Murray","given":"Christopher JL"}],"issued":{"literal":"(in submission)"}}}],"schema":"https://github.com/citation-style-language/schema/raw/master/csl-citation.json"} </w:instrText>
      </w:r>
      <w:r w:rsidR="00FD2A6F">
        <w:fldChar w:fldCharType="separate"/>
      </w:r>
      <w:r w:rsidR="00406C17" w:rsidRPr="00406C17">
        <w:rPr>
          <w:rFonts w:ascii="Calibri" w:hAnsi="Calibri" w:cs="Calibri"/>
          <w:szCs w:val="24"/>
          <w:vertAlign w:val="superscript"/>
        </w:rPr>
        <w:t>40</w:t>
      </w:r>
      <w:r w:rsidR="00FD2A6F">
        <w:fldChar w:fldCharType="end"/>
      </w:r>
      <w:r w:rsidR="00C47B5C">
        <w:t xml:space="preserve"> </w:t>
      </w:r>
      <w:r w:rsidR="006E7183">
        <w:t xml:space="preserve">Completeness levels must also be interpreted with caution. </w:t>
      </w:r>
      <w:r w:rsidR="00751D42">
        <w:t>S</w:t>
      </w:r>
      <w:r w:rsidR="006E7183">
        <w:t xml:space="preserve">ome systems, for example </w:t>
      </w:r>
      <w:r w:rsidR="00751D42">
        <w:t xml:space="preserve">in </w:t>
      </w:r>
      <w:r w:rsidR="00435745">
        <w:t>Turkey</w:t>
      </w:r>
      <w:r w:rsidR="006E7183">
        <w:t>, capture deaths relatively completely in selected administrative units</w:t>
      </w:r>
      <w:r w:rsidR="00072C4C">
        <w:t xml:space="preserve"> only. That is, completeness of registration may be high but coverage is</w:t>
      </w:r>
      <w:r w:rsidR="004F1A5E">
        <w:t xml:space="preserve"> not</w:t>
      </w:r>
      <w:r w:rsidR="00072C4C">
        <w:t>.</w:t>
      </w:r>
    </w:p>
    <w:p w:rsidR="00C55A94" w:rsidRDefault="00A74C8E" w:rsidP="00BB2C4C">
      <w:r>
        <w:t xml:space="preserve">For adults, there are few </w:t>
      </w:r>
      <w:r w:rsidR="008106FE">
        <w:t xml:space="preserve">vital registration or sample registration </w:t>
      </w:r>
      <w:r>
        <w:t xml:space="preserve">data points </w:t>
      </w:r>
      <w:r w:rsidR="00BC1D69">
        <w:t xml:space="preserve">with completeness </w:t>
      </w:r>
      <w:r>
        <w:t>below 70% in the database.</w:t>
      </w:r>
      <w:r w:rsidR="00C47B5C">
        <w:t xml:space="preserve"> </w:t>
      </w:r>
      <w:r>
        <w:t>Because completeness is of</w:t>
      </w:r>
      <w:r w:rsidR="0078003E">
        <w:t>ten lower for deaths under age five compared to over age five</w:t>
      </w:r>
      <w:r>
        <w:t xml:space="preserve">, we have investigated the impact of including data on causes of death with completeness below </w:t>
      </w:r>
      <w:r w:rsidR="006E5680">
        <w:t>7</w:t>
      </w:r>
      <w:r>
        <w:t>0%.</w:t>
      </w:r>
      <w:r w:rsidR="00C47B5C">
        <w:t xml:space="preserve"> </w:t>
      </w:r>
      <w:r>
        <w:t>We have rerun cause of death models for the major causes of under-five death</w:t>
      </w:r>
      <w:r w:rsidR="00392C8F">
        <w:t xml:space="preserve"> five </w:t>
      </w:r>
      <w:r w:rsidR="00C55A94">
        <w:t>different ways:</w:t>
      </w:r>
      <w:r>
        <w:t xml:space="preserve"> excluding all data with completeness below 30%, below 40%, below 50%</w:t>
      </w:r>
      <w:r w:rsidR="009B07F0">
        <w:t>,</w:t>
      </w:r>
      <w:r w:rsidR="00E6077F">
        <w:t xml:space="preserve"> </w:t>
      </w:r>
      <w:r>
        <w:t>below 60%</w:t>
      </w:r>
      <w:r w:rsidR="00CB5426">
        <w:t>, and below 70%</w:t>
      </w:r>
      <w:r>
        <w:t>.</w:t>
      </w:r>
      <w:r w:rsidR="00C55A94">
        <w:t xml:space="preserve">  At the global level, the number o</w:t>
      </w:r>
      <w:r w:rsidR="00907EFF">
        <w:t>f deaths estimated in 2010 for A</w:t>
      </w:r>
      <w:r w:rsidR="00C55A94">
        <w:t xml:space="preserve">RI and diarrhea for example differ by </w:t>
      </w:r>
      <w:r w:rsidR="00907EFF" w:rsidRPr="00907EFF">
        <w:t>0</w:t>
      </w:r>
      <w:r w:rsidR="00A11B72" w:rsidRPr="00907EFF">
        <w:t>·</w:t>
      </w:r>
      <w:r w:rsidR="00907EFF" w:rsidRPr="00907EFF">
        <w:t>9</w:t>
      </w:r>
      <w:r w:rsidR="00C55A94" w:rsidRPr="00907EFF">
        <w:t>%</w:t>
      </w:r>
      <w:r w:rsidR="001621F6" w:rsidRPr="00907EFF">
        <w:t xml:space="preserve"> </w:t>
      </w:r>
      <w:r w:rsidR="00A11B72" w:rsidRPr="00907EFF">
        <w:t>and 1·</w:t>
      </w:r>
      <w:r w:rsidR="00907EFF" w:rsidRPr="00907EFF">
        <w:t>2</w:t>
      </w:r>
      <w:r w:rsidR="004F5121" w:rsidRPr="00907EFF">
        <w:t>%</w:t>
      </w:r>
      <w:r w:rsidR="009C167D" w:rsidRPr="00907EFF">
        <w:t>, respectively</w:t>
      </w:r>
      <w:r w:rsidR="009C167D">
        <w:t>,</w:t>
      </w:r>
      <w:r w:rsidR="00C55A94" w:rsidRPr="0068675B">
        <w:t xml:space="preserve"> between </w:t>
      </w:r>
      <w:r w:rsidR="000F4294" w:rsidRPr="0068675B">
        <w:t>models that</w:t>
      </w:r>
      <w:r w:rsidR="000F4294">
        <w:t xml:space="preserve"> include </w:t>
      </w:r>
      <w:r w:rsidR="00C55A94">
        <w:t>all</w:t>
      </w:r>
      <w:r w:rsidR="00BC6F5C">
        <w:t xml:space="preserve"> data and </w:t>
      </w:r>
      <w:r w:rsidR="000F4294">
        <w:t xml:space="preserve">those that exclude </w:t>
      </w:r>
      <w:r w:rsidR="00BC6F5C">
        <w:t xml:space="preserve">data </w:t>
      </w:r>
      <w:r w:rsidR="00BD4DA0">
        <w:t xml:space="preserve">where under-five death registration is </w:t>
      </w:r>
      <w:r w:rsidR="00BC6F5C">
        <w:t xml:space="preserve">below </w:t>
      </w:r>
      <w:r w:rsidR="00CB5426">
        <w:t>7</w:t>
      </w:r>
      <w:r w:rsidR="00E6077F">
        <w:t>0</w:t>
      </w:r>
      <w:r w:rsidR="00C55A94">
        <w:t>% complete.</w:t>
      </w:r>
      <w:r w:rsidR="00C47B5C">
        <w:t xml:space="preserve"> </w:t>
      </w:r>
      <w:r w:rsidR="00C55A94">
        <w:t>The difference is slightly larger in 1980 where including all data leads to higher numbers than excluding the incomplete data.</w:t>
      </w:r>
      <w:r w:rsidR="00C47B5C">
        <w:t xml:space="preserve"> </w:t>
      </w:r>
      <w:r w:rsidR="00C55A94">
        <w:t>Even in the 1980s at the regional or country level the differences are small enough that we have chosen to use all available data.</w:t>
      </w:r>
      <w:r w:rsidR="00C47B5C">
        <w:t xml:space="preserve"> </w:t>
      </w:r>
      <w:r w:rsidR="00BC6F5C">
        <w:t xml:space="preserve">These sensitivity analyses suggest that at least for </w:t>
      </w:r>
      <w:r w:rsidR="0085354F">
        <w:t xml:space="preserve">major causes of </w:t>
      </w:r>
      <w:r w:rsidR="0078003E">
        <w:t xml:space="preserve">child </w:t>
      </w:r>
      <w:r w:rsidR="00BC6F5C">
        <w:t>death</w:t>
      </w:r>
      <w:r w:rsidR="008B0CB3">
        <w:t>,</w:t>
      </w:r>
      <w:r w:rsidR="00BC6F5C">
        <w:t xml:space="preserve"> there is no consistent evidence </w:t>
      </w:r>
      <w:r w:rsidR="00072C4C">
        <w:t xml:space="preserve">of </w:t>
      </w:r>
      <w:r w:rsidR="00BC6F5C">
        <w:t>selection</w:t>
      </w:r>
      <w:r w:rsidR="00072C4C">
        <w:t xml:space="preserve"> bias</w:t>
      </w:r>
      <w:r w:rsidR="00BC6F5C">
        <w:t xml:space="preserve"> towards causes of death in richer populations.</w:t>
      </w:r>
      <w:r w:rsidR="00C47B5C">
        <w:t xml:space="preserve"> </w:t>
      </w:r>
    </w:p>
    <w:p w:rsidR="00BB2C4C" w:rsidRDefault="00BB2C4C" w:rsidP="00BB2C4C">
      <w:r>
        <w:lastRenderedPageBreak/>
        <w:t>Assessing completeness is feasible for vital registration and sample registration data but not for small –scale studies on verbal autopsy</w:t>
      </w:r>
      <w:r w:rsidR="00E4584A">
        <w:t>,</w:t>
      </w:r>
      <w:r w:rsidR="00FC6882">
        <w:t xml:space="preserve"> </w:t>
      </w:r>
      <w:r w:rsidR="007D0322">
        <w:t>which</w:t>
      </w:r>
      <w:r>
        <w:t xml:space="preserve"> may not detect all deaths through household recall.</w:t>
      </w:r>
      <w:r w:rsidR="00C47B5C">
        <w:t xml:space="preserve"> </w:t>
      </w:r>
      <w:r>
        <w:t>In fact</w:t>
      </w:r>
      <w:r w:rsidR="00E4584A">
        <w:t>,</w:t>
      </w:r>
      <w:r>
        <w:t xml:space="preserve"> household recall often yields a substantial undercount of deaths.</w:t>
      </w:r>
      <w:r w:rsidR="00FD2A6F">
        <w:fldChar w:fldCharType="begin"/>
      </w:r>
      <w:r w:rsidR="00355799">
        <w:instrText xml:space="preserve"> ADDIN ZOTERO_ITEM CSL_CITATION {"citationID":"7esoefgpk","properties":{"formattedCitation":"{\\rtf \\super 48,49\\nosupersub{}}","plainCitation":"48,49"},"citationItems":[{"id":3609,"uris":["http://zotero.org/groups/21876/items/ETM5TAXD"],"uri":["http://zotero.org/groups/21876/items/ETM5TAXD"],"itemData":{"id":3609,"type":"article-journal","title":"Death by survey: estimating adult mortality without selection bias from sibling survival data","container-title":"Demography","page":"569-585","volume":"43","issue":"3","abstract":"The widely used methods for estimating adult mortality rates from sample survey responses about the survival of siblings, parents, spouses, and others depend crucially on an assumption that, as we demonstrate, does not hold in real data. We show that when this assumption is violated so that the mortality rate varies with sibship size, mortality estimates can be massively biased. By using insights from work on the statistical analysis of selection bias, survey weighting, and extrapolation problems, we propose a new and relatively simple method of recovering the mortality rate with both greatly reduced potential for bias and increased clarity about the source of necessary assumptions.","note":"PMID: 17051828","shortTitle":"Death by survey","journalAbbreviation":"Demography","author":[{"family":"Gakidou","given":"Emmanuela"},{"family":"King","given":"Gary"}],"issued":{"year":2006,"month":8},"accessed":{"year":2012,"month":7,"day":11},"page-first":"569"},"label":"page"},{"id":2657,"uris":["http://zotero.org/groups/21876/items/BDIB2NJS"],"uri":["http://zotero.org/groups/21876/items/BDIB2NJS"],"itemData":{"id":2657,"type":"report","title":"An assessment of the credibility of child mortality declines estimated from DHS mortality rates","publisher":"UNICEF","author":[{"family":"Sullivan","given":"J"}],"issued":{"literal":"(Working Draft; Revision 1, 10/29/08)"}},"label":"page"}],"schema":"https://github.com/citation-style-language/schema/raw/master/csl-citation.json"} </w:instrText>
      </w:r>
      <w:r w:rsidR="00FD2A6F">
        <w:fldChar w:fldCharType="separate"/>
      </w:r>
      <w:r w:rsidR="003B4A9F" w:rsidRPr="003B4A9F">
        <w:rPr>
          <w:rFonts w:ascii="Calibri" w:hAnsi="Calibri" w:cs="Calibri"/>
          <w:szCs w:val="24"/>
          <w:vertAlign w:val="superscript"/>
        </w:rPr>
        <w:t>48,49</w:t>
      </w:r>
      <w:r w:rsidR="00FD2A6F">
        <w:fldChar w:fldCharType="end"/>
      </w:r>
      <w:r>
        <w:t xml:space="preserve"> In the absence of evidence on the cause of death pattern in recalled versus not recalled deaths, we have made the simplifying assumption that verbal autopsy  cause fractions </w:t>
      </w:r>
      <w:r w:rsidR="007D0322">
        <w:t>are</w:t>
      </w:r>
      <w:r>
        <w:t xml:space="preserve"> representative</w:t>
      </w:r>
      <w:r w:rsidR="007D0322">
        <w:t xml:space="preserve"> of the study population</w:t>
      </w:r>
      <w:r w:rsidR="00BC6F5C">
        <w:t xml:space="preserve">; the CHERG analyses of verbal autopsy data </w:t>
      </w:r>
      <w:r w:rsidR="00072C4C">
        <w:t>make</w:t>
      </w:r>
      <w:r w:rsidR="00BC6F5C">
        <w:t xml:space="preserve"> the same assumption.</w:t>
      </w:r>
      <w:r w:rsidR="00FD2A6F">
        <w:fldChar w:fldCharType="begin"/>
      </w:r>
      <w:r w:rsidR="00355799">
        <w:instrText xml:space="preserve"> ADDIN ZOTERO_ITEM CSL_CITATION {"citationID":"2kcv19ioci","properties":{"formattedCitation":"{\\rtf \\super 19,20\\nosupersub{}}","plainCitation":"19,20"},"citationItems":[{"id":892,"uris":["http://zotero.org/groups/21876/items/52DT5XXJ"],"uri":["http://zotero.org/groups/21876/items/52DT5XXJ"],"itemData":{"id":892,"type":"article-journal","title":"Global, regional, and national causes of child mortality in 2008: a systematic analysis","container-title":"Lancet","page":"1969-1987","volume":"375","issue":"9730","abstract":"BACKGROUND\n\nUp-to-date information on the causes of child deaths is crucial to guide global efforts to improve child survival. We report new estimates for 2008 of the major causes of death in children younger than 5 years.\n\n\nMETHODS\n\nWe used multicause proportionate mortality models to estimate deaths in neonates aged 0-27 days and children aged 1-59 months, and selected single-cause disease models and analysis of vital registration data when available to estimate causes of child deaths. New data from China and India permitted national data to be used for these countries instead of predictions based on global statistical models, as was done previously. We estimated proportional causes of death for 193 countries, and by application of these proportions to the country-specific mortality rates in children younger than 5 years and birth rates, the numbers of deaths by cause were calculated for countries, regions, and the world.\n\n\nFINDINGS\n\nOf the estimated 8.795 million deaths in children younger than 5 years worldwide in 2008, infectious diseases caused 68% (5.970 million), with the largest percentages due to pneumonia (18%, 1.575 million, uncertainty range [UR] 1.046 million-1.874 million), diarrhoea (15%, 1.336 million, 0.822 million-2.004 million), and malaria (8%, 0.732 million, 0.601 million-0.851 million). 41% (3.575 million) of deaths occurred in neonates, and the most important single causes were preterm birth complications (12%, 1.033 million, UR 0.717 million-1.216 million), birth asphyxia (9%, 0.814 million, 0.563 million-0.997 million), sepsis (6%, 0.521 million, 0.356 million-0.735 million), and pneumonia (4%, 0.386 million, 0.264 million-0.545 million). 49% (4.294 million) of child deaths occurred in five countries: India, Nigeria, Democratic Republic of the Congo, Pakistan, and China.\n\n\nINTERPRETATION\n\nThese country-specific estimates of the major causes of child deaths should help to focus national programmes and donor assistance. Achievement of Millennium Development Goal 4, to reduce child mortality by two-thirds, is only possible if the high numbers of deaths are addressed by maternal, newborn, and child health interventions.\n\n\nFUNDING\n\nWHO, UNICEF, and Bill &amp; Melinda Gates Foundation.","DOI":"10.1016/S0140-6736(10)60549-1","call-number":"0459","note":"PMID: 20466419","shortTitle":"Global, regional, and national causes of child mortality in 2008","journalAbbreviation":"Lancet","author":[{"family":"Black","given":"Robert E"},{"family":"Cousens","given":"Simon"},{"family":"Johnson","given":"Hope L"},{"family":"Lawn","given":"Joy E"},{"family":"Rudan","given":"Igor"},{"family":"Bassani","given":"Diego G"},{"family":"Jha","given":"Prabhat"},{"family":"Campbell","given":"Harry"},{"family":"Walker","given":"Christa Fischer"},{"family":"Cibulskis","given":"Richard"},{"family":"Eisele","given":"Thomas"},{"family":"Liu","given":"Li"},{"family":"Mathers","given":"Colin"}],"issued":{"year":2010,"month":6,"day":5},"accessed":{"year":2012,"month":6,"day":5},"page-first":"1969"},"label":"page"},{"id":5434,"uris":["http://zotero.org/groups/21876/items/MSJEMPE5"],"uri":["http://zotero.org/groups/21876/items/MSJEMPE5"],"itemData":{"id":5434,"type":"article-journal","title":"Global, regional, and national causes of child mortality: an updated systematic analysis for 2010 with time trends since 2000","container-title":"Lancet","abstract":"BACKGROUND: Information about the distribution of causes of and time trends for child mortality should be periodically updated. We report the latest estimates of causes of child mortality in 2010 with time trends since 2000. METHODS: Updated total numbers of deaths in children aged 0-27 days and 1-59 months were applied to the corresponding country-specific distribution of deaths by cause. We did the following to derive the number of deaths in children aged 1-59 months: we used vital registration data for countries with an adequate vital registration system; we applied a multinomial logistic regression model to vital registration data for low-mortality countries without adequate vital registration; we used a similar multinomial logistic regression with verbal autopsy data for high-mortality countries; for India and China, we developed national models. We aggregated country results to generate regional and global estimates. FINDINGS: Of 7·6 million deaths in children younger than 5 years in 2010, 64·0% (4·879 million) were attributable to infectious causes and 40·3% (3·072 million) occurred in neonates. Preterm birth complications (14·1%; 1·078 million, uncertainty range [UR] 0·916-1·325), intrapartum-related complications (9·4%; 0·717 million, 0·610-0·876), and sepsis or meningitis (5·2%; 0·393 million, 0·252-0·552) were the leading causes of neonatal death. In older children, pneumonia (14·1%; 1·071 million, 0·977-1·176), diarrhoea (9·9%; 0·751 million, 0·538-1·031), and malaria (7·4%; 0·564 million, 0·432-0·709) claimed the most lives. Despite tremendous efforts to identify relevant data, the causes of only 2·7% (0·205 million) of deaths in children younger than 5 years were medically certified in 2010. Between 2000 and 2010, the global burden of deaths in children younger than 5 years decreased by 2 million, of which pneumonia, measles, and diarrhoea contributed the most to the overall reduction (0·451 million [0·339-0·547], 0·363 million [0·283-0·419], and 0·359 million [0·215-0·476], respectively). However, only tetanus, measles, AIDS, and malaria (in Africa) decreased at an annual rate sufficient to attain the Millennium Development Goal 4. INTERPRETATION: Child survival strategies should direct resources toward the leading causes of child mortality, with attention focusing on infectious and neonatal causes. More rapid decreases from 2010-15 will need accelerated reduction for the most common causes of death, notably pneumonia and preterm birth complications. Continued efforts to gather high-quality data and enhance estimation methods are essential for the improvement of future estimates. FUNDING: The Bill &amp; Melinda Gates Foundation.","URL":"http://www.ncbi.nlm.nih.gov/pubmed/22579125","DOI":"10.1016/S0140-6736(12)60560-1","call-number":"0000","note":"PMID: 22579125","shortTitle":"Global, regional, and national causes of child mortality","author":[{"family":"Liu","given":"Li"},{"family":"Johnson","given":"Hope L"},{"family":"Cousens","given":"Simon"},{"family":"Perin","given":"Jamie"},{"family":"Scott","given":"Susana"},{"family":"Lawn","given":"Joy E"},{"family":"Rudan","given":"Igor"},{"family":"Campbell","given":"Harry"},{"family":"Cibulskis","given":"Richard"},{"family":"Li","given":"Mengying"},{"family":"Mathers","given":"Colin"},{"family":"Black","given":"Robert E"}],"issued":{"year":2012,"month":5,"day":10},"accessed":{"year":2012,"month":6,"day":5}},"label":"page"}],"schema":"https://github.com/citation-style-language/schema/raw/master/csl-citation.json"} </w:instrText>
      </w:r>
      <w:r w:rsidR="00FD2A6F">
        <w:fldChar w:fldCharType="separate"/>
      </w:r>
      <w:r w:rsidR="0014792D" w:rsidRPr="0014792D">
        <w:rPr>
          <w:rFonts w:ascii="Calibri" w:hAnsi="Calibri" w:cs="Calibri"/>
          <w:szCs w:val="24"/>
          <w:vertAlign w:val="superscript"/>
        </w:rPr>
        <w:t>19,20</w:t>
      </w:r>
      <w:r w:rsidR="00FD2A6F">
        <w:fldChar w:fldCharType="end"/>
      </w:r>
      <w:r w:rsidR="00C47B5C">
        <w:t xml:space="preserve"> </w:t>
      </w:r>
    </w:p>
    <w:p w:rsidR="009C6E10" w:rsidRDefault="008417B6" w:rsidP="008417B6">
      <w:pPr>
        <w:pStyle w:val="Heading3"/>
        <w:ind w:left="360"/>
      </w:pPr>
      <w:r>
        <w:t xml:space="preserve">Step 2. </w:t>
      </w:r>
      <w:r w:rsidR="009C6E10">
        <w:t xml:space="preserve">Mapping </w:t>
      </w:r>
      <w:r>
        <w:t>r</w:t>
      </w:r>
      <w:r w:rsidR="009C6E10">
        <w:t xml:space="preserve">evisions and </w:t>
      </w:r>
      <w:r>
        <w:t>v</w:t>
      </w:r>
      <w:r w:rsidR="009C6E10">
        <w:t>ariants of the ICD</w:t>
      </w:r>
    </w:p>
    <w:p w:rsidR="009C6E10" w:rsidRDefault="009C6E10" w:rsidP="009C6E10">
      <w:r>
        <w:t>Vital registration data and some verbal autopsy data for the period 1980 to 2010 are reported usi</w:t>
      </w:r>
      <w:r w:rsidR="0078003E">
        <w:t>ng multiple variants of the ICD8, ICD9 and ICD</w:t>
      </w:r>
      <w:r>
        <w:t>10.</w:t>
      </w:r>
      <w:r w:rsidR="00C47B5C">
        <w:t xml:space="preserve"> </w:t>
      </w:r>
      <w:r>
        <w:t xml:space="preserve">We have mapped these revisions to the GBD cause list </w:t>
      </w:r>
      <w:r w:rsidR="00577E82">
        <w:t>in</w:t>
      </w:r>
      <w:r>
        <w:t xml:space="preserve"> </w:t>
      </w:r>
      <w:r w:rsidR="00F330CC">
        <w:rPr>
          <w:b/>
        </w:rPr>
        <w:t>Web Table 3</w:t>
      </w:r>
      <w:r>
        <w:t>.</w:t>
      </w:r>
      <w:r w:rsidR="00C47B5C">
        <w:t xml:space="preserve"> </w:t>
      </w:r>
      <w:r>
        <w:t>This mapping provides the codes for the detailed list for</w:t>
      </w:r>
      <w:r w:rsidR="00D1731A">
        <w:t xml:space="preserve"> </w:t>
      </w:r>
      <w:r w:rsidR="0078003E">
        <w:t>ICD9 and ICD</w:t>
      </w:r>
      <w:r>
        <w:t>10</w:t>
      </w:r>
      <w:r w:rsidR="00DD3F97">
        <w:t>,</w:t>
      </w:r>
      <w:r>
        <w:t xml:space="preserve"> as well as th</w:t>
      </w:r>
      <w:r w:rsidR="0078003E">
        <w:t>e basic tabulation list for ICD</w:t>
      </w:r>
      <w:r>
        <w:t>9 (BTL).</w:t>
      </w:r>
      <w:r w:rsidR="00C47B5C">
        <w:t xml:space="preserve"> </w:t>
      </w:r>
      <w:r>
        <w:t xml:space="preserve">We identified </w:t>
      </w:r>
      <w:r w:rsidR="00570B1B">
        <w:t xml:space="preserve">three </w:t>
      </w:r>
      <w:r>
        <w:t>national variants</w:t>
      </w:r>
      <w:r w:rsidR="00313DDA">
        <w:t xml:space="preserve"> of </w:t>
      </w:r>
      <w:r w:rsidR="0078003E">
        <w:t>ICD</w:t>
      </w:r>
      <w:r w:rsidR="005E25F9">
        <w:t xml:space="preserve">9 </w:t>
      </w:r>
      <w:r w:rsidR="00313DDA">
        <w:t>BTL</w:t>
      </w:r>
      <w:r>
        <w:t xml:space="preserve"> that </w:t>
      </w:r>
      <w:r w:rsidR="007D0322">
        <w:t xml:space="preserve">we </w:t>
      </w:r>
      <w:r>
        <w:t>have also mapped to the GBD cause list.</w:t>
      </w:r>
      <w:r w:rsidR="00C47B5C">
        <w:t xml:space="preserve"> </w:t>
      </w:r>
      <w:r w:rsidR="00AD645C">
        <w:t>Of note, t</w:t>
      </w:r>
      <w:r w:rsidR="00A92E6E">
        <w:t>here were 119 GBD causes</w:t>
      </w:r>
      <w:r w:rsidR="00853B93">
        <w:t xml:space="preserve"> not available </w:t>
      </w:r>
      <w:r>
        <w:t xml:space="preserve">in the </w:t>
      </w:r>
      <w:r w:rsidR="009A6813" w:rsidRPr="00C36663">
        <w:t>BTL</w:t>
      </w:r>
      <w:r w:rsidR="00A92E6E">
        <w:t xml:space="preserve">, such as the pneumonia and diarrhea etiologies, some of the cancers, hepatitis by type, some of the cardiovascular causes, many of the mental and </w:t>
      </w:r>
      <w:r w:rsidR="004503A0">
        <w:t>behavioral</w:t>
      </w:r>
      <w:r w:rsidR="00A92E6E">
        <w:t xml:space="preserve"> disorders, some musculos</w:t>
      </w:r>
      <w:r w:rsidR="00B80775">
        <w:t>keletal conditions, and certain</w:t>
      </w:r>
      <w:r w:rsidR="00A92E6E">
        <w:t xml:space="preserve"> injury subtypes.</w:t>
      </w:r>
      <w:r w:rsidR="00C47B5C">
        <w:t xml:space="preserve"> </w:t>
      </w:r>
    </w:p>
    <w:p w:rsidR="009C6E10" w:rsidRDefault="008417B6" w:rsidP="008417B6">
      <w:pPr>
        <w:pStyle w:val="Heading3"/>
        <w:ind w:left="360"/>
      </w:pPr>
      <w:r>
        <w:t xml:space="preserve">Step 3. </w:t>
      </w:r>
      <w:r w:rsidR="009C6E10">
        <w:t>Garbage Codes</w:t>
      </w:r>
    </w:p>
    <w:p w:rsidR="00FF75F3" w:rsidRPr="00950340" w:rsidRDefault="009C6E10" w:rsidP="009C6E10">
      <w:pPr>
        <w:rPr>
          <w:rFonts w:ascii="Times New Roman" w:hAnsi="Times New Roman" w:cs="Times New Roman"/>
          <w:sz w:val="24"/>
          <w:szCs w:val="24"/>
        </w:rPr>
      </w:pPr>
      <w:r>
        <w:t>Murray and Lopez</w:t>
      </w:r>
      <w:r w:rsidR="00FD2A6F">
        <w:fldChar w:fldCharType="begin"/>
      </w:r>
      <w:r w:rsidR="00355799">
        <w:instrText xml:space="preserve"> ADDIN ZOTERO_ITEM CSL_CITATION {"citationID":"PvmtmN72","properties":{"formattedCitation":"{\\rtf \\super 43\\nosupersub{}}","plainCitation":"43"},"citationItems":[{"id":5897,"uris":["http://zotero.org/groups/21876/items/PGUMCEFT"],"uri":["http://zotero.org/groups/21876/items/PGUMCEFT"],"itemData":{"id":5897,"type":"chapter","title":"Estimating Causes of Death: New Methods and Global and Regional Application for 1990","container-title":"The global burden of disease: a comprehensive assessment of mortality and disability from diseases, injuries, and risk factors in 1990 and projected to 2020","publisher":"Published by the Harvard School of Public Health on behalf of the World Health Organization and the World Bank","page":"117-200","abstract":"The Global Burden of Disease and Injury Series details and analyzes global patterns of death and disability, providing a bold, comprehensive examination of the state of the world's health.  The Global Burden of Disease (GBD) provides systematic epidemiological estimates for an unprecedented 150 major health conditions. Its methods and results are presented here, including: disaggregated death and disability data; projections to the year 2020; and risk factor evaluations. While it minutely examines causes of death, the GBD is unique in its inclusion of disability. The authors explore the technical bases and moral implications of incorporating social, physical, and mental disabilities in health assessments, explicating the indicator they have developed, the disability-adjusted life-year (DALY). The GBD provides indispensable global and regional data for health planning, research, and education.  Among the study's results: Depression was the fourth leading cause of disease-burden in 1990 and by 2020 will be the single leading cause. Injuries cause over 15 percent of death and disability. HIV will by 2010 inflict as great a burden as the age-old epidemic tuberculosis. By 2020, tobacco use will account for 9 million deaths annually. Ultimately, pneumonia and diarrhea, both primarily diseases of childhood, will continue to inflict the greatest health burden of all.","ISBN":"9780674354487","call-number":"1941","language":"en","author":[{"family":"Murray","given":"Christopher J. L."},{"family":"López","given":"Alan D."}],"issued":{"year":1996},"page-first":"117"}}],"schema":"https://github.com/citation-style-language/schema/raw/master/csl-citation.json"} </w:instrText>
      </w:r>
      <w:r w:rsidR="00FD2A6F">
        <w:fldChar w:fldCharType="separate"/>
      </w:r>
      <w:r w:rsidR="00406C17" w:rsidRPr="00406C17">
        <w:rPr>
          <w:rFonts w:ascii="Calibri" w:hAnsi="Calibri" w:cs="Calibri"/>
          <w:szCs w:val="24"/>
          <w:vertAlign w:val="superscript"/>
        </w:rPr>
        <w:t>43</w:t>
      </w:r>
      <w:r w:rsidR="00FD2A6F">
        <w:fldChar w:fldCharType="end"/>
      </w:r>
      <w:r w:rsidR="004826A6">
        <w:t xml:space="preserve"> </w:t>
      </w:r>
      <w:r>
        <w:t xml:space="preserve">introduced the concept of </w:t>
      </w:r>
      <w:r w:rsidR="007D0322">
        <w:t>“</w:t>
      </w:r>
      <w:r>
        <w:t>garbage codes</w:t>
      </w:r>
      <w:r w:rsidR="007D0322">
        <w:t xml:space="preserve">” in the GBD </w:t>
      </w:r>
      <w:r w:rsidR="00A86C74">
        <w:t>1990</w:t>
      </w:r>
      <w:r w:rsidR="007D0322">
        <w:t xml:space="preserve"> and proposed methods </w:t>
      </w:r>
      <w:r w:rsidR="009C3F50" w:rsidRPr="009C3F50">
        <w:t>to redistribute deaths assigned to garbage codes to likely underlying causes of death</w:t>
      </w:r>
      <w:r w:rsidR="00FC6882">
        <w:t>.</w:t>
      </w:r>
      <w:r w:rsidR="00C47B5C">
        <w:t xml:space="preserve"> </w:t>
      </w:r>
      <w:r w:rsidR="004826A6">
        <w:t>Garbage codes are causes of death that should not be identified as underlying causes of death but have been</w:t>
      </w:r>
      <w:r w:rsidR="007D0322">
        <w:t xml:space="preserve"> entered as the underlying cause of death</w:t>
      </w:r>
      <w:r w:rsidR="004826A6">
        <w:t xml:space="preserve"> on death certificates.</w:t>
      </w:r>
      <w:r w:rsidR="00C47B5C">
        <w:t xml:space="preserve"> </w:t>
      </w:r>
      <w:r w:rsidR="004826A6">
        <w:t>Classic examples of garbage codes include senility or cardiopulmonary arrest.</w:t>
      </w:r>
      <w:r w:rsidR="00C47B5C">
        <w:t xml:space="preserve"> </w:t>
      </w:r>
      <w:r w:rsidR="004826A6">
        <w:t xml:space="preserve">In the GBD 1990, major garbage codes were identified and simple </w:t>
      </w:r>
      <w:r w:rsidR="007D0322">
        <w:t>algorithms</w:t>
      </w:r>
      <w:r w:rsidR="004826A6">
        <w:t xml:space="preserve"> proposed to redistribute these proportionately </w:t>
      </w:r>
      <w:r w:rsidR="007D0322">
        <w:t>to</w:t>
      </w:r>
      <w:r w:rsidR="004826A6">
        <w:t xml:space="preserve"> various causes </w:t>
      </w:r>
      <w:r w:rsidR="00277E87">
        <w:t xml:space="preserve">(called “target codes”) </w:t>
      </w:r>
      <w:r w:rsidR="004826A6">
        <w:t>that were the likely underlying causes of death.</w:t>
      </w:r>
      <w:r w:rsidR="003D4A86">
        <w:fldChar w:fldCharType="begin"/>
      </w:r>
      <w:r w:rsidR="00355799">
        <w:instrText xml:space="preserve"> ADDIN ZOTERO_ITEM CSL_CITATION {"citationID":"CAzzvzCi","properties":{"formattedCitation":"{\\rtf \\super 50\\nosupersub{}}","plainCitation":"50"},"citationItems":[{"id":3024,"uris":["http://zotero.org/groups/21876/items/CRHX8MUH"],"uri":["http://zotero.org/groups/21876/items/CRHX8MUH"],"itemData":{"id":3024,"type":"book","title":"The global burden of disease: a comprehensive assessment of mortality and disability from diseases, injuries, and risk factors in 1990 and projected to 2020","publisher":"Published by the Harvard School of Public Health on behalf of the World Health Organization and the World Bank","number-of-pages":"1078","abstract":"The Global Burden of Disease and Injury Series details and analyzes global patterns of death and disability, providing a bold, comprehensive examination of the state of the world's health.  The Global Burden of Disease (GBD) provides systematic epidemiological estimates for an unprecedented 150 major health conditions. Its methods and results are presented here, including: disaggregated death and disability data; projections to the year 2020; and risk factor evaluations. While it minutely examines causes of death, the GBD is unique in its inclusion of disability. The authors explore the technical bases and moral implications of incorporating social, physical, and mental disabilities in health assessments, explicating the indicator they have developed, the disability-adjusted life-year (DALY). The GBD provides indispensable global and regional data for health planning, research, and education.  Among the study's results: Depression was the fourth leading cause of disease-burden in 1990 and by 2020 will be the single leading cause. Injuries cause over 15 percent of death and disability. HIV will by 2010 inflict as great a burden as the age-old epidemic tuberculosis. By 2020, tobacco use will account for 9 million deaths annually. Ultimately, pneumonia and diarrhea, both primarily diseases of childhood, will continue to inflict the greatest health burden of all.","ISBN":"9780674354487","call-number":"1941","shortTitle":"The global burden of disease","language":"en","author":[{"family":"Murray","given":"Christopher J. L."},{"family":"López","given":"Alan D."},{"family":"Bank","given":"World"}],"issued":{"year":1996}}}],"schema":"https://github.com/citation-style-language/schema/raw/master/csl-citation.json"} </w:instrText>
      </w:r>
      <w:r w:rsidR="003D4A86">
        <w:fldChar w:fldCharType="separate"/>
      </w:r>
      <w:r w:rsidR="003D4A86" w:rsidRPr="003D4A86">
        <w:rPr>
          <w:rFonts w:ascii="Calibri" w:hAnsi="Calibri" w:cs="Calibri"/>
          <w:szCs w:val="24"/>
          <w:vertAlign w:val="superscript"/>
        </w:rPr>
        <w:t>50</w:t>
      </w:r>
      <w:r w:rsidR="003D4A86">
        <w:fldChar w:fldCharType="end"/>
      </w:r>
      <w:r w:rsidR="00C47B5C">
        <w:t xml:space="preserve"> </w:t>
      </w:r>
      <w:r w:rsidR="00853B93">
        <w:t>A similar approach was applied f</w:t>
      </w:r>
      <w:r w:rsidR="004826A6">
        <w:t xml:space="preserve">or the GBD 2000 and </w:t>
      </w:r>
      <w:r w:rsidR="00950340">
        <w:t>subsequent WHO updates.</w:t>
      </w:r>
      <w:r w:rsidR="00C47B5C">
        <w:t xml:space="preserve"> </w:t>
      </w:r>
      <w:r w:rsidR="00950340">
        <w:t xml:space="preserve">For the GBD 2010, we have identified causes that should not be assigned as underlying cause of death </w:t>
      </w:r>
      <w:r w:rsidR="00BD4DA0">
        <w:t>at a much more detailed level</w:t>
      </w:r>
      <w:r w:rsidR="00685E0B">
        <w:t>.</w:t>
      </w:r>
      <w:r w:rsidR="00FD2A6F">
        <w:fldChar w:fldCharType="begin"/>
      </w:r>
      <w:r w:rsidR="00355799">
        <w:instrText xml:space="preserve"> ADDIN ZOTERO_ITEM CSL_CITATION {"citationID":"9mD9TrQs","properties":{"formattedCitation":"{\\rtf \\super 51\\nosupersub{}}","plainCitation":"51"},"citationItems":[{"id":4252,"uris":["http://zotero.org/groups/21876/items/HCHIQBMV"],"uri":["http://zotero.org/groups/21876/items/HCHIQBMV"],"itemData":{"id":4252,"type":"article-journal","title":"Algorithms for enhancing public health utility of national causes-of-death data","container-title":"Population health metrics","page":"9","volume":"8","abstract":"BACKGROUND\n\nCoverage and quality of cause-of-death (CoD) data varies across countries and time. Valid, reliable, and comparable assessments of trends in causes of death from even the best systems are limited by three problems: a) changes in the International Statistical Classification of Diseases and Related Health Problems (ICD) over time; b) the use of tabulation lists where substantial detail on causes of death is lost; and c) many deaths assigned to causes that cannot or should not be considered underlying causes of death, often called garbage codes (GCs). The Global Burden of Disease Study and the World Health Organization have developed various methods to enhance comparability of CoD data. In this study, we attempt to build on these approaches to enhance the utility of national cause-of-death data for public health analysis.\n\n\nMETHODS\n\nBased on careful consideration of 4,434 country-years of CoD data from 145 countries from 1901 to 2008, encompassing 743 million deaths in ICD versions 1 to 10 as well as country-specific cause lists, we have developed a public health-oriented cause-of-death list. These 56 causes are organized hierarchically and encompass all deaths. Each cause has been mapped from ICD-6 to ICD-10 and, where possible, they have also been mapped to the International List of Causes of Death 1-5. We developed a typology of different classes of GCs. In each ICD revision, GCs have been identified. Target causes to which these GCs should be redistributed have been identified based on certification practice and/or pathophysiology. Proportionate redistribution, statistical models, and expert algorithms have been developed to redistribute GCs to target codes for each age-sex group.\n\n\nRESULTS\n\nThe fraction of all deaths assigned to GCs varies tremendously across countries and revisions of the ICD. In general, across all country-years of data available, GCs have declined from more than 43% in ICD-7 to 24% in ICD-10. In some regions, such as Australasia, GCs in 2005 are as low as 11%, while in some developing countries, such as Thailand, they are greater than 50%. Across different age groups, the composition of GCs varies tremendously - three classes of GCs steadily increase with age, but ambiguous codes within a particular disease chapter are also common for injuries at younger ages. The impact of redistribution is to change the number of deaths assigned to particular causes for a given age-sex group. These changes alter ranks across countries for any given year by a number of different causes, change time trends, and alter the rank order of causes within a country.\n\n\nCONCLUSIONS\n\nBy mapping CoD through different ICD versions and redistributing GCs, we believe the public health utility of CoD data can be substantially enhanced, leading to an increased demand for higher quality CoD data from health sector decision-makers.","DOI":"10.1186/1478-7954-8-9","call-number":"0022","note":"PMID: 20459720","journalAbbreviation":"Popul Health Metr","author":[{"family":"Naghavi","given":"Mohsen"},{"family":"Makela","given":"Susanna"},{"family":"Foreman","given":"Kyle"},{"family":"O'Brien","given":"Janaki"},{"family":"Pourmalek","given":"Farshad"},{"family":"Lozano","given":"Rafael"}],"issued":{"year":2010},"accessed":{"year":2012,"month":6,"day":6},"page-first":"9"}}],"schema":"https://github.com/citation-style-language/schema/raw/master/csl-citation.json"} </w:instrText>
      </w:r>
      <w:r w:rsidR="00FD2A6F">
        <w:fldChar w:fldCharType="separate"/>
      </w:r>
      <w:r w:rsidR="003D4A86" w:rsidRPr="003D4A86">
        <w:rPr>
          <w:rFonts w:ascii="Calibri" w:hAnsi="Calibri" w:cs="Calibri"/>
          <w:szCs w:val="24"/>
          <w:vertAlign w:val="superscript"/>
        </w:rPr>
        <w:t>51</w:t>
      </w:r>
      <w:r w:rsidR="00FD2A6F">
        <w:fldChar w:fldCharType="end"/>
      </w:r>
      <w:r w:rsidR="00C47B5C">
        <w:t xml:space="preserve"> </w:t>
      </w:r>
      <w:r w:rsidR="00950340">
        <w:t xml:space="preserve">In total, we have identified </w:t>
      </w:r>
      <w:r w:rsidR="0019776A">
        <w:t>2,759 garbage codes in ICD10 detailed data, 3,38</w:t>
      </w:r>
      <w:r w:rsidR="00CB6715">
        <w:t>2</w:t>
      </w:r>
      <w:r w:rsidR="0019776A">
        <w:t xml:space="preserve"> garbage codes in ICD9 detailed data, and 85 garbage codes in</w:t>
      </w:r>
      <w:r w:rsidR="00277E87">
        <w:t xml:space="preserve"> the</w:t>
      </w:r>
      <w:r w:rsidR="0019776A">
        <w:t xml:space="preserve"> ICD9 </w:t>
      </w:r>
      <w:r w:rsidR="0078003E">
        <w:t>BTL</w:t>
      </w:r>
      <w:r w:rsidR="00950340">
        <w:t xml:space="preserve"> ranging from abdominal rigidity to yellow nail syndrome.</w:t>
      </w:r>
      <w:r w:rsidR="00C47B5C">
        <w:t xml:space="preserve"> </w:t>
      </w:r>
      <w:r w:rsidR="00950340">
        <w:t xml:space="preserve">Garbage codes have </w:t>
      </w:r>
      <w:r w:rsidR="004826A6">
        <w:t xml:space="preserve">been identified at the </w:t>
      </w:r>
      <w:r w:rsidR="005C3089">
        <w:t>most detailed</w:t>
      </w:r>
      <w:r w:rsidR="004826A6">
        <w:t xml:space="preserve"> level</w:t>
      </w:r>
      <w:r w:rsidR="005C3089">
        <w:t xml:space="preserve"> possible (e.g.</w:t>
      </w:r>
      <w:r w:rsidR="0078003E">
        <w:t xml:space="preserve"> the fourth digit level for ICD9 and ICD</w:t>
      </w:r>
      <w:r w:rsidR="005C3089">
        <w:t>10</w:t>
      </w:r>
      <w:r w:rsidR="00C67F94">
        <w:t>)</w:t>
      </w:r>
      <w:r w:rsidR="004826A6">
        <w:t>.</w:t>
      </w:r>
      <w:r w:rsidR="00C47B5C">
        <w:t xml:space="preserve"> </w:t>
      </w:r>
      <w:r w:rsidR="004826A6">
        <w:t>For each garbage code, the potential underlying causes of death have been iden</w:t>
      </w:r>
      <w:r w:rsidR="00FF75F3">
        <w:t>tified based on pathophysiology.</w:t>
      </w:r>
      <w:r w:rsidR="00C47B5C">
        <w:t xml:space="preserve"> </w:t>
      </w:r>
      <w:r w:rsidR="00FF75F3">
        <w:t xml:space="preserve">For example, the target codes for peritonitis include </w:t>
      </w:r>
      <w:r w:rsidR="00557D62">
        <w:t>acute gastric ulcers with perforation and a</w:t>
      </w:r>
      <w:r w:rsidR="00C5381D">
        <w:t>cute tubulo</w:t>
      </w:r>
      <w:r w:rsidR="00557D62" w:rsidRPr="00C1200E">
        <w:t>interstitial nephritis</w:t>
      </w:r>
      <w:r w:rsidR="00FF75F3">
        <w:t xml:space="preserve">; the target codes for disseminated intravascular coagulation include </w:t>
      </w:r>
      <w:r w:rsidR="00557D62">
        <w:t xml:space="preserve">other </w:t>
      </w:r>
      <w:r w:rsidR="00D2316A">
        <w:t>s</w:t>
      </w:r>
      <w:r w:rsidR="00D2316A" w:rsidRPr="00C1200E">
        <w:t>epticemia</w:t>
      </w:r>
      <w:r w:rsidR="00557D62" w:rsidRPr="00C1200E">
        <w:t xml:space="preserve"> </w:t>
      </w:r>
      <w:r w:rsidR="00557D62">
        <w:t>and p</w:t>
      </w:r>
      <w:r w:rsidR="00557D62" w:rsidRPr="00C1200E">
        <w:t>remature separation of placenta</w:t>
      </w:r>
      <w:r w:rsidR="00557D62">
        <w:t>.</w:t>
      </w:r>
      <w:r w:rsidR="00C47B5C">
        <w:t xml:space="preserve"> </w:t>
      </w:r>
      <w:r w:rsidR="007D0322">
        <w:t>Moreover</w:t>
      </w:r>
      <w:r w:rsidR="002C7224">
        <w:t>, redistribution</w:t>
      </w:r>
      <w:r w:rsidR="00FF75F3">
        <w:t xml:space="preserve"> proportionate to the number of deaths observed in the target codes cannot be reliably </w:t>
      </w:r>
      <w:r w:rsidR="007D0322">
        <w:t>applied</w:t>
      </w:r>
      <w:r w:rsidR="00FF75F3">
        <w:t>; for example</w:t>
      </w:r>
      <w:r w:rsidR="00B80775">
        <w:t>, while there are many injuries</w:t>
      </w:r>
      <w:r w:rsidR="007D0322">
        <w:t>,</w:t>
      </w:r>
      <w:r w:rsidR="00B80775">
        <w:t xml:space="preserve"> </w:t>
      </w:r>
      <w:r w:rsidR="00382983">
        <w:t>not all peritonitis deaths are</w:t>
      </w:r>
      <w:r w:rsidR="00FF75F3">
        <w:t xml:space="preserve"> likely due to injuries.</w:t>
      </w:r>
      <w:r w:rsidR="00C47B5C">
        <w:t xml:space="preserve"> </w:t>
      </w:r>
      <w:r w:rsidR="007D0322">
        <w:t>Similarly</w:t>
      </w:r>
      <w:r w:rsidR="00FF75F3">
        <w:t xml:space="preserve">, the probability of </w:t>
      </w:r>
      <w:r w:rsidR="00A86C74">
        <w:t xml:space="preserve">deaths due to </w:t>
      </w:r>
      <w:r w:rsidR="00FF75F3">
        <w:t xml:space="preserve">a target cause being misclassified </w:t>
      </w:r>
      <w:r w:rsidR="00A86C74">
        <w:t xml:space="preserve">on death certificates </w:t>
      </w:r>
      <w:r w:rsidR="007D0322">
        <w:t>as</w:t>
      </w:r>
      <w:r w:rsidR="00FF75F3">
        <w:t xml:space="preserve"> a garbage code is not equal.</w:t>
      </w:r>
      <w:r w:rsidR="00C47B5C">
        <w:t xml:space="preserve"> </w:t>
      </w:r>
      <w:r w:rsidR="00FF75F3">
        <w:t>We have developed allocations of the garbage codes based on the limited published literature, expert judgment, statistical analysis</w:t>
      </w:r>
      <w:r w:rsidR="00FD2A6F">
        <w:fldChar w:fldCharType="begin"/>
      </w:r>
      <w:r w:rsidR="00355799">
        <w:instrText xml:space="preserve"> ADDIN ZOTERO_ITEM CSL_CITATION {"citationID":"6m2260vw","properties":{"formattedCitation":"{\\rtf \\super 52\\nosupersub{}}","plainCitation":"52"},"citationItems":[{"id":2482,"uris":["http://zotero.org/groups/21876/items/ARTUXFX8"],"uri":["http://zotero.org/groups/21876/items/ARTUXFX8"],"itemData":{"id":2482,"type":"article-journal","title":"Improving the public health utility of global cardiovascular mortality data: the rise of ischemic heart disease","container-title":"Population health metrics","page":"8","volume":"9","abstract":"BACKGROUND\n\nHigh-quality, cause-specific mortality data are critical for effective health policy. Yet vague cause of death codes, such as heart failure, are highly prevalent in global mortality data. We propose an empirical method correcting mortality data for the use of heart failure as an underlying cause of death.\n\n\nMETHODS\n\nWe performed a regression analysis stratified by sex, age, and country development status on all available ICD-10 mortality data, consisting of 142 million deaths across 838 country-years. The analysis yielded predicted fractions with which to redistribute heart failure-attributed deaths to the appropriate underlying causes of death. Age-adjusted death rates and rank causes of death before and after correction were calculated.\n\n\nRESULTS\n\nHeart failure accounts for 3.1% of all deaths in the dataset. Ischemic heart disease has the highest redistribution proportion for ages 15-49 and 50+ in both sexes and country development levels, causing gains in age-adjusted death rates in both developed and developing countries. COPD and hypertensive heart disease also make significant rank gains. Reproductive-aged women in developing country-years yield the most diverse range of heart failure causes.\n\n\nCONCLUSIONS\n\nIschemic heart disease becomes the No. 1 cause of death in several developed countries, including France and Japan, underscoring the cardiovascular epidemic in high-income countries. Age-adjusted death rate increases for ischemic heart disease in low- and middle-income countries, such as Argentina and South Africa, highlight the rise of the cardiovascular epidemic in regions where public health efforts have historically focused on infectious diseases. This method maximizes the use of available data, providing better evidence on major causes of death to inform policymakers in allocating finite resources.","DOI":"10.1186/1478-7954-9-8","note":"PMID: 21406100","shortTitle":"Improving the public health utility of global cardiovascular mortality data","journalAbbreviation":"Popul Health Metr","author":[{"family":"Ahern","given":"Ryan M"},{"family":"Lozano","given":"Rafael"},{"family":"Naghavi","given":"Mohsen"},{"family":"Foreman","given":"Kyle"},{"family":"Gakidou","given":"Emmanuela"},{"family":"Murray","given":"Christopher Jl"}],"issued":{"year":2011},"accessed":{"year":2012,"month":7,"day":5},"page-first":"8"}}],"schema":"https://github.com/citation-style-language/schema/raw/master/csl-citation.json"} </w:instrText>
      </w:r>
      <w:r w:rsidR="00FD2A6F">
        <w:fldChar w:fldCharType="separate"/>
      </w:r>
      <w:r w:rsidR="003D4A86" w:rsidRPr="003D4A86">
        <w:rPr>
          <w:rFonts w:ascii="Calibri" w:hAnsi="Calibri" w:cs="Calibri"/>
          <w:szCs w:val="24"/>
          <w:vertAlign w:val="superscript"/>
        </w:rPr>
        <w:t>52</w:t>
      </w:r>
      <w:r w:rsidR="00FD2A6F">
        <w:fldChar w:fldCharType="end"/>
      </w:r>
      <w:r w:rsidR="00FF75F3">
        <w:t xml:space="preserve"> and in some cases</w:t>
      </w:r>
      <w:r w:rsidR="004F1A5E">
        <w:t>,</w:t>
      </w:r>
      <w:r w:rsidR="00FF75F3">
        <w:t xml:space="preserve"> proportionate allocation across target causes.</w:t>
      </w:r>
      <w:r w:rsidR="00C47B5C">
        <w:t xml:space="preserve"> </w:t>
      </w:r>
      <w:r w:rsidR="00F330CC">
        <w:rPr>
          <w:b/>
        </w:rPr>
        <w:t>Web Table</w:t>
      </w:r>
      <w:r w:rsidR="00141A4C">
        <w:rPr>
          <w:b/>
        </w:rPr>
        <w:t>s</w:t>
      </w:r>
      <w:r w:rsidR="00F330CC">
        <w:rPr>
          <w:b/>
        </w:rPr>
        <w:t xml:space="preserve"> 4</w:t>
      </w:r>
      <w:r w:rsidR="00A75E92">
        <w:rPr>
          <w:b/>
        </w:rPr>
        <w:t xml:space="preserve"> </w:t>
      </w:r>
      <w:r w:rsidR="00141A4C">
        <w:rPr>
          <w:b/>
        </w:rPr>
        <w:t>a-g</w:t>
      </w:r>
      <w:r w:rsidR="00C33631">
        <w:t xml:space="preserve"> provide a complete listing of the redistribution algorithms used</w:t>
      </w:r>
      <w:r w:rsidR="007D0322">
        <w:t>,</w:t>
      </w:r>
      <w:r w:rsidR="00C33631">
        <w:t xml:space="preserve"> organized by garbage code. </w:t>
      </w:r>
      <w:r w:rsidR="00FF75F3">
        <w:t xml:space="preserve">The extent of garbage coding </w:t>
      </w:r>
      <w:r w:rsidR="008B0CB3">
        <w:t xml:space="preserve">in </w:t>
      </w:r>
      <w:r w:rsidR="0078003E">
        <w:t>VR</w:t>
      </w:r>
      <w:r w:rsidR="008B0CB3">
        <w:t xml:space="preserve"> data </w:t>
      </w:r>
      <w:r w:rsidR="00FF75F3">
        <w:t xml:space="preserve">varies widely across countries from a low of </w:t>
      </w:r>
      <w:r w:rsidR="004B4C0D">
        <w:t>5·5% in Finland</w:t>
      </w:r>
      <w:r w:rsidR="002C5BB7">
        <w:t xml:space="preserve"> </w:t>
      </w:r>
      <w:r w:rsidR="00557D62">
        <w:t xml:space="preserve">to </w:t>
      </w:r>
      <w:r w:rsidR="004C4020">
        <w:t>a high of</w:t>
      </w:r>
      <w:r w:rsidR="009B5366">
        <w:t xml:space="preserve"> </w:t>
      </w:r>
      <w:r w:rsidR="004B4C0D">
        <w:t>69·6% in Sri Lanka</w:t>
      </w:r>
      <w:r w:rsidR="00557D62">
        <w:t>.</w:t>
      </w:r>
    </w:p>
    <w:p w:rsidR="00FF75F3" w:rsidRDefault="008417B6" w:rsidP="008417B6">
      <w:pPr>
        <w:pStyle w:val="Heading3"/>
        <w:ind w:left="360"/>
      </w:pPr>
      <w:r>
        <w:lastRenderedPageBreak/>
        <w:t xml:space="preserve">Step 4. </w:t>
      </w:r>
      <w:r w:rsidR="00FF75F3">
        <w:t xml:space="preserve">Age </w:t>
      </w:r>
      <w:r>
        <w:t>s</w:t>
      </w:r>
      <w:r w:rsidR="00FF75F3">
        <w:t>plitting</w:t>
      </w:r>
      <w:r w:rsidR="00A86C74">
        <w:t xml:space="preserve"> and </w:t>
      </w:r>
      <w:r>
        <w:t>a</w:t>
      </w:r>
      <w:r w:rsidR="00A86C74">
        <w:t>ge-</w:t>
      </w:r>
      <w:r>
        <w:t>s</w:t>
      </w:r>
      <w:r w:rsidR="00A86C74">
        <w:t xml:space="preserve">ex </w:t>
      </w:r>
      <w:r>
        <w:t>s</w:t>
      </w:r>
      <w:r w:rsidR="00A86C74">
        <w:t xml:space="preserve">plitting </w:t>
      </w:r>
    </w:p>
    <w:p w:rsidR="00C33631" w:rsidRPr="00B80775" w:rsidRDefault="003E53D6" w:rsidP="00FF75F3">
      <w:r w:rsidRPr="009B5366">
        <w:t>Source</w:t>
      </w:r>
      <w:r w:rsidR="0078003E">
        <w:t xml:space="preserve">s report data using varying age </w:t>
      </w:r>
      <w:r w:rsidRPr="009B5366">
        <w:t>groups; for consistency in the analysis, the GBD project defined and utilized a standardized set of 20 age groups throughout.</w:t>
      </w:r>
      <w:r w:rsidRPr="009B5366" w:rsidDel="003E53D6">
        <w:t xml:space="preserve"> </w:t>
      </w:r>
      <w:r w:rsidR="00C47B5C" w:rsidRPr="009B5366">
        <w:t xml:space="preserve"> </w:t>
      </w:r>
      <w:r w:rsidR="003B5617" w:rsidRPr="009B5366">
        <w:t>D</w:t>
      </w:r>
      <w:r w:rsidR="00C33631" w:rsidRPr="009B5366">
        <w:t>ata reported for more aggregate age</w:t>
      </w:r>
      <w:r w:rsidR="00141A4C">
        <w:t xml:space="preserve"> </w:t>
      </w:r>
      <w:r w:rsidR="00C33631">
        <w:t xml:space="preserve">groups are split into estimates of age-specific deaths using the global </w:t>
      </w:r>
      <w:r w:rsidR="003B5617">
        <w:t xml:space="preserve">observed pattern of </w:t>
      </w:r>
      <w:r w:rsidR="00C33631">
        <w:t>relative risks of death for a cause by age and the local distribution of</w:t>
      </w:r>
      <w:r w:rsidR="003B5617">
        <w:t xml:space="preserve"> the </w:t>
      </w:r>
      <w:r w:rsidR="00C33631">
        <w:t>population by age</w:t>
      </w:r>
      <w:r w:rsidR="00AD645C">
        <w:t>.</w:t>
      </w:r>
      <w:r w:rsidR="00C47B5C">
        <w:t xml:space="preserve"> </w:t>
      </w:r>
      <w:r w:rsidR="00AD645C">
        <w:t>Relative risks of death by age have been computed for each cause using the entire pooled dataset on medically certified causes of death.</w:t>
      </w:r>
      <w:r w:rsidR="00C47B5C">
        <w:t xml:space="preserve"> </w:t>
      </w:r>
      <w:r w:rsidR="0078003E">
        <w:t>In the few cases</w:t>
      </w:r>
      <w:r w:rsidR="00A86C74">
        <w:t xml:space="preserve"> where studies report deaths for both sexes combined, a similar approach is used to allocate these deaths to age-sex groups.</w:t>
      </w:r>
      <w:r w:rsidR="00C47B5C">
        <w:t xml:space="preserve"> </w:t>
      </w:r>
      <w:r w:rsidR="00F330CC">
        <w:t>The webappendix</w:t>
      </w:r>
      <w:r w:rsidR="00974F68">
        <w:rPr>
          <w:b/>
        </w:rPr>
        <w:t xml:space="preserve"> </w:t>
      </w:r>
      <w:r w:rsidR="00AD645C" w:rsidRPr="00AD645C">
        <w:t>provides more detail on the develop</w:t>
      </w:r>
      <w:r w:rsidR="00A86C74">
        <w:t xml:space="preserve">ment of the age splitting model and the age-sex splitting model. </w:t>
      </w:r>
    </w:p>
    <w:p w:rsidR="009C6E10" w:rsidRDefault="008417B6" w:rsidP="008417B6">
      <w:pPr>
        <w:pStyle w:val="Heading3"/>
        <w:ind w:left="360"/>
      </w:pPr>
      <w:r>
        <w:t xml:space="preserve">Step 5. </w:t>
      </w:r>
      <w:r w:rsidR="00D11DA0">
        <w:t xml:space="preserve">Smoothing </w:t>
      </w:r>
    </w:p>
    <w:p w:rsidR="00D11DA0" w:rsidRPr="00B80775" w:rsidRDefault="00D11DA0" w:rsidP="00D11DA0">
      <w:r>
        <w:t>For some causes in some countries, the number of deaths observed in a year is very low</w:t>
      </w:r>
      <w:r w:rsidR="00FC6882">
        <w:t xml:space="preserve">; </w:t>
      </w:r>
      <w:r w:rsidR="00FA1530">
        <w:t>zero</w:t>
      </w:r>
      <w:r w:rsidR="004E30BB">
        <w:t>, one</w:t>
      </w:r>
      <w:r w:rsidR="00CA6809">
        <w:t>,</w:t>
      </w:r>
      <w:r w:rsidR="004E30BB">
        <w:t xml:space="preserve"> or two </w:t>
      </w:r>
      <w:r w:rsidR="00FA1530">
        <w:t xml:space="preserve">deaths </w:t>
      </w:r>
      <w:r w:rsidR="004E30BB">
        <w:t>may be</w:t>
      </w:r>
      <w:r w:rsidR="00FA1530">
        <w:t xml:space="preserve"> observed in some years due to stochastic fluctuation.</w:t>
      </w:r>
      <w:r w:rsidR="00C47B5C">
        <w:t xml:space="preserve"> </w:t>
      </w:r>
      <w:r w:rsidR="00FA1530">
        <w:t>For models using the lo</w:t>
      </w:r>
      <w:r w:rsidR="00B80775">
        <w:t xml:space="preserve">g of the death rate, </w:t>
      </w:r>
      <w:r w:rsidR="00FA1530">
        <w:t>observations</w:t>
      </w:r>
      <w:r w:rsidR="00B80775">
        <w:t xml:space="preserve"> that record zero deaths</w:t>
      </w:r>
      <w:r w:rsidR="00FA1530">
        <w:t xml:space="preserve"> are </w:t>
      </w:r>
      <w:r w:rsidR="00967AD2">
        <w:t xml:space="preserve">either </w:t>
      </w:r>
      <w:r w:rsidR="00FA1530">
        <w:t>dropped or an arbitrary small number is substituted for zero observations</w:t>
      </w:r>
      <w:r w:rsidR="003B5617">
        <w:t>;</w:t>
      </w:r>
      <w:r w:rsidR="00FA1530">
        <w:t xml:space="preserve"> both approaches can lead to bias.</w:t>
      </w:r>
      <w:r w:rsidR="00C47B5C">
        <w:t xml:space="preserve"> </w:t>
      </w:r>
      <w:r w:rsidR="00FA1530">
        <w:t>This problem is exacerbated in modeling strategies that attempt to capture spatial and temporal correlation structure.</w:t>
      </w:r>
      <w:r w:rsidR="00C47B5C">
        <w:t xml:space="preserve"> </w:t>
      </w:r>
      <w:r w:rsidR="00FA1530">
        <w:t xml:space="preserve">In cases where multiple years for a country-cause-age group are observed with zero deaths, we have used a standardized smoothing algorithm, </w:t>
      </w:r>
      <w:r w:rsidR="003B5617">
        <w:t>essentially</w:t>
      </w:r>
      <w:r w:rsidR="00FA1530">
        <w:t xml:space="preserve"> a type of moving average</w:t>
      </w:r>
      <w:r w:rsidR="008B0CB3">
        <w:t>, as described</w:t>
      </w:r>
      <w:r w:rsidR="00FA1530" w:rsidRPr="00B80775">
        <w:t xml:space="preserve"> in</w:t>
      </w:r>
      <w:r w:rsidR="00FA1530" w:rsidRPr="00F330CC">
        <w:t xml:space="preserve"> </w:t>
      </w:r>
      <w:r w:rsidR="00F330CC" w:rsidRPr="00F330CC">
        <w:t>the webappendix</w:t>
      </w:r>
      <w:r w:rsidR="00FA1530" w:rsidRPr="00F330CC">
        <w:t>.</w:t>
      </w:r>
      <w:r w:rsidR="00FA1530" w:rsidRPr="00B80775">
        <w:t xml:space="preserve"> </w:t>
      </w:r>
    </w:p>
    <w:p w:rsidR="00F849FB" w:rsidRDefault="008417B6" w:rsidP="008417B6">
      <w:pPr>
        <w:pStyle w:val="Heading3"/>
        <w:ind w:left="360"/>
      </w:pPr>
      <w:r>
        <w:t xml:space="preserve">Step 6. </w:t>
      </w:r>
      <w:r w:rsidR="00F849FB">
        <w:t xml:space="preserve">Outlier </w:t>
      </w:r>
      <w:r>
        <w:t>d</w:t>
      </w:r>
      <w:r w:rsidR="00F849FB">
        <w:t xml:space="preserve">etection </w:t>
      </w:r>
    </w:p>
    <w:p w:rsidR="00F849FB" w:rsidRDefault="00F849FB" w:rsidP="00F849FB">
      <w:r>
        <w:t xml:space="preserve">Despite these efforts to enhance quality and comparability, the </w:t>
      </w:r>
      <w:r w:rsidR="003B5617">
        <w:t>data from some sources</w:t>
      </w:r>
      <w:r w:rsidR="00B80775">
        <w:t xml:space="preserve"> appear completely implausible</w:t>
      </w:r>
      <w:r>
        <w:t>.</w:t>
      </w:r>
      <w:r w:rsidR="00C47B5C">
        <w:t xml:space="preserve"> </w:t>
      </w:r>
      <w:r>
        <w:t>Whe</w:t>
      </w:r>
      <w:r w:rsidR="00412835">
        <w:t>re</w:t>
      </w:r>
      <w:r>
        <w:t xml:space="preserve"> these s</w:t>
      </w:r>
      <w:r w:rsidR="00412835">
        <w:t>ources</w:t>
      </w:r>
      <w:r>
        <w:t xml:space="preserve"> are one of many in a country for a </w:t>
      </w:r>
      <w:r w:rsidR="00412835">
        <w:t xml:space="preserve">given </w:t>
      </w:r>
      <w:r>
        <w:t>cause, they have little effect on the results.</w:t>
      </w:r>
      <w:r w:rsidR="00C47B5C">
        <w:t xml:space="preserve"> </w:t>
      </w:r>
      <w:r>
        <w:t>In some cases, however, time series estimation can be substantially affected by these outliers.</w:t>
      </w:r>
      <w:r w:rsidR="00C47B5C">
        <w:t xml:space="preserve"> </w:t>
      </w:r>
      <w:r>
        <w:t>We have identified outliers that meet the following criteria: large inconsistency with other data for the same cause in the same country</w:t>
      </w:r>
      <w:r w:rsidR="00412835">
        <w:t xml:space="preserve"> at the same time</w:t>
      </w:r>
      <w:r w:rsidR="00B80775">
        <w:t>;</w:t>
      </w:r>
      <w:r>
        <w:t xml:space="preserve"> large inconsistency with o</w:t>
      </w:r>
      <w:r w:rsidR="00B80775">
        <w:t>ther data for similar countries;</w:t>
      </w:r>
      <w:r w:rsidR="00FC6882">
        <w:t xml:space="preserve"> </w:t>
      </w:r>
      <w:r w:rsidR="00412835">
        <w:t xml:space="preserve">or </w:t>
      </w:r>
      <w:r>
        <w:t xml:space="preserve">disproportionate </w:t>
      </w:r>
      <w:r w:rsidR="00412835">
        <w:t>e</w:t>
      </w:r>
      <w:r>
        <w:t>ffect on time series estimation.</w:t>
      </w:r>
      <w:r w:rsidR="00C47B5C">
        <w:t xml:space="preserve"> </w:t>
      </w:r>
      <w:r>
        <w:t>In these cases, the obse</w:t>
      </w:r>
      <w:r w:rsidR="00FC6882">
        <w:t xml:space="preserve">rvation has been excluded from </w:t>
      </w:r>
      <w:r>
        <w:t xml:space="preserve">subsequent analysis. </w:t>
      </w:r>
      <w:r w:rsidR="002A21AF">
        <w:t xml:space="preserve"> The interpretation of large inconsistency or disproportionate effect varies by cause and has been based on the consensus of the investigators. </w:t>
      </w:r>
    </w:p>
    <w:p w:rsidR="008A083B" w:rsidRDefault="008A083B" w:rsidP="008A083B">
      <w:pPr>
        <w:pStyle w:val="Heading2"/>
      </w:pPr>
      <w:r>
        <w:t xml:space="preserve">Modeling </w:t>
      </w:r>
      <w:r w:rsidR="00FA734B">
        <w:t>i</w:t>
      </w:r>
      <w:r>
        <w:t xml:space="preserve">ndividual </w:t>
      </w:r>
      <w:r w:rsidR="00FA734B">
        <w:t>c</w:t>
      </w:r>
      <w:r>
        <w:t xml:space="preserve">auses of </w:t>
      </w:r>
      <w:r w:rsidR="00FA734B">
        <w:t>d</w:t>
      </w:r>
      <w:r>
        <w:t>eath</w:t>
      </w:r>
    </w:p>
    <w:p w:rsidR="00506D0C" w:rsidRDefault="00506D0C" w:rsidP="008A083B">
      <w:r>
        <w:t xml:space="preserve">We have used </w:t>
      </w:r>
      <w:r w:rsidR="007923AF">
        <w:t>six</w:t>
      </w:r>
      <w:r>
        <w:t xml:space="preserve"> different modeling strategies </w:t>
      </w:r>
      <w:r w:rsidR="009B5366">
        <w:t xml:space="preserve">for causes of death </w:t>
      </w:r>
      <w:r>
        <w:t xml:space="preserve">depending on the strength of the </w:t>
      </w:r>
      <w:r w:rsidR="009B5366">
        <w:t xml:space="preserve">available </w:t>
      </w:r>
      <w:r>
        <w:t>data.</w:t>
      </w:r>
      <w:r w:rsidR="00C47B5C">
        <w:t xml:space="preserve"> </w:t>
      </w:r>
      <w:r w:rsidR="00F330CC" w:rsidRPr="00F330CC">
        <w:rPr>
          <w:b/>
        </w:rPr>
        <w:t>Web</w:t>
      </w:r>
      <w:r w:rsidR="002A21AF">
        <w:t xml:space="preserve"> </w:t>
      </w:r>
      <w:r w:rsidR="008A083B" w:rsidRPr="00577E82">
        <w:rPr>
          <w:b/>
        </w:rPr>
        <w:t xml:space="preserve">Table </w:t>
      </w:r>
      <w:r w:rsidR="00F330CC">
        <w:rPr>
          <w:b/>
        </w:rPr>
        <w:t>5</w:t>
      </w:r>
      <w:r>
        <w:t xml:space="preserve"> indicates the modeling strategy used for each cause; </w:t>
      </w:r>
      <w:r w:rsidR="009B5366">
        <w:t>in the table “</w:t>
      </w:r>
      <w:r>
        <w:t>aggregation</w:t>
      </w:r>
      <w:r w:rsidR="009B5366">
        <w:t>”</w:t>
      </w:r>
      <w:r>
        <w:t xml:space="preserve"> means that the parent cause in the hierarchy is simply the sum of the causes under that rubric.</w:t>
      </w:r>
      <w:r w:rsidR="00C47B5C">
        <w:t xml:space="preserve"> </w:t>
      </w:r>
      <w:r w:rsidR="006955E6">
        <w:t>In the following section, we provide more detail on the different modeling strategies used.</w:t>
      </w:r>
      <w:r w:rsidR="00C47B5C">
        <w:t xml:space="preserve"> </w:t>
      </w:r>
      <w:r w:rsidR="006955E6">
        <w:t>All of the strategies, however, have been designed to generate uncertainty distributions for the cause-specific death rate by age, sex, country</w:t>
      </w:r>
      <w:r w:rsidR="00CA6809">
        <w:t>,</w:t>
      </w:r>
      <w:r w:rsidR="006955E6">
        <w:t xml:space="preserve"> and year.</w:t>
      </w:r>
      <w:r w:rsidR="00C47B5C">
        <w:t xml:space="preserve"> </w:t>
      </w:r>
      <w:r w:rsidR="006955E6">
        <w:t>We have attempted to capture uncertainty due to model parameter estimation, model specification</w:t>
      </w:r>
      <w:r w:rsidR="00C965A5">
        <w:t>,</w:t>
      </w:r>
      <w:r w:rsidR="006955E6">
        <w:t xml:space="preserve"> and</w:t>
      </w:r>
      <w:r w:rsidR="005F7565">
        <w:t xml:space="preserve"> fundamental uncertainty.</w:t>
      </w:r>
      <w:r w:rsidR="00C47B5C">
        <w:t xml:space="preserve"> </w:t>
      </w:r>
      <w:r w:rsidR="005F7565">
        <w:t xml:space="preserve">For </w:t>
      </w:r>
      <w:r w:rsidR="0011740B">
        <w:t>Cause of Death Ensemble Modeling (</w:t>
      </w:r>
      <w:r w:rsidR="005F7565">
        <w:t>C</w:t>
      </w:r>
      <w:r w:rsidR="006955E6">
        <w:t>ODEm</w:t>
      </w:r>
      <w:r w:rsidR="0011740B">
        <w:t>)</w:t>
      </w:r>
      <w:r w:rsidR="006955E6">
        <w:t xml:space="preserve">, the validity of uncertainty distributions has been </w:t>
      </w:r>
      <w:r w:rsidR="009B5366">
        <w:t>assessed</w:t>
      </w:r>
      <w:r w:rsidR="006955E6">
        <w:t>.</w:t>
      </w:r>
      <w:r w:rsidR="00C47B5C">
        <w:t xml:space="preserve"> </w:t>
      </w:r>
      <w:r w:rsidR="009B5366">
        <w:t xml:space="preserve"> The un</w:t>
      </w:r>
      <w:r w:rsidR="006955E6">
        <w:t xml:space="preserve">certainty </w:t>
      </w:r>
      <w:r w:rsidR="009B5366">
        <w:t xml:space="preserve">distribution for a cause for a given country, year, age and sex group from the modeling process </w:t>
      </w:r>
      <w:r w:rsidR="006955E6">
        <w:t>is propagated into computation of</w:t>
      </w:r>
      <w:r w:rsidR="00D647BA">
        <w:t xml:space="preserve"> years of life lost due to premature mortality</w:t>
      </w:r>
      <w:r w:rsidR="006955E6">
        <w:t xml:space="preserve"> </w:t>
      </w:r>
      <w:r w:rsidR="00D647BA">
        <w:t>(</w:t>
      </w:r>
      <w:r w:rsidR="006955E6">
        <w:t>YLLs</w:t>
      </w:r>
      <w:r w:rsidR="00D647BA">
        <w:t>)</w:t>
      </w:r>
      <w:r w:rsidR="006955E6">
        <w:t xml:space="preserve"> and </w:t>
      </w:r>
      <w:r w:rsidR="009B5366">
        <w:t>various</w:t>
      </w:r>
      <w:r w:rsidR="006955E6">
        <w:t xml:space="preserve"> geographic </w:t>
      </w:r>
      <w:r w:rsidR="009B5366">
        <w:t xml:space="preserve">and age-sex </w:t>
      </w:r>
      <w:r w:rsidR="006955E6">
        <w:t xml:space="preserve">aggregates by sampling </w:t>
      </w:r>
      <w:r w:rsidR="00002B5C">
        <w:t>1</w:t>
      </w:r>
      <w:r w:rsidR="004C4020">
        <w:t>,</w:t>
      </w:r>
      <w:r w:rsidR="00002B5C">
        <w:t>000 draws from the posterior distribution.</w:t>
      </w:r>
      <w:r w:rsidR="00C47B5C">
        <w:t xml:space="preserve"> </w:t>
      </w:r>
    </w:p>
    <w:p w:rsidR="00506D0C" w:rsidRDefault="00506D0C" w:rsidP="00506D0C">
      <w:pPr>
        <w:pStyle w:val="Heading3"/>
      </w:pPr>
      <w:r>
        <w:lastRenderedPageBreak/>
        <w:t>C</w:t>
      </w:r>
      <w:r w:rsidR="005F7565">
        <w:t xml:space="preserve">ause of Death Ensemble </w:t>
      </w:r>
      <w:r w:rsidR="00FA734B">
        <w:t>m</w:t>
      </w:r>
      <w:r w:rsidR="005F7565">
        <w:t>odeling (CO</w:t>
      </w:r>
      <w:r>
        <w:t>DEm</w:t>
      </w:r>
      <w:r w:rsidR="005F7565">
        <w:t>)</w:t>
      </w:r>
    </w:p>
    <w:p w:rsidR="00A80C07" w:rsidRDefault="00506D0C" w:rsidP="008A083B">
      <w:r>
        <w:t xml:space="preserve">For </w:t>
      </w:r>
      <w:r w:rsidR="005E5D5E">
        <w:t>all major causes of death except for HIV</w:t>
      </w:r>
      <w:r w:rsidR="0011740B">
        <w:t>/AIDS</w:t>
      </w:r>
      <w:r w:rsidR="005E5D5E">
        <w:t xml:space="preserve"> and measles</w:t>
      </w:r>
      <w:r>
        <w:t xml:space="preserve">, we have used cause of death ensemble </w:t>
      </w:r>
      <w:r w:rsidRPr="00685E0B">
        <w:t>modeling (CODEm)</w:t>
      </w:r>
      <w:r w:rsidR="00392C8F">
        <w:t xml:space="preserve"> – 133</w:t>
      </w:r>
      <w:r w:rsidR="006432B8">
        <w:t xml:space="preserve"> causes in the cause list and three other special aggregates</w:t>
      </w:r>
      <w:r w:rsidR="00685E0B">
        <w:t>.</w:t>
      </w:r>
      <w:r w:rsidR="00C47B5C">
        <w:t xml:space="preserve"> </w:t>
      </w:r>
      <w:r>
        <w:t>CODEm has been used to analyze maternal mortality, breast and cervical cancer mortality</w:t>
      </w:r>
      <w:r w:rsidR="00012D0C">
        <w:t>,</w:t>
      </w:r>
      <w:r>
        <w:t xml:space="preserve"> and malaria mortality in published studie</w:t>
      </w:r>
      <w:r w:rsidR="00685E0B">
        <w:t>s</w:t>
      </w:r>
      <w:r>
        <w:t>.</w:t>
      </w:r>
      <w:r w:rsidR="00FD2A6F">
        <w:fldChar w:fldCharType="begin"/>
      </w:r>
      <w:r w:rsidR="00355799">
        <w:instrText xml:space="preserve"> ADDIN ZOTERO_ITEM CSL_CITATION {"citationID":"2m8kedmkat","properties":{"formattedCitation":"{\\rtf \\super 22,25,31\\nosupersub{}}","plainCitation":"22,25,31"},"citationItems":[{"id":4725,"uris":["http://zotero.org/groups/21876/items/J6TQC6CQ"],"uri":["http://zotero.org/groups/21876/items/J6TQC6CQ"],"itemData":{"id":4725,"type":"article-journal","title":"Breast and cervical cancer in 187 countries between 1980 and 2010: a systematic analysis","container-title":"The Lancet","page":"1461-1484","volume":"378","issue":"9801","abstract":"SummaryBackground\nBreast and cervical cancer are important causes of mortality in women aged ≥15 years. We undertook annual age-specific assessments of breast and cervical cancer in 187 countries.\nMethods\nWe systematically collected cancer registry data on mortality and incidence, vital registration, and verbal autopsy data for the period 1980–2010. We modelled the mortality-to-incidence (MI) ratio using a hierarchical model. Vital registration and verbal autopsy were supplemented with incidence multiplied by the MI ratio to yield a comprehensive database of mortality rates. We used Gaussian process regression to develop estimates of mortality with uncertainty by age, sex, country, and year. We used out-of-sample predictive validity to select the final model. Estimates of incidence with uncertainty were also generated with mortality and MI ratios.\nFindings\nGlobal breast cancer incidence increased from 641 000 (95% uncertainty intervals 610 000–750 000) cases in 1980 to 1 643 000 (1 421 000–1 782 000) cases in 2010, an annual rate of increase of 3·1%. Global cervical cancer incidence increased from 378 000 (256 000–489 000) cases per year in 1980 to 454 000 (318 000–620 000) cases per year in 2010—a 0·6% annual rate of increase. Breast cancer killed 425 000 (359 000–453 000) women in 2010, of whom 68 000 (62 000–74 000) were aged 15–49 years in developing countries. Cervical cancer death rates have been decreasing but the disease still killed 200 000 (139 000–276 000) women in 2010, of whom 46 000 (33 000–64 000) were aged 15–49 years in developing countries. We recorded pronounced variation in the trend in breast cancer mortality across regions and countries.\nInterpretation\nMore policy attention is needed to strengthen established health-system responses to reduce breast and cervical cancer, especially in developing countries.\nFunding\nSusan G Komen for the Cure and the Bill &amp;amp; Melinda Gates Foundation.","DOI":"10.1016/S0140-6736(11)61351-2","call-number":"0018","shortTitle":"Breast and cervical cancer in 187 countries between 1980 and 2010","author":[{"family":"Forouzanfar","given":"Mohammad H"},{"family":"Foreman","given":"Kyle J"},{"family":"Delossantos","given":"Allyne M"},{"family":"Lozano","given":"Rafael"},{"family":"Lopez","given":"Alan D"},{"family":"Murray","given":"Christopher J L"},{"family":"Naghavi","given":"Mohsen"}],"issued":{"literal":"22"},"page-first":"1461"},"label":"page"},{"id":8362,"uris":["http://zotero.org/groups/21876/items/XPQP7A9G"],"uri":["http://zotero.org/groups/21876/items/XPQP7A9G"],"itemData":{"id":8362,"type":"article-journal","title":"Maternal mortality for 181 countries, 1980–2008: a systematic analysis of progress towards Millennium Development Goal 5","container-title":"The Lancet","page":"1609-1623","volume":"375","issue":"9726","abstract":"SummaryBackground\nMaternal mortality remains a major challenge to health systems worldwide. Reliable information about the rates and trends in maternal mortality is essential for resource mobilisation, and for planning and assessment of progress towards Millennium Development Goal 5 (MDG 5), the target for which is a 75% reduction in the maternal mortality ratio (MMR) from 1990 to 2015. We assessed levels and trends in maternal mortality for 181 countries.\nMethods\nWe constructed a database of 2651 observations of maternal mortality for 181 countries for 1980–2008, from vital registration data, censuses, surveys, and verbal autopsy studies. We used robust analytical methods to generate estimates of maternal deaths and the MMR for each year between 1980 and 2008. We explored the sensitivity of our data to model specification and show the out-of-sample predictive validity of our methods.\nFindings\nWe estimated that there were 342 900 (uncertainty interval 302 100–394 300) maternal deaths worldwide in 2008, down from 526 300 (446 400–629 600) in 1980. The global MMR decreased from 422 (358–505) in 1980 to 320 (272–388) in 1990, and was 251 (221–289) per 100 000 livebirths in 2008. The yearly rate of decline of the global MMR since 1990 was 1·3% (1·0–1·5). During 1990–2008, rates of yearly decline in the MMR varied between countries, from 8·8% (8·7–14·1) in the Maldives to an increase of 5·5% (5·2–5·6) in Zimbabwe. More than 50% of all maternal deaths were in only six countries in 2008 (India, Nigeria, Pakistan, Afghanistan, Ethiopia, and the Democratic Republic of the Congo). In the absence of HIV, there would have been 281 500 (243 900–327 900) maternal deaths worldwide in 2008.\nInterpretation\nSubstantial, albeit varied, progress has been made towards MDG 5. Although only 23 countries are on track to achieve a 75% decrease in MMR by 2015, countries such as Egypt, China, Ecuador, and Bolivia have been achieving accelerated progress.\nFunding\nBill &amp;amp; Melinda Gates Foundation.","DOI":"10.1016/S0140-6736(10)60518-1","shortTitle":"Maternal mortality for 181 countries, 1980–2008","author":[{"family":"Hogan","given":"Margaret C"},{"family":"Foreman","given":"Kyle J"},{"family":"Naghavi","given":"Mohsen"},{"family":"Ahn","given":"Stephanie Y"},{"family":"Wang","given":"Mengru"},{"family":"Makela","given":"Susanna M"},{"family":"Lopez","given":"Alan D"},{"family":"Lozano","given":"Rafael"},{"family":"Murray","given":"Christopher JL"}],"issued":{"literal":"8"},"page-first":"1609"},"label":"page"},{"id":7348,"uris":["http://zotero.org/groups/21876/items/TVPCAQVB"],"uri":["http://zotero.org/groups/21876/items/TVPCAQVB"],"itemData":{"id":7348,"type":"article-journal","title":"Global malaria mortality between 1980 and 2010: a systematic analysis","container-title":"The Lancet","page":"413-431","volume":"379","issue":"9814","abstract":"SummaryBackground\nDuring the past decade, renewed global and national efforts to combat malaria have led to ambitious goals. We aimed to provide an accurate assessment of the levels and time trends in malaria mortality to aid assessment of progress towards these goals and the focusing of future efforts.\nMethods\nWe systematically collected all available data for malaria mortality for the period 1980–2010, correcting for misclassification bias. We developed a range of predictive models, including ensemble models, to estimate malaria mortality with uncertainty by age, sex, country, and year. We used key predictors of malaria mortality such as Plasmodium falciparum parasite prevalence, first-line antimalarial drug resistance, and vector control. We used out-of-sample predictive validity to select the final model.\nFindings\nGlobal malaria deaths increased from 995 000 (95% uncertainty interval 711 000–1 412 000) in 1980 to a peak of 1 817 000 (1 430 000–2 366 000) in 2004, decreasing to 1 238 000 (929 000–1 685 000) in 2010. In Africa, malaria deaths increased from 493 000 (290 000–747 000) in 1980 to 1 613 000 (1 243 000–2 145 000) in 2004, decreasing by about 30% to 1 133 000 (848 000–1 591 000) in 2010. Outside of Africa, malaria deaths have steadily decreased from 502 000 (322 000–833 000) in 1980 to 104 000 (45 000–191 000) in 2010. We estimated more deaths in individuals aged 5 years or older than has been estimated in previous studies: 435 000 (307 000–658 000) deaths in Africa and 89 000 (33 000–177 000) deaths outside of Africa in 2010.\nInterpretation\nOur findings show that the malaria mortality burden is larger than previously estimated, especially in adults. There has been a rapid decrease in malaria mortality in Africa because of the scaling up of control activities supported by international donors. Donor support, however, needs to be increased if malaria elimination and eradication and broader health and development goals are to be met.\nFunding\nThe Bill &amp;amp; Melinda Gates Foundation.","DOI":"10.1016/S0140-6736(12)60034-8","shortTitle":"Global malaria mortality between 1980 and 2010","author":[{"family":"Murray","given":"Christopher JL"},{"family":"Rosenfeld","given":"Lisa C"},{"family":"Lim","given":"Stephen S"},{"family":"Andrews","given":"Kathryn G"},{"family":"Foreman","given":"Kyle J"},{"family":"Haring","given":"Diana"},{"family":"Fullman","given":"Nancy"},{"family":"Naghavi","given":"Mohsen"},{"family":"Lozano","given":"Rafael"},{"family":"Lopez","given":"Alan D"}],"issued":{"literal":"4"},"page-first":"413"},"label":"page"}],"schema":"https://github.com/citation-style-language/schema/raw/master/csl-citation.json"} </w:instrText>
      </w:r>
      <w:r w:rsidR="00FD2A6F">
        <w:fldChar w:fldCharType="separate"/>
      </w:r>
      <w:r w:rsidR="002442FC" w:rsidRPr="002442FC">
        <w:rPr>
          <w:rFonts w:ascii="Calibri" w:hAnsi="Calibri" w:cs="Calibri"/>
          <w:szCs w:val="24"/>
          <w:vertAlign w:val="superscript"/>
        </w:rPr>
        <w:t>22,25,31</w:t>
      </w:r>
      <w:r w:rsidR="00FD2A6F">
        <w:fldChar w:fldCharType="end"/>
      </w:r>
      <w:r w:rsidR="00C47B5C">
        <w:t xml:space="preserve"> </w:t>
      </w:r>
      <w:r>
        <w:t xml:space="preserve">The logic and development of CODEm </w:t>
      </w:r>
      <w:r w:rsidR="00F91E74">
        <w:t>is reported in detail elsewhere.</w:t>
      </w:r>
      <w:r w:rsidR="00FD2A6F">
        <w:fldChar w:fldCharType="begin"/>
      </w:r>
      <w:r w:rsidR="00355799">
        <w:instrText xml:space="preserve"> ADDIN ZOTERO_ITEM CSL_CITATION {"citationID":"9Tyn0Ktb","properties":{"formattedCitation":"{\\rtf \\super 38\\nosupersub{}}","plainCitation":"38"},"citationItems":[{"id":2191,"uris":["http://zotero.org/groups/21876/items/9MATMDTX"],"uri":["http://zotero.org/groups/21876/items/9MATMDTX"],"itemData":{"id":2191,"type":"article-journal","title":"Modeling causes of death: an integrated approach using CODEm","container-title":"Population health metrics","page":"1","volume":"10","abstract":"UNLABELLED\n\nABSTRACT:\n\n\nBACKGROUND\n\nData on causes of death by age and sex are a critical input into health decision-making. Priority setting in public health should be informed not only by the current magnitude of health problems but by trends in them. However, cause of death data are often not available or are subject to substantial problems of comparability. We propose five general principles for cause of death model development, validation, and reporting.\n\n\nMETHODS\n\nWe detail a specific implementation of these principles that is embodied in an analytical tool - the Cause of Death Ensemble model (CODEm) - which explores a large variety of possible models to estimate trends in causes of death. Possible models are identified using a covariate selection algorithm that yields many plausible combinations of covariates, which are then run through four model classes. The model classes include mixed effects linear models and spatial-temporal Gaussian Process Regression models for cause fractions and death rates. All models for each cause of death are then assessed using out-of-sample predictive validity and combined into an ensemble with optimal out-of-sample predictive performance.\n\n\nRESULTS\n\nEnsemble models for cause of death estimation outperform any single component model in tests of root mean square error, frequency of predicting correct temporal trends, and achieving 95% coverage of the prediction interval. We present detailed results for CODEm applied to maternal mortality and summary results for several other causes of death, including cardiovascular disease and several cancers.\n\n\nCONCLUSIONS\n\nCODEm produces better estimates of cause of death trends than previous methods and is less susceptible to bias in model specification. We demonstrate the utility of CODEm for the estimation of several major causes of death.","DOI":"10.1186/1478-7954-10-1","call-number":"0000","note":"PMID: 22226226","shortTitle":"Modeling causes of death","journalAbbreviation":"Popul Health Metr","author":[{"family":"Foreman","given":"KJ"},{"family":"Lozano","given":"R"},{"family":"Lopez","given":"AD"},{"family":"Murray","given":"CJL"}],"issued":{"year":2012},"accessed":{"year":2012,"month":6,"day":5},"page-first":"1"}}],"schema":"https://github.com/citation-style-language/schema/raw/master/csl-citation.json"} </w:instrText>
      </w:r>
      <w:r w:rsidR="00FD2A6F">
        <w:fldChar w:fldCharType="separate"/>
      </w:r>
      <w:r w:rsidR="00446C91" w:rsidRPr="00446C91">
        <w:rPr>
          <w:rFonts w:ascii="Calibri" w:hAnsi="Calibri" w:cs="Calibri"/>
          <w:szCs w:val="24"/>
          <w:vertAlign w:val="superscript"/>
        </w:rPr>
        <w:t>38</w:t>
      </w:r>
      <w:r w:rsidR="00FD2A6F">
        <w:fldChar w:fldCharType="end"/>
      </w:r>
      <w:r w:rsidR="00C47B5C">
        <w:t xml:space="preserve"> </w:t>
      </w:r>
      <w:r w:rsidR="00F91E74">
        <w:t xml:space="preserve">In brief, CODEm develops </w:t>
      </w:r>
      <w:r w:rsidR="00A80C07">
        <w:t>models following three steps.</w:t>
      </w:r>
      <w:r w:rsidR="00C47B5C">
        <w:t xml:space="preserve"> </w:t>
      </w:r>
    </w:p>
    <w:p w:rsidR="00A80C07" w:rsidRDefault="00A80C07" w:rsidP="00A80C07">
      <w:pPr>
        <w:pStyle w:val="ListParagraph"/>
        <w:numPr>
          <w:ilvl w:val="0"/>
          <w:numId w:val="4"/>
        </w:numPr>
      </w:pPr>
      <w:r>
        <w:t>A</w:t>
      </w:r>
      <w:r w:rsidR="00F91E74">
        <w:t xml:space="preserve"> large range of pla</w:t>
      </w:r>
      <w:r w:rsidR="00012D0C">
        <w:t xml:space="preserve">usible </w:t>
      </w:r>
      <w:r w:rsidR="00F91E74">
        <w:t xml:space="preserve">statistical models </w:t>
      </w:r>
      <w:r>
        <w:t xml:space="preserve">are developed </w:t>
      </w:r>
      <w:r w:rsidR="00F91E74">
        <w:t>for each cause.</w:t>
      </w:r>
      <w:r w:rsidR="00C47B5C">
        <w:t xml:space="preserve"> </w:t>
      </w:r>
      <w:r w:rsidR="00314D49">
        <w:t>Based on published studies, plausible relationships between covariates and the relevant cause are identified.</w:t>
      </w:r>
      <w:r w:rsidR="00C47B5C">
        <w:t xml:space="preserve"> </w:t>
      </w:r>
      <w:r w:rsidR="000A0144">
        <w:t>Essentially all</w:t>
      </w:r>
      <w:r w:rsidR="004E30BB">
        <w:t xml:space="preserve"> possible permutations of</w:t>
      </w:r>
      <w:r w:rsidR="00314D49">
        <w:t xml:space="preserve"> these</w:t>
      </w:r>
      <w:r w:rsidR="004E30BB">
        <w:t xml:space="preserve"> selected covariates are tested</w:t>
      </w:r>
      <w:r w:rsidR="000A0144">
        <w:t>.</w:t>
      </w:r>
      <w:r w:rsidR="00C47B5C">
        <w:t xml:space="preserve"> </w:t>
      </w:r>
      <w:r>
        <w:t>All</w:t>
      </w:r>
      <w:r w:rsidR="00C47B5C">
        <w:t xml:space="preserve"> </w:t>
      </w:r>
      <w:r w:rsidR="00F91E74">
        <w:t xml:space="preserve">models </w:t>
      </w:r>
      <w:r>
        <w:t xml:space="preserve">where the </w:t>
      </w:r>
      <w:r w:rsidR="00F91E74">
        <w:t xml:space="preserve">sign on the coefficient </w:t>
      </w:r>
      <w:r>
        <w:t xml:space="preserve">for a covariate </w:t>
      </w:r>
      <w:r w:rsidR="00F91E74">
        <w:t>is in the direction expected based on the literature and the coefficient is statistically significant</w:t>
      </w:r>
      <w:r>
        <w:t xml:space="preserve"> are retained</w:t>
      </w:r>
      <w:r w:rsidR="00F91E74">
        <w:t>.</w:t>
      </w:r>
      <w:r w:rsidR="00C47B5C">
        <w:t xml:space="preserve"> </w:t>
      </w:r>
      <w:r>
        <w:t xml:space="preserve">Where there are </w:t>
      </w:r>
      <w:r w:rsidRPr="00C965A5">
        <w:rPr>
          <w:i/>
        </w:rPr>
        <w:t>n</w:t>
      </w:r>
      <w:r>
        <w:t xml:space="preserve"> covariates, this means testing 2</w:t>
      </w:r>
      <w:r w:rsidRPr="00C965A5">
        <w:rPr>
          <w:i/>
          <w:vertAlign w:val="superscript"/>
        </w:rPr>
        <w:t>n</w:t>
      </w:r>
      <w:r>
        <w:t xml:space="preserve"> models.</w:t>
      </w:r>
      <w:r w:rsidR="00C47B5C">
        <w:t xml:space="preserve"> </w:t>
      </w:r>
      <w:r>
        <w:t>In addition, f</w:t>
      </w:r>
      <w:r w:rsidR="00F91E74">
        <w:t xml:space="preserve">our families of statistical models are developed using covariates: mixed effects linear models of the log of the death rate, mixed effects linear models of the logit of the cause fraction, spatial-temporal Gaussian </w:t>
      </w:r>
      <w:r w:rsidR="00891100">
        <w:t>p</w:t>
      </w:r>
      <w:r w:rsidR="00F91E74">
        <w:t xml:space="preserve">rocess </w:t>
      </w:r>
      <w:r w:rsidR="00891100">
        <w:t>r</w:t>
      </w:r>
      <w:r w:rsidR="00F91E74">
        <w:t>egression (ST-GPR) models of the log of the death rate, and ST-GPR of the logit of the cause fraction.</w:t>
      </w:r>
      <w:r w:rsidR="00C47B5C">
        <w:t xml:space="preserve"> </w:t>
      </w:r>
      <w:r>
        <w:t xml:space="preserve">Finally, </w:t>
      </w:r>
      <w:r w:rsidR="00F91E74">
        <w:t>ensemble models</w:t>
      </w:r>
      <w:r w:rsidR="00684431">
        <w:t>,</w:t>
      </w:r>
      <w:r w:rsidR="00F91E74">
        <w:t xml:space="preserve"> or blends of these various component models</w:t>
      </w:r>
      <w:r w:rsidR="00684431">
        <w:t>,</w:t>
      </w:r>
      <w:r w:rsidR="00F91E74">
        <w:t xml:space="preserve"> </w:t>
      </w:r>
      <w:r>
        <w:t>are</w:t>
      </w:r>
      <w:r w:rsidR="00F91E74">
        <w:t xml:space="preserve"> developed.</w:t>
      </w:r>
      <w:r w:rsidR="00C47B5C">
        <w:t xml:space="preserve"> </w:t>
      </w:r>
    </w:p>
    <w:p w:rsidR="00A80C07" w:rsidRDefault="00F91E74" w:rsidP="00A80C07">
      <w:pPr>
        <w:pStyle w:val="ListParagraph"/>
        <w:numPr>
          <w:ilvl w:val="0"/>
          <w:numId w:val="4"/>
        </w:numPr>
      </w:pPr>
      <w:r>
        <w:t xml:space="preserve">The performance of all component models and ensembles </w:t>
      </w:r>
      <w:r w:rsidR="00A80C07">
        <w:t>is</w:t>
      </w:r>
      <w:r>
        <w:t xml:space="preserve"> evaluated using out-of-sample predictive validity tests.</w:t>
      </w:r>
      <w:r w:rsidR="00C47B5C">
        <w:t xml:space="preserve"> </w:t>
      </w:r>
      <w:r w:rsidR="003C4772">
        <w:t xml:space="preserve">Thirty percent of the data is excluded from the initial model fits; half of that (15% of total) is used to evaluate component models and build ensembles. </w:t>
      </w:r>
      <w:r w:rsidR="00BF5822">
        <w:t>Out-of-</w:t>
      </w:r>
      <w:r w:rsidR="000A0144">
        <w:t xml:space="preserve">sample predictive validity tests are based on </w:t>
      </w:r>
      <w:r w:rsidR="003C4772">
        <w:t xml:space="preserve">comparing predictions for the remaining 15% </w:t>
      </w:r>
      <w:r w:rsidR="000A0144">
        <w:t xml:space="preserve">of the data </w:t>
      </w:r>
      <w:r w:rsidR="003C4772">
        <w:t xml:space="preserve">withheld </w:t>
      </w:r>
      <w:r w:rsidR="000A0144">
        <w:t>f</w:t>
      </w:r>
      <w:r w:rsidR="00684431">
        <w:t>rom the model building exercise</w:t>
      </w:r>
      <w:r w:rsidR="000A0144">
        <w:t xml:space="preserve"> with the actual observed data.</w:t>
      </w:r>
      <w:r w:rsidR="00C47B5C">
        <w:t xml:space="preserve"> </w:t>
      </w:r>
      <w:r w:rsidR="000A0144">
        <w:t>Data are held out from the analysis using the pattern of missingness for each cause in the cause of death database.</w:t>
      </w:r>
      <w:r w:rsidR="00C47B5C">
        <w:t xml:space="preserve"> </w:t>
      </w:r>
      <w:r w:rsidR="000A0144">
        <w:t xml:space="preserve">For example, if there are countries with no data, then </w:t>
      </w:r>
      <w:r w:rsidR="00C466CA">
        <w:t xml:space="preserve">the </w:t>
      </w:r>
      <w:r w:rsidR="000A0144">
        <w:t>algorithm will exclude all data for some countries</w:t>
      </w:r>
      <w:r w:rsidR="003C4772">
        <w:t>; if some countries only have data for children, then the algorithm will exclude all adult data for some countries</w:t>
      </w:r>
      <w:r w:rsidR="000A0144">
        <w:t>.</w:t>
      </w:r>
      <w:r w:rsidR="00C47B5C">
        <w:t xml:space="preserve"> </w:t>
      </w:r>
      <w:r w:rsidR="000A0144">
        <w:t>In this way, the out-of-sample predictive validity testing mimics the task required of a good cause of death model.</w:t>
      </w:r>
      <w:r w:rsidR="00C47B5C">
        <w:t xml:space="preserve"> </w:t>
      </w:r>
      <w:r w:rsidR="000A0144">
        <w:t>The out-of-sample predictive validity testing is repeated until stable results in terms of model results have been obtained.</w:t>
      </w:r>
      <w:r w:rsidR="00C47B5C">
        <w:t xml:space="preserve"> </w:t>
      </w:r>
      <w:r w:rsidR="000A0144">
        <w:t>Tests of out</w:t>
      </w:r>
      <w:r w:rsidR="00214AFD">
        <w:t>-</w:t>
      </w:r>
      <w:r w:rsidR="000A0144">
        <w:t>of</w:t>
      </w:r>
      <w:r w:rsidR="00214AFD">
        <w:t>-</w:t>
      </w:r>
      <w:r w:rsidR="000A0144">
        <w:t>sample performance include both the root-mean squared error of the log of the cause-specific death rate, the direction of the trend in the prediction compared to the data, and the validity of the uncertainty interval.</w:t>
      </w:r>
      <w:r w:rsidR="00C47B5C">
        <w:t xml:space="preserve"> </w:t>
      </w:r>
    </w:p>
    <w:p w:rsidR="00314D49" w:rsidRDefault="00A80C07" w:rsidP="00A80C07">
      <w:pPr>
        <w:pStyle w:val="ListParagraph"/>
        <w:numPr>
          <w:ilvl w:val="0"/>
          <w:numId w:val="4"/>
        </w:numPr>
      </w:pPr>
      <w:r>
        <w:t>Based on out-of-sample predictive validity, the best performing model or ensemble is selected.</w:t>
      </w:r>
      <w:r w:rsidR="00C47B5C">
        <w:t xml:space="preserve"> </w:t>
      </w:r>
      <w:r>
        <w:t xml:space="preserve">The rigorous </w:t>
      </w:r>
      <w:r w:rsidR="00F36AA1">
        <w:t xml:space="preserve">evaluation </w:t>
      </w:r>
      <w:r>
        <w:t xml:space="preserve">of out-of-sample performance </w:t>
      </w:r>
      <w:r w:rsidR="000A0144">
        <w:t>means that for each CODEm model, we generate objective data on the validity of the resulting uncertainty intervals.</w:t>
      </w:r>
      <w:r w:rsidR="00C47B5C">
        <w:t xml:space="preserve"> </w:t>
      </w:r>
    </w:p>
    <w:p w:rsidR="00506D0C" w:rsidRDefault="00542EE4" w:rsidP="008A083B">
      <w:r>
        <w:rPr>
          <w:b/>
        </w:rPr>
        <w:t>Web</w:t>
      </w:r>
      <w:r w:rsidR="00214AFD">
        <w:rPr>
          <w:b/>
        </w:rPr>
        <w:t xml:space="preserve"> </w:t>
      </w:r>
      <w:r w:rsidR="00314D49" w:rsidRPr="00684431">
        <w:rPr>
          <w:b/>
        </w:rPr>
        <w:t xml:space="preserve">Table </w:t>
      </w:r>
      <w:r w:rsidR="00F330CC">
        <w:rPr>
          <w:b/>
        </w:rPr>
        <w:t>6</w:t>
      </w:r>
      <w:r w:rsidR="00314D49">
        <w:t xml:space="preserve"> summarizes the performance of the CODEm models</w:t>
      </w:r>
      <w:r w:rsidR="00F954C7">
        <w:t xml:space="preserve"> developed </w:t>
      </w:r>
      <w:r w:rsidR="00F954C7" w:rsidRPr="005A3BC4">
        <w:t>for 13</w:t>
      </w:r>
      <w:r w:rsidR="00392C8F">
        <w:t>3</w:t>
      </w:r>
      <w:r w:rsidR="00F954C7" w:rsidRPr="005A3BC4">
        <w:t xml:space="preserve"> causes</w:t>
      </w:r>
      <w:r w:rsidR="00F954C7">
        <w:t xml:space="preserve"> </w:t>
      </w:r>
      <w:r w:rsidR="009B5366">
        <w:t xml:space="preserve">in the cause list </w:t>
      </w:r>
      <w:r w:rsidR="00392C8F">
        <w:t xml:space="preserve">for which we exclusively use CODEm </w:t>
      </w:r>
      <w:r w:rsidR="009B5366">
        <w:t xml:space="preserve">and three special aggregates </w:t>
      </w:r>
      <w:r w:rsidR="00F954C7">
        <w:t>in the GBD 2010</w:t>
      </w:r>
      <w:r w:rsidR="00314D49">
        <w:t>.</w:t>
      </w:r>
      <w:r w:rsidR="00C47B5C">
        <w:t xml:space="preserve"> </w:t>
      </w:r>
      <w:r w:rsidR="00EF0A39">
        <w:t>For some causes, separate models have been run for different age ranges when there is reason to believe that the relationship between covariates and death rates may be different in in different age ranges for example i</w:t>
      </w:r>
      <w:r w:rsidR="00684431">
        <w:t>n children compared to adults.</w:t>
      </w:r>
      <w:r w:rsidR="00C47B5C">
        <w:t xml:space="preserve"> </w:t>
      </w:r>
      <w:r w:rsidR="00314D49">
        <w:t>For each mo</w:t>
      </w:r>
      <w:r w:rsidR="00CD22E9">
        <w:t xml:space="preserve">del, we show the in-sample root </w:t>
      </w:r>
      <w:r w:rsidR="00314D49">
        <w:t xml:space="preserve">mean squared error of the </w:t>
      </w:r>
      <w:r w:rsidR="00314D49">
        <w:lastRenderedPageBreak/>
        <w:t>log</w:t>
      </w:r>
      <w:r w:rsidR="006432B8">
        <w:t xml:space="preserve"> death rates (RMSE) and the out-</w:t>
      </w:r>
      <w:r w:rsidR="00314D49">
        <w:t>of</w:t>
      </w:r>
      <w:r w:rsidR="006432B8">
        <w:t>-</w:t>
      </w:r>
      <w:r w:rsidR="00314D49">
        <w:t>sample performance in the 15% of data not used in the model building process.</w:t>
      </w:r>
      <w:r w:rsidR="00C47B5C">
        <w:t xml:space="preserve"> </w:t>
      </w:r>
      <w:r w:rsidR="00314D49">
        <w:t>In all cases the out-of-sample performance is worse (larger RMSE) than the in-sample performance.</w:t>
      </w:r>
      <w:r w:rsidR="00C47B5C">
        <w:t xml:space="preserve"> </w:t>
      </w:r>
      <w:r w:rsidR="00314D49">
        <w:t xml:space="preserve">Of note, the gap between in-sample and out-of-sample performance </w:t>
      </w:r>
      <w:r w:rsidR="00314D49" w:rsidRPr="00650D4F">
        <w:t>varies substantially across causes</w:t>
      </w:r>
      <w:r w:rsidR="00E47FAC" w:rsidRPr="00650D4F">
        <w:t xml:space="preserve"> </w:t>
      </w:r>
      <w:r w:rsidR="006432B8">
        <w:t xml:space="preserve">- </w:t>
      </w:r>
      <w:r w:rsidR="00E47FAC" w:rsidRPr="00650D4F">
        <w:t>from mechanical forces</w:t>
      </w:r>
      <w:r w:rsidR="00CD22E9" w:rsidRPr="00650D4F">
        <w:t xml:space="preserve"> </w:t>
      </w:r>
      <w:r w:rsidR="00684E04" w:rsidRPr="00650D4F">
        <w:t>(</w:t>
      </w:r>
      <w:r w:rsidR="00CD22E9" w:rsidRPr="00650D4F">
        <w:t>firearm</w:t>
      </w:r>
      <w:r w:rsidR="00684E04" w:rsidRPr="00650D4F">
        <w:t>)</w:t>
      </w:r>
      <w:r w:rsidR="00E47FAC" w:rsidRPr="00650D4F">
        <w:t xml:space="preserve"> with the largest difference to leukemia with the smallest</w:t>
      </w:r>
      <w:r w:rsidR="00314D49" w:rsidRPr="00650D4F">
        <w:t>.</w:t>
      </w:r>
      <w:r w:rsidR="00C47B5C" w:rsidRPr="00650D4F">
        <w:t xml:space="preserve"> </w:t>
      </w:r>
      <w:r w:rsidR="00E47FAC" w:rsidRPr="00650D4F">
        <w:t>Out-of-sample performance also var</w:t>
      </w:r>
      <w:r w:rsidR="009C2253" w:rsidRPr="00650D4F">
        <w:t>ies substantially across causes; kidney</w:t>
      </w:r>
      <w:r w:rsidR="00F82F3D" w:rsidRPr="00650D4F">
        <w:t xml:space="preserve"> cancer has the largest RMSE </w:t>
      </w:r>
      <w:r w:rsidR="00FA734B">
        <w:t xml:space="preserve">in females </w:t>
      </w:r>
      <w:r w:rsidR="00F82F3D" w:rsidRPr="00650D4F">
        <w:t>(2·</w:t>
      </w:r>
      <w:r w:rsidR="009C2253" w:rsidRPr="00650D4F">
        <w:t>039) and the smallest RMSE is for cardiovascular and circulatory disease in males (0</w:t>
      </w:r>
      <w:r w:rsidR="00F82F3D" w:rsidRPr="00650D4F">
        <w:t>·</w:t>
      </w:r>
      <w:r w:rsidR="009C2253" w:rsidRPr="00650D4F">
        <w:t>555).</w:t>
      </w:r>
      <w:r w:rsidR="00C47B5C" w:rsidRPr="00650D4F">
        <w:t xml:space="preserve"> </w:t>
      </w:r>
      <w:r w:rsidR="00650D4F" w:rsidRPr="00650D4F">
        <w:t xml:space="preserve">Over </w:t>
      </w:r>
      <w:r w:rsidR="006432B8">
        <w:t>50%</w:t>
      </w:r>
      <w:r w:rsidR="009C2253" w:rsidRPr="00650D4F">
        <w:t xml:space="preserve"> of the models in </w:t>
      </w:r>
      <w:r w:rsidRPr="00FA734B">
        <w:rPr>
          <w:b/>
        </w:rPr>
        <w:t xml:space="preserve">Web </w:t>
      </w:r>
      <w:r w:rsidR="00F330CC" w:rsidRPr="00FA734B">
        <w:rPr>
          <w:b/>
        </w:rPr>
        <w:t>Table 6</w:t>
      </w:r>
      <w:r w:rsidRPr="00650D4F">
        <w:t xml:space="preserve"> </w:t>
      </w:r>
      <w:r w:rsidR="009C2253" w:rsidRPr="00650D4F">
        <w:t>have an out</w:t>
      </w:r>
      <w:r w:rsidR="00F82F3D" w:rsidRPr="00650D4F">
        <w:t>-of-sample RMSE of less than 1</w:t>
      </w:r>
      <w:r w:rsidR="009C2253" w:rsidRPr="00650D4F">
        <w:t>.</w:t>
      </w:r>
      <w:r w:rsidR="00C47B5C" w:rsidRPr="00650D4F">
        <w:t xml:space="preserve"> </w:t>
      </w:r>
      <w:r w:rsidR="00EF0A39" w:rsidRPr="00650D4F">
        <w:t>The next columns provide the assessment of how often the model predicts the trend from year to year observed in the data.</w:t>
      </w:r>
      <w:r w:rsidR="00C47B5C" w:rsidRPr="00650D4F">
        <w:t xml:space="preserve"> </w:t>
      </w:r>
      <w:r w:rsidR="00EF0A39" w:rsidRPr="00650D4F">
        <w:t xml:space="preserve">Due to stochastic fluctuation in death rates, we do not expect a good model to </w:t>
      </w:r>
      <w:r w:rsidR="00684E04" w:rsidRPr="00650D4F">
        <w:t>predict</w:t>
      </w:r>
      <w:r w:rsidR="00EF0A39" w:rsidRPr="00650D4F">
        <w:t xml:space="preserve"> the trend observe</w:t>
      </w:r>
      <w:r w:rsidR="00684431" w:rsidRPr="00650D4F">
        <w:t>d in the data 100% of the time.</w:t>
      </w:r>
      <w:r w:rsidR="00C47B5C" w:rsidRPr="00650D4F">
        <w:t xml:space="preserve"> </w:t>
      </w:r>
      <w:r w:rsidR="00EF0A39" w:rsidRPr="00650D4F">
        <w:t>The gap between in-sample and out-of-sample trend test is less notable than the gap for the RMSE.</w:t>
      </w:r>
      <w:r w:rsidR="00C47B5C" w:rsidRPr="00650D4F">
        <w:t xml:space="preserve"> </w:t>
      </w:r>
      <w:r w:rsidR="00EF0A39" w:rsidRPr="00650D4F">
        <w:t>The final assessment of model performance is the validity of the uncertainty intervals; ideally, the 95% uncertainty interval for a model would capture 95% of the data out-of-sample.</w:t>
      </w:r>
      <w:r w:rsidR="00C47B5C" w:rsidRPr="00650D4F">
        <w:t xml:space="preserve"> </w:t>
      </w:r>
      <w:r w:rsidR="00EF0A39" w:rsidRPr="00650D4F">
        <w:t>Higher coverage suggests that uncertainty intervals are too large</w:t>
      </w:r>
      <w:r w:rsidR="00882C06" w:rsidRPr="00650D4F">
        <w:t xml:space="preserve"> and</w:t>
      </w:r>
      <w:r w:rsidR="00EF0A39" w:rsidRPr="00650D4F">
        <w:t xml:space="preserve"> lower than 95% suggest uncertainty intervals are too narrow.</w:t>
      </w:r>
      <w:r w:rsidR="00C47B5C" w:rsidRPr="00650D4F">
        <w:t xml:space="preserve"> </w:t>
      </w:r>
      <w:r w:rsidR="00EF0A39" w:rsidRPr="00650D4F">
        <w:t>Coverage across the CODEm models ranges from 9</w:t>
      </w:r>
      <w:r w:rsidR="00650D4F" w:rsidRPr="00650D4F">
        <w:t>9</w:t>
      </w:r>
      <w:r w:rsidR="002C74E1" w:rsidRPr="00650D4F">
        <w:t>·</w:t>
      </w:r>
      <w:r w:rsidR="00650D4F" w:rsidRPr="00650D4F">
        <w:t>0</w:t>
      </w:r>
      <w:r w:rsidR="00EF0A39" w:rsidRPr="00650D4F">
        <w:t xml:space="preserve">% </w:t>
      </w:r>
      <w:r w:rsidR="009C2253" w:rsidRPr="00650D4F">
        <w:t xml:space="preserve">for </w:t>
      </w:r>
      <w:r w:rsidR="00650D4F" w:rsidRPr="00650D4F">
        <w:t>“other neurological conditions”</w:t>
      </w:r>
      <w:r w:rsidR="009C2253" w:rsidRPr="00650D4F">
        <w:t xml:space="preserve"> t</w:t>
      </w:r>
      <w:r w:rsidR="00EF0A39" w:rsidRPr="00650D4F">
        <w:t>o a low of 8</w:t>
      </w:r>
      <w:r w:rsidR="009C2253" w:rsidRPr="00650D4F">
        <w:t>4</w:t>
      </w:r>
      <w:r w:rsidR="002C74E1" w:rsidRPr="00650D4F">
        <w:t>·</w:t>
      </w:r>
      <w:r w:rsidR="009C2253" w:rsidRPr="00650D4F">
        <w:t>2</w:t>
      </w:r>
      <w:r w:rsidR="00EF0A39" w:rsidRPr="00650D4F">
        <w:t>%</w:t>
      </w:r>
      <w:r w:rsidR="009C2253" w:rsidRPr="00650D4F">
        <w:t xml:space="preserve"> for pneumoconiosis</w:t>
      </w:r>
      <w:r w:rsidR="00EF0A39" w:rsidRPr="00650D4F">
        <w:t>.</w:t>
      </w:r>
      <w:r w:rsidR="00C47B5C">
        <w:t xml:space="preserve"> </w:t>
      </w:r>
    </w:p>
    <w:p w:rsidR="00F91E74" w:rsidRDefault="007F794F" w:rsidP="00F91E74">
      <w:pPr>
        <w:pStyle w:val="Heading3"/>
      </w:pPr>
      <w:r>
        <w:t>N</w:t>
      </w:r>
      <w:r w:rsidR="00F91E74">
        <w:t>egative binomial models</w:t>
      </w:r>
    </w:p>
    <w:p w:rsidR="002B4869" w:rsidRDefault="002B4869" w:rsidP="00F91E74">
      <w:r w:rsidRPr="00650D4F">
        <w:t xml:space="preserve">For </w:t>
      </w:r>
      <w:r w:rsidR="00650D4F" w:rsidRPr="00650D4F">
        <w:t>1</w:t>
      </w:r>
      <w:r w:rsidR="00650D4F">
        <w:t>3</w:t>
      </w:r>
      <w:r w:rsidR="00277E87" w:rsidRPr="00650D4F">
        <w:t xml:space="preserve"> </w:t>
      </w:r>
      <w:r w:rsidRPr="00650D4F">
        <w:t>causes, the number of deaths observed in the database is too low to generate stable estimates of out-of-sample predictive</w:t>
      </w:r>
      <w:r>
        <w:t xml:space="preserve"> validity.</w:t>
      </w:r>
      <w:r w:rsidR="00C47B5C">
        <w:t xml:space="preserve"> </w:t>
      </w:r>
      <w:r>
        <w:t>For these causes, we developed negative binomial models using plausible c</w:t>
      </w:r>
      <w:r w:rsidR="00012D0C">
        <w:t>ovariates.</w:t>
      </w:r>
      <w:r w:rsidR="00C47B5C">
        <w:t xml:space="preserve"> </w:t>
      </w:r>
      <w:r w:rsidR="00012D0C">
        <w:t>These causes are</w:t>
      </w:r>
      <w:r w:rsidR="002C3595">
        <w:t xml:space="preserve"> </w:t>
      </w:r>
      <w:r w:rsidR="006955E6">
        <w:t xml:space="preserve">identified in </w:t>
      </w:r>
      <w:r w:rsidR="00F330CC">
        <w:rPr>
          <w:b/>
        </w:rPr>
        <w:t>Web Table 5</w:t>
      </w:r>
      <w:r w:rsidR="006955E6">
        <w:t xml:space="preserve">. </w:t>
      </w:r>
      <w:r w:rsidR="003D065E">
        <w:t>For these negative binomial models, standard model building practice was followed where plausible covariates were included in the model development and reverse stepwise procedures followed for covariate inclusion.</w:t>
      </w:r>
      <w:r w:rsidR="00C47B5C">
        <w:t xml:space="preserve"> </w:t>
      </w:r>
      <w:r w:rsidR="006955E6">
        <w:t xml:space="preserve">Uncertainty </w:t>
      </w:r>
      <w:r w:rsidR="00AB6FE9">
        <w:t xml:space="preserve">distributions were </w:t>
      </w:r>
      <w:r w:rsidR="006955E6">
        <w:t xml:space="preserve">estimated using both uncertainty in the </w:t>
      </w:r>
      <w:r w:rsidR="009B5B51">
        <w:t xml:space="preserve">regression </w:t>
      </w:r>
      <w:r w:rsidR="006955E6">
        <w:t xml:space="preserve">betas </w:t>
      </w:r>
      <w:r w:rsidR="009B5B51">
        <w:t xml:space="preserve">for </w:t>
      </w:r>
      <w:r w:rsidR="006955E6">
        <w:t>the covariates and from the gamma distribution of the negative binomial.</w:t>
      </w:r>
      <w:r w:rsidR="00C47B5C">
        <w:t xml:space="preserve"> </w:t>
      </w:r>
    </w:p>
    <w:p w:rsidR="002B4869" w:rsidRDefault="002B4869" w:rsidP="004A441E">
      <w:pPr>
        <w:pStyle w:val="Heading3"/>
      </w:pPr>
      <w:r>
        <w:t>Fixed proportion models</w:t>
      </w:r>
    </w:p>
    <w:p w:rsidR="000F473D" w:rsidRDefault="002B4869" w:rsidP="002B4869">
      <w:r w:rsidRPr="00650D4F">
        <w:t xml:space="preserve">In </w:t>
      </w:r>
      <w:r w:rsidR="00650D4F" w:rsidRPr="00650D4F">
        <w:t>28</w:t>
      </w:r>
      <w:r w:rsidRPr="00650D4F">
        <w:t xml:space="preserve"> cases where death</w:t>
      </w:r>
      <w:r>
        <w:t xml:space="preserve"> is a rare event, we have first modeled the parent cause in the GBD hierarchy </w:t>
      </w:r>
      <w:r w:rsidR="003D065E">
        <w:t xml:space="preserve">using CODEm </w:t>
      </w:r>
      <w:r>
        <w:t xml:space="preserve">and then allocated deaths to </w:t>
      </w:r>
      <w:r w:rsidR="000F473D">
        <w:t>specific causes using a fixed proportion.</w:t>
      </w:r>
      <w:r w:rsidR="00C47B5C">
        <w:t xml:space="preserve"> </w:t>
      </w:r>
      <w:r w:rsidR="000F473D">
        <w:t>Proportions have been computed using all available data in the database and are fixed over</w:t>
      </w:r>
      <w:r w:rsidR="00012D0C">
        <w:t xml:space="preserve"> </w:t>
      </w:r>
      <w:r w:rsidR="000F473D">
        <w:t>time</w:t>
      </w:r>
      <w:r w:rsidR="004870B2">
        <w:t>,</w:t>
      </w:r>
      <w:r w:rsidR="000F473D">
        <w:t xml:space="preserve"> but</w:t>
      </w:r>
      <w:r w:rsidR="00086C77">
        <w:t>, depending on data density,</w:t>
      </w:r>
      <w:r w:rsidR="000F473D">
        <w:t xml:space="preserve"> allowed to vary by region, age</w:t>
      </w:r>
      <w:r w:rsidR="00012D0C">
        <w:t>,</w:t>
      </w:r>
      <w:r w:rsidR="000F473D">
        <w:t xml:space="preserve"> </w:t>
      </w:r>
      <w:r w:rsidR="00086C77">
        <w:t xml:space="preserve">or </w:t>
      </w:r>
      <w:r w:rsidR="000F473D">
        <w:t>sex</w:t>
      </w:r>
      <w:r w:rsidR="00D83C8F">
        <w:t>.</w:t>
      </w:r>
      <w:r w:rsidR="005D541A">
        <w:t xml:space="preserve"> Specifically, </w:t>
      </w:r>
      <w:r w:rsidR="005D541A" w:rsidRPr="00724D2F">
        <w:t xml:space="preserve">uterine fibroids, polycystic ovarian syndrome, endometriosis, genital prolapse, </w:t>
      </w:r>
      <w:r w:rsidR="004870B2" w:rsidRPr="00724D2F">
        <w:t xml:space="preserve">and </w:t>
      </w:r>
      <w:r w:rsidR="005D541A" w:rsidRPr="00724D2F">
        <w:t>other gynecological disorders varied by region</w:t>
      </w:r>
      <w:r w:rsidR="004870B2" w:rsidRPr="00724D2F">
        <w:t xml:space="preserve"> and age </w:t>
      </w:r>
      <w:r w:rsidR="0024487F" w:rsidRPr="00724D2F">
        <w:t>for females</w:t>
      </w:r>
      <w:r w:rsidR="005D541A" w:rsidRPr="00724D2F">
        <w:t>. Lower respiratory infections, upper respiratory infections, meningitis, and encephalitis varied by region and age. Thalassemi</w:t>
      </w:r>
      <w:r w:rsidR="009A7868" w:rsidRPr="00724D2F">
        <w:t>a, sickle cell, G6PD, and o</w:t>
      </w:r>
      <w:r w:rsidR="002E3871" w:rsidRPr="00724D2F">
        <w:t xml:space="preserve">ther </w:t>
      </w:r>
      <w:r w:rsidR="009A7868" w:rsidRPr="00724D2F">
        <w:t>h</w:t>
      </w:r>
      <w:r w:rsidR="005D541A" w:rsidRPr="00724D2F">
        <w:t xml:space="preserve">emoglobinopathies </w:t>
      </w:r>
      <w:r w:rsidR="009A7868" w:rsidRPr="00724D2F">
        <w:t xml:space="preserve">and hemolytic anemias </w:t>
      </w:r>
      <w:r w:rsidR="005D541A" w:rsidRPr="00724D2F">
        <w:t>vary in proportion by country, age, and sex. Opioid, cocaine, amphetamine, and other drug use disorders varied by region and year. Finally, cellulitis, decubitus ulcer, other skin and subcutaneous diseases, abscess, impetigo, and other bacterial skin diseases all varied by age and sex.</w:t>
      </w:r>
    </w:p>
    <w:p w:rsidR="000F473D" w:rsidRDefault="000F473D" w:rsidP="000F473D">
      <w:pPr>
        <w:pStyle w:val="Heading3"/>
      </w:pPr>
      <w:r>
        <w:t>D</w:t>
      </w:r>
      <w:r w:rsidR="00F67721">
        <w:t>iarrh</w:t>
      </w:r>
      <w:r>
        <w:t xml:space="preserve">ea, </w:t>
      </w:r>
      <w:r w:rsidR="00FA734B">
        <w:t>l</w:t>
      </w:r>
      <w:r>
        <w:t xml:space="preserve">ower </w:t>
      </w:r>
      <w:r w:rsidR="00FA734B">
        <w:t>r</w:t>
      </w:r>
      <w:r>
        <w:t xml:space="preserve">espiratory </w:t>
      </w:r>
      <w:r w:rsidR="00FA734B">
        <w:t>i</w:t>
      </w:r>
      <w:r>
        <w:t xml:space="preserve">nfection, </w:t>
      </w:r>
      <w:r w:rsidR="00FA734B">
        <w:t>m</w:t>
      </w:r>
      <w:r w:rsidR="005651E0">
        <w:t xml:space="preserve">eningitis, </w:t>
      </w:r>
      <w:r w:rsidR="00FA734B">
        <w:t>c</w:t>
      </w:r>
      <w:r>
        <w:t>irrhosis,</w:t>
      </w:r>
      <w:r w:rsidR="00EC0C5A">
        <w:t xml:space="preserve"> </w:t>
      </w:r>
      <w:r w:rsidR="00FA734B">
        <w:t>m</w:t>
      </w:r>
      <w:r w:rsidR="00EC0C5A">
        <w:t>aternal,</w:t>
      </w:r>
      <w:r w:rsidR="00012D0C">
        <w:t xml:space="preserve"> </w:t>
      </w:r>
      <w:r w:rsidR="00FA734B">
        <w:t>l</w:t>
      </w:r>
      <w:r w:rsidR="00012D0C">
        <w:t xml:space="preserve">iver </w:t>
      </w:r>
      <w:r w:rsidR="00FA734B">
        <w:t>c</w:t>
      </w:r>
      <w:r w:rsidR="00012D0C">
        <w:t>ancer</w:t>
      </w:r>
      <w:r w:rsidR="00506837">
        <w:t>,</w:t>
      </w:r>
      <w:r>
        <w:t xml:space="preserve"> and </w:t>
      </w:r>
      <w:r w:rsidR="00FA734B">
        <w:t>c</w:t>
      </w:r>
      <w:r>
        <w:t xml:space="preserve">hronic </w:t>
      </w:r>
      <w:r w:rsidR="00FA734B">
        <w:t>k</w:t>
      </w:r>
      <w:r>
        <w:t xml:space="preserve">idney </w:t>
      </w:r>
      <w:r w:rsidR="00FA734B">
        <w:t>d</w:t>
      </w:r>
      <w:r>
        <w:t xml:space="preserve">isease </w:t>
      </w:r>
      <w:r w:rsidR="00FA734B">
        <w:t>e</w:t>
      </w:r>
      <w:r>
        <w:t>tiologies</w:t>
      </w:r>
    </w:p>
    <w:p w:rsidR="000F473D" w:rsidRDefault="000F473D" w:rsidP="002B4869">
      <w:r>
        <w:t>The GBD</w:t>
      </w:r>
      <w:r w:rsidR="008E51A4">
        <w:t xml:space="preserve"> </w:t>
      </w:r>
      <w:r>
        <w:t xml:space="preserve">2010 </w:t>
      </w:r>
      <w:r w:rsidR="009B5B51">
        <w:t xml:space="preserve">cause list </w:t>
      </w:r>
      <w:r w:rsidRPr="00650D4F">
        <w:t xml:space="preserve">includes </w:t>
      </w:r>
      <w:r w:rsidR="001456DB" w:rsidRPr="00650D4F">
        <w:t>10</w:t>
      </w:r>
      <w:r w:rsidRPr="00650D4F">
        <w:t xml:space="preserve"> etiologies for diarrhea, </w:t>
      </w:r>
      <w:r w:rsidR="00CD7930" w:rsidRPr="00650D4F">
        <w:t xml:space="preserve">five </w:t>
      </w:r>
      <w:r w:rsidRPr="00650D4F">
        <w:t>etiologies for lower respiratory infections</w:t>
      </w:r>
      <w:r w:rsidR="00506837" w:rsidRPr="00650D4F">
        <w:t xml:space="preserve"> (LRI)</w:t>
      </w:r>
      <w:r w:rsidR="00A65DE7" w:rsidRPr="00650D4F">
        <w:t xml:space="preserve">, and </w:t>
      </w:r>
      <w:r w:rsidR="00CD7930" w:rsidRPr="00650D4F">
        <w:t xml:space="preserve">four </w:t>
      </w:r>
      <w:r w:rsidR="00A65DE7" w:rsidRPr="00650D4F">
        <w:t>etiologies for meningitis</w:t>
      </w:r>
      <w:r w:rsidRPr="00650D4F">
        <w:t>.</w:t>
      </w:r>
      <w:r w:rsidR="00C47B5C" w:rsidRPr="00650D4F">
        <w:t xml:space="preserve"> </w:t>
      </w:r>
      <w:r w:rsidRPr="00650D4F">
        <w:t>In</w:t>
      </w:r>
      <w:r>
        <w:t xml:space="preserve"> addition, we have included a breakdown of </w:t>
      </w:r>
      <w:r w:rsidR="001456DB">
        <w:t>maternal</w:t>
      </w:r>
      <w:r w:rsidR="005651E0">
        <w:t xml:space="preserve"> </w:t>
      </w:r>
      <w:r w:rsidR="0029769B">
        <w:t>causes,</w:t>
      </w:r>
      <w:r w:rsidR="001456DB">
        <w:t xml:space="preserve"> </w:t>
      </w:r>
      <w:r>
        <w:t>cirrhosis, liver cancer</w:t>
      </w:r>
      <w:r w:rsidR="00111169">
        <w:t>,</w:t>
      </w:r>
      <w:r>
        <w:t xml:space="preserve"> and chronic kidney disease by specific primary etiologies.</w:t>
      </w:r>
      <w:r w:rsidR="00C47B5C">
        <w:t xml:space="preserve"> </w:t>
      </w:r>
      <w:r>
        <w:t xml:space="preserve">In </w:t>
      </w:r>
      <w:r w:rsidR="00846036">
        <w:t xml:space="preserve">most of </w:t>
      </w:r>
      <w:r>
        <w:t xml:space="preserve">these cases, published data are available on the etiology or primary diagnosis for community, </w:t>
      </w:r>
      <w:r>
        <w:lastRenderedPageBreak/>
        <w:t>hospital</w:t>
      </w:r>
      <w:r w:rsidR="00012D0C">
        <w:t>,</w:t>
      </w:r>
      <w:r>
        <w:t xml:space="preserve"> or registered cases</w:t>
      </w:r>
      <w:r w:rsidR="0029769B">
        <w:t>, but</w:t>
      </w:r>
      <w:r w:rsidR="005651E0">
        <w:t xml:space="preserve"> </w:t>
      </w:r>
      <w:r>
        <w:t>not for deaths.</w:t>
      </w:r>
      <w:r w:rsidR="00C47B5C">
        <w:t xml:space="preserve"> </w:t>
      </w:r>
      <w:r w:rsidR="009F61C9">
        <w:t>For these etiologies, systematic reviews of the published data and careful review of statistical annuals such as renal registries have been undertaken.</w:t>
      </w:r>
      <w:r w:rsidR="00C47B5C">
        <w:t xml:space="preserve"> </w:t>
      </w:r>
      <w:r w:rsidR="009F61C9">
        <w:t>These studies or data</w:t>
      </w:r>
      <w:r w:rsidR="00111169">
        <w:t xml:space="preserve"> </w:t>
      </w:r>
      <w:r w:rsidR="009F61C9">
        <w:t xml:space="preserve">points on etiology have been meta-analyzed using the </w:t>
      </w:r>
      <w:r>
        <w:t>GBD Bayesian meta-regression tool described elsewhere</w:t>
      </w:r>
      <w:r w:rsidR="001A3FD4">
        <w:t>.</w:t>
      </w:r>
      <w:r w:rsidR="00FD2A6F">
        <w:fldChar w:fldCharType="begin"/>
      </w:r>
      <w:r w:rsidR="00355799">
        <w:instrText xml:space="preserve"> ADDIN ZOTERO_ITEM CSL_CITATION {"citationID":"0LBem66z","properties":{"formattedCitation":"{\\rtf \\super 53\\nosupersub{}}","plainCitation":"53"},"citationItems":[{"id":7068,"uris":["http://zotero.org/groups/21876/items/TEDAPJBT"],"uri":["http://zotero.org/groups/21876/items/TEDAPJBT"],"itemData":{"id":7068,"type":"article-journal","title":"The Global Burden of Non-Fatal Health Outcomes for 1,160 Sequelae of 291 Diseases and Injures 1990-2010: a Systematic Analysis","author":[{"family":"Murray","given":"Christopher J.L."},{"family":"Global Burden of Disease 2010 Causes of Death Collaborating Group","given":""}],"issued":{"literal":"In preparation"}}}],"schema":"https://github.com/citation-style-language/schema/raw/master/csl-citation.json"} </w:instrText>
      </w:r>
      <w:r w:rsidR="00FD2A6F">
        <w:fldChar w:fldCharType="separate"/>
      </w:r>
      <w:r w:rsidR="003D4A86" w:rsidRPr="003D4A86">
        <w:rPr>
          <w:rFonts w:ascii="Calibri" w:hAnsi="Calibri" w:cs="Calibri"/>
          <w:szCs w:val="24"/>
          <w:vertAlign w:val="superscript"/>
        </w:rPr>
        <w:t>53</w:t>
      </w:r>
      <w:r w:rsidR="00FD2A6F">
        <w:fldChar w:fldCharType="end"/>
      </w:r>
      <w:r w:rsidR="00C47B5C">
        <w:t xml:space="preserve"> </w:t>
      </w:r>
      <w:r w:rsidR="009F61C9">
        <w:t xml:space="preserve">The meta-regression have generated </w:t>
      </w:r>
      <w:r w:rsidR="00111169">
        <w:t>region-</w:t>
      </w:r>
      <w:r>
        <w:t>age-sex estimates</w:t>
      </w:r>
      <w:r w:rsidR="009B5B51">
        <w:t xml:space="preserve"> with uncertainty </w:t>
      </w:r>
      <w:r>
        <w:t xml:space="preserve"> of etiological fractions for diarrhea, LRI, </w:t>
      </w:r>
      <w:r w:rsidR="00A65DE7">
        <w:t xml:space="preserve">meningitis, </w:t>
      </w:r>
      <w:r w:rsidR="008C6D2A">
        <w:t xml:space="preserve">chronic kidney disease, </w:t>
      </w:r>
      <w:r w:rsidR="00846036">
        <w:t xml:space="preserve">maternal conditions, </w:t>
      </w:r>
      <w:r>
        <w:t>cirrhosis</w:t>
      </w:r>
      <w:r w:rsidR="00A65DE7">
        <w:t>,</w:t>
      </w:r>
      <w:r>
        <w:t xml:space="preserve"> and liver cancer – </w:t>
      </w:r>
      <w:r w:rsidRPr="00012D0C">
        <w:t xml:space="preserve">see </w:t>
      </w:r>
      <w:r w:rsidR="00F330CC">
        <w:t>the webappendix</w:t>
      </w:r>
      <w:r w:rsidR="00944FEF">
        <w:rPr>
          <w:b/>
        </w:rPr>
        <w:t xml:space="preserve"> </w:t>
      </w:r>
      <w:r w:rsidRPr="00012D0C">
        <w:t>for more details.</w:t>
      </w:r>
      <w:r w:rsidR="00760369">
        <w:t xml:space="preserve"> These fractions are then applied to estimates of the parent cause, which have been estimated using CODEm.</w:t>
      </w:r>
      <w:r w:rsidR="00C47B5C">
        <w:t xml:space="preserve"> </w:t>
      </w:r>
      <w:r w:rsidR="00021B74">
        <w:t>In the case</w:t>
      </w:r>
      <w:r w:rsidR="00AB4560">
        <w:t>s</w:t>
      </w:r>
      <w:r w:rsidR="00021B74">
        <w:t xml:space="preserve"> of cirrhosis, liver cancer, maternal conditions</w:t>
      </w:r>
      <w:r w:rsidR="0058287F">
        <w:t>,</w:t>
      </w:r>
      <w:r w:rsidR="00021B74">
        <w:t xml:space="preserve"> and chronic kidney disease, the studies or datasets on etiology identify primary cause as assessed clinically; for diarrhea, LRI, and meningitis, etiology is based on laboratory findings.</w:t>
      </w:r>
      <w:r w:rsidR="00C47B5C">
        <w:t xml:space="preserve"> </w:t>
      </w:r>
    </w:p>
    <w:p w:rsidR="00570C2E" w:rsidRDefault="00570C2E" w:rsidP="00570C2E">
      <w:pPr>
        <w:pStyle w:val="Heading3"/>
      </w:pPr>
      <w:r>
        <w:t>Natural History Models</w:t>
      </w:r>
    </w:p>
    <w:p w:rsidR="00002B5C" w:rsidRDefault="00570C2E" w:rsidP="00002B5C">
      <w:r>
        <w:t xml:space="preserve">For </w:t>
      </w:r>
      <w:r w:rsidR="0029769B">
        <w:t xml:space="preserve">a few </w:t>
      </w:r>
      <w:r>
        <w:t>selected causes, there is evidence that cause of death data systems do not capture sufficient information for one of two reasons.</w:t>
      </w:r>
      <w:r w:rsidR="00C47B5C">
        <w:t xml:space="preserve"> </w:t>
      </w:r>
      <w:r>
        <w:t>First, f</w:t>
      </w:r>
      <w:r w:rsidR="00012D0C">
        <w:t>or some causes such as African t</w:t>
      </w:r>
      <w:r>
        <w:t>rypanosomiasis,</w:t>
      </w:r>
      <w:r w:rsidR="00BF20A3">
        <w:t xml:space="preserve"> </w:t>
      </w:r>
      <w:r w:rsidR="004D69BF">
        <w:t>there are almost no deaths recorded in vital registration or verbal autopsy studies</w:t>
      </w:r>
      <w:r w:rsidR="00542040">
        <w:t>,</w:t>
      </w:r>
      <w:r w:rsidR="004D69BF">
        <w:t xml:space="preserve"> most likely because data ha</w:t>
      </w:r>
      <w:r w:rsidR="0089198D">
        <w:t>ve</w:t>
      </w:r>
      <w:r w:rsidR="004D69BF">
        <w:t xml:space="preserve"> not been collected in </w:t>
      </w:r>
      <w:r w:rsidR="0029769B">
        <w:t xml:space="preserve">focal </w:t>
      </w:r>
      <w:r w:rsidR="004D69BF">
        <w:t>populations with substantial disease present.</w:t>
      </w:r>
      <w:r w:rsidR="00C47B5C">
        <w:t xml:space="preserve"> </w:t>
      </w:r>
      <w:r w:rsidR="004D69BF">
        <w:t xml:space="preserve">Second, there are reasons to believe that there is systematic misclassification of deaths in cause of death data </w:t>
      </w:r>
      <w:r w:rsidR="0029769B">
        <w:t>sources, particularly for</w:t>
      </w:r>
      <w:r w:rsidR="004D69BF">
        <w:t xml:space="preserve"> congenital syphilis,</w:t>
      </w:r>
      <w:r w:rsidR="00FD2A6F">
        <w:fldChar w:fldCharType="begin"/>
      </w:r>
      <w:r w:rsidR="00355799">
        <w:instrText xml:space="preserve"> ADDIN ZOTERO_ITEM CSL_CITATION {"citationID":"23nln74to7","properties":{"formattedCitation":"{\\rtf \\super 54,55\\nosupersub{}}","plainCitation":"54,55"},"citationItems":[{"id":6802,"uris":["http://zotero.org/groups/21876/items/STNU9V25"],"uri":["http://zotero.org/groups/21876/items/STNU9V25"],"itemData":{"id":6802,"type":"article-journal","title":"Pregnancy loss, infant death, and suffering: legacy of syphilis and gonorrhoea in Africa","container-title":"Genitourinary medicine","page":"320-325","volume":"63","issue":"5","abstract":"Africa in the 1980s appears to be facing problems associated with syphilis and gonorrhoea during pregnancy similar in severity and magnitude to those faced by the western world in the early 1900s. From a review of published reports, the prevalence of syphilis seroreactivity in pregnant women in many parts of Africa is at least 10%. Assuming this level of seroreactivity, we estimate that 5% to 8% of all pregnancies surviving past 12 weeks will have an adverse outcome caused by syphilis, such as spontaneous abortion, perinatal or infant death, or a living infant with syphilis. Our findings on gonorrhoea during pregnancy are almost as startling. The prevalence of gonorrhoea in pregnant women in many parts of Africa is at least 10% and it approaches 20% in some areas. The incidence of gonococcal ophthalmia neonatorum in neonates appears to be between 2% and 4%. We recommend commitment of health resources to initiatives to prevent and control sexually transmitted disease in Africa and additional research into the cost effectiveness of different prevention and control approaches.","note":"PMID: 3679218","shortTitle":"Pregnancy loss, infant death, and suffering","journalAbbreviation":"Genitourin Med","author":[{"family":"Schulz","given":"K F"},{"family":"Cates","given":"W, Jr"},{"family":"O'Mara","given":"P R"}],"issued":{"year":1987,"month":10},"accessed":{"year":2012,"month":7,"day":6},"page-first":"320"},"label":"page"},{"id":1158,"uris":["http://zotero.org/groups/21876/items/5XGFCH9T"],"uri":["http://zotero.org/groups/21876/items/5XGFCH9T"],"itemData":{"id":1158,"type":"report","title":"The global elimination of congenital syphilis: rationale and strategy for action","URL":"http://whqlibdoc.who.int/publications/2007/9789241595858_eng.pdf","shortTitle":"WHO | The global elimination of congenital syphilis","author":[{"family":"WHO","given":""}],"accessed":{"year":2012,"month":7,"day":6}},"label":"page"}],"schema":"https://github.com/citation-style-language/schema/raw/master/csl-citation.json"} </w:instrText>
      </w:r>
      <w:r w:rsidR="00FD2A6F">
        <w:fldChar w:fldCharType="separate"/>
      </w:r>
      <w:r w:rsidR="003D4A86" w:rsidRPr="003D4A86">
        <w:rPr>
          <w:rFonts w:ascii="Calibri" w:hAnsi="Calibri" w:cs="Calibri"/>
          <w:szCs w:val="24"/>
          <w:vertAlign w:val="superscript"/>
        </w:rPr>
        <w:t>54,55</w:t>
      </w:r>
      <w:r w:rsidR="00FD2A6F">
        <w:fldChar w:fldCharType="end"/>
      </w:r>
      <w:r w:rsidR="004D69BF">
        <w:t xml:space="preserve"> </w:t>
      </w:r>
      <w:r w:rsidR="00220163">
        <w:t>whooping cough</w:t>
      </w:r>
      <w:r w:rsidR="004D69BF">
        <w:t>,</w:t>
      </w:r>
      <w:r w:rsidR="00FD2A6F">
        <w:fldChar w:fldCharType="begin"/>
      </w:r>
      <w:r w:rsidR="00355799">
        <w:instrText xml:space="preserve"> ADDIN ZOTERO_ITEM CSL_CITATION {"citationID":"QKlVm0UP","properties":{"formattedCitation":"{\\rtf \\super 56\\nosupersub{}}","plainCitation":"56"},"citationItems":[{"id":3175,"uris":["http://zotero.org/groups/21876/items/DBGVF2TI"],"uri":["http://zotero.org/groups/21876/items/DBGVF2TI"],"itemData":{"id":3175,"type":"article-journal","title":"Deaths from pertussis are underestimated in England","container-title":"Archives of disease in childhood","page":"336-338","volume":"86","issue":"5","abstract":"AIMS\n\nTo improve estimates of deaths from pertussis in England and to identify reasons for under ascertainment.\n\n\nMETHODS\n\nComparison of deaths identified from enhanced laboratory pertussis surveillance, hospital episode statistics (HES), and Office for National Statistics (ONS) death registrations in England, 1994 to 1999.\n\n\nRESULTS\n\nA total of 33 deaths were identified, 88% of infants less than 4 months old. There was overlap between all sources; 22 deaths were identified in the enhanced pertussis surveillance system, 18 in ONS mortality data, and nine in HES. Children who had died from pertussis without mention of pertussis on the death certificate were more likely to have been certified by coroners than those with mention of pertussis (p = 0.0005). Using capture-recapture analysis, the total number of deaths from pertussis in the five and a half year period is estimated to be 46 (95% CI 37 to 71), or around nine deaths per year.\n\n\nCONCLUSIONS\n\nNational mortality statistics significantly under estimate deaths from pertussis in England and are inadequate for monitoring the national immunisation programme. The largest number of deaths is identified through enhanced laboratory surveillance. Death registration systems should take into account available microbiological information to ensure that cause of death is accurately assigned.","note":"PMID: 11970924","journalAbbreviation":"Arch. Dis. Child.","author":[{"family":"Crowcroft","given":"N S"},{"family":"Andrews","given":"N"},{"family":"Rooney","given":"C"},{"family":"Brisson","given":"M"},{"family":"Miller","given":"E"}],"issued":{"year":2002,"month":5},"accessed":{"year":2012,"month":7,"day":6},"page-first":"336"}}],"schema":"https://github.com/citation-style-language/schema/raw/master/csl-citation.json"} </w:instrText>
      </w:r>
      <w:r w:rsidR="00FD2A6F">
        <w:fldChar w:fldCharType="separate"/>
      </w:r>
      <w:r w:rsidR="003D4A86" w:rsidRPr="003D4A86">
        <w:rPr>
          <w:rFonts w:ascii="Calibri" w:hAnsi="Calibri" w:cs="Calibri"/>
          <w:szCs w:val="24"/>
          <w:vertAlign w:val="superscript"/>
        </w:rPr>
        <w:t>56</w:t>
      </w:r>
      <w:r w:rsidR="00FD2A6F">
        <w:fldChar w:fldCharType="end"/>
      </w:r>
      <w:r w:rsidR="004D69BF">
        <w:t xml:space="preserve"> measles,</w:t>
      </w:r>
      <w:r w:rsidR="00FD2A6F">
        <w:fldChar w:fldCharType="begin"/>
      </w:r>
      <w:r w:rsidR="00355799">
        <w:instrText xml:space="preserve"> ADDIN ZOTERO_ITEM CSL_CITATION {"citationID":"GfHNqu7h","properties":{"formattedCitation":"{\\rtf \\super 57\\nosupersub{}}","plainCitation":"57"},"citationItems":[{"id":800,"uris":["http://zotero.org/groups/21876/items/4P7JC94F"],"uri":["http://zotero.org/groups/21876/items/4P7JC94F"],"itemData":{"id":800,"type":"article-journal","title":"The effect of misclassification error on reported cause-specific mortality fractions from verbal autopsy.","container-title":"International Journal of Epidemiology","page":"1090-1096","volume":"26","issue":"5","abstract":"BACKGROUND: Verbal autopsy (VA) studies are important for measuring cause-specific mortality in areas where medical certification of cause of death is uncommon. This paper explores the effects of misclassification errors on the results of verbal autopsy studies, and recommends ways to take misclassification errors into account in the interpretation of results. METHODS: Mathematical formulae are derived for determining the size and direction of the error in cause-specific mortality estimates based on VA studies caused by misclassification. The levels of sensitivity and specificity found in currently available validation studies for childhood VA are examined. RESULTS: There can be substantial errors in the estimates of the cause-specific mortality fraction derived from VA studies. The cause-specific mortality fraction itself has an important influence on the size of the error for given levels of sensitivity and specificity, and when the cause-specific mortality fraction is small, the size of the error depends more on specificity than on sensitivity. CONCLUSION: Despite its drawbacks VA seems to be the most promising way of establishing cause of death when most deaths take place at home without medical attention. However, more validation studies on standardized instruments are required in order to collect information about sensitivity and specificity and subsequently improve the design of the instrument. At the same time, analysts need to take misclassification errors into consideration in ways outlined in this paper.","DOI":"10.1093/ije/26.5.1090","journalAbbreviation":"Int. J. Epidemiol.","language":"en","author":[{"family":"Anker","given":"M."}],"issued":{"year":1997,"month":10,"day":1},"accessed":{"year":2012,"month":7,"day":7},"page-first":"1090"}}],"schema":"https://github.com/citation-style-language/schema/raw/master/csl-citation.json"} </w:instrText>
      </w:r>
      <w:r w:rsidR="00FD2A6F">
        <w:fldChar w:fldCharType="separate"/>
      </w:r>
      <w:r w:rsidR="003D4A86" w:rsidRPr="003D4A86">
        <w:rPr>
          <w:rFonts w:ascii="Calibri" w:hAnsi="Calibri" w:cs="Calibri"/>
          <w:szCs w:val="24"/>
          <w:vertAlign w:val="superscript"/>
        </w:rPr>
        <w:t>57</w:t>
      </w:r>
      <w:r w:rsidR="00FD2A6F">
        <w:fldChar w:fldCharType="end"/>
      </w:r>
      <w:r w:rsidR="004D69BF">
        <w:t xml:space="preserve"> and HIV</w:t>
      </w:r>
      <w:r w:rsidR="00BD4DA0">
        <w:t>/AIDS</w:t>
      </w:r>
      <w:r w:rsidR="004D69BF">
        <w:t>.</w:t>
      </w:r>
      <w:r w:rsidR="00FD2A6F">
        <w:fldChar w:fldCharType="begin"/>
      </w:r>
      <w:r w:rsidR="00355799">
        <w:instrText xml:space="preserve"> ADDIN ZOTERO_ITEM CSL_CITATION {"citationID":"l8QrnDNm","properties":{"formattedCitation":"{\\rtf \\super 58\\nosupersub{}}","plainCitation":"58"},"citationItems":[{"id":2990,"uris":["http://zotero.org/groups/21876/items/CMM728P8"],"uri":["http://zotero.org/groups/21876/items/CMM728P8"],"itemData":{"id":2990,"type":"article-journal","title":"Exposing misclassified HIV/AIDS deaths in South Africa","container-title":"Bulletin of the World Health Organization","page":"278-285","volume":"89","issue":"4","DOI":"10.1590/S0042-96862011000400011","author":[{"family":"Birnbaum","given":"Jeanette Kurian"},{"family":"Murray","given":"Christopher JL"},{"family":"Lozano","given":"Rafael"}],"issued":{"year":2011,"month":4},"accessed":{"year":2012,"month":7,"day":6},"page-first":"278"}}],"schema":"https://github.com/citation-style-language/schema/raw/master/csl-citation.json"} </w:instrText>
      </w:r>
      <w:r w:rsidR="00FD2A6F">
        <w:fldChar w:fldCharType="separate"/>
      </w:r>
      <w:r w:rsidR="003D4A86" w:rsidRPr="003D4A86">
        <w:rPr>
          <w:rFonts w:ascii="Calibri" w:hAnsi="Calibri" w:cs="Calibri"/>
          <w:szCs w:val="24"/>
          <w:vertAlign w:val="superscript"/>
        </w:rPr>
        <w:t>58</w:t>
      </w:r>
      <w:r w:rsidR="00FD2A6F">
        <w:fldChar w:fldCharType="end"/>
      </w:r>
      <w:r w:rsidR="00C47B5C">
        <w:t xml:space="preserve"> </w:t>
      </w:r>
      <w:r w:rsidR="004D69BF">
        <w:t xml:space="preserve">For these causes, natural history models have been used that </w:t>
      </w:r>
      <w:r w:rsidR="0029769B">
        <w:t>begin</w:t>
      </w:r>
      <w:r w:rsidR="004D69BF">
        <w:t xml:space="preserve"> with data on incidence or prevalence of disease and </w:t>
      </w:r>
      <w:r w:rsidR="00A74BB3">
        <w:t xml:space="preserve">case-fatality rates – </w:t>
      </w:r>
      <w:r w:rsidR="00012D0C" w:rsidRPr="00F330CC">
        <w:t xml:space="preserve">see </w:t>
      </w:r>
      <w:r w:rsidR="00F330CC" w:rsidRPr="00F330CC">
        <w:t>the webappendix</w:t>
      </w:r>
      <w:r w:rsidR="00944FEF">
        <w:rPr>
          <w:b/>
        </w:rPr>
        <w:t xml:space="preserve"> </w:t>
      </w:r>
      <w:r w:rsidR="00A74BB3" w:rsidRPr="00012D0C">
        <w:t>for brief descriptions.</w:t>
      </w:r>
      <w:r w:rsidR="00C47B5C">
        <w:t xml:space="preserve"> </w:t>
      </w:r>
      <w:r w:rsidR="00002B5C">
        <w:t>In the case of HIV</w:t>
      </w:r>
      <w:r w:rsidR="0058287F">
        <w:t>/AIDS</w:t>
      </w:r>
      <w:r w:rsidR="00002B5C">
        <w:t xml:space="preserve">, a hybrid approach has been used. For </w:t>
      </w:r>
      <w:r w:rsidR="002039DA">
        <w:t xml:space="preserve">36 </w:t>
      </w:r>
      <w:r w:rsidR="00002B5C">
        <w:t>countries, with complete and high quality vital registration systems, we have</w:t>
      </w:r>
      <w:r w:rsidR="0029769B">
        <w:t xml:space="preserve"> used CODEm,</w:t>
      </w:r>
      <w:r w:rsidR="00002B5C">
        <w:t xml:space="preserve"> in consultation with UNAIDS.</w:t>
      </w:r>
      <w:r w:rsidR="00C47B5C">
        <w:t xml:space="preserve"> </w:t>
      </w:r>
      <w:r w:rsidR="00002B5C">
        <w:t>For the re</w:t>
      </w:r>
      <w:r w:rsidR="0029769B">
        <w:t>maining</w:t>
      </w:r>
      <w:r w:rsidR="00002B5C">
        <w:t xml:space="preserve"> countries, we have used the estimates with uncertainty by age and sex provided </w:t>
      </w:r>
      <w:r w:rsidR="00AB6FE9">
        <w:t xml:space="preserve">directly </w:t>
      </w:r>
      <w:r w:rsidR="00002B5C">
        <w:t>by UNAIDS based on their 2012 revision.</w:t>
      </w:r>
      <w:r w:rsidR="00C47B5C">
        <w:t xml:space="preserve"> </w:t>
      </w:r>
      <w:r w:rsidR="00EA04AC">
        <w:t>In the case of Thailand and Panama, however, UNAIDS 2012 revision estimates are dramatically higher than 2010 estimates and are inconsistent with the all-cause mortality evidence.</w:t>
      </w:r>
      <w:r w:rsidR="00C47B5C">
        <w:t xml:space="preserve"> </w:t>
      </w:r>
      <w:r w:rsidR="00EA04AC">
        <w:t>For these two countries, we have</w:t>
      </w:r>
      <w:r w:rsidR="00D83C8F">
        <w:t xml:space="preserve"> used the 2010 UNAIDS revision.</w:t>
      </w:r>
    </w:p>
    <w:p w:rsidR="007B01F2" w:rsidRDefault="00D63280" w:rsidP="007B01F2">
      <w:pPr>
        <w:pStyle w:val="Heading3"/>
      </w:pPr>
      <w:r>
        <w:t>Mortality Shock Regressions</w:t>
      </w:r>
    </w:p>
    <w:p w:rsidR="00E20FC1" w:rsidRDefault="00BC1D69" w:rsidP="00BC1D69">
      <w:r>
        <w:t xml:space="preserve">To estimate </w:t>
      </w:r>
      <w:r w:rsidR="00A308D2">
        <w:t xml:space="preserve">deaths directly due to natural disasters </w:t>
      </w:r>
      <w:r>
        <w:t xml:space="preserve">or </w:t>
      </w:r>
      <w:r w:rsidR="00A308D2">
        <w:t>collective violence, we use a different approach.</w:t>
      </w:r>
      <w:r w:rsidR="001621F6">
        <w:t xml:space="preserve"> </w:t>
      </w:r>
      <w:r w:rsidR="00AB6FE9">
        <w:t>First, we develop a variable</w:t>
      </w:r>
      <w:r w:rsidR="0058287F">
        <w:t xml:space="preserve"> for</w:t>
      </w:r>
      <w:r w:rsidR="00AB6FE9">
        <w:t xml:space="preserve"> reported battle and disaster deaths</w:t>
      </w:r>
      <w:r w:rsidR="00A308D2">
        <w:t xml:space="preserve"> </w:t>
      </w:r>
      <w:r w:rsidR="00AB6FE9">
        <w:t>per 10</w:t>
      </w:r>
      <w:r w:rsidR="00A95F3A">
        <w:t xml:space="preserve"> thousand</w:t>
      </w:r>
      <w:r w:rsidR="00AB6FE9">
        <w:t xml:space="preserve"> </w:t>
      </w:r>
      <w:r w:rsidR="00A308D2">
        <w:t>using various databases for both disasters and collective violence</w:t>
      </w:r>
      <w:r w:rsidR="00ED75FB">
        <w:t>;</w:t>
      </w:r>
      <w:r w:rsidR="00A308D2">
        <w:t xml:space="preserve"> </w:t>
      </w:r>
      <w:r w:rsidR="00ED75FB">
        <w:t>next,</w:t>
      </w:r>
      <w:r w:rsidR="00A308D2">
        <w:t xml:space="preserve"> we estimate </w:t>
      </w:r>
      <w:r>
        <w:t>the</w:t>
      </w:r>
      <w:r w:rsidR="00A308D2">
        <w:t xml:space="preserve"> empirical relationship between under-five mortality and adult mortality (45q15)</w:t>
      </w:r>
      <w:r>
        <w:t xml:space="preserve"> and this </w:t>
      </w:r>
      <w:r w:rsidR="00AB6FE9">
        <w:t xml:space="preserve">variable </w:t>
      </w:r>
      <w:r w:rsidR="00A308D2">
        <w:t>in settings where data were collected during</w:t>
      </w:r>
      <w:r>
        <w:t xml:space="preserve"> these</w:t>
      </w:r>
      <w:r w:rsidR="00A308D2">
        <w:t xml:space="preserve"> mortality shocks.</w:t>
      </w:r>
      <w:r w:rsidR="001621F6">
        <w:t xml:space="preserve"> </w:t>
      </w:r>
      <w:r w:rsidR="00A308D2">
        <w:t>As a final step, we use</w:t>
      </w:r>
      <w:r>
        <w:t xml:space="preserve"> this empirical relationship</w:t>
      </w:r>
      <w:r w:rsidR="00DB19A1">
        <w:t xml:space="preserve"> observed in </w:t>
      </w:r>
      <w:r w:rsidR="00ED75FB">
        <w:t xml:space="preserve">periods of </w:t>
      </w:r>
      <w:r w:rsidR="00DB19A1">
        <w:t xml:space="preserve">mortality shocks </w:t>
      </w:r>
      <w:r w:rsidR="00ED75FB">
        <w:t xml:space="preserve">along </w:t>
      </w:r>
      <w:r w:rsidR="00DB19A1">
        <w:t>with detailed data by age</w:t>
      </w:r>
      <w:r>
        <w:t xml:space="preserve"> </w:t>
      </w:r>
      <w:r w:rsidR="00A308D2">
        <w:t>to allocate deaths due to natural disasters and collective violence by age.</w:t>
      </w:r>
      <w:r w:rsidR="001621F6">
        <w:t xml:space="preserve"> </w:t>
      </w:r>
      <w:r w:rsidR="00A308D2">
        <w:t xml:space="preserve">Details of this approach are outlined in </w:t>
      </w:r>
      <w:r w:rsidR="003E5887">
        <w:t>Murray</w:t>
      </w:r>
      <w:r w:rsidR="00A308D2">
        <w:t xml:space="preserve"> et al.</w:t>
      </w:r>
      <w:r w:rsidR="003E5887">
        <w:fldChar w:fldCharType="begin"/>
      </w:r>
      <w:r w:rsidR="00355799">
        <w:instrText xml:space="preserve"> ADDIN ZOTERO_ITEM CSL_CITATION {"citationID":"GQetQt8C","properties":{"formattedCitation":"{\\rtf \\super 59\\nosupersub{}}","plainCitation":"59"},"citationItems":[{"id":18163,"uris":["http://zotero.org/groups/21876/items/PUXP82E9"],"uri":["http://zotero.org/groups/21876/items/PUXP82E9"],"itemData":{"id":18163,"type":"book","title":"Mortality Estimation for National Populations: Methods and Applications","publisher":"University of Washington Press","publisher-place":"Seattle, WA","event-place":"Seattle, WA","author":[{"family":"Murray","given":"CJL"},{"family":"Lopez","given":"AD"},{"family":"Wang","given":"H"}]}}],"schema":"https://github.com/citation-style-language/schema/raw/master/csl-citation.json"} </w:instrText>
      </w:r>
      <w:r w:rsidR="003E5887">
        <w:fldChar w:fldCharType="separate"/>
      </w:r>
      <w:r w:rsidR="003D4A86" w:rsidRPr="003D4A86">
        <w:rPr>
          <w:rFonts w:ascii="Calibri" w:hAnsi="Calibri" w:cs="Calibri"/>
          <w:szCs w:val="24"/>
          <w:vertAlign w:val="superscript"/>
        </w:rPr>
        <w:t>59</w:t>
      </w:r>
      <w:r w:rsidR="003E5887">
        <w:fldChar w:fldCharType="end"/>
      </w:r>
      <w:r w:rsidR="003E5887">
        <w:rPr>
          <w:rStyle w:val="CommentReference"/>
        </w:rPr>
        <w:t xml:space="preserve"> </w:t>
      </w:r>
    </w:p>
    <w:p w:rsidR="00A308D2" w:rsidRDefault="00A308D2" w:rsidP="00BC1D69">
      <w:r>
        <w:t xml:space="preserve">To develop the covariate on battle deaths </w:t>
      </w:r>
      <w:r w:rsidR="00DB19A1">
        <w:t xml:space="preserve">during collective violence, </w:t>
      </w:r>
      <w:r>
        <w:t xml:space="preserve">we used data from the Armed Conflict Database from the International Institute for Strategic Studies (1997-2011), </w:t>
      </w:r>
      <w:r w:rsidR="0058287F">
        <w:t xml:space="preserve">the </w:t>
      </w:r>
      <w:r>
        <w:t xml:space="preserve">Uppsala Conflict Data Program(UCDP)/PRIO Armed Conflict Dataset (1946-present), and available data from </w:t>
      </w:r>
      <w:r w:rsidR="00DB19A1">
        <w:t>complete VR systems</w:t>
      </w:r>
      <w:r>
        <w:t xml:space="preserve">. In country-years where </w:t>
      </w:r>
      <w:r w:rsidR="00DB19A1">
        <w:t>estimates are available from more than one source,</w:t>
      </w:r>
      <w:r w:rsidR="001621F6">
        <w:t xml:space="preserve"> </w:t>
      </w:r>
      <w:r>
        <w:t xml:space="preserve">priority is given to </w:t>
      </w:r>
      <w:r w:rsidR="00DB19A1">
        <w:t xml:space="preserve">VR </w:t>
      </w:r>
      <w:r>
        <w:t xml:space="preserve">data </w:t>
      </w:r>
      <w:r w:rsidR="00DB19A1">
        <w:t>i</w:t>
      </w:r>
      <w:r>
        <w:t xml:space="preserve">f it gives higher estimated deaths. When </w:t>
      </w:r>
      <w:r w:rsidR="00DB19A1">
        <w:t>VR</w:t>
      </w:r>
      <w:r>
        <w:t xml:space="preserve"> data </w:t>
      </w:r>
      <w:r w:rsidR="00DB19A1">
        <w:t>are</w:t>
      </w:r>
      <w:r>
        <w:t xml:space="preserve"> not available, priority is given to </w:t>
      </w:r>
      <w:r w:rsidR="00745A55">
        <w:t xml:space="preserve">the </w:t>
      </w:r>
      <w:r>
        <w:t xml:space="preserve">Uppsala Conflict Data Program (UCDP)/PRIO Armed Conflict Dataset as it has much longer and more </w:t>
      </w:r>
      <w:r>
        <w:lastRenderedPageBreak/>
        <w:t>consistent time series of estimates.</w:t>
      </w:r>
      <w:r w:rsidR="001621F6">
        <w:t xml:space="preserve"> </w:t>
      </w:r>
      <w:r w:rsidR="00745A55">
        <w:t xml:space="preserve">The covariate for </w:t>
      </w:r>
      <w:r>
        <w:t>deaths due to natural disaster</w:t>
      </w:r>
      <w:r w:rsidR="00745A55">
        <w:t xml:space="preserve"> is based on the </w:t>
      </w:r>
      <w:r>
        <w:t>International Disaster Database (Centre for Research on the Epidemiology of Disasters</w:t>
      </w:r>
      <w:r w:rsidR="0058287F">
        <w:t>)</w:t>
      </w:r>
      <w:r>
        <w:t>.</w:t>
      </w:r>
      <w:r w:rsidR="00E20FC1">
        <w:fldChar w:fldCharType="begin"/>
      </w:r>
      <w:r w:rsidR="00355799">
        <w:instrText xml:space="preserve"> ADDIN ZOTERO_ITEM CSL_CITATION {"citationID":"2bcqto9jon","properties":{"formattedCitation":"{\\rtf \\super 60\\uc0\\u8211{}62\\nosupersub{}}","plainCitation":"60–62"},"citationItems":[{"id":15104,"uris":["http://zotero.org/groups/21876/items/MWFTBRW3"],"uri":["http://zotero.org/groups/21876/items/MWFTBRW3"],"itemData":{"id":15104,"type":"article-journal","title":"Armed Conflict 1946-2001: A New Dataset","container-title":"Journal of Peace Research","page":"615-637","issue":"39","author":[{"family":"Gleditsch","given":"NP"},{"family":"Wallensteen","given":"P"},{"family":"Eriksson","given":"M"},{"family":"Sollenberg","given":"M"},{"family":"Strand","given":"H"}],"issued":{"year":2002},"page-first":"615"},"label":"page"},{"id":15100,"uris":["http://zotero.org/groups/21876/items/M6WJPAJM"],"uri":["http://zotero.org/groups/21876/items/M6WJPAJM"],"itemData":{"id":15100,"type":"report","title":"EM-DAT: The OFDA/CRED International Disaster Database","publisher":"Universite Catholique de Louvain","publisher-place":"Brussels, Belgium","event-place":"Brussels, Belgium"},"label":"page"},{"id":15053,"uris":["http://zotero.org/groups/21876/items/7RH4EW7A"],"uri":["http://zotero.org/groups/21876/items/7RH4EW7A"],"itemData":{"id":15053,"type":"report","title":"World Population Prospects The 2010 Revision","publisher":"United Nations, Department of Economic and Social Affairs, Population Division","publisher-place":"New York, United Nations","event-place":"New York, United Nations","issued":{"year":2011}},"label":"page"}],"schema":"https://github.com/citation-style-language/schema/raw/master/csl-citation.json"} </w:instrText>
      </w:r>
      <w:r w:rsidR="00E20FC1">
        <w:fldChar w:fldCharType="separate"/>
      </w:r>
      <w:r w:rsidR="003D4A86" w:rsidRPr="003D4A86">
        <w:rPr>
          <w:rFonts w:ascii="Calibri" w:hAnsi="Calibri" w:cs="Calibri"/>
          <w:szCs w:val="24"/>
          <w:vertAlign w:val="superscript"/>
        </w:rPr>
        <w:t>60–62</w:t>
      </w:r>
      <w:r w:rsidR="00E20FC1">
        <w:fldChar w:fldCharType="end"/>
      </w:r>
    </w:p>
    <w:p w:rsidR="007B01F2" w:rsidRPr="007B01F2" w:rsidRDefault="00A308D2" w:rsidP="00A308D2">
      <w:r>
        <w:t>The relationship</w:t>
      </w:r>
      <w:r w:rsidR="00ED75FB">
        <w:t>s</w:t>
      </w:r>
      <w:r>
        <w:t xml:space="preserve"> </w:t>
      </w:r>
      <w:r w:rsidRPr="00BB78EE">
        <w:t>between under-five mortality and adult mortality and the disaster and collective violence covariate</w:t>
      </w:r>
      <w:r w:rsidR="00745A55" w:rsidRPr="00BB78EE">
        <w:t>s</w:t>
      </w:r>
      <w:r w:rsidRPr="00BB78EE">
        <w:t xml:space="preserve"> are estimated using 43 empirical observations for disasters and 206 empirical observations for collective violence (only years with over 1 per 10,000 crude death rate from shocks are kept in this analysis).</w:t>
      </w:r>
      <w:r w:rsidR="001621F6" w:rsidRPr="00BB78EE">
        <w:t xml:space="preserve"> </w:t>
      </w:r>
      <w:r w:rsidRPr="00BB78EE">
        <w:t>The relationship is estimated</w:t>
      </w:r>
      <w:r>
        <w:t xml:space="preserve"> for excess mortality from these data sources by first subtracting from observed mortality rates the expected death rates in shock years using the methods outlined in </w:t>
      </w:r>
      <w:r w:rsidR="003E5887">
        <w:t>Murray</w:t>
      </w:r>
      <w:r>
        <w:t xml:space="preserve"> et al.</w:t>
      </w:r>
      <w:r w:rsidR="003E5887">
        <w:fldChar w:fldCharType="begin"/>
      </w:r>
      <w:r w:rsidR="00355799">
        <w:instrText xml:space="preserve"> ADDIN ZOTERO_ITEM CSL_CITATION {"citationID":"c2nfcd3t","properties":{"formattedCitation":"{\\rtf \\super 59\\nosupersub{}}","plainCitation":"59"},"citationItems":[{"id":18163,"uris":["http://zotero.org/groups/21876/items/PUXP82E9"],"uri":["http://zotero.org/groups/21876/items/PUXP82E9"],"itemData":{"id":18163,"type":"book","title":"Mortality Estimation for National Populations: Methods and Applications","publisher":"University of Washington Press","publisher-place":"Seattle, WA","event-place":"Seattle, WA","author":[{"family":"Murray","given":"CJL"},{"family":"Lopez","given":"AD"},{"family":"Wang","given":"H"}]}}],"schema":"https://github.com/citation-style-language/schema/raw/master/csl-citation.json"} </w:instrText>
      </w:r>
      <w:r w:rsidR="003E5887">
        <w:fldChar w:fldCharType="separate"/>
      </w:r>
      <w:r w:rsidR="003D4A86" w:rsidRPr="003D4A86">
        <w:rPr>
          <w:rFonts w:ascii="Calibri" w:hAnsi="Calibri" w:cs="Calibri"/>
          <w:szCs w:val="24"/>
          <w:vertAlign w:val="superscript"/>
        </w:rPr>
        <w:t>59</w:t>
      </w:r>
      <w:r w:rsidR="003E5887">
        <w:fldChar w:fldCharType="end"/>
      </w:r>
      <w:r w:rsidR="001621F6">
        <w:t xml:space="preserve"> </w:t>
      </w:r>
      <w:r>
        <w:t>The coefficients from these regressions and the disaster and collective violence covariates are used to predict excess deaths from these two causes.</w:t>
      </w:r>
      <w:r w:rsidR="001621F6">
        <w:t xml:space="preserve"> </w:t>
      </w:r>
      <w:r>
        <w:t>Because these models take into account competing causes by estimating the relationship between excess mortality and these covariates, we do not subject estimates for these two causes to the</w:t>
      </w:r>
      <w:r w:rsidR="008A3C12">
        <w:t xml:space="preserve"> </w:t>
      </w:r>
      <w:r w:rsidR="00AD6E3A">
        <w:t>CoDCorrect</w:t>
      </w:r>
      <w:r>
        <w:t xml:space="preserve"> algorithm described below.</w:t>
      </w:r>
      <w:r w:rsidR="001621F6">
        <w:t xml:space="preserve"> </w:t>
      </w:r>
      <w:r>
        <w:t>The age pattern of mortality from these mortality shocks is based on the rela</w:t>
      </w:r>
      <w:r w:rsidR="0058287F">
        <w:t xml:space="preserve">tive age </w:t>
      </w:r>
      <w:r>
        <w:t>pattern of mortality observed in the empirical data from functioning vital registration systems.</w:t>
      </w:r>
      <w:r w:rsidR="001621F6">
        <w:t xml:space="preserve"> </w:t>
      </w:r>
    </w:p>
    <w:p w:rsidR="00745A55" w:rsidRDefault="00D05A99" w:rsidP="00A04AA4">
      <w:pPr>
        <w:pStyle w:val="Heading2"/>
      </w:pPr>
      <w:r>
        <w:t xml:space="preserve">Combining Results for Individual Causes of Death to Generate Final Estimates – </w:t>
      </w:r>
      <w:r w:rsidR="00AD6E3A">
        <w:t>CoDCorrect</w:t>
      </w:r>
      <w:r w:rsidR="00A951E5">
        <w:t xml:space="preserve"> </w:t>
      </w:r>
      <w:r w:rsidR="0085368B">
        <w:t>Algorithm</w:t>
      </w:r>
    </w:p>
    <w:p w:rsidR="000A5851" w:rsidRDefault="006D78CC">
      <w:r>
        <w:t>Giv</w:t>
      </w:r>
      <w:r w:rsidR="00A951E5">
        <w:t xml:space="preserve">en that we develop single cause models, </w:t>
      </w:r>
      <w:r w:rsidR="0029769B">
        <w:t xml:space="preserve">it is imperative </w:t>
      </w:r>
      <w:r>
        <w:t xml:space="preserve">as a final step to </w:t>
      </w:r>
      <w:r w:rsidR="0029769B">
        <w:t>ensure that</w:t>
      </w:r>
      <w:r>
        <w:t xml:space="preserve"> individual cause estimates </w:t>
      </w:r>
      <w:r w:rsidR="0029769B">
        <w:t>sum to</w:t>
      </w:r>
      <w:r w:rsidR="00CD426E">
        <w:t xml:space="preserve"> </w:t>
      </w:r>
      <w:r>
        <w:t>the all-cause mortality estimate for each age-sex-country-year group.</w:t>
      </w:r>
      <w:r w:rsidR="00C47B5C">
        <w:t xml:space="preserve"> </w:t>
      </w:r>
      <w:r>
        <w:t xml:space="preserve">This must be done taking into account uncertainty in each cause of death model </w:t>
      </w:r>
      <w:r w:rsidR="0029769B">
        <w:t>outcome, where</w:t>
      </w:r>
      <w:r>
        <w:t xml:space="preserve"> some causes are known with much greater precision than other</w:t>
      </w:r>
      <w:r w:rsidR="0029769B">
        <w:t>s</w:t>
      </w:r>
      <w:r w:rsidR="00B810CE">
        <w:t>.</w:t>
      </w:r>
      <w:r w:rsidR="00C47B5C">
        <w:t xml:space="preserve"> </w:t>
      </w:r>
      <w:r w:rsidR="00B810CE">
        <w:t>We use a</w:t>
      </w:r>
      <w:r>
        <w:t xml:space="preserve"> simple algorithm</w:t>
      </w:r>
      <w:r w:rsidR="00742D10">
        <w:t xml:space="preserve"> called </w:t>
      </w:r>
      <w:r w:rsidR="00AD6E3A">
        <w:t>CoDCorrect</w:t>
      </w:r>
      <w:r>
        <w:t>; at the level of each draw from the posterior distribution of each cause, we proportionately rescale each cause such that the sum of the cause-specific estimates equal</w:t>
      </w:r>
      <w:r w:rsidR="0069752B">
        <w:t xml:space="preserve">s the number of deaths from all </w:t>
      </w:r>
      <w:r>
        <w:t>causes generated from the demographic analysis.</w:t>
      </w:r>
      <w:r w:rsidR="00FD2A6F">
        <w:fldChar w:fldCharType="begin"/>
      </w:r>
      <w:r w:rsidR="00355799">
        <w:instrText xml:space="preserve"> ADDIN ZOTERO_ITEM CSL_CITATION {"citationID":"UNypTiuD","properties":{"formattedCitation":"{\\rtf \\super 47\\nosupersub{}}","plainCitation":"47"},"citationItems":[{"id":5802,"uris":["http://zotero.org/groups/21876/items/P6E52CDN"],"uri":["http://zotero.org/groups/21876/items/P6E52CDN"],"itemData":{"id":5802,"type":"article-journal","title":"Global and Regional Age-Specific Mortality 1970-2010: A Systematic Analysis","author":[{"family":"Wang","given":"H"},{"family":"Dwyer-Lindgren","given":"L"},{"family":"Lofgren","given":"Katherine"},{"family":"Rajaratnam","given":"Julie"},{"family":"Marcus","given":"Jacob"},{"family":"Levin-Rector","given":"Alison"},{"family":"Levitz","given":"C"},{"family":"Lopez","given":"A"},{"family":"Murray","given":"CJL"}],"issued":{"literal":"In preparation"}}}],"schema":"https://github.com/citation-style-language/schema/raw/master/csl-citation.json"} </w:instrText>
      </w:r>
      <w:r w:rsidR="00FD2A6F">
        <w:fldChar w:fldCharType="separate"/>
      </w:r>
      <w:r w:rsidR="00406C17" w:rsidRPr="00406C17">
        <w:rPr>
          <w:rFonts w:ascii="Calibri" w:hAnsi="Calibri" w:cs="Calibri"/>
          <w:szCs w:val="24"/>
          <w:vertAlign w:val="superscript"/>
        </w:rPr>
        <w:t>47</w:t>
      </w:r>
      <w:r w:rsidR="00FD2A6F">
        <w:fldChar w:fldCharType="end"/>
      </w:r>
      <w:r>
        <w:t xml:space="preserve"> </w:t>
      </w:r>
      <w:r w:rsidR="00A951E5">
        <w:t xml:space="preserve"> </w:t>
      </w:r>
    </w:p>
    <w:p w:rsidR="000A5851" w:rsidRDefault="00950340" w:rsidP="00233F73">
      <w:r>
        <w:t>In practice, a random draw without replacement is taken from the posterior distribution of 1</w:t>
      </w:r>
      <w:r w:rsidR="00CE3E87">
        <w:t>,</w:t>
      </w:r>
      <w:r>
        <w:t>000 draws for each cause and matched to a draw from the all-cause mortality distribution for that age-sex-country-year.</w:t>
      </w:r>
      <w:r w:rsidR="00C47B5C">
        <w:t xml:space="preserve"> </w:t>
      </w:r>
      <w:r>
        <w:t>We assume</w:t>
      </w:r>
      <w:r w:rsidR="008F39D5">
        <w:t>d</w:t>
      </w:r>
      <w:r>
        <w:t xml:space="preserve"> that if the sum of deaths from each individual cause is large it </w:t>
      </w:r>
      <w:r w:rsidR="008F39D5">
        <w:t>wa</w:t>
      </w:r>
      <w:r>
        <w:t>s more likely to be associated with a higher draw of the all-cause mortality level.</w:t>
      </w:r>
      <w:r w:rsidR="00C47B5C">
        <w:t xml:space="preserve"> </w:t>
      </w:r>
      <w:r>
        <w:t>To reflect this, we induce</w:t>
      </w:r>
      <w:r w:rsidR="008F39D5">
        <w:t>d</w:t>
      </w:r>
      <w:r>
        <w:t xml:space="preserve"> a rank order </w:t>
      </w:r>
      <w:r w:rsidR="00D628F4">
        <w:t>correlation of 1·</w:t>
      </w:r>
      <w:r>
        <w:t>0 between the sum of the random draws across causes and the all-cause mortality level.</w:t>
      </w:r>
      <w:r w:rsidR="00C47B5C">
        <w:t xml:space="preserve"> </w:t>
      </w:r>
      <w:r>
        <w:t xml:space="preserve">The effect of this rank order correlation </w:t>
      </w:r>
      <w:r w:rsidR="008F39D5">
        <w:t>wa</w:t>
      </w:r>
      <w:r>
        <w:t>s to increase the uncertainty in the final estimates for each cause</w:t>
      </w:r>
      <w:r w:rsidR="00682463">
        <w:t xml:space="preserve"> in countries where there is substantial uncertainty in the level of all-cause mortality</w:t>
      </w:r>
      <w:r>
        <w:t>.</w:t>
      </w:r>
      <w:r w:rsidR="00C47B5C">
        <w:t xml:space="preserve"> </w:t>
      </w:r>
    </w:p>
    <w:p w:rsidR="00922731" w:rsidRDefault="00922731" w:rsidP="00D05A99">
      <w:r>
        <w:t>Repeated simulation s</w:t>
      </w:r>
      <w:r w:rsidR="0069752B">
        <w:t>tudies demonstrate that the two-</w:t>
      </w:r>
      <w:r>
        <w:t>stage approach used here, namely modeling each cause indi</w:t>
      </w:r>
      <w:r w:rsidR="00404559">
        <w:t>vidually and then applying the</w:t>
      </w:r>
      <w:r w:rsidR="008A3C12">
        <w:t xml:space="preserve"> </w:t>
      </w:r>
      <w:r w:rsidR="00AD6E3A">
        <w:t>CoDCorrect</w:t>
      </w:r>
      <w:r w:rsidR="00080449">
        <w:t xml:space="preserve"> </w:t>
      </w:r>
      <w:r>
        <w:t>algorithm</w:t>
      </w:r>
      <w:r w:rsidR="00404559">
        <w:t>,</w:t>
      </w:r>
      <w:r>
        <w:t xml:space="preserve"> gives high levels of cause-specific mortality fraction accuracy</w:t>
      </w:r>
      <w:r w:rsidR="00C47B5C">
        <w:t xml:space="preserve"> </w:t>
      </w:r>
      <w:r w:rsidR="0069752B">
        <w:t>(</w:t>
      </w:r>
      <w:r w:rsidR="00404559">
        <w:t xml:space="preserve">see </w:t>
      </w:r>
      <w:r w:rsidR="00F330CC" w:rsidRPr="00F330CC">
        <w:t>the webappendix</w:t>
      </w:r>
      <w:r w:rsidRPr="00F330CC">
        <w:t xml:space="preserve"> for</w:t>
      </w:r>
      <w:r w:rsidRPr="00404559">
        <w:t xml:space="preserve"> details</w:t>
      </w:r>
      <w:r w:rsidR="0069752B">
        <w:t>)</w:t>
      </w:r>
      <w:r w:rsidRPr="00404559">
        <w:t>.</w:t>
      </w:r>
      <w:r w:rsidR="00C47B5C">
        <w:t xml:space="preserve"> </w:t>
      </w:r>
      <w:r w:rsidR="00080449">
        <w:t>These simulation studies also demonstrate that under all circumstances tested the t</w:t>
      </w:r>
      <w:r w:rsidR="0069752B">
        <w:t>wo-</w:t>
      </w:r>
      <w:r w:rsidR="00080449">
        <w:t xml:space="preserve">stage approach to cause of death modeling is as </w:t>
      </w:r>
      <w:r w:rsidR="0069752B">
        <w:t>good as or better than a single-</w:t>
      </w:r>
      <w:r w:rsidR="00080449">
        <w:t>stage approach as proposed by Salomon and Murray</w:t>
      </w:r>
      <w:r>
        <w:t>.</w:t>
      </w:r>
      <w:r w:rsidR="00FD2A6F">
        <w:fldChar w:fldCharType="begin"/>
      </w:r>
      <w:r w:rsidR="00355799">
        <w:instrText xml:space="preserve"> ADDIN ZOTERO_ITEM CSL_CITATION {"citationID":"zI2Nalb7","properties":{"formattedCitation":"{\\rtf \\super 36\\nosupersub{}}","plainCitation":"36"},"citationItems":[{"id":1468,"uris":["http://zotero.org/groups/21876/items/74762VNA"],"uri":["http://zotero.org/groups/21876/items/74762VNA"],"itemData":{"id":1468,"type":"article-journal","title":"The Epidemiologic Transition Revisited: Compositional Models for Causes of Death by Age and Sex","container-title":"Population and Development Review","page":"205–228","volume":"28","issue":"2","abstract":"For decades, researchers have noted systematic shifts in cause-of-death patterns as mortality levels change. The notion of the “epidemiologic transition” has influenced thinking about the evolution of health in different societies and the response of the health system to these changes. This article re-examines the epidemiologic transition in terms of empirical regularities in the cause composition of mortality by age and sex since 1950, and considers whether the theory of epidemiologic transition presents a durable framework for understanding more recent patterns. Age-sex-specific mortality rates from three broad cause groups are analyzed: Group 1 (communicable diseases, maternal and perinatal causes, and nutritional deficiencies); Group 2 (noncommunicable diseases); and Group 3 (injuries), using the most extensive international database on mortality by cause, including 1,576 country-years of observation, and new statistical models for compositional data. The analyses relate changes in cause-of-death patterns to changing levels of all-cause mortality and income per capita. The results confirm that declines in overall mortality are accompanied by systematic changes in the composition of causes in many age groups. These changes are most pronounced among children, for whom Group 1 causes decline as overall mortality falls, and in younger adults, where strikingly different patterns are found for men (shift from Group 3 to Group 2) compared to women (shift toward Group 2 then Group 3). The underlying patterns that emerge from this analysis offer insights into the epidemiologic transition from high-mortality to low-mortality settings.","DOI":"10.1111/j.1728-4457.2002.00205.x","call-number":"0098","shortTitle":"The Epidemiologic Transition Revisited","language":"en","author":[{"family":"Salomon","given":"Joshua A."},{"family":"Murray","given":"Christopher J. L."}],"issued":{"year":2002},"accessed":{"year":2012,"month":6,"day":5},"page-first":"205–228"}}],"schema":"https://github.com/citation-style-language/schema/raw/master/csl-citation.json"} </w:instrText>
      </w:r>
      <w:r w:rsidR="00FD2A6F">
        <w:fldChar w:fldCharType="separate"/>
      </w:r>
      <w:r w:rsidR="00446C91" w:rsidRPr="00446C91">
        <w:rPr>
          <w:rFonts w:ascii="Calibri" w:hAnsi="Calibri" w:cs="Calibri"/>
          <w:szCs w:val="24"/>
          <w:vertAlign w:val="superscript"/>
        </w:rPr>
        <w:t>36</w:t>
      </w:r>
      <w:r w:rsidR="00FD2A6F">
        <w:fldChar w:fldCharType="end"/>
      </w:r>
      <w:r w:rsidR="00C47B5C">
        <w:t xml:space="preserve"> </w:t>
      </w:r>
    </w:p>
    <w:p w:rsidR="008B6E5B" w:rsidRDefault="00404559" w:rsidP="00D05A99">
      <w:r>
        <w:t>We apply</w:t>
      </w:r>
      <w:r w:rsidR="008A3C12">
        <w:t xml:space="preserve"> </w:t>
      </w:r>
      <w:r w:rsidR="00AD6E3A">
        <w:t>CoDCorrect</w:t>
      </w:r>
      <w:r w:rsidR="00922731">
        <w:t xml:space="preserve"> in a hierarchical fashion.</w:t>
      </w:r>
      <w:r w:rsidR="00C47B5C">
        <w:t xml:space="preserve"> </w:t>
      </w:r>
      <w:r w:rsidR="00F330CC" w:rsidRPr="00F330CC">
        <w:rPr>
          <w:b/>
        </w:rPr>
        <w:t>Web</w:t>
      </w:r>
      <w:r w:rsidR="009B5B51">
        <w:t xml:space="preserve"> </w:t>
      </w:r>
      <w:r w:rsidR="00922731" w:rsidRPr="00791846">
        <w:rPr>
          <w:b/>
        </w:rPr>
        <w:t xml:space="preserve">Table </w:t>
      </w:r>
      <w:r w:rsidR="00F330CC">
        <w:rPr>
          <w:b/>
        </w:rPr>
        <w:t>5</w:t>
      </w:r>
      <w:r w:rsidR="00922731">
        <w:t xml:space="preserve"> identifies three levels of application of</w:t>
      </w:r>
      <w:r w:rsidR="008A3C12">
        <w:t xml:space="preserve"> </w:t>
      </w:r>
      <w:r w:rsidR="00AD6E3A">
        <w:t>CoDCorrect</w:t>
      </w:r>
      <w:r w:rsidR="00922731">
        <w:t>. We first apply the algorithm for level 1 causes.</w:t>
      </w:r>
      <w:r w:rsidR="00C47B5C">
        <w:t xml:space="preserve"> </w:t>
      </w:r>
      <w:r w:rsidR="00922731">
        <w:t>We then apply</w:t>
      </w:r>
      <w:r w:rsidR="008A3C12">
        <w:t xml:space="preserve"> </w:t>
      </w:r>
      <w:r w:rsidR="00AD6E3A">
        <w:t>CoDCorrect</w:t>
      </w:r>
      <w:r w:rsidR="00922731">
        <w:t xml:space="preserve"> for level 2 causes such that the sum of level 2 causes for a country-year-age-sex group equals the draws of the level 1 cause.</w:t>
      </w:r>
      <w:r w:rsidR="00C47B5C">
        <w:t xml:space="preserve"> </w:t>
      </w:r>
      <w:r w:rsidR="00922731">
        <w:t>This cascade is repeated for level 3 causes.</w:t>
      </w:r>
      <w:r w:rsidR="00C47B5C">
        <w:t xml:space="preserve"> </w:t>
      </w:r>
      <w:r w:rsidR="00922731">
        <w:t xml:space="preserve">We have chosen levels for each cause based on </w:t>
      </w:r>
      <w:r w:rsidR="00922731">
        <w:lastRenderedPageBreak/>
        <w:t xml:space="preserve">consideration of the amount and quality of available data. For example, because there </w:t>
      </w:r>
      <w:r w:rsidR="009E235C">
        <w:t>are</w:t>
      </w:r>
      <w:r w:rsidR="00922731">
        <w:t xml:space="preserve"> substantially more data on all cardiovascular causes from verbal autopsy studies than for specific cardiovascular causes, we have designated </w:t>
      </w:r>
      <w:r w:rsidR="009E235C">
        <w:t>“</w:t>
      </w:r>
      <w:r w:rsidR="00922731">
        <w:t>all cardiovascular</w:t>
      </w:r>
      <w:r w:rsidR="007A23C4">
        <w:t>”</w:t>
      </w:r>
      <w:r w:rsidR="00922731">
        <w:t xml:space="preserve"> as </w:t>
      </w:r>
      <w:r w:rsidR="007A23C4">
        <w:t xml:space="preserve">a </w:t>
      </w:r>
      <w:r w:rsidR="00922731">
        <w:t>level 1</w:t>
      </w:r>
      <w:r w:rsidR="007A23C4">
        <w:t xml:space="preserve"> cause</w:t>
      </w:r>
      <w:r w:rsidR="00922731">
        <w:t xml:space="preserve"> for</w:t>
      </w:r>
      <w:r w:rsidR="008A3C12">
        <w:t xml:space="preserve"> </w:t>
      </w:r>
      <w:r w:rsidR="00AD6E3A">
        <w:t>CoDCorrect</w:t>
      </w:r>
      <w:r w:rsidR="00922731">
        <w:t>.</w:t>
      </w:r>
      <w:r w:rsidR="00C47B5C">
        <w:t xml:space="preserve"> </w:t>
      </w:r>
      <w:r w:rsidR="00922731">
        <w:t xml:space="preserve">Another example of this approach is for the category </w:t>
      </w:r>
      <w:r w:rsidR="009E235C">
        <w:t>“</w:t>
      </w:r>
      <w:r w:rsidR="00922731">
        <w:t>chronic respiratory diseases</w:t>
      </w:r>
      <w:r w:rsidR="007A23C4">
        <w:t>”</w:t>
      </w:r>
      <w:r w:rsidR="00922731">
        <w:t xml:space="preserve"> where there is substantially more data for the aggregate cause than for COPD, asthma, pneumoconiosis</w:t>
      </w:r>
      <w:r w:rsidR="000B1617">
        <w:t>,</w:t>
      </w:r>
      <w:r w:rsidR="00922731">
        <w:t xml:space="preserve"> and interstitial lung disease</w:t>
      </w:r>
      <w:r w:rsidR="008B6E5B">
        <w:t>.</w:t>
      </w:r>
      <w:r w:rsidR="00C47B5C">
        <w:t xml:space="preserve"> </w:t>
      </w:r>
      <w:r w:rsidR="009E235C">
        <w:t>Since w</w:t>
      </w:r>
      <w:r w:rsidR="008B6E5B">
        <w:t>e only want to group causes at level 2 or level 3 that are strongly related with common determinants</w:t>
      </w:r>
      <w:r w:rsidR="009E235C">
        <w:t>,</w:t>
      </w:r>
      <w:r w:rsidR="003C0146">
        <w:t xml:space="preserve"> </w:t>
      </w:r>
      <w:r w:rsidR="009E235C">
        <w:t>w</w:t>
      </w:r>
      <w:r w:rsidR="008B6E5B">
        <w:t xml:space="preserve">e do not use higher level aggregates such as </w:t>
      </w:r>
      <w:r w:rsidR="007A23C4">
        <w:t>“</w:t>
      </w:r>
      <w:r w:rsidR="008B6E5B">
        <w:t xml:space="preserve">all </w:t>
      </w:r>
      <w:r w:rsidR="00AE2888">
        <w:t>noncommunicable</w:t>
      </w:r>
      <w:r w:rsidR="008B6E5B">
        <w:t xml:space="preserve"> diseases</w:t>
      </w:r>
      <w:r w:rsidR="007A23C4">
        <w:t>”</w:t>
      </w:r>
      <w:r w:rsidR="008B6E5B">
        <w:t xml:space="preserve"> as level 1 causes because it is difficult to develop plausible models for these groups that include some causes that are increasing and others that are decreasing over the same time </w:t>
      </w:r>
      <w:r w:rsidR="009E235C">
        <w:t>period</w:t>
      </w:r>
      <w:r w:rsidR="008B6E5B">
        <w:t>.</w:t>
      </w:r>
      <w:r w:rsidR="00C47B5C">
        <w:t xml:space="preserve"> </w:t>
      </w:r>
    </w:p>
    <w:p w:rsidR="008B6E5B" w:rsidRDefault="00F330CC" w:rsidP="00D05A99">
      <w:r>
        <w:rPr>
          <w:b/>
        </w:rPr>
        <w:t>Web Table</w:t>
      </w:r>
      <w:r w:rsidR="00080449" w:rsidRPr="00E44D50">
        <w:rPr>
          <w:b/>
        </w:rPr>
        <w:t xml:space="preserve"> </w:t>
      </w:r>
      <w:r>
        <w:rPr>
          <w:b/>
        </w:rPr>
        <w:t>23</w:t>
      </w:r>
      <w:r w:rsidR="00080449">
        <w:t xml:space="preserve"> </w:t>
      </w:r>
      <w:r w:rsidR="008B6E5B">
        <w:t>shows the percentage change in each cause of death for 20</w:t>
      </w:r>
      <w:r w:rsidR="00404559">
        <w:t>10 due to the application of</w:t>
      </w:r>
      <w:r w:rsidR="008A3C12">
        <w:t xml:space="preserve"> </w:t>
      </w:r>
      <w:r w:rsidR="00AD6E3A">
        <w:t>CoDCorrect</w:t>
      </w:r>
      <w:r w:rsidR="008B6E5B">
        <w:t xml:space="preserve"> to level 1 causes at the global level. This provides a rough metric of how much inconsistency there is between models for specific causes of death and the demographic analysis.</w:t>
      </w:r>
      <w:r w:rsidR="00C47B5C">
        <w:t xml:space="preserve"> </w:t>
      </w:r>
      <w:r w:rsidR="008B6E5B">
        <w:t>Althou</w:t>
      </w:r>
      <w:r w:rsidR="00824155">
        <w:t xml:space="preserve">gh at the draw level </w:t>
      </w:r>
      <w:r w:rsidR="008B6E5B">
        <w:t>the same scalar is applied to a</w:t>
      </w:r>
      <w:r w:rsidR="00404559">
        <w:t>ll causes, the net effect of</w:t>
      </w:r>
      <w:r w:rsidR="008A3C12">
        <w:t xml:space="preserve"> </w:t>
      </w:r>
      <w:r w:rsidR="00AD6E3A">
        <w:t>CoDCorrect</w:t>
      </w:r>
      <w:r w:rsidR="008B6E5B">
        <w:t xml:space="preserve"> is to change the size of more uncertain causes </w:t>
      </w:r>
      <w:r w:rsidR="00C466CA">
        <w:t xml:space="preserve">by </w:t>
      </w:r>
      <w:r w:rsidR="008B6E5B">
        <w:t>more than</w:t>
      </w:r>
      <w:r w:rsidR="00C466CA">
        <w:t xml:space="preserve"> is done for </w:t>
      </w:r>
      <w:r w:rsidR="008B6E5B">
        <w:t>more certain causes</w:t>
      </w:r>
      <w:r w:rsidR="009E235C">
        <w:t>, a desirable property</w:t>
      </w:r>
      <w:r w:rsidR="008B6E5B">
        <w:t>.</w:t>
      </w:r>
      <w:r w:rsidR="00C47B5C">
        <w:t xml:space="preserve"> </w:t>
      </w:r>
    </w:p>
    <w:p w:rsidR="00B1744D" w:rsidRDefault="00B1744D" w:rsidP="00B1744D">
      <w:pPr>
        <w:pStyle w:val="Heading2"/>
      </w:pPr>
      <w:r>
        <w:t xml:space="preserve">Ranking </w:t>
      </w:r>
      <w:r w:rsidR="00ED27D1">
        <w:t>l</w:t>
      </w:r>
      <w:r>
        <w:t>ists</w:t>
      </w:r>
    </w:p>
    <w:p w:rsidR="00B1744D" w:rsidRDefault="00B1744D" w:rsidP="00B1744D">
      <w:r>
        <w:t>For the presentation of leading causes of death, the</w:t>
      </w:r>
      <w:r w:rsidR="009E235C">
        <w:t xml:space="preserve"> level at which one ranks causes is </w:t>
      </w:r>
      <w:r w:rsidR="004A6DCB">
        <w:t>subject to debate</w:t>
      </w:r>
      <w:r>
        <w:t>.</w:t>
      </w:r>
      <w:r w:rsidR="00C47B5C">
        <w:t xml:space="preserve"> </w:t>
      </w:r>
      <w:r>
        <w:t xml:space="preserve">Given the GBD </w:t>
      </w:r>
      <w:r w:rsidR="009B5B51">
        <w:t xml:space="preserve">cause list </w:t>
      </w:r>
      <w:r>
        <w:t xml:space="preserve">tree structure, multiple options are possible </w:t>
      </w:r>
      <w:r w:rsidR="00413A06">
        <w:t>such as all cancers versus site-</w:t>
      </w:r>
      <w:r>
        <w:t>specific cancers.</w:t>
      </w:r>
      <w:r w:rsidR="00C47B5C">
        <w:t xml:space="preserve"> </w:t>
      </w:r>
      <w:r>
        <w:t xml:space="preserve">We have </w:t>
      </w:r>
      <w:r w:rsidR="009E235C">
        <w:t>opted</w:t>
      </w:r>
      <w:r>
        <w:t xml:space="preserve"> to produce tables of rankings using the level of disaggregation that seems most relevant </w:t>
      </w:r>
      <w:r w:rsidR="009E235C">
        <w:t>for</w:t>
      </w:r>
      <w:r>
        <w:t xml:space="preserve"> public health decision-making.</w:t>
      </w:r>
      <w:r w:rsidR="00C47B5C">
        <w:t xml:space="preserve"> </w:t>
      </w:r>
      <w:r w:rsidR="0052095A">
        <w:t xml:space="preserve">Although we report more disaggregated causes, because of considerations </w:t>
      </w:r>
      <w:r w:rsidR="004A6DCB">
        <w:t xml:space="preserve">related to public health programs, </w:t>
      </w:r>
      <w:r w:rsidR="0052095A">
        <w:t>we have chosen to include diarrheal diseases, lower respiratory infections, maternal causes</w:t>
      </w:r>
      <w:r w:rsidR="00FD143E">
        <w:t>, cerebrovascular</w:t>
      </w:r>
      <w:r w:rsidR="00C466CA">
        <w:t xml:space="preserve"> disease</w:t>
      </w:r>
      <w:r w:rsidR="00FD143E">
        <w:t>, liver cancer, cirrhosis, drug use, road injury, exposure to mechanical forces, animal contact, homicide,</w:t>
      </w:r>
      <w:r w:rsidR="0052095A">
        <w:t xml:space="preserve"> and congenital causes </w:t>
      </w:r>
      <w:r w:rsidR="005B41C3">
        <w:t>i</w:t>
      </w:r>
      <w:r w:rsidR="0052095A">
        <w:t>n the ranking list.</w:t>
      </w:r>
      <w:r w:rsidR="00C47B5C">
        <w:t xml:space="preserve"> </w:t>
      </w:r>
    </w:p>
    <w:p w:rsidR="00742D10" w:rsidRDefault="00742D10" w:rsidP="00742D10">
      <w:pPr>
        <w:pStyle w:val="Heading2"/>
      </w:pPr>
      <w:r>
        <w:t xml:space="preserve">Computation of </w:t>
      </w:r>
      <w:r w:rsidR="00ED27D1">
        <w:t>y</w:t>
      </w:r>
      <w:r>
        <w:t xml:space="preserve">ears of </w:t>
      </w:r>
      <w:r w:rsidR="00ED27D1">
        <w:t>l</w:t>
      </w:r>
      <w:r w:rsidR="00F36AA1">
        <w:t xml:space="preserve">ife </w:t>
      </w:r>
      <w:r w:rsidR="00ED27D1">
        <w:t>l</w:t>
      </w:r>
      <w:r>
        <w:t xml:space="preserve">ost due to </w:t>
      </w:r>
      <w:r w:rsidR="00ED27D1">
        <w:t>p</w:t>
      </w:r>
      <w:r>
        <w:t xml:space="preserve">remature </w:t>
      </w:r>
      <w:r w:rsidR="00ED27D1">
        <w:t>m</w:t>
      </w:r>
      <w:r>
        <w:t>ortality (YLLs)</w:t>
      </w:r>
    </w:p>
    <w:p w:rsidR="00742D10" w:rsidRDefault="00742D10" w:rsidP="00B1744D">
      <w:r>
        <w:t>YLLs are computed by multiplying deaths at each age by the reference standard life expectancy at that age.</w:t>
      </w:r>
      <w:r w:rsidR="00C47B5C">
        <w:t xml:space="preserve"> </w:t>
      </w:r>
      <w:r>
        <w:t xml:space="preserve">The reference standard has been constructed using the lowest </w:t>
      </w:r>
      <w:r w:rsidR="00413A06">
        <w:t xml:space="preserve">observed death rate in each age </w:t>
      </w:r>
      <w:r>
        <w:t>group across countries with a population great</w:t>
      </w:r>
      <w:r w:rsidR="00413A06">
        <w:t>er than five million (</w:t>
      </w:r>
      <w:r>
        <w:t xml:space="preserve">see </w:t>
      </w:r>
      <w:r w:rsidR="00EA1672">
        <w:t>Murray et al</w:t>
      </w:r>
      <w:r w:rsidR="00E20FC1">
        <w:fldChar w:fldCharType="begin"/>
      </w:r>
      <w:r w:rsidR="00355799">
        <w:instrText xml:space="preserve"> ADDIN ZOTERO_ITEM CSL_CITATION {"citationID":"4XGJbazu","properties":{"formattedCitation":"{\\rtf \\super 39\\nosupersub{}}","plainCitation":"39"},"citationItems":[{"id":6819,"uris":["http://zotero.org/groups/21876/items/SW4PUTSE"],"uri":["http://zotero.org/groups/21876/items/SW4PUTSE"],"itemData":{"id":6819,"type":"article-journal","title":"Comprehensive Systematic Analysis of Global Epidemiology: Definitions, Methods, Simplification of DALYs, and Comparative Results from the Global Burden of Disease 2010 Study","author":[{"family":"Murray","given":"Christopher JL"},{"family":"Ezzati","given":"Majid"},{"family":"Flaxman","given":"Abraham"},{"family":"Lim","given":"Stephen"},{"family":"Lozano","given":"Rafael"},{"family":"Michaud","given":"Catherine"},{"family":"Naghavi","given":"Mohsen"},{"family":"Salomon","given":"Joshua"},{"family":"Shibuya","given":"Kenji"},{"family":"Vos","given":"Theo"},{"family":"Wikler","given":"Daniel"},{"family":"Lopez","given":"Alan D"}],"issued":{"literal":"In Preparation"}}}],"schema":"https://github.com/citation-style-language/schema/raw/master/csl-citation.json"} </w:instrText>
      </w:r>
      <w:r w:rsidR="00E20FC1">
        <w:fldChar w:fldCharType="separate"/>
      </w:r>
      <w:r w:rsidR="00E20FC1" w:rsidRPr="00E20FC1">
        <w:rPr>
          <w:rFonts w:ascii="Calibri" w:hAnsi="Calibri" w:cs="Calibri"/>
          <w:szCs w:val="24"/>
          <w:vertAlign w:val="superscript"/>
        </w:rPr>
        <w:t>39</w:t>
      </w:r>
      <w:r w:rsidR="00E20FC1">
        <w:fldChar w:fldCharType="end"/>
      </w:r>
      <w:r w:rsidR="00EA1672">
        <w:t xml:space="preserve"> for details</w:t>
      </w:r>
      <w:r w:rsidR="00413A06">
        <w:t>)</w:t>
      </w:r>
      <w:r w:rsidR="00EA1672">
        <w:t xml:space="preserve">. </w:t>
      </w:r>
      <w:r w:rsidR="00C47B5C">
        <w:t xml:space="preserve"> </w:t>
      </w:r>
      <w:r>
        <w:t>In practice, for deaths in a given age-interval such as 20-24, we use country-specific estimates from the demographic analysis of the mean age of death in that interval.</w:t>
      </w:r>
      <w:r w:rsidR="00E20FC1">
        <w:fldChar w:fldCharType="begin"/>
      </w:r>
      <w:r w:rsidR="00355799">
        <w:instrText xml:space="preserve"> ADDIN ZOTERO_ITEM CSL_CITATION {"citationID":"lG7yKFUI","properties":{"formattedCitation":"{\\rtf \\super 47\\nosupersub{}}","plainCitation":"47"},"citationItems":[{"id":5802,"uris":["http://zotero.org/groups/21876/items/P6E52CDN"],"uri":["http://zotero.org/groups/21876/items/P6E52CDN"],"itemData":{"id":5802,"type":"article-journal","title":"Global and Regional Age-Specific Mortality 1970-2010: A Systematic Analysis","author":[{"family":"Wang","given":"H"},{"family":"Dwyer-Lindgren","given":"L"},{"family":"Lofgren","given":"Katherine"},{"family":"Rajaratnam","given":"Julie"},{"family":"Marcus","given":"Jacob"},{"family":"Levin-Rector","given":"Alison"},{"family":"Levitz","given":"C"},{"family":"Lopez","given":"A"},{"family":"Murray","given":"CJL"}],"issued":{"literal":"In preparation"}}}],"schema":"https://github.com/citation-style-language/schema/raw/master/csl-citation.json"} </w:instrText>
      </w:r>
      <w:r w:rsidR="00E20FC1">
        <w:fldChar w:fldCharType="separate"/>
      </w:r>
      <w:r w:rsidR="00406C17" w:rsidRPr="00406C17">
        <w:rPr>
          <w:rFonts w:ascii="Calibri" w:hAnsi="Calibri" w:cs="Calibri"/>
          <w:szCs w:val="24"/>
          <w:vertAlign w:val="superscript"/>
        </w:rPr>
        <w:t>47</w:t>
      </w:r>
      <w:r w:rsidR="00E20FC1">
        <w:fldChar w:fldCharType="end"/>
      </w:r>
      <w:r w:rsidR="00C47B5C">
        <w:t xml:space="preserve"> </w:t>
      </w:r>
      <w:r w:rsidR="009B5B51">
        <w:t xml:space="preserve">In the GBD 2010, the terminal age-group for the analysis of causes of death and years lived with disability (YLDs) is 80 </w:t>
      </w:r>
      <w:r w:rsidR="00ED75FB">
        <w:t>years and older</w:t>
      </w:r>
      <w:r w:rsidR="002C5BB7">
        <w:t xml:space="preserve"> </w:t>
      </w:r>
      <w:r w:rsidR="009B5B51">
        <w:t>because of the scarcity and quality of data for older age groups.  Because the all-cause mortality analysis is undertaken, however, for more detailed age-groups up to age 1</w:t>
      </w:r>
      <w:r w:rsidR="00962BC9">
        <w:t>1</w:t>
      </w:r>
      <w:r w:rsidR="009B5B51">
        <w:t>0, we are able to take into account the mean age of</w:t>
      </w:r>
      <w:r w:rsidR="00413A06">
        <w:t xml:space="preserve"> death over 80 in each country-year-</w:t>
      </w:r>
      <w:r w:rsidR="009B5B51">
        <w:t xml:space="preserve">sex group in computing YLLs.  </w:t>
      </w:r>
    </w:p>
    <w:p w:rsidR="00E7139D" w:rsidRDefault="00E7139D" w:rsidP="00F330CC">
      <w:pPr>
        <w:pStyle w:val="Heading2"/>
      </w:pPr>
      <w:r>
        <w:t>Decomposing Changes in Cause of Death Numbers into Demographic and Epidemiological Factors</w:t>
      </w:r>
    </w:p>
    <w:p w:rsidR="00E7139D" w:rsidRDefault="00E7139D" w:rsidP="00B1744D">
      <w:r>
        <w:t xml:space="preserve">To help understand the drivers of change in the numbers of deaths by cause or region, we have decomposed change from 1990 to 2010 into growth in total population, change in population age- and sex-structure, and change in age- and sex-specific rates.  We compute two counterfactual sets of cause </w:t>
      </w:r>
      <w:r>
        <w:lastRenderedPageBreak/>
        <w:t>of death numbers: 1) a population growth scenario computed as the number of deaths expected in 2010 if only total population numbers increased to the level of 2010 but the age-sex structure of population stayed the same as in 1990 and age-sex specific rates remained at  1990 levels</w:t>
      </w:r>
      <w:r w:rsidR="00413A06">
        <w:t>;</w:t>
      </w:r>
      <w:r>
        <w:t xml:space="preserve"> and</w:t>
      </w:r>
      <w:r w:rsidR="00413A06">
        <w:t>,</w:t>
      </w:r>
      <w:r>
        <w:t xml:space="preserve"> 2) a population growth and population aging scenario computed as the number of deaths expected in 2010, using 1990 age-sex specific rates and 2010 age and sex-specific population numbers.   The difference between 1990 numbers and the population growth scenario is the change in death numbers due strictly to the growth in total population.  The change from the population growth scenario to the population growth and aging scenario is the number of deaths due to aging of the population.  </w:t>
      </w:r>
      <w:r w:rsidR="00303FA6">
        <w:t>T</w:t>
      </w:r>
      <w:r>
        <w:t>he difference between 2010 deaths and the population growth and aging scenario is the difference in death numbers due to epidemiological change in age</w:t>
      </w:r>
      <w:r w:rsidR="00413A06">
        <w:t>-</w:t>
      </w:r>
      <w:r>
        <w:t xml:space="preserve"> and sex-specific death rates.   </w:t>
      </w:r>
      <w:r w:rsidR="00303FA6">
        <w:t>Eac</w:t>
      </w:r>
      <w:r w:rsidR="00413A06">
        <w:t>h of these three differences is</w:t>
      </w:r>
      <w:r w:rsidR="00303FA6">
        <w:t xml:space="preserve"> also presented as a percent change with reference to the 1990 observed death number.  </w:t>
      </w:r>
    </w:p>
    <w:p w:rsidR="000666D6" w:rsidRDefault="00303FA6" w:rsidP="00B1744D">
      <w:r>
        <w:t>W</w:t>
      </w:r>
      <w:r w:rsidR="000666D6">
        <w:t>e have calcula</w:t>
      </w:r>
      <w:r w:rsidR="00AE2888">
        <w:t>ted change in the risk of death</w:t>
      </w:r>
      <w:r w:rsidR="000666D6">
        <w:t>, by cause, directly using age standardized death rates, based on the WHO world population standard age structure.</w:t>
      </w:r>
      <w:r w:rsidR="00053015">
        <w:fldChar w:fldCharType="begin"/>
      </w:r>
      <w:r w:rsidR="00355799">
        <w:instrText xml:space="preserve"> ADDIN ZOTERO_ITEM CSL_CITATION {"citationID":"GO1Tvk8n","properties":{"formattedCitation":"{\\rtf \\super 63\\nosupersub{}}","plainCitation":"63"},"citationItems":[{"id":18146,"uris":["http://zotero.org/groups/21876/items/M3J58VD2"],"uri":["http://zotero.org/groups/21876/items/M3J58VD2"],"itemData":{"id":18146,"type":"report","title":"AGE STANDARDIZATION OF RATES:  A NEW WHO STANDARD","collection-title":"GPE Discussion Paper: No. 31","publisher":"World Health Organization","URL":"http://www.who.int/healthinfo/paper31.pdf","author":[{"family":"Ahmad","given":"Omar B."},{"family":"Boschi-Pinto","given":"Cynthia"},{"family":"Lopez","given":"Alan D."},{"family":"Murray","given":"Christopher JL"},{"family":"Lozano","given":"Rafael"},{"family":"Inoue","given":"Mie"}],"issued":{"year":2001}}}],"schema":"https://github.com/citation-style-language/schema/raw/master/csl-citation.json"} </w:instrText>
      </w:r>
      <w:r w:rsidR="00053015">
        <w:fldChar w:fldCharType="separate"/>
      </w:r>
      <w:r w:rsidR="003D4A86" w:rsidRPr="003D4A86">
        <w:rPr>
          <w:rFonts w:ascii="Calibri" w:hAnsi="Calibri" w:cs="Calibri"/>
          <w:szCs w:val="24"/>
          <w:vertAlign w:val="superscript"/>
        </w:rPr>
        <w:t>63</w:t>
      </w:r>
      <w:r w:rsidR="00053015">
        <w:fldChar w:fldCharType="end"/>
      </w:r>
    </w:p>
    <w:p w:rsidR="009B53B9" w:rsidRDefault="009B53B9" w:rsidP="009B53B9">
      <w:r>
        <w:t>Further details on the data and methods used for specific causes of death is available on request.</w:t>
      </w:r>
    </w:p>
    <w:p w:rsidR="00922731" w:rsidRDefault="00B1744D" w:rsidP="00B1744D">
      <w:pPr>
        <w:pStyle w:val="Heading1"/>
      </w:pPr>
      <w:r>
        <w:t>Results</w:t>
      </w:r>
    </w:p>
    <w:p w:rsidR="00207BED" w:rsidRDefault="00207BED" w:rsidP="00207BED">
      <w:pPr>
        <w:pStyle w:val="Heading2"/>
      </w:pPr>
      <w:r>
        <w:t xml:space="preserve">Global </w:t>
      </w:r>
      <w:r w:rsidR="00973DA9">
        <w:t xml:space="preserve">Causes of Death </w:t>
      </w:r>
    </w:p>
    <w:p w:rsidR="003B45C0" w:rsidRDefault="00B1744D" w:rsidP="00B1744D">
      <w:r>
        <w:t xml:space="preserve">The GBD cause </w:t>
      </w:r>
      <w:r w:rsidRPr="00467D48">
        <w:t>list divides causes into three broad groups.</w:t>
      </w:r>
      <w:r w:rsidR="00C47B5C" w:rsidRPr="00467D48">
        <w:t xml:space="preserve"> </w:t>
      </w:r>
      <w:r w:rsidR="003279DD" w:rsidRPr="00467D48">
        <w:t>At the most aggregate level, c</w:t>
      </w:r>
      <w:r w:rsidR="003B45C0" w:rsidRPr="00467D48">
        <w:t xml:space="preserve">ommunicable, maternal, </w:t>
      </w:r>
      <w:r w:rsidR="003279DD" w:rsidRPr="00467D48">
        <w:t>neonatal, and nutritional</w:t>
      </w:r>
      <w:r w:rsidR="000C4E5C">
        <w:t xml:space="preserve"> (CMNN)</w:t>
      </w:r>
      <w:r w:rsidR="003279DD" w:rsidRPr="00467D48">
        <w:t xml:space="preserve"> </w:t>
      </w:r>
      <w:r w:rsidR="00CF3575" w:rsidRPr="00467D48">
        <w:t>causes account for 13</w:t>
      </w:r>
      <w:r w:rsidR="002C74E1" w:rsidRPr="00467D48">
        <w:t>·</w:t>
      </w:r>
      <w:r w:rsidR="00467D48" w:rsidRPr="00467D48">
        <w:t>2</w:t>
      </w:r>
      <w:r w:rsidR="00CF3575" w:rsidRPr="00467D48">
        <w:t xml:space="preserve"> million of 52</w:t>
      </w:r>
      <w:r w:rsidR="002C74E1" w:rsidRPr="00467D48">
        <w:t>·</w:t>
      </w:r>
      <w:r w:rsidR="00467D48" w:rsidRPr="00467D48">
        <w:t>8</w:t>
      </w:r>
      <w:r w:rsidR="003B45C0" w:rsidRPr="00467D48">
        <w:t xml:space="preserve"> milli</w:t>
      </w:r>
      <w:r w:rsidR="00CF3575" w:rsidRPr="00467D48">
        <w:t>on total deaths at all ages or 2</w:t>
      </w:r>
      <w:r w:rsidR="00E10CA6" w:rsidRPr="00467D48">
        <w:t>4</w:t>
      </w:r>
      <w:r w:rsidR="002C74E1" w:rsidRPr="00467D48">
        <w:t>·</w:t>
      </w:r>
      <w:r w:rsidR="00467D48" w:rsidRPr="00467D48">
        <w:t>8</w:t>
      </w:r>
      <w:r w:rsidR="003B45C0" w:rsidRPr="00467D48">
        <w:t>%</w:t>
      </w:r>
      <w:r w:rsidR="00AF6CDE" w:rsidRPr="00467D48">
        <w:t xml:space="preserve"> in 2010</w:t>
      </w:r>
      <w:r w:rsidR="003B45C0" w:rsidRPr="00467D48">
        <w:t>.</w:t>
      </w:r>
      <w:r w:rsidR="00C47B5C" w:rsidRPr="00467D48">
        <w:t xml:space="preserve"> </w:t>
      </w:r>
      <w:r w:rsidR="00333507">
        <w:t>Noncommunicable</w:t>
      </w:r>
      <w:r w:rsidR="00E10CA6" w:rsidRPr="00467D48">
        <w:t xml:space="preserve"> causes account for 3</w:t>
      </w:r>
      <w:r w:rsidR="002C74E1" w:rsidRPr="00467D48">
        <w:t>4·</w:t>
      </w:r>
      <w:r w:rsidR="00467D48" w:rsidRPr="00467D48">
        <w:t>5</w:t>
      </w:r>
      <w:r w:rsidR="00E10CA6" w:rsidRPr="00467D48">
        <w:t xml:space="preserve"> million</w:t>
      </w:r>
      <w:r w:rsidR="00CF2536" w:rsidRPr="00467D48">
        <w:t xml:space="preserve"> or </w:t>
      </w:r>
      <w:r w:rsidR="00E10CA6" w:rsidRPr="00467D48">
        <w:t>65</w:t>
      </w:r>
      <w:r w:rsidR="002C74E1" w:rsidRPr="00467D48">
        <w:t>·</w:t>
      </w:r>
      <w:r w:rsidR="00467D48" w:rsidRPr="00467D48">
        <w:t>4</w:t>
      </w:r>
      <w:r w:rsidR="00E10CA6" w:rsidRPr="00467D48">
        <w:t>%</w:t>
      </w:r>
      <w:r w:rsidR="00CF2536" w:rsidRPr="00467D48">
        <w:t>.</w:t>
      </w:r>
      <w:r w:rsidR="00C47B5C" w:rsidRPr="00467D48">
        <w:t xml:space="preserve"> </w:t>
      </w:r>
      <w:r w:rsidR="00CF2536" w:rsidRPr="00467D48">
        <w:t>The third category</w:t>
      </w:r>
      <w:r w:rsidR="00AF607D" w:rsidRPr="00467D48">
        <w:t>,</w:t>
      </w:r>
      <w:r w:rsidR="00E10CA6" w:rsidRPr="00467D48">
        <w:t xml:space="preserve"> injuries</w:t>
      </w:r>
      <w:r w:rsidR="00AF607D" w:rsidRPr="00467D48">
        <w:t>,</w:t>
      </w:r>
      <w:r w:rsidR="00E10CA6" w:rsidRPr="00467D48">
        <w:t xml:space="preserve"> </w:t>
      </w:r>
      <w:r w:rsidR="00CF2536" w:rsidRPr="00467D48">
        <w:t xml:space="preserve">accounts for </w:t>
      </w:r>
      <w:r w:rsidR="00E10CA6" w:rsidRPr="00467D48">
        <w:t>5</w:t>
      </w:r>
      <w:r w:rsidR="002C74E1" w:rsidRPr="00467D48">
        <w:t>·</w:t>
      </w:r>
      <w:r w:rsidR="00467D48" w:rsidRPr="00467D48">
        <w:t>1</w:t>
      </w:r>
      <w:r w:rsidR="00E10CA6" w:rsidRPr="00467D48">
        <w:t xml:space="preserve"> million</w:t>
      </w:r>
      <w:r w:rsidR="00CF2536" w:rsidRPr="00467D48">
        <w:t xml:space="preserve"> or</w:t>
      </w:r>
      <w:r w:rsidR="00E10CA6" w:rsidRPr="00467D48">
        <w:t xml:space="preserve"> 9</w:t>
      </w:r>
      <w:r w:rsidR="002C74E1" w:rsidRPr="00467D48">
        <w:t>·</w:t>
      </w:r>
      <w:r w:rsidR="00467D48" w:rsidRPr="00467D48">
        <w:t>6</w:t>
      </w:r>
      <w:r w:rsidR="003B45C0" w:rsidRPr="00467D48">
        <w:t>%.</w:t>
      </w:r>
      <w:r w:rsidR="000666D6" w:rsidRPr="00467D48">
        <w:t>T</w:t>
      </w:r>
      <w:r w:rsidR="004D4A88" w:rsidRPr="00467D48">
        <w:t>he continued decline in deaths from communicable, maternal, neonatal, and nutritional conditions</w:t>
      </w:r>
      <w:r w:rsidR="000666D6" w:rsidRPr="00467D48">
        <w:t xml:space="preserve"> is striking, if not surprising</w:t>
      </w:r>
      <w:r w:rsidR="004D4A88" w:rsidRPr="00467D48">
        <w:t>. By 2010, these largely preventable conditions</w:t>
      </w:r>
      <w:r w:rsidR="006822F5" w:rsidRPr="00467D48">
        <w:t xml:space="preserve"> accounted for one-quarter (13·</w:t>
      </w:r>
      <w:r w:rsidR="00467D48" w:rsidRPr="00467D48">
        <w:t>2</w:t>
      </w:r>
      <w:r w:rsidR="004D4A88" w:rsidRPr="00467D48">
        <w:t xml:space="preserve"> million) of the 52</w:t>
      </w:r>
      <w:r w:rsidR="006822F5" w:rsidRPr="00467D48">
        <w:t>·</w:t>
      </w:r>
      <w:r w:rsidR="00467D48" w:rsidRPr="00467D48">
        <w:t>8</w:t>
      </w:r>
      <w:r w:rsidR="004D4A88" w:rsidRPr="00467D48">
        <w:t xml:space="preserve"> million deaths estimated to have occurred worldwi</w:t>
      </w:r>
      <w:r w:rsidR="006822F5" w:rsidRPr="00467D48">
        <w:t>de in that year, down from 15·</w:t>
      </w:r>
      <w:r w:rsidR="00D0272E" w:rsidRPr="00467D48">
        <w:t>9 million (34</w:t>
      </w:r>
      <w:r w:rsidR="004D4A88" w:rsidRPr="00467D48">
        <w:t>%) in 1990.</w:t>
      </w:r>
      <w:r w:rsidR="00C47B5C" w:rsidRPr="00467D48">
        <w:t xml:space="preserve"> </w:t>
      </w:r>
      <w:r w:rsidR="004D4A88" w:rsidRPr="00467D48">
        <w:t xml:space="preserve">The annual number of deaths from </w:t>
      </w:r>
      <w:r w:rsidR="00AE2888">
        <w:t>noncommunicable</w:t>
      </w:r>
      <w:r w:rsidR="004D4A88" w:rsidRPr="00467D48">
        <w:t xml:space="preserve"> diseases, by contrast,</w:t>
      </w:r>
      <w:r w:rsidR="0025442C" w:rsidRPr="00467D48">
        <w:t xml:space="preserve"> rose by </w:t>
      </w:r>
      <w:r w:rsidR="00467D48" w:rsidRPr="00467D48">
        <w:t>just under</w:t>
      </w:r>
      <w:r w:rsidR="0025442C" w:rsidRPr="00467D48">
        <w:t xml:space="preserve"> 8 million, to 34·</w:t>
      </w:r>
      <w:r w:rsidR="00467D48" w:rsidRPr="00467D48">
        <w:t>5</w:t>
      </w:r>
      <w:r w:rsidR="004D4A88" w:rsidRPr="00467D48">
        <w:t xml:space="preserve"> million, or two out of every three deaths in 2010.</w:t>
      </w:r>
      <w:r w:rsidR="00C47B5C" w:rsidRPr="00467D48">
        <w:t xml:space="preserve"> </w:t>
      </w:r>
      <w:r w:rsidR="004D4A88" w:rsidRPr="00467D48">
        <w:t>The global fraction of deaths due to injuries increased sli</w:t>
      </w:r>
      <w:r w:rsidR="00EF005B" w:rsidRPr="00467D48">
        <w:t>ghtly b</w:t>
      </w:r>
      <w:r w:rsidR="00467D48" w:rsidRPr="00467D48">
        <w:t>etween 1990 and 2010 (8·8 to 9·6</w:t>
      </w:r>
      <w:r w:rsidR="004D4A88" w:rsidRPr="00467D48">
        <w:t>%), but this masks</w:t>
      </w:r>
      <w:r w:rsidR="004D4A88">
        <w:t xml:space="preserve"> some important trends in mortality from these causes.</w:t>
      </w:r>
      <w:r w:rsidR="00C93309">
        <w:t xml:space="preserve">  </w:t>
      </w:r>
      <w:r w:rsidR="00C93309" w:rsidRPr="00413A06">
        <w:rPr>
          <w:b/>
        </w:rPr>
        <w:t>Table 1</w:t>
      </w:r>
      <w:r w:rsidR="00C93309">
        <w:t xml:space="preserve"> decomposes these global trends into the contribution of total increase in population size, aging of the </w:t>
      </w:r>
      <w:r w:rsidR="00C93309" w:rsidRPr="005C01B8">
        <w:t>population</w:t>
      </w:r>
      <w:r w:rsidR="00413A06">
        <w:t>,</w:t>
      </w:r>
      <w:r w:rsidR="00C93309" w:rsidRPr="005C01B8">
        <w:t xml:space="preserve"> and changes in age- and sex-specific rates.  Global population growth alone would have been expected to increase </w:t>
      </w:r>
      <w:r w:rsidR="006537A0" w:rsidRPr="005C01B8">
        <w:t xml:space="preserve">deaths from </w:t>
      </w:r>
      <w:r w:rsidR="00C93309" w:rsidRPr="005C01B8">
        <w:t>all causes by 3</w:t>
      </w:r>
      <w:r w:rsidR="00AE2888">
        <w:t>1</w:t>
      </w:r>
      <w:r w:rsidR="00AE2888" w:rsidRPr="005C01B8">
        <w:t>·</w:t>
      </w:r>
      <w:r w:rsidR="00962BC9">
        <w:t>8</w:t>
      </w:r>
      <w:r w:rsidR="00C93309" w:rsidRPr="005C01B8">
        <w:t xml:space="preserve">% from 1990 to 2010.  </w:t>
      </w:r>
      <w:r w:rsidR="006537A0" w:rsidRPr="005C01B8">
        <w:t xml:space="preserve"> Because of the correlation between population growth rates and mortality rates from </w:t>
      </w:r>
      <w:r w:rsidR="000C4E5C">
        <w:t>CMNN</w:t>
      </w:r>
      <w:r w:rsidR="006537A0" w:rsidRPr="005C01B8">
        <w:t xml:space="preserve"> causes, population growth alone would ha</w:t>
      </w:r>
      <w:r w:rsidR="00AE2888">
        <w:t>ve increased this category by 46</w:t>
      </w:r>
      <w:r w:rsidR="00AE2888" w:rsidRPr="005C01B8">
        <w:t>·</w:t>
      </w:r>
      <w:r w:rsidR="00AE2888">
        <w:t>8</w:t>
      </w:r>
      <w:r w:rsidR="006537A0" w:rsidRPr="005C01B8">
        <w:t>%</w:t>
      </w:r>
      <w:r w:rsidR="00AE2888">
        <w:t>, noncommunicable diseases by 22</w:t>
      </w:r>
      <w:r w:rsidR="00AE2888" w:rsidRPr="005C01B8">
        <w:t>·</w:t>
      </w:r>
      <w:r w:rsidR="00AE2888">
        <w:t>9</w:t>
      </w:r>
      <w:r w:rsidR="006537A0" w:rsidRPr="005C01B8">
        <w:t>%</w:t>
      </w:r>
      <w:r w:rsidR="000C4E5C">
        <w:t>,</w:t>
      </w:r>
      <w:r w:rsidR="006537A0" w:rsidRPr="005C01B8">
        <w:t xml:space="preserve"> and injuries by 31</w:t>
      </w:r>
      <w:r w:rsidR="00AE2888" w:rsidRPr="005C01B8">
        <w:t>·</w:t>
      </w:r>
      <w:r w:rsidR="00AE2888">
        <w:t>1</w:t>
      </w:r>
      <w:r w:rsidR="006537A0" w:rsidRPr="005C01B8">
        <w:t xml:space="preserve">%.  </w:t>
      </w:r>
      <w:r w:rsidR="00C93309" w:rsidRPr="005C01B8">
        <w:t xml:space="preserve">Aging of the world’s population such that the </w:t>
      </w:r>
      <w:r w:rsidR="00AE2888">
        <w:t>mean</w:t>
      </w:r>
      <w:r w:rsidR="00C93309" w:rsidRPr="005C01B8">
        <w:t xml:space="preserve"> age of the world has increased from </w:t>
      </w:r>
      <w:r w:rsidR="00BB78EE">
        <w:t>26</w:t>
      </w:r>
      <w:r w:rsidR="00AE2888" w:rsidRPr="005C01B8">
        <w:t>·</w:t>
      </w:r>
      <w:r w:rsidR="00BB78EE">
        <w:t>1</w:t>
      </w:r>
      <w:r w:rsidR="00724D2F" w:rsidRPr="005C01B8">
        <w:t xml:space="preserve"> to 29</w:t>
      </w:r>
      <w:r w:rsidR="00AE2888" w:rsidRPr="005C01B8">
        <w:t>·</w:t>
      </w:r>
      <w:r w:rsidR="00BB78EE">
        <w:t>5</w:t>
      </w:r>
      <w:r w:rsidR="00724D2F" w:rsidRPr="005C01B8">
        <w:t xml:space="preserve"> years</w:t>
      </w:r>
      <w:r w:rsidR="00C93309" w:rsidRPr="005C01B8">
        <w:t xml:space="preserve"> contributed to an 1</w:t>
      </w:r>
      <w:r w:rsidR="006537A0" w:rsidRPr="005C01B8">
        <w:t>1</w:t>
      </w:r>
      <w:r w:rsidR="005C01B8" w:rsidRPr="005C01B8">
        <w:t>·</w:t>
      </w:r>
      <w:r w:rsidR="00AE2888">
        <w:t>2</w:t>
      </w:r>
      <w:r w:rsidR="00C93309" w:rsidRPr="005C01B8">
        <w:t xml:space="preserve">% decrease in </w:t>
      </w:r>
      <w:r w:rsidR="000C4E5C">
        <w:t>CMNN</w:t>
      </w:r>
      <w:r w:rsidR="00C93309" w:rsidRPr="005C01B8">
        <w:t xml:space="preserve"> conditions, a 3</w:t>
      </w:r>
      <w:r w:rsidR="006537A0" w:rsidRPr="005C01B8">
        <w:t>9</w:t>
      </w:r>
      <w:r w:rsidR="005C01B8" w:rsidRPr="005C01B8">
        <w:t>·</w:t>
      </w:r>
      <w:r w:rsidR="00AE2888">
        <w:t>2</w:t>
      </w:r>
      <w:r w:rsidR="00C93309" w:rsidRPr="005C01B8">
        <w:t>% increase in noncommunicable disease deaths</w:t>
      </w:r>
      <w:r w:rsidR="000C4E5C">
        <w:t>,</w:t>
      </w:r>
      <w:r w:rsidR="00C93309" w:rsidRPr="005C01B8">
        <w:t xml:space="preserve"> and a </w:t>
      </w:r>
      <w:r w:rsidR="006537A0" w:rsidRPr="005C01B8">
        <w:t>9</w:t>
      </w:r>
      <w:r w:rsidR="005C01B8" w:rsidRPr="005C01B8">
        <w:t>·</w:t>
      </w:r>
      <w:r w:rsidR="00724D2F" w:rsidRPr="005C01B8">
        <w:t>2</w:t>
      </w:r>
      <w:r w:rsidR="00C93309" w:rsidRPr="005C01B8">
        <w:t xml:space="preserve">% increase in injuries.   Declines in age- and sex-specific death rates have contributed to </w:t>
      </w:r>
      <w:r w:rsidR="00724D2F" w:rsidRPr="005C01B8">
        <w:t>52</w:t>
      </w:r>
      <w:r w:rsidR="005C01B8" w:rsidRPr="005C01B8">
        <w:t>·</w:t>
      </w:r>
      <w:r w:rsidR="00AE2888">
        <w:t>6</w:t>
      </w:r>
      <w:r w:rsidR="00C93309" w:rsidRPr="005C01B8">
        <w:t xml:space="preserve">% decrease in </w:t>
      </w:r>
      <w:r w:rsidR="000C4E5C">
        <w:t>CMNN</w:t>
      </w:r>
      <w:r w:rsidR="00C93309" w:rsidRPr="005C01B8">
        <w:t xml:space="preserve"> deaths, a 3</w:t>
      </w:r>
      <w:r w:rsidR="006537A0" w:rsidRPr="005C01B8">
        <w:t>2</w:t>
      </w:r>
      <w:r w:rsidR="005C01B8" w:rsidRPr="005C01B8">
        <w:t>·</w:t>
      </w:r>
      <w:r w:rsidR="00AE2888">
        <w:t>1</w:t>
      </w:r>
      <w:r w:rsidR="000666D6" w:rsidRPr="005C01B8">
        <w:t>%</w:t>
      </w:r>
      <w:r w:rsidR="00C93309" w:rsidRPr="005C01B8">
        <w:t xml:space="preserve"> decrease in noncommunicable disease deaths</w:t>
      </w:r>
      <w:r w:rsidR="000C4E5C">
        <w:t>,</w:t>
      </w:r>
      <w:r w:rsidR="00C93309" w:rsidRPr="005C01B8">
        <w:t xml:space="preserve"> and a 1</w:t>
      </w:r>
      <w:r w:rsidR="00AE2888">
        <w:t>5</w:t>
      </w:r>
      <w:r w:rsidR="005C01B8" w:rsidRPr="005C01B8">
        <w:t>·</w:t>
      </w:r>
      <w:r w:rsidR="00AE2888">
        <w:t>9</w:t>
      </w:r>
      <w:r w:rsidR="00C93309" w:rsidRPr="005C01B8">
        <w:t xml:space="preserve">% decrease in injury deaths.  </w:t>
      </w:r>
      <w:r w:rsidR="006537A0" w:rsidRPr="005C01B8">
        <w:t xml:space="preserve">  With</w:t>
      </w:r>
      <w:r w:rsidR="006537A0">
        <w:t xml:space="preserve"> declining age-specific death rates from all three groups of causes,</w:t>
      </w:r>
      <w:r w:rsidR="00AE2888">
        <w:t xml:space="preserve"> </w:t>
      </w:r>
      <w:r w:rsidR="000666D6">
        <w:t>including noncommunicable diseases,</w:t>
      </w:r>
      <w:r w:rsidR="006537A0">
        <w:t xml:space="preserve"> the global shift </w:t>
      </w:r>
      <w:r w:rsidR="006537A0">
        <w:lastRenderedPageBreak/>
        <w:t>towards noncommunicable disease</w:t>
      </w:r>
      <w:r w:rsidR="000666D6">
        <w:t>s</w:t>
      </w:r>
      <w:r w:rsidR="006537A0">
        <w:t xml:space="preserve"> and injur</w:t>
      </w:r>
      <w:r w:rsidR="000666D6">
        <w:t>ies as leading</w:t>
      </w:r>
      <w:r w:rsidR="00F01409">
        <w:t xml:space="preserve"> </w:t>
      </w:r>
      <w:r w:rsidR="006537A0">
        <w:t>causes of death is</w:t>
      </w:r>
      <w:r w:rsidR="000666D6">
        <w:t xml:space="preserve"> being </w:t>
      </w:r>
      <w:r w:rsidR="006537A0">
        <w:t>driven by population growth and aging</w:t>
      </w:r>
      <w:r w:rsidR="000666D6">
        <w:t xml:space="preserve">, and not by increases in </w:t>
      </w:r>
      <w:r w:rsidR="00F01409">
        <w:t>age-sex-</w:t>
      </w:r>
      <w:r w:rsidR="000666D6">
        <w:t>cause specific death rates</w:t>
      </w:r>
      <w:r w:rsidR="006537A0">
        <w:t xml:space="preserve">.  </w:t>
      </w:r>
    </w:p>
    <w:p w:rsidR="00101BD5" w:rsidRDefault="003B45C0" w:rsidP="00B1744D">
      <w:r>
        <w:t>At the second level of the GBD cause hierarchy, there are 21 major cause groups.</w:t>
      </w:r>
      <w:r w:rsidR="00C47B5C">
        <w:t xml:space="preserve"> </w:t>
      </w:r>
      <w:r w:rsidR="00080449" w:rsidRPr="00E44D50">
        <w:rPr>
          <w:b/>
        </w:rPr>
        <w:t>Figure 1</w:t>
      </w:r>
      <w:r w:rsidR="00080449">
        <w:t xml:space="preserve"> </w:t>
      </w:r>
      <w:r w:rsidR="000A26EE">
        <w:t xml:space="preserve">(a-d) </w:t>
      </w:r>
      <w:r w:rsidR="00824155">
        <w:t>summariz</w:t>
      </w:r>
      <w:r w:rsidR="003E0287">
        <w:t>es</w:t>
      </w:r>
      <w:r w:rsidR="00824155">
        <w:t xml:space="preserve"> </w:t>
      </w:r>
      <w:r w:rsidR="007D60B0">
        <w:t>the composition of causes of death for each age-sex group for males and females separately in 1990 and 2010</w:t>
      </w:r>
      <w:r w:rsidR="00364F55">
        <w:t xml:space="preserve"> at </w:t>
      </w:r>
      <w:r>
        <w:t>this</w:t>
      </w:r>
      <w:r w:rsidR="00364F55">
        <w:t xml:space="preserve"> second level</w:t>
      </w:r>
      <w:r w:rsidR="000666D6">
        <w:t xml:space="preserve"> of cause disaggregation</w:t>
      </w:r>
      <w:r w:rsidR="007D60B0">
        <w:t>.</w:t>
      </w:r>
      <w:r w:rsidR="00C47B5C">
        <w:t xml:space="preserve"> </w:t>
      </w:r>
      <w:r w:rsidR="00C93309">
        <w:t>T</w:t>
      </w:r>
      <w:r w:rsidR="007D60B0">
        <w:t xml:space="preserve">he structure of causes of death changes </w:t>
      </w:r>
      <w:r w:rsidR="007D60B0" w:rsidRPr="00B55B24">
        <w:t>systematically with age.</w:t>
      </w:r>
      <w:r w:rsidR="00C47B5C" w:rsidRPr="00B55B24">
        <w:t xml:space="preserve"> </w:t>
      </w:r>
      <w:r w:rsidR="007D60B0" w:rsidRPr="00B55B24">
        <w:t xml:space="preserve">In the neonatal </w:t>
      </w:r>
      <w:r w:rsidR="00C93309" w:rsidRPr="00B55B24">
        <w:t>a</w:t>
      </w:r>
      <w:r w:rsidR="000C4E5C">
        <w:t xml:space="preserve">ge </w:t>
      </w:r>
      <w:r w:rsidR="00C93309" w:rsidRPr="00B55B24">
        <w:t>groups</w:t>
      </w:r>
      <w:r w:rsidR="007D60B0" w:rsidRPr="00B55B24">
        <w:t xml:space="preserve">, conditions arising during the </w:t>
      </w:r>
      <w:r w:rsidRPr="00B55B24">
        <w:t>neonatal period dominate</w:t>
      </w:r>
      <w:r w:rsidR="000666D6" w:rsidRPr="00B55B24">
        <w:t>, but with important contributions from</w:t>
      </w:r>
      <w:r w:rsidRPr="00B55B24">
        <w:t xml:space="preserve"> </w:t>
      </w:r>
      <w:r w:rsidR="00C93309" w:rsidRPr="00B55B24">
        <w:t>the category</w:t>
      </w:r>
      <w:r w:rsidR="000666D6" w:rsidRPr="00B55B24">
        <w:t xml:space="preserve"> of </w:t>
      </w:r>
      <w:r w:rsidR="00C93309" w:rsidRPr="00B55B24">
        <w:t>diarrhea</w:t>
      </w:r>
      <w:r w:rsidR="000666D6" w:rsidRPr="00B55B24">
        <w:t>l disease</w:t>
      </w:r>
      <w:r w:rsidR="00C93309" w:rsidRPr="00B55B24">
        <w:t>, lower respiratory infections</w:t>
      </w:r>
      <w:r w:rsidR="000C4E5C">
        <w:t>,</w:t>
      </w:r>
      <w:r w:rsidR="00C93309" w:rsidRPr="00B55B24">
        <w:t xml:space="preserve"> and other </w:t>
      </w:r>
      <w:r w:rsidRPr="00B55B24">
        <w:t xml:space="preserve">infectious diseases and other </w:t>
      </w:r>
      <w:r w:rsidR="00AE2888">
        <w:t>noncommunicable</w:t>
      </w:r>
      <w:r w:rsidRPr="00B55B24">
        <w:t xml:space="preserve"> diseases</w:t>
      </w:r>
      <w:r w:rsidR="000666D6" w:rsidRPr="00B55B24">
        <w:t>,</w:t>
      </w:r>
      <w:r w:rsidRPr="00B55B24">
        <w:t xml:space="preserve"> includ</w:t>
      </w:r>
      <w:r w:rsidR="000666D6" w:rsidRPr="00B55B24">
        <w:t>ing</w:t>
      </w:r>
      <w:r w:rsidRPr="00B55B24">
        <w:t xml:space="preserve"> congenital causes.</w:t>
      </w:r>
      <w:r w:rsidR="00C47B5C" w:rsidRPr="00B55B24">
        <w:t xml:space="preserve"> </w:t>
      </w:r>
      <w:r w:rsidR="007D60B0" w:rsidRPr="00B55B24">
        <w:t>By the post-neonatal period</w:t>
      </w:r>
      <w:r w:rsidR="001E4EF2" w:rsidRPr="00B55B24">
        <w:t>,</w:t>
      </w:r>
      <w:r w:rsidR="007D60B0" w:rsidRPr="00B55B24">
        <w:t xml:space="preserve"> ca</w:t>
      </w:r>
      <w:r w:rsidR="000C4E5C">
        <w:t xml:space="preserve">uses of death are dominated by </w:t>
      </w:r>
      <w:r w:rsidR="007D60B0" w:rsidRPr="00B55B24">
        <w:t>diarrhea, LRI,</w:t>
      </w:r>
      <w:r w:rsidR="00404559" w:rsidRPr="00B55B24">
        <w:t xml:space="preserve"> </w:t>
      </w:r>
      <w:r w:rsidR="00406E10" w:rsidRPr="00B55B24">
        <w:t xml:space="preserve">and </w:t>
      </w:r>
      <w:r w:rsidR="00C93309" w:rsidRPr="00B55B24">
        <w:t xml:space="preserve">other infectious diseases such as </w:t>
      </w:r>
      <w:r w:rsidR="00406E10" w:rsidRPr="00B55B24">
        <w:t>measles</w:t>
      </w:r>
      <w:r w:rsidR="00C82314" w:rsidRPr="00B55B24">
        <w:t>,</w:t>
      </w:r>
      <w:r w:rsidR="007D60B0" w:rsidRPr="00B55B24">
        <w:t xml:space="preserve"> a</w:t>
      </w:r>
      <w:r w:rsidR="003E0287" w:rsidRPr="00B55B24">
        <w:t>mong</w:t>
      </w:r>
      <w:r w:rsidR="00824155" w:rsidRPr="00B55B24">
        <w:t xml:space="preserve"> </w:t>
      </w:r>
      <w:r w:rsidR="007D60B0" w:rsidRPr="00B55B24">
        <w:t>others.</w:t>
      </w:r>
      <w:r w:rsidR="00C47B5C" w:rsidRPr="00B55B24">
        <w:t xml:space="preserve"> </w:t>
      </w:r>
      <w:r w:rsidR="003E0287" w:rsidRPr="00B55B24">
        <w:t>At</w:t>
      </w:r>
      <w:r w:rsidR="007D60B0" w:rsidRPr="00B55B24">
        <w:t xml:space="preserve"> ages 1-4, </w:t>
      </w:r>
      <w:r w:rsidR="0004653A" w:rsidRPr="00B55B24">
        <w:t xml:space="preserve">the category neglected tropical diseases and malaria </w:t>
      </w:r>
      <w:r w:rsidRPr="00B55B24">
        <w:t xml:space="preserve">are </w:t>
      </w:r>
      <w:r w:rsidR="007D60B0" w:rsidRPr="00B55B24">
        <w:t xml:space="preserve">also an important contributor to global </w:t>
      </w:r>
      <w:r w:rsidR="003E0287" w:rsidRPr="00B55B24">
        <w:t>mortality</w:t>
      </w:r>
      <w:r w:rsidR="007D60B0" w:rsidRPr="00B55B24">
        <w:t>.</w:t>
      </w:r>
      <w:r w:rsidR="00C47B5C" w:rsidRPr="00B55B24">
        <w:t xml:space="preserve"> </w:t>
      </w:r>
      <w:r w:rsidR="007D60B0" w:rsidRPr="00B55B24">
        <w:t>In the age</w:t>
      </w:r>
      <w:r w:rsidR="003E0287" w:rsidRPr="00B55B24">
        <w:t xml:space="preserve"> group</w:t>
      </w:r>
      <w:r w:rsidR="007D60B0" w:rsidRPr="00B55B24">
        <w:t xml:space="preserve"> 5-14, infectious diseases, HIV/TB, injuries</w:t>
      </w:r>
      <w:r w:rsidR="00404559" w:rsidRPr="00B55B24">
        <w:t>,</w:t>
      </w:r>
      <w:r w:rsidR="007D60B0" w:rsidRPr="00B55B24">
        <w:t xml:space="preserve"> and some cancers </w:t>
      </w:r>
      <w:r w:rsidR="00C944AB" w:rsidRPr="00B55B24">
        <w:t>predominate, although overall mortality at these ages is low.</w:t>
      </w:r>
      <w:r w:rsidR="007D60B0" w:rsidRPr="00B55B24">
        <w:t xml:space="preserve"> </w:t>
      </w:r>
      <w:r w:rsidR="00C944AB" w:rsidRPr="00B55B24">
        <w:t xml:space="preserve">Important sex differences are evident from ages </w:t>
      </w:r>
      <w:r w:rsidR="007D60B0" w:rsidRPr="00B55B24">
        <w:t>15-34</w:t>
      </w:r>
      <w:r w:rsidR="00C944AB" w:rsidRPr="00B55B24">
        <w:t>; among males,</w:t>
      </w:r>
      <w:r w:rsidR="007D60B0" w:rsidRPr="00B55B24">
        <w:t xml:space="preserve"> injuries, HIV/TB</w:t>
      </w:r>
      <w:r w:rsidR="00404559" w:rsidRPr="00B55B24">
        <w:t>,</w:t>
      </w:r>
      <w:r w:rsidR="000C4E5C">
        <w:t xml:space="preserve"> and some noncommunicable diseases</w:t>
      </w:r>
      <w:r w:rsidR="007D60B0" w:rsidRPr="00B55B24">
        <w:t xml:space="preserve"> predominate. </w:t>
      </w:r>
      <w:r w:rsidR="00C82314" w:rsidRPr="00B55B24">
        <w:t>Among</w:t>
      </w:r>
      <w:r w:rsidR="000C4E5C">
        <w:t xml:space="preserve"> women of the same age </w:t>
      </w:r>
      <w:r w:rsidR="007D60B0" w:rsidRPr="00B55B24">
        <w:t>group, injuries are a smaller cause of death with maternal causes making an</w:t>
      </w:r>
      <w:r w:rsidR="007D60B0">
        <w:t xml:space="preserve"> important contribution.</w:t>
      </w:r>
      <w:r w:rsidR="00C47B5C">
        <w:t xml:space="preserve"> </w:t>
      </w:r>
      <w:r w:rsidR="00470FAD">
        <w:t xml:space="preserve">In 2010, maternal causes </w:t>
      </w:r>
      <w:r w:rsidR="00386844">
        <w:t>accounted for 10</w:t>
      </w:r>
      <w:r w:rsidR="00386844" w:rsidRPr="005C01B8">
        <w:t>·</w:t>
      </w:r>
      <w:r w:rsidR="000C4E5C">
        <w:t xml:space="preserve">7% </w:t>
      </w:r>
      <w:r w:rsidR="00386844">
        <w:t>of deaths of women in this age group, ranging from 0</w:t>
      </w:r>
      <w:r w:rsidR="00386844" w:rsidRPr="005C01B8">
        <w:t>·</w:t>
      </w:r>
      <w:r w:rsidR="00386844">
        <w:t>9% in Australasia to 16</w:t>
      </w:r>
      <w:r w:rsidR="00386844" w:rsidRPr="005C01B8">
        <w:t>·</w:t>
      </w:r>
      <w:r w:rsidR="00386844">
        <w:t xml:space="preserve">8% in Sub-Saharan Africa, West. </w:t>
      </w:r>
      <w:r w:rsidR="007D60B0">
        <w:t xml:space="preserve">By age </w:t>
      </w:r>
      <w:r w:rsidR="007D60B0" w:rsidRPr="00A64C30">
        <w:t xml:space="preserve">40, more than 50% of global deaths in 1990 were from </w:t>
      </w:r>
      <w:r w:rsidR="00AE2888">
        <w:t>noncommunicable</w:t>
      </w:r>
      <w:r w:rsidR="007D60B0" w:rsidRPr="00A64C30">
        <w:t xml:space="preserve"> diseases – this transition age shifts to 45 in 2010 because of the HIV epidemic.</w:t>
      </w:r>
      <w:r w:rsidR="00101BD5">
        <w:t xml:space="preserve">  Beginning at age 50, circulatory causes begin a steady rise to become the largest cause of death.</w:t>
      </w:r>
      <w:r w:rsidR="00C47B5C" w:rsidRPr="00A64C30">
        <w:t xml:space="preserve"> </w:t>
      </w:r>
    </w:p>
    <w:p w:rsidR="00B1744D" w:rsidRDefault="007D60B0" w:rsidP="00B1744D">
      <w:r>
        <w:t xml:space="preserve">Comparison of the 1990 and 2010 plots </w:t>
      </w:r>
      <w:r w:rsidR="00973DA9">
        <w:t xml:space="preserve">in </w:t>
      </w:r>
      <w:r w:rsidR="00973DA9" w:rsidRPr="000A26EE">
        <w:rPr>
          <w:b/>
        </w:rPr>
        <w:t>Figure 1</w:t>
      </w:r>
      <w:r w:rsidR="00973DA9">
        <w:t xml:space="preserve"> </w:t>
      </w:r>
      <w:r w:rsidR="00C026C1">
        <w:t>reveals</w:t>
      </w:r>
      <w:r>
        <w:t xml:space="preserve"> </w:t>
      </w:r>
      <w:r w:rsidR="00973DA9">
        <w:t>a number of shifts in the cause structure by age and sex.</w:t>
      </w:r>
      <w:r w:rsidR="00C47B5C">
        <w:t xml:space="preserve"> </w:t>
      </w:r>
      <w:r w:rsidR="003E1F0D">
        <w:t>At</w:t>
      </w:r>
      <w:r w:rsidR="000C4E5C">
        <w:t xml:space="preserve"> younger age </w:t>
      </w:r>
      <w:r w:rsidR="00973DA9">
        <w:t xml:space="preserve">groups, neonatal conditions and other </w:t>
      </w:r>
      <w:r w:rsidR="00AE2888">
        <w:t>noncommunicable</w:t>
      </w:r>
      <w:r w:rsidR="00973DA9">
        <w:t xml:space="preserve"> causes</w:t>
      </w:r>
      <w:r w:rsidR="003E1F0D">
        <w:t>, including congenital anomalies, predominate</w:t>
      </w:r>
      <w:r w:rsidR="00973DA9">
        <w:t>.</w:t>
      </w:r>
      <w:r w:rsidR="00C47B5C">
        <w:t xml:space="preserve"> </w:t>
      </w:r>
      <w:r w:rsidR="00973DA9">
        <w:t>The unfolding HIV</w:t>
      </w:r>
      <w:r w:rsidR="00BD4DA0">
        <w:t>/AIDS</w:t>
      </w:r>
      <w:r w:rsidR="00973DA9">
        <w:t xml:space="preserve"> epidemic at the global level </w:t>
      </w:r>
      <w:r w:rsidR="00953E54">
        <w:t xml:space="preserve">is clearly evident </w:t>
      </w:r>
      <w:r w:rsidR="00953E54" w:rsidRPr="00DF6F30">
        <w:t xml:space="preserve">from </w:t>
      </w:r>
      <w:r w:rsidR="00973DA9" w:rsidRPr="00DF6F30">
        <w:t xml:space="preserve">the huge increase in the </w:t>
      </w:r>
      <w:r w:rsidR="003E1F0D" w:rsidRPr="00DF6F30">
        <w:t>contribution of</w:t>
      </w:r>
      <w:r w:rsidR="00B26336" w:rsidRPr="00DF6F30">
        <w:t xml:space="preserve"> </w:t>
      </w:r>
      <w:r w:rsidR="00973DA9" w:rsidRPr="00DF6F30">
        <w:t>HIV</w:t>
      </w:r>
      <w:r w:rsidR="00DA0ABF" w:rsidRPr="00DF6F30">
        <w:t>/TB</w:t>
      </w:r>
      <w:r w:rsidR="00973DA9" w:rsidRPr="00DF6F30">
        <w:t xml:space="preserve"> </w:t>
      </w:r>
      <w:r w:rsidR="003E1F0D" w:rsidRPr="00DF6F30">
        <w:t xml:space="preserve">to cause of death patterns among </w:t>
      </w:r>
      <w:r w:rsidR="00973DA9" w:rsidRPr="00DF6F30">
        <w:t>younger adult males and females.</w:t>
      </w:r>
      <w:r w:rsidR="00C47B5C" w:rsidRPr="00DF6F30">
        <w:t xml:space="preserve"> </w:t>
      </w:r>
      <w:r w:rsidR="00973DA9" w:rsidRPr="00DF6F30">
        <w:t>By 2010, for example, HIV</w:t>
      </w:r>
      <w:r w:rsidR="00DA0ABF" w:rsidRPr="00DF6F30">
        <w:t>/TB</w:t>
      </w:r>
      <w:r w:rsidR="00973DA9" w:rsidRPr="00DF6F30">
        <w:t xml:space="preserve"> and injuries accounted for over half of</w:t>
      </w:r>
      <w:r w:rsidR="003E1F0D" w:rsidRPr="00DF6F30">
        <w:t xml:space="preserve"> all</w:t>
      </w:r>
      <w:r w:rsidR="000C4E5C">
        <w:t xml:space="preserve"> deaths in the age </w:t>
      </w:r>
      <w:r w:rsidR="00973DA9" w:rsidRPr="00DF6F30">
        <w:t>group 20-39 in males. Other important shifts</w:t>
      </w:r>
      <w:r w:rsidR="003E1F0D" w:rsidRPr="00DF6F30">
        <w:t xml:space="preserve">, with age, </w:t>
      </w:r>
      <w:r w:rsidR="00973DA9" w:rsidRPr="00DF6F30">
        <w:t>are evident: a rising fraction of deaths in ma</w:t>
      </w:r>
      <w:r w:rsidR="000C4E5C">
        <w:t xml:space="preserve">ny age </w:t>
      </w:r>
      <w:r w:rsidR="00586DB5" w:rsidRPr="00DF6F30">
        <w:t xml:space="preserve">groups </w:t>
      </w:r>
      <w:r w:rsidR="003E1F0D" w:rsidRPr="00DF6F30">
        <w:t>from</w:t>
      </w:r>
      <w:r w:rsidR="00586DB5" w:rsidRPr="00DF6F30">
        <w:t xml:space="preserve"> diabetes, chronic kidney diseases</w:t>
      </w:r>
      <w:r w:rsidR="00973DA9" w:rsidRPr="00DF6F30">
        <w:t>, blood and endocrine disorders</w:t>
      </w:r>
      <w:r w:rsidR="00586DB5" w:rsidRPr="00DF6F30">
        <w:t>, and cancers</w:t>
      </w:r>
      <w:r w:rsidR="003E1F0D" w:rsidRPr="00DF6F30">
        <w:t>,</w:t>
      </w:r>
      <w:r w:rsidR="00973DA9" w:rsidRPr="00DF6F30">
        <w:t xml:space="preserve"> along with a decline in the fraction due to chronic respiratory deaths in the middle-age</w:t>
      </w:r>
      <w:r w:rsidR="003E1F0D" w:rsidRPr="00DF6F30">
        <w:t>d</w:t>
      </w:r>
      <w:r w:rsidR="00973DA9" w:rsidRPr="00DF6F30">
        <w:t xml:space="preserve"> and older groups.</w:t>
      </w:r>
      <w:r w:rsidR="00C47B5C" w:rsidRPr="00DF6F30">
        <w:t xml:space="preserve"> </w:t>
      </w:r>
      <w:r w:rsidR="00973DA9" w:rsidRPr="00DF6F30">
        <w:t xml:space="preserve">For women, </w:t>
      </w:r>
      <w:r w:rsidRPr="00DF6F30">
        <w:t xml:space="preserve">the </w:t>
      </w:r>
      <w:r w:rsidR="00973DA9" w:rsidRPr="00DF6F30">
        <w:t xml:space="preserve">share of deaths </w:t>
      </w:r>
      <w:r w:rsidR="003E1F0D" w:rsidRPr="00DF6F30">
        <w:t>at ages</w:t>
      </w:r>
      <w:r w:rsidR="00973DA9" w:rsidRPr="00DF6F30">
        <w:t xml:space="preserve"> 20-39 due to maternal causes has notably declined.</w:t>
      </w:r>
      <w:r w:rsidR="00C47B5C">
        <w:t xml:space="preserve"> </w:t>
      </w:r>
    </w:p>
    <w:p w:rsidR="00495A17" w:rsidRDefault="004D4A88" w:rsidP="006F0B20">
      <w:r>
        <w:t>At a more disaggregated cause level,</w:t>
      </w:r>
      <w:r w:rsidR="006F0B20">
        <w:t xml:space="preserve"> there is interest in a broad global overview of who dies of what, and how this is changing. </w:t>
      </w:r>
      <w:r w:rsidR="00080449" w:rsidRPr="00E759A2">
        <w:rPr>
          <w:b/>
        </w:rPr>
        <w:t>Table</w:t>
      </w:r>
      <w:r w:rsidR="00040DD9">
        <w:rPr>
          <w:b/>
        </w:rPr>
        <w:t xml:space="preserve"> 2</w:t>
      </w:r>
      <w:r w:rsidR="00080449">
        <w:t xml:space="preserve"> </w:t>
      </w:r>
      <w:r w:rsidR="006F0B20">
        <w:t xml:space="preserve">provides </w:t>
      </w:r>
      <w:r w:rsidR="00040DD9">
        <w:t xml:space="preserve">total death numbers and age-standardized death rates for each cause in 1990 and 2010.   Because there is substantial interest in causes of death for different age-groups, </w:t>
      </w:r>
      <w:r w:rsidR="002C63EC">
        <w:rPr>
          <w:b/>
        </w:rPr>
        <w:t>Web</w:t>
      </w:r>
      <w:r w:rsidR="001813F9" w:rsidRPr="001813F9">
        <w:rPr>
          <w:b/>
        </w:rPr>
        <w:t xml:space="preserve"> </w:t>
      </w:r>
      <w:r w:rsidR="00040DD9">
        <w:rPr>
          <w:b/>
        </w:rPr>
        <w:t xml:space="preserve">Tables </w:t>
      </w:r>
      <w:r w:rsidR="002C63EC">
        <w:rPr>
          <w:b/>
        </w:rPr>
        <w:t>25</w:t>
      </w:r>
      <w:r w:rsidR="001813F9" w:rsidRPr="001813F9">
        <w:rPr>
          <w:b/>
        </w:rPr>
        <w:t xml:space="preserve"> and </w:t>
      </w:r>
      <w:r w:rsidR="002C63EC">
        <w:rPr>
          <w:b/>
        </w:rPr>
        <w:t>26</w:t>
      </w:r>
      <w:r w:rsidR="001813F9">
        <w:t xml:space="preserve"> provide global deaths for </w:t>
      </w:r>
      <w:r w:rsidR="00040DD9">
        <w:t xml:space="preserve">the 20 GBD </w:t>
      </w:r>
      <w:r w:rsidR="001813F9">
        <w:t>age groups, by</w:t>
      </w:r>
      <w:r w:rsidR="006F0B20">
        <w:t xml:space="preserve"> sex, </w:t>
      </w:r>
      <w:r w:rsidR="001813F9">
        <w:t xml:space="preserve">and </w:t>
      </w:r>
      <w:r w:rsidR="006F0B20">
        <w:t xml:space="preserve">including </w:t>
      </w:r>
      <w:r w:rsidR="00F10F84">
        <w:t xml:space="preserve">95% </w:t>
      </w:r>
      <w:r w:rsidR="006F0B20">
        <w:t>uncertainty</w:t>
      </w:r>
      <w:r w:rsidR="001813F9">
        <w:t xml:space="preserve"> for 2010 and 1990, respectively</w:t>
      </w:r>
      <w:r w:rsidR="00217200">
        <w:t xml:space="preserve">. In addition to the death numbers, we present the death rates by age for 2010 and 1990 in </w:t>
      </w:r>
      <w:r w:rsidR="00217200" w:rsidRPr="007A08C8">
        <w:rPr>
          <w:b/>
        </w:rPr>
        <w:t>Web Tables 27 and 28</w:t>
      </w:r>
      <w:r w:rsidR="00217200">
        <w:t>, respectively,</w:t>
      </w:r>
      <w:r w:rsidR="00495A17">
        <w:t xml:space="preserve"> for those readers interested in comparing change in age-sex-specific death rates. </w:t>
      </w:r>
      <w:r w:rsidR="006F0B20">
        <w:t>There are numerous features of the table</w:t>
      </w:r>
      <w:r w:rsidR="000776D5">
        <w:t>s</w:t>
      </w:r>
      <w:r w:rsidR="006F0B20">
        <w:t xml:space="preserve"> that warrant discussion: we limit ourselves here to some general observations which we believe characterize the principle epidemiological trends around the turn of the millennium. Much of </w:t>
      </w:r>
      <w:r>
        <w:t xml:space="preserve">the </w:t>
      </w:r>
      <w:r w:rsidRPr="00095FC2">
        <w:t xml:space="preserve">decline in the communicable, maternal, </w:t>
      </w:r>
      <w:r w:rsidR="00EA7A56" w:rsidRPr="00095FC2">
        <w:t xml:space="preserve">neonatal, and </w:t>
      </w:r>
      <w:r w:rsidRPr="00095FC2">
        <w:t>nutritional</w:t>
      </w:r>
      <w:r w:rsidR="00EA7A56" w:rsidRPr="00095FC2">
        <w:t xml:space="preserve"> </w:t>
      </w:r>
      <w:r w:rsidRPr="00095FC2">
        <w:t xml:space="preserve">causes </w:t>
      </w:r>
      <w:r w:rsidR="006F0B20" w:rsidRPr="00095FC2">
        <w:t>was due to the s</w:t>
      </w:r>
      <w:r w:rsidR="00097042" w:rsidRPr="00095FC2">
        <w:t xml:space="preserve">ubstantial reductions in </w:t>
      </w:r>
      <w:r w:rsidR="00727D8F" w:rsidRPr="00095FC2">
        <w:t>diarrheal disease (2·5 to 1·</w:t>
      </w:r>
      <w:r w:rsidR="00095FC2" w:rsidRPr="00095FC2">
        <w:t>4</w:t>
      </w:r>
      <w:r w:rsidR="00727D8F" w:rsidRPr="00095FC2">
        <w:t xml:space="preserve"> million), lower respiratory infections (3·4 to 2·8 million), neonatal conditions (3·1 to 2·2 million), </w:t>
      </w:r>
      <w:r w:rsidR="00095FC2" w:rsidRPr="00095FC2">
        <w:t>measles (0·63 to 0·13</w:t>
      </w:r>
      <w:r w:rsidR="00727D8F" w:rsidRPr="00095FC2">
        <w:t xml:space="preserve"> million), and tetanus (0·27 to 0·06 million)</w:t>
      </w:r>
      <w:r w:rsidR="006F0B20" w:rsidRPr="00095FC2">
        <w:t xml:space="preserve">, </w:t>
      </w:r>
      <w:r w:rsidR="006F0B20" w:rsidRPr="00095FC2">
        <w:lastRenderedPageBreak/>
        <w:t>reflecting the scaling up of effective treatment</w:t>
      </w:r>
      <w:r w:rsidR="00953E54" w:rsidRPr="00095FC2">
        <w:t>s</w:t>
      </w:r>
      <w:r w:rsidR="006F0B20" w:rsidRPr="00095FC2">
        <w:t xml:space="preserve"> and technologies to combat these conditions </w:t>
      </w:r>
      <w:r w:rsidR="00953E54" w:rsidRPr="00095FC2">
        <w:t xml:space="preserve">generally </w:t>
      </w:r>
      <w:r w:rsidR="006F0B20" w:rsidRPr="00095FC2">
        <w:t>associated with poverty. Not all diseases in this category declined, however.</w:t>
      </w:r>
      <w:r w:rsidR="00C47B5C" w:rsidRPr="00095FC2">
        <w:t xml:space="preserve"> </w:t>
      </w:r>
      <w:r w:rsidR="006F0B20" w:rsidRPr="00095FC2">
        <w:t>The table shows the massive increase in deaths between</w:t>
      </w:r>
      <w:r w:rsidR="00122CDF" w:rsidRPr="00095FC2">
        <w:t xml:space="preserve"> 1990 and 2010 from HIV/AIDS (0·</w:t>
      </w:r>
      <w:r w:rsidR="006F0B20" w:rsidRPr="00095FC2">
        <w:t>3 to 1</w:t>
      </w:r>
      <w:r w:rsidR="00122CDF" w:rsidRPr="00095FC2">
        <w:t>·</w:t>
      </w:r>
      <w:r w:rsidR="006F0B20" w:rsidRPr="00095FC2">
        <w:t>5 million), despite the dec</w:t>
      </w:r>
      <w:r w:rsidR="00122CDF" w:rsidRPr="00095FC2">
        <w:t xml:space="preserve">line </w:t>
      </w:r>
      <w:r w:rsidR="003A41B9" w:rsidRPr="00095FC2">
        <w:t>after</w:t>
      </w:r>
      <w:r w:rsidR="00122CDF" w:rsidRPr="00095FC2">
        <w:t xml:space="preserve"> 200</w:t>
      </w:r>
      <w:r w:rsidR="003A41B9" w:rsidRPr="00095FC2">
        <w:t>6</w:t>
      </w:r>
      <w:r w:rsidR="00122CDF" w:rsidRPr="00095FC2">
        <w:t>, as well as a 19·</w:t>
      </w:r>
      <w:r w:rsidR="00095FC2" w:rsidRPr="00095FC2">
        <w:t>9</w:t>
      </w:r>
      <w:r w:rsidR="006F0B20" w:rsidRPr="00095FC2">
        <w:t>% rise in malaria mortality over the two decades.</w:t>
      </w:r>
      <w:r w:rsidR="00C47B5C">
        <w:t xml:space="preserve"> </w:t>
      </w:r>
    </w:p>
    <w:p w:rsidR="006F0B20" w:rsidRDefault="006B1B84" w:rsidP="006F0B20">
      <w:r w:rsidRPr="00175E46">
        <w:t>Cancers claimed 8·</w:t>
      </w:r>
      <w:r w:rsidR="00095FC2" w:rsidRPr="00175E46">
        <w:t>0</w:t>
      </w:r>
      <w:r w:rsidR="006F0B20" w:rsidRPr="00175E46">
        <w:t xml:space="preserve"> million lives in 2010, 15</w:t>
      </w:r>
      <w:r w:rsidR="00095FC2" w:rsidRPr="00175E46">
        <w:t>·1</w:t>
      </w:r>
      <w:r w:rsidR="006F0B20" w:rsidRPr="00175E46">
        <w:t>% of all deaths worldwide, with large increases in deaths from trachea, bronchus</w:t>
      </w:r>
      <w:r w:rsidR="001E4EF2" w:rsidRPr="00175E46">
        <w:t>,</w:t>
      </w:r>
      <w:r w:rsidR="006F0B20" w:rsidRPr="00175E46">
        <w:t xml:space="preserve"> and </w:t>
      </w:r>
      <w:r w:rsidRPr="00175E46">
        <w:t>lung cancers (1</w:t>
      </w:r>
      <w:r w:rsidR="007A08C8" w:rsidRPr="00175E46">
        <w:t>·</w:t>
      </w:r>
      <w:r w:rsidR="007A08C8">
        <w:t>0</w:t>
      </w:r>
      <w:r w:rsidRPr="00175E46">
        <w:t xml:space="preserve"> to 1·</w:t>
      </w:r>
      <w:r w:rsidR="001E4EF2" w:rsidRPr="00175E46">
        <w:t>5 million),</w:t>
      </w:r>
      <w:r w:rsidR="006F0B20" w:rsidRPr="00175E46">
        <w:t xml:space="preserve"> twice the number of deaths from the next</w:t>
      </w:r>
      <w:r w:rsidRPr="00175E46">
        <w:t xml:space="preserve"> two</w:t>
      </w:r>
      <w:r w:rsidR="006F0B20" w:rsidRPr="00175E46">
        <w:t xml:space="preserve"> most common site</w:t>
      </w:r>
      <w:r w:rsidRPr="00175E46">
        <w:t>s</w:t>
      </w:r>
      <w:r w:rsidR="006F0B20" w:rsidRPr="00175E46">
        <w:t xml:space="preserve"> for mortality (liver</w:t>
      </w:r>
      <w:r w:rsidRPr="00175E46">
        <w:t xml:space="preserve"> and stomach</w:t>
      </w:r>
      <w:r w:rsidR="006F0B20" w:rsidRPr="00175E46">
        <w:t>).</w:t>
      </w:r>
      <w:r w:rsidR="00C47B5C" w:rsidRPr="00175E46">
        <w:t xml:space="preserve"> </w:t>
      </w:r>
      <w:r w:rsidR="006F0B20" w:rsidRPr="00175E46">
        <w:t xml:space="preserve">Roughly half of </w:t>
      </w:r>
      <w:r w:rsidR="004F6918" w:rsidRPr="00175E46">
        <w:t xml:space="preserve">the </w:t>
      </w:r>
      <w:r w:rsidR="006F0B20" w:rsidRPr="00175E46">
        <w:t xml:space="preserve">total </w:t>
      </w:r>
      <w:r w:rsidR="004F6918" w:rsidRPr="00175E46">
        <w:t xml:space="preserve">liver cancer mortality </w:t>
      </w:r>
      <w:r w:rsidR="006F0B20" w:rsidRPr="00175E46">
        <w:t>was attributed to hepatitis B infection</w:t>
      </w:r>
      <w:r w:rsidRPr="00175E46">
        <w:t xml:space="preserve"> (0·3</w:t>
      </w:r>
      <w:r w:rsidR="00095FC2" w:rsidRPr="00175E46">
        <w:t>4</w:t>
      </w:r>
      <w:r w:rsidR="006F0B20" w:rsidRPr="00175E46">
        <w:t xml:space="preserve"> million), with smaller fractions due to hepatitis C and alcohol. </w:t>
      </w:r>
      <w:r w:rsidR="00F715D6" w:rsidRPr="00175E46">
        <w:t>The largest cause fraction (13</w:t>
      </w:r>
      <w:r w:rsidRPr="00175E46">
        <w:t>·</w:t>
      </w:r>
      <w:r w:rsidR="00095FC2" w:rsidRPr="00175E46">
        <w:t>3</w:t>
      </w:r>
      <w:r w:rsidR="006F0B20" w:rsidRPr="00175E46">
        <w:t xml:space="preserve">%) among all causes of death in 2010 was due to IHD, </w:t>
      </w:r>
      <w:r w:rsidRPr="00175E46">
        <w:t>closely followed by stroke (11·</w:t>
      </w:r>
      <w:r w:rsidR="00095FC2" w:rsidRPr="00175E46">
        <w:t>1</w:t>
      </w:r>
      <w:r w:rsidR="006F0B20" w:rsidRPr="00175E46">
        <w:t>%), being rou</w:t>
      </w:r>
      <w:r w:rsidR="001E4EF2" w:rsidRPr="00175E46">
        <w:t>ghly split equally between isch</w:t>
      </w:r>
      <w:r w:rsidRPr="00175E46">
        <w:t>emic (2·</w:t>
      </w:r>
      <w:r w:rsidR="006F0B20" w:rsidRPr="00175E46">
        <w:t>8 million) and hemorrhagic and other (3</w:t>
      </w:r>
      <w:r w:rsidR="00C123E9" w:rsidRPr="00175E46">
        <w:t>·0</w:t>
      </w:r>
      <w:r w:rsidR="006F0B20" w:rsidRPr="00175E46">
        <w:t xml:space="preserve"> million). Together, IHD and all forms of</w:t>
      </w:r>
      <w:r w:rsidR="00C123E9" w:rsidRPr="00175E46">
        <w:t xml:space="preserve"> stroke killed an estimated 12</w:t>
      </w:r>
      <w:r w:rsidRPr="00175E46">
        <w:t>·</w:t>
      </w:r>
      <w:r w:rsidR="00095FC2" w:rsidRPr="00175E46">
        <w:t>9</w:t>
      </w:r>
      <w:r w:rsidR="006F0B20" w:rsidRPr="00175E46">
        <w:t xml:space="preserve"> million people in 2010, one quarter of the global total, compared to one in </w:t>
      </w:r>
      <w:r w:rsidR="001E4EF2" w:rsidRPr="00175E46">
        <w:t>five</w:t>
      </w:r>
      <w:r w:rsidR="006F0B20" w:rsidRPr="00175E46">
        <w:t xml:space="preserve"> deaths worldwide 20 years earlier. Cirrhosis of the liver was the cause of a </w:t>
      </w:r>
      <w:r w:rsidR="005377DD" w:rsidRPr="00175E46">
        <w:t>million deaths in 2010, 33</w:t>
      </w:r>
      <w:r w:rsidR="006F0B20" w:rsidRPr="00175E46">
        <w:t>% more than in 1990, roughly equally attributable to hepatitis B, hepatitis C, and alcohol. Diabetes deaths wor</w:t>
      </w:r>
      <w:r w:rsidR="00F715D6" w:rsidRPr="00175E46">
        <w:t>ldwide almost doubled, from 0</w:t>
      </w:r>
      <w:r w:rsidR="005377DD" w:rsidRPr="00175E46">
        <w:t>·</w:t>
      </w:r>
      <w:r w:rsidR="00F715D6" w:rsidRPr="00175E46">
        <w:t>6</w:t>
      </w:r>
      <w:r w:rsidR="009920C4">
        <w:t>6</w:t>
      </w:r>
      <w:r w:rsidR="00F715D6" w:rsidRPr="00175E46">
        <w:t xml:space="preserve"> to 1</w:t>
      </w:r>
      <w:r w:rsidR="005377DD" w:rsidRPr="00175E46">
        <w:t>·</w:t>
      </w:r>
      <w:r w:rsidR="00F715D6" w:rsidRPr="00175E46">
        <w:t>3</w:t>
      </w:r>
      <w:r w:rsidR="006F0B20" w:rsidRPr="00175E46">
        <w:t xml:space="preserve"> million, as did deaths from chr</w:t>
      </w:r>
      <w:r w:rsidR="00F715D6" w:rsidRPr="00175E46">
        <w:t>onic kidney disease (0</w:t>
      </w:r>
      <w:r w:rsidR="005377DD" w:rsidRPr="00175E46">
        <w:t>·</w:t>
      </w:r>
      <w:r w:rsidR="00F715D6" w:rsidRPr="00175E46">
        <w:t>4</w:t>
      </w:r>
      <w:r w:rsidR="00175E46" w:rsidRPr="00175E46">
        <w:t>0</w:t>
      </w:r>
      <w:r w:rsidR="00F715D6" w:rsidRPr="00175E46">
        <w:t xml:space="preserve"> to 0</w:t>
      </w:r>
      <w:r w:rsidR="005377DD" w:rsidRPr="00175E46">
        <w:t>·</w:t>
      </w:r>
      <w:r w:rsidR="00F715D6" w:rsidRPr="00175E46">
        <w:t>74</w:t>
      </w:r>
      <w:r w:rsidR="006F0B20" w:rsidRPr="00175E46">
        <w:t xml:space="preserve"> million). Deaths from Alzheimer’s </w:t>
      </w:r>
      <w:r w:rsidR="004F6918" w:rsidRPr="00175E46">
        <w:t xml:space="preserve">disease </w:t>
      </w:r>
      <w:r w:rsidR="006F0B20" w:rsidRPr="00175E46">
        <w:t>and other dementias r</w:t>
      </w:r>
      <w:r w:rsidR="00F715D6" w:rsidRPr="00175E46">
        <w:t>ose more than three-fold to 0</w:t>
      </w:r>
      <w:r w:rsidR="005377DD" w:rsidRPr="00175E46">
        <w:t>·</w:t>
      </w:r>
      <w:r w:rsidR="00F715D6" w:rsidRPr="00175E46">
        <w:t>4</w:t>
      </w:r>
      <w:r w:rsidR="00175E46" w:rsidRPr="00175E46">
        <w:t>9</w:t>
      </w:r>
      <w:r w:rsidR="006F0B20" w:rsidRPr="00175E46">
        <w:t xml:space="preserve"> million in 2010, while deaths from Parkinson’s</w:t>
      </w:r>
      <w:r w:rsidR="00F715D6" w:rsidRPr="00175E46">
        <w:t xml:space="preserve"> disease doubled to 0</w:t>
      </w:r>
      <w:r w:rsidR="005377DD" w:rsidRPr="00175E46">
        <w:t>·</w:t>
      </w:r>
      <w:r w:rsidR="00F715D6" w:rsidRPr="00175E46">
        <w:t>11 million</w:t>
      </w:r>
      <w:r w:rsidR="006F0B20" w:rsidRPr="00175E46">
        <w:t>. One of the few causes in this group to de</w:t>
      </w:r>
      <w:r w:rsidR="00F715D6" w:rsidRPr="00175E46">
        <w:t>cline was C</w:t>
      </w:r>
      <w:r w:rsidR="00175E46" w:rsidRPr="00175E46">
        <w:t>OPD, falling from 3</w:t>
      </w:r>
      <w:r w:rsidR="005377DD" w:rsidRPr="00175E46">
        <w:t>·</w:t>
      </w:r>
      <w:r w:rsidR="00175E46" w:rsidRPr="00175E46">
        <w:t>1 to 2</w:t>
      </w:r>
      <w:r w:rsidR="005377DD" w:rsidRPr="00175E46">
        <w:t>·</w:t>
      </w:r>
      <w:r w:rsidR="00175E46" w:rsidRPr="00175E46">
        <w:t>9</w:t>
      </w:r>
      <w:r w:rsidR="006F0B20" w:rsidRPr="00175E46">
        <w:t xml:space="preserve"> million. This is consistent</w:t>
      </w:r>
      <w:r w:rsidR="006F0B20">
        <w:t xml:space="preserve"> with the declines observed with development in countries such as the UK in the first part of the 20</w:t>
      </w:r>
      <w:r w:rsidR="006F0B20" w:rsidRPr="00FA046B">
        <w:rPr>
          <w:vertAlign w:val="superscript"/>
        </w:rPr>
        <w:t>th</w:t>
      </w:r>
      <w:r w:rsidR="006F0B20">
        <w:t xml:space="preserve"> century, only to be reversed as the impact of tobacco use becomes evident.</w:t>
      </w:r>
      <w:r w:rsidR="00FD2A6F">
        <w:fldChar w:fldCharType="begin"/>
      </w:r>
      <w:r w:rsidR="00355799">
        <w:instrText xml:space="preserve"> ADDIN ZOTERO_ITEM CSL_CITATION {"citationID":"o90ct5dl","properties":{"formattedCitation":"{\\rtf \\super 64,65\\nosupersub{}}","plainCitation":"64,65"},"citationItems":[{"id":2715,"uris":["http://zotero.org/groups/21876/items/BK9X3QRR"],"uri":["http://zotero.org/groups/21876/items/BK9X3QRR"],"itemData":{"id":2715,"type":"article-journal","title":"Mortality in England and Wales from 1848 to 1947","container-title":"Population Studies","page":"132-178","volume":"4","issue":"2","abstract":"Abstract This is a survey of the changing causes of death in England and Wales during the past 100 years. Based on the published mortality statistics of the General Register Office the framework of the survey is a series of specially prepared tables of death rates by sex, age and cause of death for the periods 1848–72, 1901–10, 1921, 1931, 1939 and 1947. Adjustments were made wherever necessary to compensate for changes in medical nomenclature and in the statistical classification of disease. After allowance has been made for the changing age structure of the population, the male death rate at all ages in 1947 was 42% of the rate in 1846–50, and the female rate 35 %. Maximum improvement was among girls aged 5–9 years, whose death rate in 1947 was 9% of the rate 100 years before. In 1848–72 the group to which were allocated the largest proportion of the deaths at all ages were the infectious diseases with one-third of the total; and these were followed by the respiratory, nervous and digestive diseases. In 1947, on the other hand, diseases of the circulatory system came first with rather more than one-third of the total at all ages, and these were followed by cancer. Changes in proportionate mortality rates from various causes have been examined at successive ages from infancy to old age. There was a decline in proportionate mortality from the infectious diseases other than tuberculosis, but increased mortality from tuberculosis in the younger age groups and from violence, circulatory diseases and cancer. The trends of absolute mortality from the various causes were also studied. The reduction in total mortality was such that whereas there were half a million deaths of civilians registered in England and Wales in 1947, the total would have been over a million had the death rates of 1848–72 still prevailed. The article concludes with a brief review of the factors responsible for the changes that have taken place.","DOI":"10.1080/00324728.1950.10414856","author":[{"family":"Logan","given":"W. P. D."}],"issued":{"year":1950},"accessed":{"year":2012,"month":7,"day":11},"page-first":"132"},"label":"page"},{"id":306,"uris":["http://zotero.org/groups/21876/items/2U5T4FAR"],"uri":["http://zotero.org/groups/21876/items/2U5T4FAR"],"itemData":{"id":306,"type":"chapter","title":"Diseases of the respiratory system","container-title":"The Health of Adult Britain 1841-1994","publisher":"H.M. Stationery Office","volume":"2","ISBN":"9780116209092","language":"en","author":[{"family":"Marks","given":"GB"},{"family":"Burney","given":"P."}],"issued":{"year":1997}},"label":"page"}],"schema":"https://github.com/citation-style-language/schema/raw/master/csl-citation.json"} </w:instrText>
      </w:r>
      <w:r w:rsidR="00FD2A6F">
        <w:fldChar w:fldCharType="separate"/>
      </w:r>
      <w:r w:rsidR="003D4A86" w:rsidRPr="003D4A86">
        <w:rPr>
          <w:rFonts w:ascii="Calibri" w:hAnsi="Calibri" w:cs="Calibri"/>
          <w:szCs w:val="24"/>
          <w:vertAlign w:val="superscript"/>
        </w:rPr>
        <w:t>64,65</w:t>
      </w:r>
      <w:r w:rsidR="00FD2A6F">
        <w:fldChar w:fldCharType="end"/>
      </w:r>
      <w:r w:rsidR="006F0B20">
        <w:t xml:space="preserve"> The massive increases in tobacco</w:t>
      </w:r>
      <w:r w:rsidR="004F6918">
        <w:t xml:space="preserve"> use since the 1970s</w:t>
      </w:r>
      <w:r w:rsidR="006F0B20">
        <w:t>, particularly among men in less developed countries, will likely reverse this trend over the next decade or so.</w:t>
      </w:r>
      <w:r w:rsidR="00FD2A6F">
        <w:fldChar w:fldCharType="begin"/>
      </w:r>
      <w:r w:rsidR="00355799">
        <w:instrText xml:space="preserve"> ADDIN ZOTERO_ITEM CSL_CITATION {"citationID":"H9U8uN9T","properties":{"formattedCitation":"{\\rtf \\super 66\\nosupersub{}}","plainCitation":"66"},"citationItems":[{"id":4244,"uris":["http://zotero.org/groups/21876/items/HBK5NPBG"],"uri":["http://zotero.org/groups/21876/items/HBK5NPBG"],"itemData":{"id":4244,"type":"article-journal","title":"100 Years of Chronic Obstructive Pulmonary Disease (COPD) Mortality in Australia: The Role of Tobacco Consumption","journalAbbreviation":"Int J Tuberc Lung Dis","author":[{"family":"Adair","given":"Tim"},{"family":"Damian","given":"Hoy"},{"family":"Dettrick","given":"Zoe"},{"family":"Lopez","given":"Alan D"}],"issued":{"literal":"(in press)"}}}],"schema":"https://github.com/citation-style-language/schema/raw/master/csl-citation.json"} </w:instrText>
      </w:r>
      <w:r w:rsidR="00FD2A6F">
        <w:fldChar w:fldCharType="separate"/>
      </w:r>
      <w:r w:rsidR="003D4A86" w:rsidRPr="003D4A86">
        <w:rPr>
          <w:rFonts w:ascii="Calibri" w:hAnsi="Calibri" w:cs="Calibri"/>
          <w:szCs w:val="24"/>
          <w:vertAlign w:val="superscript"/>
        </w:rPr>
        <w:t>66</w:t>
      </w:r>
      <w:r w:rsidR="00FD2A6F">
        <w:fldChar w:fldCharType="end"/>
      </w:r>
    </w:p>
    <w:p w:rsidR="006F0B20" w:rsidRDefault="006F0B20" w:rsidP="006F0B20">
      <w:r w:rsidRPr="00D149FF">
        <w:t>One million more deaths fro</w:t>
      </w:r>
      <w:r w:rsidR="00175E46" w:rsidRPr="00D149FF">
        <w:t>m injuries occurred in 2010 (5·1</w:t>
      </w:r>
      <w:r w:rsidRPr="00D149FF">
        <w:t xml:space="preserve"> million) than two decades earlier, a 2</w:t>
      </w:r>
      <w:r w:rsidR="00175E46" w:rsidRPr="00D149FF">
        <w:t>4</w:t>
      </w:r>
      <w:r w:rsidRPr="00D149FF">
        <w:t xml:space="preserve">% increase. This was driven primarily by a </w:t>
      </w:r>
      <w:r w:rsidR="00D149FF" w:rsidRPr="00D149FF">
        <w:t>421</w:t>
      </w:r>
      <w:r w:rsidR="00A95F3A" w:rsidRPr="00D149FF">
        <w:t>·</w:t>
      </w:r>
      <w:r w:rsidR="00D149FF" w:rsidRPr="00D149FF">
        <w:t>2</w:t>
      </w:r>
      <w:r w:rsidR="00A95F3A">
        <w:t xml:space="preserve"> thousand</w:t>
      </w:r>
      <w:r w:rsidRPr="00D149FF">
        <w:t xml:space="preserve"> increase in road tr</w:t>
      </w:r>
      <w:r w:rsidR="00B444FE" w:rsidRPr="00D149FF">
        <w:t xml:space="preserve">affic deaths, which </w:t>
      </w:r>
      <w:r w:rsidR="00D149FF" w:rsidRPr="00D149FF">
        <w:t>claimed 1·</w:t>
      </w:r>
      <w:r w:rsidR="009920C4">
        <w:t>3</w:t>
      </w:r>
      <w:r w:rsidRPr="00D149FF">
        <w:t xml:space="preserve"> million lives in 2010.</w:t>
      </w:r>
      <w:r w:rsidR="00C47B5C" w:rsidRPr="00D149FF">
        <w:t xml:space="preserve"> </w:t>
      </w:r>
      <w:r w:rsidRPr="00D149FF">
        <w:t>Fall</w:t>
      </w:r>
      <w:r w:rsidR="002836FD" w:rsidRPr="00D149FF">
        <w:t xml:space="preserve">s also claimed an additional </w:t>
      </w:r>
      <w:r w:rsidR="00D149FF" w:rsidRPr="00D149FF">
        <w:t>191,700</w:t>
      </w:r>
      <w:r w:rsidRPr="00D149FF">
        <w:t xml:space="preserve"> lives compared with 1990, with most other accidental causes being relatively constant, or decreasing, especially drowning. Deaths from intentional injuries increase</w:t>
      </w:r>
      <w:r w:rsidR="009572A6" w:rsidRPr="00D149FF">
        <w:t xml:space="preserve">d for both </w:t>
      </w:r>
      <w:r w:rsidR="00333507">
        <w:t>self-harm</w:t>
      </w:r>
      <w:r w:rsidR="009572A6" w:rsidRPr="00D149FF">
        <w:t xml:space="preserve"> (0·67 to 0·89</w:t>
      </w:r>
      <w:r w:rsidRPr="00D149FF">
        <w:t xml:space="preserve"> million) and inte</w:t>
      </w:r>
      <w:r w:rsidR="009572A6" w:rsidRPr="00D149FF">
        <w:t>rpersonal violence (0·34 to 0·</w:t>
      </w:r>
      <w:r w:rsidR="00D149FF" w:rsidRPr="00D149FF">
        <w:t>46</w:t>
      </w:r>
      <w:r w:rsidRPr="00D149FF">
        <w:t xml:space="preserve"> million). Deaths from </w:t>
      </w:r>
      <w:r w:rsidR="00080449" w:rsidRPr="00D149FF">
        <w:t>forces of nature</w:t>
      </w:r>
      <w:r w:rsidRPr="00D149FF">
        <w:t>, war</w:t>
      </w:r>
      <w:r w:rsidR="001E4EF2" w:rsidRPr="00D149FF">
        <w:t>,</w:t>
      </w:r>
      <w:r w:rsidRPr="00D149FF">
        <w:t xml:space="preserve"> and legal intervention were </w:t>
      </w:r>
      <w:r w:rsidR="00D149FF" w:rsidRPr="00D149FF">
        <w:t>over twice</w:t>
      </w:r>
      <w:r w:rsidRPr="00D149FF">
        <w:t xml:space="preserve"> as common</w:t>
      </w:r>
      <w:r w:rsidR="00097042" w:rsidRPr="00D149FF">
        <w:t xml:space="preserve"> </w:t>
      </w:r>
      <w:r w:rsidRPr="00D149FF">
        <w:t>(</w:t>
      </w:r>
      <w:r w:rsidR="002836FD" w:rsidRPr="00D149FF">
        <w:t>2</w:t>
      </w:r>
      <w:r w:rsidR="00D149FF" w:rsidRPr="00D149FF">
        <w:t>27</w:t>
      </w:r>
      <w:r w:rsidR="00245BF4">
        <w:t xml:space="preserve"> thousand</w:t>
      </w:r>
      <w:r w:rsidRPr="00D149FF">
        <w:t>) than two decades earlier.</w:t>
      </w:r>
      <w:r w:rsidR="00C47B5C" w:rsidRPr="00D149FF">
        <w:t xml:space="preserve"> </w:t>
      </w:r>
      <w:r w:rsidR="004416FC" w:rsidRPr="00D149FF">
        <w:t xml:space="preserve">Given the huge annual fluctuation in deaths from forces of nature and war, trends must be interpreted with caution. </w:t>
      </w:r>
      <w:r w:rsidRPr="00D149FF">
        <w:t>The fact that deaths from injuries are rising, and account for one in ten deaths worldwide, argues for far greater policy action to prevent them.</w:t>
      </w:r>
    </w:p>
    <w:p w:rsidR="00295B28" w:rsidRDefault="00295B28" w:rsidP="006F0B20">
      <w:r>
        <w:t>Trends in numbers of deaths are of interest and</w:t>
      </w:r>
      <w:r w:rsidR="000A18CD">
        <w:t xml:space="preserve"> importance for health services</w:t>
      </w:r>
      <w:r>
        <w:t xml:space="preserve"> an</w:t>
      </w:r>
      <w:r w:rsidR="000A18CD">
        <w:t xml:space="preserve">d health policies </w:t>
      </w:r>
      <w:r>
        <w:t xml:space="preserve">that are designed to reduce premature mortality from various causes.  Yet numbers of deaths alone do not provide a clear indication of whether disease control strategies are working since they are heavily dependent on changes in population size and </w:t>
      </w:r>
      <w:r w:rsidR="000A18CD">
        <w:t>age structure. By computing age-</w:t>
      </w:r>
      <w:r>
        <w:t>standardized mortality rates, we effectively control for demographic changes across popula</w:t>
      </w:r>
      <w:r w:rsidR="000A18CD">
        <w:t>tions over time. Changes in age-</w:t>
      </w:r>
      <w:r>
        <w:t xml:space="preserve">standardized mortality rates between 1990 and 2010 are shown in the right hand panels of </w:t>
      </w:r>
      <w:r w:rsidRPr="000A18CD">
        <w:rPr>
          <w:b/>
        </w:rPr>
        <w:t>Table 2</w:t>
      </w:r>
      <w:r>
        <w:t xml:space="preserve">. </w:t>
      </w:r>
      <w:r w:rsidR="00F53C80">
        <w:t xml:space="preserve"> </w:t>
      </w:r>
      <w:r w:rsidR="00F53C80" w:rsidRPr="00DD78A3">
        <w:t>Death rates from all c</w:t>
      </w:r>
      <w:r w:rsidRPr="00DD78A3">
        <w:t xml:space="preserve">ommunicable, maternal, </w:t>
      </w:r>
      <w:r w:rsidR="00F53C80" w:rsidRPr="00DD78A3">
        <w:t xml:space="preserve">neonatal and nutritional conditions have declined by a </w:t>
      </w:r>
      <w:r w:rsidR="00D149FF" w:rsidRPr="00DD78A3">
        <w:t>quarter</w:t>
      </w:r>
      <w:r w:rsidR="00F53C80" w:rsidRPr="00DD78A3">
        <w:t xml:space="preserve"> since 1990, a much greater reduction than suggested from numbers of deaths alone. </w:t>
      </w:r>
      <w:r w:rsidR="00250DCF" w:rsidRPr="00DD78A3">
        <w:t xml:space="preserve">The age-standardized death rate </w:t>
      </w:r>
      <w:r w:rsidR="00F53C80" w:rsidRPr="00DD78A3">
        <w:t>from diarrheal diseases fell by 4</w:t>
      </w:r>
      <w:r w:rsidR="00250DCF" w:rsidRPr="00DD78A3">
        <w:t>4</w:t>
      </w:r>
      <w:r w:rsidR="00F53C80" w:rsidRPr="00DD78A3">
        <w:t xml:space="preserve">%, </w:t>
      </w:r>
      <w:r w:rsidR="00250DCF" w:rsidRPr="00DD78A3">
        <w:t xml:space="preserve">whereas LRI declined by 27%. </w:t>
      </w:r>
      <w:r w:rsidR="000A18CD">
        <w:t>Interestingly, age-</w:t>
      </w:r>
      <w:r w:rsidR="00F53C80" w:rsidRPr="00DD78A3">
        <w:t xml:space="preserve">standardized death rates from </w:t>
      </w:r>
      <w:r w:rsidR="00333507">
        <w:t xml:space="preserve">trachea, bronchus, and </w:t>
      </w:r>
      <w:r w:rsidR="00F53C80" w:rsidRPr="00DD78A3">
        <w:t>lung cancer</w:t>
      </w:r>
      <w:r w:rsidR="00333507">
        <w:t>s</w:t>
      </w:r>
      <w:r w:rsidR="00F53C80" w:rsidRPr="00DD78A3">
        <w:t xml:space="preserve"> fell by </w:t>
      </w:r>
      <w:r w:rsidR="00D149FF" w:rsidRPr="00DD78A3">
        <w:t>8</w:t>
      </w:r>
      <w:r w:rsidR="00F53C80" w:rsidRPr="00DD78A3">
        <w:t xml:space="preserve">% </w:t>
      </w:r>
      <w:r w:rsidR="000A18CD">
        <w:t xml:space="preserve">between 1990 and </w:t>
      </w:r>
      <w:r w:rsidR="000A18CD">
        <w:lastRenderedPageBreak/>
        <w:t xml:space="preserve">2010, despite </w:t>
      </w:r>
      <w:r w:rsidR="00F53C80" w:rsidRPr="00DD78A3">
        <w:t xml:space="preserve">a </w:t>
      </w:r>
      <w:r w:rsidR="00D149FF" w:rsidRPr="00DD78A3">
        <w:t>47</w:t>
      </w:r>
      <w:r w:rsidR="00F53C80" w:rsidRPr="00DD78A3">
        <w:t xml:space="preserve">% increase in numbers of deaths, due to continued declines in mortality in developed countries and more modest increases in less developed countries where the full impact of smoking , particularly among men, has yet to occur. </w:t>
      </w:r>
      <w:r w:rsidR="007E0724" w:rsidRPr="00DD78A3">
        <w:t>Breast</w:t>
      </w:r>
      <w:r w:rsidR="00F53C80" w:rsidRPr="00DD78A3">
        <w:t xml:space="preserve"> cancer mortality rates fell by 15%, even though numbers of deaths from the </w:t>
      </w:r>
      <w:r w:rsidR="007E0724" w:rsidRPr="00DD78A3">
        <w:t>disease</w:t>
      </w:r>
      <w:r w:rsidR="00F53C80" w:rsidRPr="00DD78A3">
        <w:t xml:space="preserve"> increased by </w:t>
      </w:r>
      <w:r w:rsidR="00D149FF" w:rsidRPr="00DD78A3">
        <w:t>over</w:t>
      </w:r>
      <w:r w:rsidR="00F53C80" w:rsidRPr="00DD78A3">
        <w:t xml:space="preserve"> one-third.</w:t>
      </w:r>
    </w:p>
    <w:p w:rsidR="00F53C80" w:rsidRDefault="00250DCF" w:rsidP="006F0B20">
      <w:r w:rsidRPr="00DD78A3">
        <w:t>O</w:t>
      </w:r>
      <w:r w:rsidR="00F53C80" w:rsidRPr="00DD78A3">
        <w:t>ur findings su</w:t>
      </w:r>
      <w:r w:rsidR="007E0724" w:rsidRPr="00DD78A3">
        <w:t>ggest important declines (</w:t>
      </w:r>
      <w:r w:rsidR="000A18CD">
        <w:t>20% or more) in age-</w:t>
      </w:r>
      <w:r w:rsidR="00F53C80" w:rsidRPr="00DD78A3">
        <w:t>standardized death rates from major vascular diseases, particularly heart disease and strokes,</w:t>
      </w:r>
      <w:r w:rsidR="000A18CD">
        <w:t xml:space="preserve"> for the world as </w:t>
      </w:r>
      <w:r w:rsidR="00082FFE" w:rsidRPr="00DD78A3">
        <w:t>whole, even though numbers of vascular disease death</w:t>
      </w:r>
      <w:r w:rsidR="00DD78A3" w:rsidRPr="00DD78A3">
        <w:t>s increased by one-third</w:t>
      </w:r>
      <w:r w:rsidR="000A18CD">
        <w:t xml:space="preserve"> to 15·</w:t>
      </w:r>
      <w:r w:rsidR="00DD78A3" w:rsidRPr="00DD78A3">
        <w:t>6</w:t>
      </w:r>
      <w:r w:rsidR="00082FFE" w:rsidRPr="00DD78A3">
        <w:t xml:space="preserve"> million in 2010.  Death rates</w:t>
      </w:r>
      <w:r w:rsidR="000A18CD">
        <w:t xml:space="preserve"> have also declined from COPD (</w:t>
      </w:r>
      <w:r w:rsidR="00082FFE" w:rsidRPr="00DD78A3">
        <w:t>4</w:t>
      </w:r>
      <w:r w:rsidR="00DD78A3" w:rsidRPr="00DD78A3">
        <w:t>3</w:t>
      </w:r>
      <w:r w:rsidR="00082FFE" w:rsidRPr="00DD78A3">
        <w:t>%) and liver cirrhosis(1</w:t>
      </w:r>
      <w:r w:rsidR="00DD78A3" w:rsidRPr="00DD78A3">
        <w:t>6</w:t>
      </w:r>
      <w:r w:rsidR="00082FFE" w:rsidRPr="00DD78A3">
        <w:t>%), but almost doubled from Alzheimer’s, and rose by 15-20% from diabetes and chronic kidney disease. These represent</w:t>
      </w:r>
      <w:r w:rsidR="00082FFE">
        <w:t xml:space="preserve"> important global health challenges that</w:t>
      </w:r>
      <w:r w:rsidR="007E0724">
        <w:t xml:space="preserve"> </w:t>
      </w:r>
      <w:r w:rsidR="00082FFE">
        <w:t>may, or may not</w:t>
      </w:r>
      <w:r w:rsidR="007E0724">
        <w:t>,</w:t>
      </w:r>
      <w:r w:rsidR="00082FFE">
        <w:t xml:space="preserve"> be evident from an assessment of trends in numbers of deaths alone.  Globally, while the </w:t>
      </w:r>
      <w:r w:rsidR="00082FFE" w:rsidRPr="00267081">
        <w:t>number of injury deaths has risen by 2</w:t>
      </w:r>
      <w:r w:rsidR="00267081" w:rsidRPr="00267081">
        <w:t>4</w:t>
      </w:r>
      <w:r w:rsidR="00082FFE" w:rsidRPr="00267081">
        <w:t>% since 1990, death rates have declined modestly</w:t>
      </w:r>
      <w:r w:rsidR="007E0724" w:rsidRPr="00267081">
        <w:t xml:space="preserve"> </w:t>
      </w:r>
      <w:r w:rsidR="00082FFE" w:rsidRPr="00267081">
        <w:t>(8%), although this masks variable trend</w:t>
      </w:r>
      <w:r w:rsidR="007E0724" w:rsidRPr="00267081">
        <w:t xml:space="preserve">s for different injuries, with </w:t>
      </w:r>
      <w:r w:rsidR="00082FFE" w:rsidRPr="00267081">
        <w:t xml:space="preserve">death rates from drownings and </w:t>
      </w:r>
      <w:r w:rsidR="000A18CD">
        <w:t xml:space="preserve">poisonings falling by about one </w:t>
      </w:r>
      <w:r w:rsidR="00082FFE" w:rsidRPr="00267081">
        <w:t>third, less dramatically for self harm</w:t>
      </w:r>
      <w:r w:rsidR="007E0724" w:rsidRPr="00267081">
        <w:t xml:space="preserve"> </w:t>
      </w:r>
      <w:r w:rsidR="00082FFE" w:rsidRPr="00267081">
        <w:t>(</w:t>
      </w:r>
      <w:r w:rsidR="00267081" w:rsidRPr="00267081">
        <w:t>10</w:t>
      </w:r>
      <w:r w:rsidR="00082FFE" w:rsidRPr="00267081">
        <w:t>%) and violence</w:t>
      </w:r>
      <w:r w:rsidR="00D647BA">
        <w:t xml:space="preserve"> </w:t>
      </w:r>
      <w:r w:rsidR="00082FFE" w:rsidRPr="00267081">
        <w:t>(1%), and rising for transport injuries(</w:t>
      </w:r>
      <w:r w:rsidR="00267081" w:rsidRPr="00267081">
        <w:t>6</w:t>
      </w:r>
      <w:r w:rsidR="00082FFE" w:rsidRPr="00267081">
        <w:t>%) and, interestingly, from adverse effects of medical treatment</w:t>
      </w:r>
      <w:r w:rsidR="000A18CD">
        <w:t xml:space="preserve"> </w:t>
      </w:r>
      <w:r w:rsidR="00082FFE" w:rsidRPr="00267081">
        <w:t>(</w:t>
      </w:r>
      <w:r w:rsidR="00267081" w:rsidRPr="00267081">
        <w:t>44</w:t>
      </w:r>
      <w:r w:rsidR="00082FFE" w:rsidRPr="00267081">
        <w:t>%). There was also a massive rise in death rates from forces of nature (</w:t>
      </w:r>
      <w:r w:rsidR="00267081" w:rsidRPr="00267081">
        <w:t>369</w:t>
      </w:r>
      <w:r w:rsidR="00082FFE" w:rsidRPr="00267081">
        <w:t xml:space="preserve">%) </w:t>
      </w:r>
      <w:r w:rsidRPr="00267081">
        <w:t>comparing 1</w:t>
      </w:r>
      <w:r w:rsidR="000A18CD">
        <w:t xml:space="preserve">990 to 2010 </w:t>
      </w:r>
      <w:r w:rsidR="00082FFE" w:rsidRPr="00267081">
        <w:t xml:space="preserve">due to </w:t>
      </w:r>
      <w:r w:rsidR="000A18CD">
        <w:t>the Haiti earthquake</w:t>
      </w:r>
      <w:r w:rsidR="00082FFE" w:rsidRPr="00267081">
        <w:t xml:space="preserve"> in 2010.</w:t>
      </w:r>
    </w:p>
    <w:p w:rsidR="00C41A91" w:rsidRDefault="00D026EF" w:rsidP="00E0430F">
      <w:r>
        <w:t>C</w:t>
      </w:r>
      <w:r w:rsidR="000A18CD">
        <w:t>auses of death under age 5</w:t>
      </w:r>
      <w:r w:rsidR="00F77114">
        <w:t xml:space="preserve"> are of particular interest, </w:t>
      </w:r>
      <w:r w:rsidR="00C944AB">
        <w:t>because of the global focus on improving child sur</w:t>
      </w:r>
      <w:r w:rsidR="006B4222">
        <w:t xml:space="preserve">vival over the past few decades </w:t>
      </w:r>
      <w:r w:rsidR="00F77114">
        <w:t xml:space="preserve">that has been reinforced by the </w:t>
      </w:r>
      <w:r w:rsidR="006B4222">
        <w:t xml:space="preserve">push to achieve </w:t>
      </w:r>
      <w:r w:rsidR="000A18CD">
        <w:t>Millennium Development Goal (MDG)</w:t>
      </w:r>
      <w:r w:rsidR="00F77114">
        <w:t xml:space="preserve"> 4 in recent years.</w:t>
      </w:r>
      <w:r w:rsidR="00C47B5C">
        <w:t xml:space="preserve"> </w:t>
      </w:r>
      <w:r w:rsidR="00897129" w:rsidRPr="00897129">
        <w:rPr>
          <w:b/>
        </w:rPr>
        <w:t>Web</w:t>
      </w:r>
      <w:r w:rsidR="00897129">
        <w:t xml:space="preserve"> </w:t>
      </w:r>
      <w:r w:rsidR="00673D29" w:rsidRPr="00974F68">
        <w:rPr>
          <w:b/>
        </w:rPr>
        <w:t>Table</w:t>
      </w:r>
      <w:r w:rsidR="00333507">
        <w:rPr>
          <w:b/>
        </w:rPr>
        <w:t>s</w:t>
      </w:r>
      <w:r w:rsidR="00673D29" w:rsidRPr="00974F68">
        <w:rPr>
          <w:b/>
        </w:rPr>
        <w:t xml:space="preserve"> </w:t>
      </w:r>
      <w:r w:rsidR="00897129">
        <w:rPr>
          <w:b/>
        </w:rPr>
        <w:t>25</w:t>
      </w:r>
      <w:r w:rsidR="00673D29">
        <w:t xml:space="preserve"> </w:t>
      </w:r>
      <w:r w:rsidR="00A67B1B" w:rsidRPr="009920C4">
        <w:rPr>
          <w:b/>
        </w:rPr>
        <w:t>and</w:t>
      </w:r>
      <w:r w:rsidR="00A67B1B">
        <w:t xml:space="preserve"> </w:t>
      </w:r>
      <w:r w:rsidR="00A67B1B" w:rsidRPr="00333507">
        <w:rPr>
          <w:b/>
        </w:rPr>
        <w:t>26</w:t>
      </w:r>
      <w:r w:rsidR="00A67B1B">
        <w:t xml:space="preserve"> </w:t>
      </w:r>
      <w:r w:rsidR="00333507">
        <w:t>provide</w:t>
      </w:r>
      <w:r w:rsidR="00673D29">
        <w:t xml:space="preserve"> a breakdown of deaths under 5 into the early neonatal, late neonatal, post-neonatal</w:t>
      </w:r>
      <w:r w:rsidR="00F10F84">
        <w:t>,</w:t>
      </w:r>
      <w:r w:rsidR="00673D29">
        <w:t xml:space="preserve"> and 1-4 age groups</w:t>
      </w:r>
      <w:r w:rsidR="00CB450D">
        <w:t xml:space="preserve"> in 2010</w:t>
      </w:r>
      <w:r w:rsidR="00A67B1B">
        <w:t xml:space="preserve"> and 1990 respectively</w:t>
      </w:r>
      <w:r w:rsidR="00673D29">
        <w:t>.</w:t>
      </w:r>
      <w:r w:rsidR="00C47B5C">
        <w:t xml:space="preserve"> </w:t>
      </w:r>
      <w:r w:rsidR="00D87257">
        <w:t xml:space="preserve">To facilitate an understanding of the leading causes </w:t>
      </w:r>
      <w:r w:rsidR="00953E54">
        <w:t xml:space="preserve">at </w:t>
      </w:r>
      <w:r w:rsidR="00D87257">
        <w:t xml:space="preserve">different </w:t>
      </w:r>
      <w:r w:rsidR="00953E54">
        <w:t xml:space="preserve">ages </w:t>
      </w:r>
      <w:r w:rsidR="00D87257">
        <w:t xml:space="preserve">under 5, we show in </w:t>
      </w:r>
      <w:r w:rsidR="00D87257" w:rsidRPr="00974F68">
        <w:rPr>
          <w:b/>
        </w:rPr>
        <w:t xml:space="preserve">Figure </w:t>
      </w:r>
      <w:r w:rsidR="00DB0CA9">
        <w:rPr>
          <w:b/>
        </w:rPr>
        <w:t>2</w:t>
      </w:r>
      <w:r w:rsidR="00080449" w:rsidRPr="00974F68">
        <w:rPr>
          <w:b/>
        </w:rPr>
        <w:t xml:space="preserve">a, </w:t>
      </w:r>
      <w:r w:rsidR="00DB0CA9">
        <w:rPr>
          <w:b/>
        </w:rPr>
        <w:t>2</w:t>
      </w:r>
      <w:r w:rsidR="00080449" w:rsidRPr="00974F68">
        <w:rPr>
          <w:b/>
        </w:rPr>
        <w:t xml:space="preserve">b and </w:t>
      </w:r>
      <w:r w:rsidR="00DB0CA9">
        <w:rPr>
          <w:b/>
        </w:rPr>
        <w:t>2</w:t>
      </w:r>
      <w:r w:rsidR="00080449" w:rsidRPr="00974F68">
        <w:rPr>
          <w:b/>
        </w:rPr>
        <w:t>c</w:t>
      </w:r>
      <w:r w:rsidR="00080449">
        <w:t xml:space="preserve"> </w:t>
      </w:r>
      <w:r w:rsidR="00D87257">
        <w:t xml:space="preserve">the </w:t>
      </w:r>
      <w:r w:rsidR="00D87257" w:rsidRPr="006B602F">
        <w:t>distribution of deaths in the neonatal periods, the post-neonatal period and ages 1-4</w:t>
      </w:r>
      <w:r w:rsidR="001E4EF2" w:rsidRPr="006B602F">
        <w:t>,</w:t>
      </w:r>
      <w:r w:rsidR="00D87257" w:rsidRPr="006B602F">
        <w:t xml:space="preserve"> respectively.</w:t>
      </w:r>
      <w:r w:rsidR="00C47B5C" w:rsidRPr="006B602F">
        <w:t xml:space="preserve"> </w:t>
      </w:r>
      <w:r w:rsidR="005706D2" w:rsidRPr="006B602F">
        <w:t xml:space="preserve">Of </w:t>
      </w:r>
      <w:r w:rsidR="005D250B" w:rsidRPr="006B602F">
        <w:t>2·</w:t>
      </w:r>
      <w:r w:rsidR="00CE0911" w:rsidRPr="006B602F">
        <w:t>8</w:t>
      </w:r>
      <w:r w:rsidR="006B4222" w:rsidRPr="006B602F">
        <w:t xml:space="preserve"> million </w:t>
      </w:r>
      <w:r w:rsidR="00673D29" w:rsidRPr="006B602F">
        <w:t xml:space="preserve">early and late </w:t>
      </w:r>
      <w:r w:rsidR="006B4222" w:rsidRPr="006B602F">
        <w:t>neona</w:t>
      </w:r>
      <w:r w:rsidR="005D250B" w:rsidRPr="006B602F">
        <w:t>tal deaths, we estimate that 2·</w:t>
      </w:r>
      <w:r w:rsidR="005D5DA5" w:rsidRPr="006B602F">
        <w:t>1</w:t>
      </w:r>
      <w:r w:rsidR="006B4222" w:rsidRPr="006B602F">
        <w:t xml:space="preserve"> million are from </w:t>
      </w:r>
      <w:r w:rsidR="00673D29" w:rsidRPr="006B602F">
        <w:t>neonatal conditions including preterm</w:t>
      </w:r>
      <w:r w:rsidR="00CA4FEC" w:rsidRPr="006B602F">
        <w:t xml:space="preserve"> birth</w:t>
      </w:r>
      <w:r w:rsidR="00D647BA">
        <w:t xml:space="preserve"> complications</w:t>
      </w:r>
      <w:r w:rsidR="00673D29" w:rsidRPr="006B602F">
        <w:t xml:space="preserve">, neonatal sepsis, </w:t>
      </w:r>
      <w:r w:rsidR="001E4EF2" w:rsidRPr="006B602F">
        <w:t xml:space="preserve">and </w:t>
      </w:r>
      <w:r w:rsidR="00673D29" w:rsidRPr="006B602F">
        <w:t xml:space="preserve">neonatal encephalopathy, </w:t>
      </w:r>
      <w:r w:rsidR="00953E54" w:rsidRPr="006B602F">
        <w:t>among others.</w:t>
      </w:r>
      <w:r w:rsidR="00C47B5C" w:rsidRPr="006B602F">
        <w:t xml:space="preserve"> </w:t>
      </w:r>
      <w:r w:rsidR="00953E54" w:rsidRPr="006B602F">
        <w:t>A</w:t>
      </w:r>
      <w:r w:rsidR="00673D29" w:rsidRPr="006B602F">
        <w:t xml:space="preserve"> further </w:t>
      </w:r>
      <w:r w:rsidR="005D250B" w:rsidRPr="006B602F">
        <w:t>1</w:t>
      </w:r>
      <w:r w:rsidR="005D5DA5" w:rsidRPr="006B602F">
        <w:t>37</w:t>
      </w:r>
      <w:r w:rsidR="00245BF4">
        <w:t xml:space="preserve"> thousand</w:t>
      </w:r>
      <w:r w:rsidR="00673D29" w:rsidRPr="006B602F">
        <w:t xml:space="preserve"> deaths </w:t>
      </w:r>
      <w:r w:rsidR="00953E54" w:rsidRPr="006B602F">
        <w:t xml:space="preserve">are also </w:t>
      </w:r>
      <w:r w:rsidR="00673D29" w:rsidRPr="006B602F">
        <w:t xml:space="preserve">due to conditions that arise in the neonatal period </w:t>
      </w:r>
      <w:r w:rsidR="00953E54" w:rsidRPr="006B602F">
        <w:t xml:space="preserve">but which lead to </w:t>
      </w:r>
      <w:r w:rsidR="00673D29" w:rsidRPr="006B602F">
        <w:t>death after the first month of life.</w:t>
      </w:r>
      <w:r w:rsidR="00C47B5C" w:rsidRPr="006B602F">
        <w:t xml:space="preserve"> </w:t>
      </w:r>
      <w:r w:rsidR="00673D29" w:rsidRPr="006B602F">
        <w:t>Among the important neonatal co</w:t>
      </w:r>
      <w:r w:rsidR="00CE0911" w:rsidRPr="006B602F">
        <w:t>nditions, preterm accounts for 2</w:t>
      </w:r>
      <w:r w:rsidR="003A6B46" w:rsidRPr="006B602F">
        <w:t>9</w:t>
      </w:r>
      <w:r w:rsidR="00673D29" w:rsidRPr="006B602F">
        <w:t>% of global neonatal deaths, with nearly equal shares for neonatal sepsis</w:t>
      </w:r>
      <w:r w:rsidR="000A18CD">
        <w:t xml:space="preserve"> and neonatal encephalopathy -</w:t>
      </w:r>
      <w:r w:rsidR="005D250B" w:rsidRPr="006B602F">
        <w:t xml:space="preserve"> 17</w:t>
      </w:r>
      <w:r w:rsidR="00673D29" w:rsidRPr="006B602F">
        <w:t>% each.</w:t>
      </w:r>
      <w:r w:rsidR="00C47B5C" w:rsidRPr="006B602F">
        <w:t xml:space="preserve"> </w:t>
      </w:r>
      <w:r w:rsidR="00673D29" w:rsidRPr="006B602F">
        <w:t>Of the remaining</w:t>
      </w:r>
      <w:r w:rsidR="005D250B" w:rsidRPr="006B602F">
        <w:t xml:space="preserve"> </w:t>
      </w:r>
      <w:r w:rsidR="000A18CD">
        <w:t>741</w:t>
      </w:r>
      <w:r w:rsidR="00245BF4">
        <w:t xml:space="preserve"> thousand </w:t>
      </w:r>
      <w:r w:rsidR="00673D29" w:rsidRPr="006B602F">
        <w:t>neonatal deaths, con</w:t>
      </w:r>
      <w:r w:rsidR="00CE0911" w:rsidRPr="006B602F">
        <w:t xml:space="preserve">genital anomalies account for </w:t>
      </w:r>
      <w:r w:rsidR="005D250B" w:rsidRPr="006B602F">
        <w:t>18</w:t>
      </w:r>
      <w:r w:rsidR="003A6B46" w:rsidRPr="006B602F">
        <w:t>3</w:t>
      </w:r>
      <w:r w:rsidR="00245BF4">
        <w:t xml:space="preserve"> thousand </w:t>
      </w:r>
      <w:r w:rsidR="00F10F84" w:rsidRPr="006B602F">
        <w:t>deaths,</w:t>
      </w:r>
      <w:r w:rsidR="00673D29" w:rsidRPr="006B602F">
        <w:t xml:space="preserve"> although the majority of congenital deaths occur after the first month of</w:t>
      </w:r>
      <w:r w:rsidR="000E7B66" w:rsidRPr="006B602F">
        <w:t xml:space="preserve"> life.</w:t>
      </w:r>
      <w:r w:rsidR="00C47B5C" w:rsidRPr="006B602F">
        <w:t xml:space="preserve"> </w:t>
      </w:r>
      <w:r w:rsidR="000E7B66" w:rsidRPr="006B602F">
        <w:t>Injuries account for 28</w:t>
      </w:r>
      <w:r w:rsidR="00245BF4">
        <w:t xml:space="preserve"> thousand</w:t>
      </w:r>
      <w:r w:rsidR="00673D29" w:rsidRPr="006B602F">
        <w:t xml:space="preserve"> neonatal deaths, other </w:t>
      </w:r>
      <w:r w:rsidR="00AE2888">
        <w:t>noncommunicable</w:t>
      </w:r>
      <w:r w:rsidR="00673D29" w:rsidRPr="006B602F">
        <w:t xml:space="preserve"> causes including hemog</w:t>
      </w:r>
      <w:r w:rsidR="00D87257" w:rsidRPr="006B602F">
        <w:t>lobinopathies</w:t>
      </w:r>
      <w:r w:rsidR="00AF607D" w:rsidRPr="006B602F">
        <w:t xml:space="preserve"> and hemolytic anemias</w:t>
      </w:r>
      <w:r w:rsidR="00D87257" w:rsidRPr="006B602F">
        <w:t xml:space="preserve">, some rare cancers, </w:t>
      </w:r>
      <w:r w:rsidR="00CA3710" w:rsidRPr="006B602F">
        <w:t>sudden infant death syndrome (SIDS),</w:t>
      </w:r>
      <w:r w:rsidR="00D87257" w:rsidRPr="006B602F">
        <w:t xml:space="preserve"> and other rare </w:t>
      </w:r>
      <w:r w:rsidR="003A6B46" w:rsidRPr="006B602F">
        <w:t>causes account for 46</w:t>
      </w:r>
      <w:r w:rsidR="00245BF4">
        <w:t xml:space="preserve"> thousand</w:t>
      </w:r>
      <w:r w:rsidR="00D87257" w:rsidRPr="006B602F">
        <w:t xml:space="preserve"> deaths.</w:t>
      </w:r>
      <w:r w:rsidR="00C47B5C" w:rsidRPr="006B602F">
        <w:t xml:space="preserve"> </w:t>
      </w:r>
      <w:r w:rsidR="00CA3710" w:rsidRPr="006B602F">
        <w:t>Among c</w:t>
      </w:r>
      <w:r w:rsidR="00D87257" w:rsidRPr="006B602F">
        <w:t>ommunicable diseases</w:t>
      </w:r>
      <w:r w:rsidR="00CA3710" w:rsidRPr="006B602F">
        <w:t>,</w:t>
      </w:r>
      <w:r w:rsidR="00D87257" w:rsidRPr="006B602F">
        <w:t xml:space="preserve"> notably lower respiratory infections (</w:t>
      </w:r>
      <w:r w:rsidR="000A18CD">
        <w:t>194</w:t>
      </w:r>
      <w:r w:rsidR="00245BF4">
        <w:t xml:space="preserve"> thousand</w:t>
      </w:r>
      <w:r w:rsidR="005D250B" w:rsidRPr="006B602F">
        <w:t>), diarrhea (7</w:t>
      </w:r>
      <w:r w:rsidR="003A6B46" w:rsidRPr="006B602F">
        <w:t>7</w:t>
      </w:r>
      <w:r w:rsidR="00245BF4">
        <w:t xml:space="preserve"> thousand</w:t>
      </w:r>
      <w:r w:rsidR="005D250B" w:rsidRPr="006B602F">
        <w:t>) and meningitis (46</w:t>
      </w:r>
      <w:r w:rsidR="00245BF4">
        <w:t xml:space="preserve"> thousand</w:t>
      </w:r>
      <w:r w:rsidR="00D87257" w:rsidRPr="006B602F">
        <w:t>) account for the remaining neonatal deaths.</w:t>
      </w:r>
      <w:r w:rsidR="00C47B5C">
        <w:t xml:space="preserve"> </w:t>
      </w:r>
    </w:p>
    <w:p w:rsidR="00F20312" w:rsidRDefault="006F6AA1" w:rsidP="00B1744D">
      <w:r w:rsidRPr="00005BDA">
        <w:t>In the post-neonatal period, (</w:t>
      </w:r>
      <w:r w:rsidR="001813F9" w:rsidRPr="00005BDA">
        <w:rPr>
          <w:b/>
        </w:rPr>
        <w:t>F</w:t>
      </w:r>
      <w:r w:rsidRPr="00005BDA">
        <w:rPr>
          <w:b/>
        </w:rPr>
        <w:t xml:space="preserve">igure </w:t>
      </w:r>
      <w:r w:rsidR="001C1D6B" w:rsidRPr="00005BDA">
        <w:rPr>
          <w:b/>
        </w:rPr>
        <w:t>2</w:t>
      </w:r>
      <w:r w:rsidRPr="00005BDA">
        <w:rPr>
          <w:b/>
        </w:rPr>
        <w:t>b</w:t>
      </w:r>
      <w:r w:rsidRPr="00005BDA">
        <w:t>) we have estimated 2</w:t>
      </w:r>
      <w:r w:rsidR="00890A6F" w:rsidRPr="00005BDA">
        <w:t>·</w:t>
      </w:r>
      <w:r w:rsidR="006B602F" w:rsidRPr="00005BDA">
        <w:t>0</w:t>
      </w:r>
      <w:r w:rsidRPr="00005BDA">
        <w:t xml:space="preserve"> million deaths.</w:t>
      </w:r>
      <w:r w:rsidR="00C47B5C" w:rsidRPr="00005BDA">
        <w:t xml:space="preserve"> </w:t>
      </w:r>
      <w:r w:rsidR="00F20312" w:rsidRPr="00005BDA">
        <w:t xml:space="preserve">Nearly half of these </w:t>
      </w:r>
      <w:r w:rsidR="00F20312" w:rsidRPr="001D31C1">
        <w:t>deaths are due to three diseases: lower</w:t>
      </w:r>
      <w:r w:rsidR="00CA3710" w:rsidRPr="001D31C1">
        <w:t xml:space="preserve"> respiratory infections, diarrh</w:t>
      </w:r>
      <w:r w:rsidR="00F20312" w:rsidRPr="001D31C1">
        <w:t>eal diseases</w:t>
      </w:r>
      <w:r w:rsidR="00CA3710" w:rsidRPr="001D31C1">
        <w:t>,</w:t>
      </w:r>
      <w:r w:rsidR="00F20312" w:rsidRPr="001D31C1">
        <w:t xml:space="preserve"> and malaria.</w:t>
      </w:r>
      <w:r w:rsidR="00C47B5C" w:rsidRPr="001D31C1">
        <w:t xml:space="preserve"> </w:t>
      </w:r>
      <w:r w:rsidR="00F20312" w:rsidRPr="001D31C1">
        <w:t>Other important causes of death during the post-neonatal period include nutritional deficiencies</w:t>
      </w:r>
      <w:r w:rsidR="006B602F" w:rsidRPr="001D31C1">
        <w:t xml:space="preserve">, </w:t>
      </w:r>
      <w:r w:rsidR="001D31C1" w:rsidRPr="001D31C1">
        <w:t xml:space="preserve">meningitis and encephalitis, </w:t>
      </w:r>
      <w:r w:rsidR="006B602F" w:rsidRPr="001D31C1">
        <w:t xml:space="preserve">injuries, </w:t>
      </w:r>
      <w:r w:rsidR="00F20312" w:rsidRPr="001D31C1">
        <w:t>whooping cough</w:t>
      </w:r>
      <w:r w:rsidR="0020000B" w:rsidRPr="001D31C1">
        <w:t>,</w:t>
      </w:r>
      <w:r w:rsidR="00075B9F" w:rsidRPr="001D31C1">
        <w:t xml:space="preserve"> measles</w:t>
      </w:r>
      <w:r w:rsidR="0020000B" w:rsidRPr="001D31C1">
        <w:t xml:space="preserve">, </w:t>
      </w:r>
      <w:r w:rsidR="00075B9F" w:rsidRPr="001D31C1">
        <w:t>and HIV</w:t>
      </w:r>
      <w:r w:rsidR="000A18CD">
        <w:t>/AIDS</w:t>
      </w:r>
      <w:r w:rsidR="00F20312">
        <w:t>.</w:t>
      </w:r>
      <w:r w:rsidR="00C47B5C">
        <w:t xml:space="preserve"> </w:t>
      </w:r>
      <w:r w:rsidR="00F20312">
        <w:t>Causes that primarily cause death in the neonat</w:t>
      </w:r>
      <w:r w:rsidR="00A11B72">
        <w:t xml:space="preserve">al period also contribute to </w:t>
      </w:r>
      <w:r w:rsidR="00A11B72" w:rsidRPr="000C4319">
        <w:t>1</w:t>
      </w:r>
      <w:r w:rsidR="001D31C1">
        <w:t>4</w:t>
      </w:r>
      <w:r w:rsidR="00A11B72" w:rsidRPr="000C4319">
        <w:t>·</w:t>
      </w:r>
      <w:r w:rsidR="001D31C1">
        <w:t>1</w:t>
      </w:r>
      <w:r w:rsidR="00075B9F" w:rsidRPr="000C4319">
        <w:t xml:space="preserve">% </w:t>
      </w:r>
      <w:r w:rsidR="00F20312" w:rsidRPr="000C4319">
        <w:t xml:space="preserve">of deaths </w:t>
      </w:r>
      <w:r w:rsidR="00075B9F" w:rsidRPr="000C4319">
        <w:t xml:space="preserve">between one month and 11 months </w:t>
      </w:r>
      <w:r w:rsidR="00F20312" w:rsidRPr="000C4319">
        <w:t>including neonatal conditions</w:t>
      </w:r>
      <w:r w:rsidR="00075B9F" w:rsidRPr="000C4319">
        <w:t>,</w:t>
      </w:r>
      <w:r w:rsidR="00F20312" w:rsidRPr="000C4319">
        <w:t xml:space="preserve"> </w:t>
      </w:r>
      <w:r w:rsidR="00075B9F" w:rsidRPr="000C4319">
        <w:t>congenital anomalies</w:t>
      </w:r>
      <w:r w:rsidR="00AF607D" w:rsidRPr="000C4319">
        <w:t>,</w:t>
      </w:r>
      <w:r w:rsidR="00075B9F" w:rsidRPr="000C4319">
        <w:t xml:space="preserve"> </w:t>
      </w:r>
      <w:r w:rsidR="00075B9F" w:rsidRPr="00F73ECF">
        <w:t>and congenital syphilis.</w:t>
      </w:r>
      <w:r w:rsidR="00C47B5C" w:rsidRPr="00F73ECF">
        <w:t xml:space="preserve"> </w:t>
      </w:r>
      <w:r w:rsidR="00075B9F" w:rsidRPr="00F73ECF">
        <w:t xml:space="preserve">Our analysis of etiologies suggests </w:t>
      </w:r>
      <w:r w:rsidR="00075B9F" w:rsidRPr="0046208F">
        <w:lastRenderedPageBreak/>
        <w:t xml:space="preserve">that the most important identified causes of post-neonatal lower respiratory infections are </w:t>
      </w:r>
      <w:r w:rsidR="009B0256" w:rsidRPr="0046208F">
        <w:t>respiratory syncytial virus (</w:t>
      </w:r>
      <w:r w:rsidR="00075B9F" w:rsidRPr="0046208F">
        <w:t>RSV</w:t>
      </w:r>
      <w:r w:rsidR="009B0256" w:rsidRPr="0046208F">
        <w:t>)</w:t>
      </w:r>
      <w:r w:rsidR="00A03AE6" w:rsidRPr="0046208F">
        <w:t xml:space="preserve">, </w:t>
      </w:r>
      <w:r w:rsidR="009B0256" w:rsidRPr="0046208F">
        <w:t>Haemophilus Influenzae Type b (</w:t>
      </w:r>
      <w:r w:rsidR="00075B9F" w:rsidRPr="0046208F">
        <w:t>HiB</w:t>
      </w:r>
      <w:r w:rsidR="009B0256" w:rsidRPr="0046208F">
        <w:t>)</w:t>
      </w:r>
      <w:r w:rsidR="00BD64E7" w:rsidRPr="0046208F">
        <w:t xml:space="preserve"> and pneumococcus</w:t>
      </w:r>
      <w:r w:rsidR="00075B9F" w:rsidRPr="0046208F">
        <w:t>.</w:t>
      </w:r>
      <w:r w:rsidR="00C47B5C" w:rsidRPr="0046208F">
        <w:t xml:space="preserve"> </w:t>
      </w:r>
      <w:r w:rsidR="00075B9F" w:rsidRPr="0046208F">
        <w:t>For diarrheal diseases, the most important cause is rotavirus followed by similar shares for cryptosporidium</w:t>
      </w:r>
      <w:r w:rsidR="00A03AE6" w:rsidRPr="0046208F">
        <w:t xml:space="preserve"> </w:t>
      </w:r>
      <w:r w:rsidR="00075B9F" w:rsidRPr="0046208F">
        <w:t xml:space="preserve">and </w:t>
      </w:r>
      <w:r w:rsidR="009B0256" w:rsidRPr="0046208F">
        <w:t>entero</w:t>
      </w:r>
      <w:r w:rsidR="001D31C1" w:rsidRPr="0046208F">
        <w:t>patho</w:t>
      </w:r>
      <w:r w:rsidR="009B0256" w:rsidRPr="0046208F">
        <w:t>genic E. Coli (</w:t>
      </w:r>
      <w:r w:rsidR="000A18CD">
        <w:t>EPEC</w:t>
      </w:r>
      <w:r w:rsidR="009B0256" w:rsidRPr="0046208F">
        <w:t>)</w:t>
      </w:r>
      <w:r w:rsidR="00075B9F" w:rsidRPr="0046208F">
        <w:t>.</w:t>
      </w:r>
      <w:r w:rsidR="00C47B5C" w:rsidRPr="0046208F">
        <w:t xml:space="preserve"> </w:t>
      </w:r>
      <w:r w:rsidR="00075B9F" w:rsidRPr="0046208F">
        <w:t>In the age-group 1-4</w:t>
      </w:r>
      <w:r w:rsidR="00D30616" w:rsidRPr="0046208F">
        <w:t xml:space="preserve"> (</w:t>
      </w:r>
      <w:r w:rsidR="00D30616" w:rsidRPr="000A18CD">
        <w:rPr>
          <w:b/>
        </w:rPr>
        <w:t>Figure 2c</w:t>
      </w:r>
      <w:r w:rsidR="00D30616" w:rsidRPr="0046208F">
        <w:t>)</w:t>
      </w:r>
      <w:r w:rsidR="00890A6F" w:rsidRPr="0046208F">
        <w:t>, we find 2·</w:t>
      </w:r>
      <w:r w:rsidR="00075B9F" w:rsidRPr="0046208F">
        <w:t>0 million deaths distributed across a wider array of causes.</w:t>
      </w:r>
      <w:r w:rsidR="00C47B5C" w:rsidRPr="0046208F">
        <w:t xml:space="preserve"> </w:t>
      </w:r>
      <w:r w:rsidR="00075B9F" w:rsidRPr="0046208F">
        <w:t>The most important cause globally in this age group is malaria, followed by lower re</w:t>
      </w:r>
      <w:r w:rsidR="00CA3710" w:rsidRPr="0046208F">
        <w:t>spiratory infections, diarrh</w:t>
      </w:r>
      <w:r w:rsidR="00075B9F" w:rsidRPr="0046208F">
        <w:t>eal diseases</w:t>
      </w:r>
      <w:r w:rsidR="00CA3710" w:rsidRPr="0046208F">
        <w:t>,</w:t>
      </w:r>
      <w:r w:rsidR="00075B9F" w:rsidRPr="0046208F">
        <w:t xml:space="preserve"> and nutritional deficiencies.</w:t>
      </w:r>
      <w:r w:rsidR="00C47B5C" w:rsidRPr="0046208F">
        <w:t xml:space="preserve"> </w:t>
      </w:r>
      <w:r w:rsidR="00075B9F" w:rsidRPr="0046208F">
        <w:t>Th</w:t>
      </w:r>
      <w:r w:rsidR="00890A6F" w:rsidRPr="0046208F">
        <w:t>ese four causes account for 52·</w:t>
      </w:r>
      <w:r w:rsidR="0046208F" w:rsidRPr="0046208F">
        <w:t>3</w:t>
      </w:r>
      <w:r w:rsidR="00075B9F" w:rsidRPr="0046208F">
        <w:t xml:space="preserve">% of deaths in this </w:t>
      </w:r>
      <w:r w:rsidR="000A18CD">
        <w:t xml:space="preserve">age </w:t>
      </w:r>
      <w:r w:rsidR="00075B9F" w:rsidRPr="0046208F">
        <w:t>group.</w:t>
      </w:r>
      <w:r w:rsidR="00C47B5C" w:rsidRPr="0046208F">
        <w:t xml:space="preserve"> </w:t>
      </w:r>
      <w:r w:rsidR="00075B9F" w:rsidRPr="0046208F">
        <w:t>Four causes account for between three and five percent of deaths</w:t>
      </w:r>
      <w:r w:rsidR="00B529A8" w:rsidRPr="0046208F">
        <w:t xml:space="preserve"> each</w:t>
      </w:r>
      <w:r w:rsidR="00075B9F" w:rsidRPr="0046208F">
        <w:t>: HIV/AIDS, meningitis/encephalitis, measles, and drowning.</w:t>
      </w:r>
      <w:r w:rsidR="00C47B5C" w:rsidRPr="0046208F">
        <w:t xml:space="preserve"> </w:t>
      </w:r>
      <w:r w:rsidR="00BD64E7" w:rsidRPr="0046208F">
        <w:t xml:space="preserve"> Etiologies for LRI </w:t>
      </w:r>
      <w:r w:rsidR="000A18CD">
        <w:t xml:space="preserve">substantially shift in this age group compared to the under-one age </w:t>
      </w:r>
      <w:r w:rsidR="00BD64E7" w:rsidRPr="0046208F">
        <w:t xml:space="preserve">groups with a much more substantial role played by pneumococcal deaths.  </w:t>
      </w:r>
      <w:r w:rsidR="009615E6" w:rsidRPr="0046208F">
        <w:t xml:space="preserve">Just </w:t>
      </w:r>
      <w:r w:rsidR="0046208F" w:rsidRPr="0046208F">
        <w:t>under</w:t>
      </w:r>
      <w:r w:rsidR="009615E6" w:rsidRPr="0046208F">
        <w:t xml:space="preserve"> 1</w:t>
      </w:r>
      <w:r w:rsidR="0046208F" w:rsidRPr="0046208F">
        <w:t>4</w:t>
      </w:r>
      <w:r w:rsidR="000A18CD">
        <w:t xml:space="preserve">% of deaths in this age </w:t>
      </w:r>
      <w:r w:rsidR="00075B9F" w:rsidRPr="0046208F">
        <w:t>g</w:t>
      </w:r>
      <w:r w:rsidR="000A18CD">
        <w:t>roup are from a long list of noncommunicable</w:t>
      </w:r>
      <w:r w:rsidR="00075B9F" w:rsidRPr="0046208F">
        <w:t xml:space="preserve"> causes, each of which accounts for a relatively small number of deaths.</w:t>
      </w:r>
      <w:r w:rsidR="00C47B5C">
        <w:t xml:space="preserve"> </w:t>
      </w:r>
    </w:p>
    <w:p w:rsidR="003D0AC7" w:rsidRDefault="006F1BC7" w:rsidP="00B1744D">
      <w:r>
        <w:t>Because of the focus of MDG</w:t>
      </w:r>
      <w:r w:rsidR="000A18CD">
        <w:t xml:space="preserve"> </w:t>
      </w:r>
      <w:r>
        <w:t>5 on maternal mortality, it is</w:t>
      </w:r>
      <w:r w:rsidR="00C944AB">
        <w:t xml:space="preserve"> of particular interest to </w:t>
      </w:r>
      <w:r>
        <w:t>examin</w:t>
      </w:r>
      <w:r w:rsidR="00C944AB">
        <w:t>e</w:t>
      </w:r>
      <w:r>
        <w:t xml:space="preserve"> the composition of causes of death in reproductive aged women </w:t>
      </w:r>
      <w:r w:rsidR="00C944AB">
        <w:t>(</w:t>
      </w:r>
      <w:r w:rsidR="008F47DE">
        <w:t>and men</w:t>
      </w:r>
      <w:r w:rsidR="00C944AB">
        <w:t>)</w:t>
      </w:r>
      <w:r w:rsidR="00E047AD">
        <w:t>.</w:t>
      </w:r>
      <w:r w:rsidR="00C47B5C">
        <w:t xml:space="preserve"> </w:t>
      </w:r>
      <w:r w:rsidR="00C41A91">
        <w:t xml:space="preserve">While deaths related to </w:t>
      </w:r>
      <w:r w:rsidR="00C41A91" w:rsidRPr="00432219">
        <w:t xml:space="preserve">pregnancy and child birth have been given special priority in the MDGs, </w:t>
      </w:r>
      <w:r w:rsidR="00953E54" w:rsidRPr="00432219">
        <w:t xml:space="preserve">arguably </w:t>
      </w:r>
      <w:r w:rsidR="00C41A91" w:rsidRPr="00432219">
        <w:t xml:space="preserve">any death in these young </w:t>
      </w:r>
      <w:r w:rsidR="00953E54" w:rsidRPr="00432219">
        <w:t xml:space="preserve">adult </w:t>
      </w:r>
      <w:r w:rsidR="00C41A91" w:rsidRPr="00432219">
        <w:t>age groups is a major cause for concern.</w:t>
      </w:r>
      <w:r w:rsidR="00C47B5C" w:rsidRPr="00432219">
        <w:t xml:space="preserve"> </w:t>
      </w:r>
      <w:r w:rsidR="00E0430F" w:rsidRPr="00432219">
        <w:t xml:space="preserve">For women </w:t>
      </w:r>
      <w:r w:rsidR="005E0AFB" w:rsidRPr="00432219">
        <w:t>aged</w:t>
      </w:r>
      <w:r w:rsidR="00E047AD" w:rsidRPr="00432219">
        <w:t xml:space="preserve"> </w:t>
      </w:r>
      <w:r w:rsidR="00E0430F" w:rsidRPr="00432219">
        <w:t>15-49 years</w:t>
      </w:r>
      <w:r w:rsidR="00C41A91" w:rsidRPr="00432219">
        <w:t>,</w:t>
      </w:r>
      <w:r w:rsidR="00D564AC" w:rsidRPr="00432219">
        <w:t xml:space="preserve"> we have estimated </w:t>
      </w:r>
      <w:r w:rsidR="0030328F" w:rsidRPr="00432219">
        <w:t>3·</w:t>
      </w:r>
      <w:r w:rsidR="00D564AC" w:rsidRPr="00432219">
        <w:t>5</w:t>
      </w:r>
      <w:r w:rsidR="00E0430F" w:rsidRPr="00432219">
        <w:t xml:space="preserve"> million deaths</w:t>
      </w:r>
      <w:r w:rsidR="00C41A91" w:rsidRPr="00432219">
        <w:t xml:space="preserve"> from all causes </w:t>
      </w:r>
      <w:r w:rsidR="005802D6" w:rsidRPr="00432219">
        <w:t xml:space="preserve">in 2010.  </w:t>
      </w:r>
      <w:r w:rsidR="005802D6" w:rsidRPr="00A5263C">
        <w:rPr>
          <w:b/>
        </w:rPr>
        <w:t>Figure 3a</w:t>
      </w:r>
      <w:r w:rsidR="005802D6" w:rsidRPr="00432219">
        <w:t xml:space="preserve"> shows that the leading cause was</w:t>
      </w:r>
      <w:r w:rsidR="0039349D" w:rsidRPr="00432219">
        <w:t xml:space="preserve"> </w:t>
      </w:r>
      <w:r w:rsidR="00E0430F" w:rsidRPr="00432219">
        <w:t>HIV</w:t>
      </w:r>
      <w:r w:rsidR="00DA0ABF" w:rsidRPr="00432219">
        <w:t>/</w:t>
      </w:r>
      <w:r w:rsidR="00E0430F" w:rsidRPr="00432219">
        <w:t>AIDS</w:t>
      </w:r>
      <w:r w:rsidR="005802D6" w:rsidRPr="00432219">
        <w:t xml:space="preserve"> (</w:t>
      </w:r>
      <w:r w:rsidR="0039349D" w:rsidRPr="00432219">
        <w:t>14</w:t>
      </w:r>
      <w:r w:rsidR="00B26025" w:rsidRPr="00432219">
        <w:t>·</w:t>
      </w:r>
      <w:r w:rsidR="0039349D" w:rsidRPr="00432219">
        <w:t>4</w:t>
      </w:r>
      <w:r w:rsidR="005802D6" w:rsidRPr="00432219">
        <w:t>%)</w:t>
      </w:r>
      <w:r w:rsidR="005E0AFB" w:rsidRPr="00432219">
        <w:t>,</w:t>
      </w:r>
      <w:r w:rsidR="00E0430F" w:rsidRPr="00432219">
        <w:t xml:space="preserve"> </w:t>
      </w:r>
      <w:r w:rsidR="005802D6" w:rsidRPr="00432219">
        <w:t xml:space="preserve">followed by </w:t>
      </w:r>
      <w:r w:rsidR="00B26025" w:rsidRPr="00432219">
        <w:t>cardiovascular disease</w:t>
      </w:r>
      <w:r w:rsidR="0039349D" w:rsidRPr="00432219">
        <w:t xml:space="preserve"> (10</w:t>
      </w:r>
      <w:r w:rsidR="00B26025" w:rsidRPr="00432219">
        <w:t>·</w:t>
      </w:r>
      <w:r w:rsidR="0039349D" w:rsidRPr="00432219">
        <w:t xml:space="preserve">7%), </w:t>
      </w:r>
      <w:r w:rsidR="00E0430F" w:rsidRPr="00432219">
        <w:t>maternal conditions</w:t>
      </w:r>
      <w:r w:rsidR="005802D6" w:rsidRPr="00432219">
        <w:t xml:space="preserve"> (</w:t>
      </w:r>
      <w:r w:rsidR="0039349D" w:rsidRPr="00432219">
        <w:t>7</w:t>
      </w:r>
      <w:r w:rsidR="00B26025" w:rsidRPr="00432219">
        <w:t>·</w:t>
      </w:r>
      <w:r w:rsidR="0039349D" w:rsidRPr="00432219">
        <w:t>3</w:t>
      </w:r>
      <w:r w:rsidR="005802D6" w:rsidRPr="00432219">
        <w:t xml:space="preserve">%), </w:t>
      </w:r>
      <w:r w:rsidR="00F04615" w:rsidRPr="00432219">
        <w:t>suicide</w:t>
      </w:r>
      <w:r w:rsidR="00A40593">
        <w:t xml:space="preserve"> (4</w:t>
      </w:r>
      <w:r w:rsidR="00B26025" w:rsidRPr="00432219">
        <w:t>·</w:t>
      </w:r>
      <w:r w:rsidR="00A40593">
        <w:t>8</w:t>
      </w:r>
      <w:r w:rsidR="0039349D" w:rsidRPr="00432219">
        <w:t>%), tuberculosis (4</w:t>
      </w:r>
      <w:r w:rsidR="00B26025" w:rsidRPr="00432219">
        <w:t>·</w:t>
      </w:r>
      <w:r w:rsidR="0039349D" w:rsidRPr="00432219">
        <w:t xml:space="preserve">6%), </w:t>
      </w:r>
      <w:r w:rsidR="00B26025" w:rsidRPr="00432219">
        <w:t xml:space="preserve">breast and cervix cancer (4·2%), and </w:t>
      </w:r>
      <w:r w:rsidR="0039349D" w:rsidRPr="00432219">
        <w:t>road injury (4</w:t>
      </w:r>
      <w:r w:rsidR="00B26025" w:rsidRPr="00432219">
        <w:t>·</w:t>
      </w:r>
      <w:r w:rsidR="0039349D" w:rsidRPr="00432219">
        <w:t>0</w:t>
      </w:r>
      <w:r w:rsidR="00B26025" w:rsidRPr="00432219">
        <w:t>%).</w:t>
      </w:r>
      <w:r w:rsidR="00C47B5C" w:rsidRPr="00432219">
        <w:t xml:space="preserve"> </w:t>
      </w:r>
      <w:r w:rsidR="00C41A91" w:rsidRPr="00432219">
        <w:t xml:space="preserve">The top </w:t>
      </w:r>
      <w:r w:rsidR="002B559F" w:rsidRPr="00432219">
        <w:t xml:space="preserve">seven causes </w:t>
      </w:r>
      <w:r w:rsidR="00333507">
        <w:t>a</w:t>
      </w:r>
      <w:r w:rsidR="002B559F" w:rsidRPr="00432219">
        <w:t>ccount for half of the deaths of women in these age groups.</w:t>
      </w:r>
      <w:r w:rsidR="00C47B5C" w:rsidRPr="00432219">
        <w:t xml:space="preserve"> </w:t>
      </w:r>
      <w:r w:rsidR="003D0AC7" w:rsidRPr="00432219">
        <w:t>While there is no MDG related specifically to male deaths in the reproductive age-groups, conditions targeted by MDG</w:t>
      </w:r>
      <w:r w:rsidR="00A5263C">
        <w:t xml:space="preserve"> </w:t>
      </w:r>
      <w:r w:rsidR="003D0AC7" w:rsidRPr="00432219">
        <w:t xml:space="preserve">6 take an important toll on men in the age-groups </w:t>
      </w:r>
      <w:r w:rsidR="00E020B2" w:rsidRPr="00432219">
        <w:t>15</w:t>
      </w:r>
      <w:r w:rsidR="003D0AC7" w:rsidRPr="00432219">
        <w:t>-</w:t>
      </w:r>
      <w:r w:rsidR="005802D6" w:rsidRPr="00432219">
        <w:t>49</w:t>
      </w:r>
      <w:r w:rsidR="003D0AC7" w:rsidRPr="00432219">
        <w:t>.</w:t>
      </w:r>
      <w:r w:rsidR="00C47B5C" w:rsidRPr="00432219">
        <w:t xml:space="preserve"> </w:t>
      </w:r>
      <w:r w:rsidR="003D0AC7" w:rsidRPr="00432219">
        <w:t>The leading cause</w:t>
      </w:r>
      <w:r w:rsidR="00B26025" w:rsidRPr="00432219">
        <w:t>s</w:t>
      </w:r>
      <w:r w:rsidR="003D0AC7" w:rsidRPr="00432219">
        <w:t xml:space="preserve"> of death for males in this age-group, however, </w:t>
      </w:r>
      <w:r w:rsidR="00B26025" w:rsidRPr="00432219">
        <w:t>are</w:t>
      </w:r>
      <w:r w:rsidR="003D0AC7" w:rsidRPr="00432219">
        <w:t xml:space="preserve"> </w:t>
      </w:r>
      <w:r w:rsidR="005672E9">
        <w:t>cardiovascular diseases (12·8</w:t>
      </w:r>
      <w:r w:rsidR="00F04615" w:rsidRPr="00432219">
        <w:t xml:space="preserve">%), and </w:t>
      </w:r>
      <w:r w:rsidR="003D0AC7" w:rsidRPr="00432219">
        <w:t xml:space="preserve">road traffic </w:t>
      </w:r>
      <w:r w:rsidR="00B26025" w:rsidRPr="00432219">
        <w:t>injures and</w:t>
      </w:r>
      <w:r w:rsidR="001C5748" w:rsidRPr="00432219">
        <w:t xml:space="preserve"> HIV</w:t>
      </w:r>
      <w:r w:rsidR="00CA3710" w:rsidRPr="00432219">
        <w:t>/</w:t>
      </w:r>
      <w:r w:rsidR="001C5748" w:rsidRPr="00432219">
        <w:t>AIDS</w:t>
      </w:r>
      <w:r w:rsidR="00CA3710" w:rsidRPr="00432219">
        <w:t xml:space="preserve"> </w:t>
      </w:r>
      <w:r w:rsidR="0030328F" w:rsidRPr="00432219">
        <w:t>(1</w:t>
      </w:r>
      <w:r w:rsidR="00F04615" w:rsidRPr="00432219">
        <w:t>0·7</w:t>
      </w:r>
      <w:r w:rsidR="001C5748" w:rsidRPr="00432219">
        <w:t>%</w:t>
      </w:r>
      <w:r w:rsidR="00B26025" w:rsidRPr="00432219">
        <w:t xml:space="preserve"> each</w:t>
      </w:r>
      <w:r w:rsidR="001C5748" w:rsidRPr="00432219">
        <w:t xml:space="preserve">), </w:t>
      </w:r>
      <w:r w:rsidR="00F04615" w:rsidRPr="00432219">
        <w:t>with other maj</w:t>
      </w:r>
      <w:r w:rsidR="005672E9">
        <w:t>or causes including</w:t>
      </w:r>
      <w:r w:rsidR="00FA737B">
        <w:t xml:space="preserve"> </w:t>
      </w:r>
      <w:r w:rsidR="0068104A">
        <w:t>suicide (5·7</w:t>
      </w:r>
      <w:r w:rsidR="00F04615" w:rsidRPr="00432219">
        <w:t>%) and i</w:t>
      </w:r>
      <w:r w:rsidR="003D0AC7" w:rsidRPr="00432219">
        <w:t>nterpersonal violence</w:t>
      </w:r>
      <w:r w:rsidR="00F04615" w:rsidRPr="00432219">
        <w:t xml:space="preserve"> (5·2%)</w:t>
      </w:r>
      <w:r w:rsidR="003D0AC7" w:rsidRPr="00432219">
        <w:t>.</w:t>
      </w:r>
    </w:p>
    <w:p w:rsidR="0000182C" w:rsidRDefault="00973DA9" w:rsidP="00973DA9">
      <w:r>
        <w:t>Identification of more detailed causes is perhaps more important for priority setting and planning, since interventions are generally cause-specific.</w:t>
      </w:r>
      <w:r w:rsidR="00C47B5C">
        <w:t xml:space="preserve"> </w:t>
      </w:r>
      <w:r w:rsidR="00080449" w:rsidRPr="00E44D50">
        <w:rPr>
          <w:b/>
        </w:rPr>
        <w:t xml:space="preserve">Figure </w:t>
      </w:r>
      <w:r w:rsidR="00C53CE5">
        <w:rPr>
          <w:b/>
        </w:rPr>
        <w:t>4</w:t>
      </w:r>
      <w:r>
        <w:t xml:space="preserve"> shows the top 25 causes of death in the world ranked in 1990 and 2010 with arrows connecting the causes between the two time periods.</w:t>
      </w:r>
      <w:r w:rsidR="00C47B5C">
        <w:t xml:space="preserve"> </w:t>
      </w:r>
      <w:r w:rsidR="00333507">
        <w:t>C</w:t>
      </w:r>
      <w:r>
        <w:t>ommunicable</w:t>
      </w:r>
      <w:r w:rsidR="00A5263C">
        <w:t>, maternal, neonatal, and n</w:t>
      </w:r>
      <w:r w:rsidR="0061418A">
        <w:t>utritional</w:t>
      </w:r>
      <w:r w:rsidR="00A5263C">
        <w:t xml:space="preserve"> causes are in red.</w:t>
      </w:r>
      <w:r>
        <w:t xml:space="preserve"> </w:t>
      </w:r>
      <w:r w:rsidR="00A5263C">
        <w:t xml:space="preserve"> Non</w:t>
      </w:r>
      <w:r w:rsidR="00333507">
        <w:t>communicable</w:t>
      </w:r>
      <w:r>
        <w:t xml:space="preserve"> </w:t>
      </w:r>
      <w:r w:rsidR="00A5263C">
        <w:t xml:space="preserve">causes are in blue. </w:t>
      </w:r>
      <w:r w:rsidRPr="00432219">
        <w:t>Injuries causes are in green. The mean and</w:t>
      </w:r>
      <w:r w:rsidR="0061418A" w:rsidRPr="00432219">
        <w:t xml:space="preserve"> 95%</w:t>
      </w:r>
      <w:r w:rsidRPr="00432219">
        <w:t xml:space="preserve"> </w:t>
      </w:r>
      <w:r w:rsidR="0061418A" w:rsidRPr="00432219">
        <w:t>uncertainty</w:t>
      </w:r>
      <w:r w:rsidRPr="00432219">
        <w:t xml:space="preserve"> intervals of cause rankings are also shown, as is the percentage change in the number of deaths, by cause, between 1990 and 2010. While the top </w:t>
      </w:r>
      <w:r w:rsidR="0049206F" w:rsidRPr="00432219">
        <w:t xml:space="preserve">four </w:t>
      </w:r>
      <w:r w:rsidRPr="00432219">
        <w:t xml:space="preserve">causes of death in 1990 remain the top </w:t>
      </w:r>
      <w:r w:rsidR="0049206F" w:rsidRPr="00432219">
        <w:t>four</w:t>
      </w:r>
      <w:r w:rsidR="00F04615" w:rsidRPr="00432219">
        <w:t xml:space="preserve"> </w:t>
      </w:r>
      <w:r w:rsidRPr="00432219">
        <w:t xml:space="preserve">in 2010, the change in numbers of deaths is noteworthy, with </w:t>
      </w:r>
      <w:r w:rsidR="00244E7A" w:rsidRPr="00432219">
        <w:t>IHD and stroke increasing by 2</w:t>
      </w:r>
      <w:r w:rsidR="00F04615" w:rsidRPr="00432219">
        <w:t>6</w:t>
      </w:r>
      <w:r w:rsidR="00244E7A" w:rsidRPr="00432219">
        <w:t>-3</w:t>
      </w:r>
      <w:r w:rsidR="00F04615" w:rsidRPr="00432219">
        <w:t>5</w:t>
      </w:r>
      <w:r w:rsidRPr="00432219">
        <w:t>%</w:t>
      </w:r>
      <w:r w:rsidR="00432219" w:rsidRPr="00432219">
        <w:t xml:space="preserve"> over the interval,</w:t>
      </w:r>
      <w:r w:rsidRPr="00432219">
        <w:t xml:space="preserve"> while </w:t>
      </w:r>
      <w:r w:rsidR="00D52830" w:rsidRPr="00432219">
        <w:t xml:space="preserve">LRI and COPD </w:t>
      </w:r>
      <w:r w:rsidR="00B529A8" w:rsidRPr="00432219">
        <w:t xml:space="preserve">are </w:t>
      </w:r>
      <w:r w:rsidR="00D52830" w:rsidRPr="00432219">
        <w:t xml:space="preserve">declining by </w:t>
      </w:r>
      <w:r w:rsidR="00432219" w:rsidRPr="00432219">
        <w:t>7</w:t>
      </w:r>
      <w:r w:rsidR="00D52830" w:rsidRPr="00432219">
        <w:t>-1</w:t>
      </w:r>
      <w:r w:rsidR="00432219" w:rsidRPr="00432219">
        <w:t>8</w:t>
      </w:r>
      <w:r w:rsidRPr="00432219">
        <w:t xml:space="preserve">%. </w:t>
      </w:r>
      <w:r w:rsidR="001F0165" w:rsidRPr="00432219">
        <w:t>Lung cancer increased from the 8</w:t>
      </w:r>
      <w:r w:rsidR="001F0165" w:rsidRPr="00432219">
        <w:rPr>
          <w:vertAlign w:val="superscript"/>
        </w:rPr>
        <w:t>th</w:t>
      </w:r>
      <w:r w:rsidR="001F0165" w:rsidRPr="00432219">
        <w:t xml:space="preserve"> cause to the 5</w:t>
      </w:r>
      <w:r w:rsidR="001F0165" w:rsidRPr="00432219">
        <w:rPr>
          <w:vertAlign w:val="superscript"/>
        </w:rPr>
        <w:t>th</w:t>
      </w:r>
      <w:r w:rsidR="001F0165" w:rsidRPr="00432219">
        <w:t xml:space="preserve"> cause over the two decades due to a </w:t>
      </w:r>
      <w:r w:rsidR="00D52830" w:rsidRPr="00432219">
        <w:t>4</w:t>
      </w:r>
      <w:r w:rsidR="00432219" w:rsidRPr="00432219">
        <w:t>8</w:t>
      </w:r>
      <w:r w:rsidR="001F0165" w:rsidRPr="00432219">
        <w:t>% increase in absolute number of deaths.</w:t>
      </w:r>
      <w:r w:rsidR="00C47B5C" w:rsidRPr="00432219">
        <w:t xml:space="preserve"> </w:t>
      </w:r>
      <w:r w:rsidR="001F0165" w:rsidRPr="00432219">
        <w:t xml:space="preserve">The </w:t>
      </w:r>
      <w:r w:rsidR="00920A69" w:rsidRPr="00432219">
        <w:t>largest change was for HIV</w:t>
      </w:r>
      <w:r w:rsidR="00A5263C">
        <w:t>/AIDS</w:t>
      </w:r>
      <w:r w:rsidR="00920A69" w:rsidRPr="00432219">
        <w:t>, rising</w:t>
      </w:r>
      <w:r w:rsidR="001F0165" w:rsidRPr="00432219">
        <w:t xml:space="preserve"> from the </w:t>
      </w:r>
      <w:r w:rsidR="00652010" w:rsidRPr="00432219">
        <w:t>35</w:t>
      </w:r>
      <w:r w:rsidR="001F0165" w:rsidRPr="00432219">
        <w:rPr>
          <w:vertAlign w:val="superscript"/>
        </w:rPr>
        <w:t>th</w:t>
      </w:r>
      <w:r w:rsidR="001F0165" w:rsidRPr="00432219">
        <w:t xml:space="preserve"> cause to the 6</w:t>
      </w:r>
      <w:r w:rsidR="001F0165" w:rsidRPr="00432219">
        <w:rPr>
          <w:vertAlign w:val="superscript"/>
        </w:rPr>
        <w:t>th</w:t>
      </w:r>
      <w:r w:rsidR="00920A69" w:rsidRPr="00432219">
        <w:rPr>
          <w:vertAlign w:val="superscript"/>
        </w:rPr>
        <w:t xml:space="preserve"> </w:t>
      </w:r>
      <w:r w:rsidR="00920A69" w:rsidRPr="00432219">
        <w:t>leading</w:t>
      </w:r>
      <w:r w:rsidR="001F0165" w:rsidRPr="00432219">
        <w:t xml:space="preserve"> cause of death.</w:t>
      </w:r>
      <w:r w:rsidR="00C47B5C" w:rsidRPr="00432219">
        <w:t xml:space="preserve"> </w:t>
      </w:r>
      <w:r w:rsidR="00097042" w:rsidRPr="00432219">
        <w:t>Diarrh</w:t>
      </w:r>
      <w:r w:rsidR="00E35518" w:rsidRPr="00432219">
        <w:t>eal, tuberculosis</w:t>
      </w:r>
      <w:r w:rsidR="00CA3710" w:rsidRPr="00432219">
        <w:t>,</w:t>
      </w:r>
      <w:r w:rsidR="00E35518" w:rsidRPr="00432219">
        <w:t xml:space="preserve"> and malaria all dropped in the global league table.</w:t>
      </w:r>
      <w:r w:rsidR="00C47B5C" w:rsidRPr="00432219">
        <w:t xml:space="preserve"> </w:t>
      </w:r>
      <w:r w:rsidR="0000182C" w:rsidRPr="00432219">
        <w:t>Large increases in absolute number of deaths and their relative importance can be seen for diabetes, liver cancer, falls</w:t>
      </w:r>
      <w:r w:rsidR="00CA3710" w:rsidRPr="00432219">
        <w:t>,</w:t>
      </w:r>
      <w:r w:rsidR="0000182C" w:rsidRPr="00432219">
        <w:t xml:space="preserve"> and chronic kidney disease.</w:t>
      </w:r>
      <w:r w:rsidR="00C47B5C" w:rsidRPr="00432219">
        <w:t xml:space="preserve"> </w:t>
      </w:r>
      <w:r w:rsidR="0000182C" w:rsidRPr="00432219">
        <w:t>Each of these causes has increased by more than 50% over the two decades.</w:t>
      </w:r>
      <w:r w:rsidR="0000182C">
        <w:t xml:space="preserve"> </w:t>
      </w:r>
    </w:p>
    <w:p w:rsidR="00973DA9" w:rsidRPr="00291904" w:rsidRDefault="00165073" w:rsidP="00973DA9">
      <w:r>
        <w:t xml:space="preserve">While </w:t>
      </w:r>
      <w:r w:rsidR="006F1BC7">
        <w:t>the number of deaths</w:t>
      </w:r>
      <w:r>
        <w:t xml:space="preserve"> from a given cause is </w:t>
      </w:r>
      <w:r w:rsidR="00D8656F">
        <w:t>a widely understood measure</w:t>
      </w:r>
      <w:r w:rsidR="00C40802">
        <w:t>, its utility</w:t>
      </w:r>
      <w:r w:rsidR="006F1BC7">
        <w:t xml:space="preserve"> as a metric</w:t>
      </w:r>
      <w:r w:rsidR="00D8656F">
        <w:t xml:space="preserve"> for informing public health</w:t>
      </w:r>
      <w:r w:rsidR="00C40802">
        <w:t xml:space="preserve"> priorities is limited since it</w:t>
      </w:r>
      <w:r w:rsidR="006F1BC7">
        <w:t xml:space="preserve"> gives equal weight to a death </w:t>
      </w:r>
      <w:r w:rsidR="00600D07">
        <w:t>at age 90 compared</w:t>
      </w:r>
      <w:r w:rsidR="00D8656F">
        <w:t xml:space="preserve">, for example, </w:t>
      </w:r>
      <w:r w:rsidR="006F1BC7">
        <w:t xml:space="preserve">to a death at age 25 or </w:t>
      </w:r>
      <w:r w:rsidR="00FA03EF">
        <w:t xml:space="preserve">age </w:t>
      </w:r>
      <w:r w:rsidR="006F1BC7">
        <w:t>5</w:t>
      </w:r>
      <w:r w:rsidR="00D8656F">
        <w:t>. Consequently</w:t>
      </w:r>
      <w:r w:rsidR="003D27CD">
        <w:t>,</w:t>
      </w:r>
      <w:r w:rsidR="006F1BC7">
        <w:t xml:space="preserve"> the predominance of </w:t>
      </w:r>
      <w:r w:rsidR="00AE2888">
        <w:t>noncommunicable</w:t>
      </w:r>
      <w:r w:rsidR="006F1BC7">
        <w:t xml:space="preserve"> causes </w:t>
      </w:r>
      <w:r w:rsidR="006F1BC7">
        <w:lastRenderedPageBreak/>
        <w:t>may be misleading.</w:t>
      </w:r>
      <w:r w:rsidR="00C47B5C">
        <w:t xml:space="preserve"> </w:t>
      </w:r>
      <w:r w:rsidR="0000182C">
        <w:t xml:space="preserve">In the GBD, the computation of years of life lost based on the standard expectation of life at the age of each death quantifies the amount of </w:t>
      </w:r>
      <w:r w:rsidR="008E55C1">
        <w:t xml:space="preserve">life </w:t>
      </w:r>
      <w:r w:rsidR="0000182C">
        <w:t>lost</w:t>
      </w:r>
      <w:r w:rsidR="00A5263C">
        <w:t xml:space="preserve"> due to premature mortality</w:t>
      </w:r>
      <w:r w:rsidR="00920A69">
        <w:t xml:space="preserve"> (YLLs)</w:t>
      </w:r>
      <w:r w:rsidR="0000182C">
        <w:t xml:space="preserve"> due to each cause.</w:t>
      </w:r>
      <w:r w:rsidR="00C47B5C">
        <w:t xml:space="preserve"> </w:t>
      </w:r>
      <w:r w:rsidR="0000182C">
        <w:t xml:space="preserve">By computing YLLs, we can </w:t>
      </w:r>
      <w:r w:rsidR="008E55C1">
        <w:t>aggregate</w:t>
      </w:r>
      <w:r w:rsidR="0000182C">
        <w:t xml:space="preserve"> information on </w:t>
      </w:r>
      <w:r w:rsidR="008E55C1">
        <w:t xml:space="preserve">deaths across all </w:t>
      </w:r>
      <w:r w:rsidR="0000182C">
        <w:t xml:space="preserve">ages </w:t>
      </w:r>
      <w:r w:rsidR="008E55C1">
        <w:t xml:space="preserve">in order </w:t>
      </w:r>
      <w:r w:rsidR="0000182C">
        <w:t xml:space="preserve">to </w:t>
      </w:r>
      <w:r w:rsidR="008E55C1">
        <w:t>summarize</w:t>
      </w:r>
      <w:r w:rsidR="0000182C">
        <w:t xml:space="preserve"> overall patterns </w:t>
      </w:r>
      <w:r w:rsidR="008E55C1">
        <w:t>of premature mortality</w:t>
      </w:r>
      <w:r w:rsidR="0000182C">
        <w:t>.</w:t>
      </w:r>
      <w:r w:rsidR="00C47B5C">
        <w:t xml:space="preserve"> </w:t>
      </w:r>
      <w:r w:rsidR="00973DA9">
        <w:t xml:space="preserve">The demographic and epidemiological transition is illustrated in </w:t>
      </w:r>
      <w:r w:rsidR="00973DA9" w:rsidRPr="00E44D50">
        <w:rPr>
          <w:b/>
        </w:rPr>
        <w:t xml:space="preserve">Figure </w:t>
      </w:r>
      <w:r w:rsidR="00C53CE5">
        <w:rPr>
          <w:b/>
        </w:rPr>
        <w:t>5</w:t>
      </w:r>
      <w:r w:rsidR="00CA3710" w:rsidRPr="00CA3710">
        <w:t>,</w:t>
      </w:r>
      <w:r w:rsidR="00973DA9">
        <w:t xml:space="preserve"> which shows </w:t>
      </w:r>
      <w:r w:rsidR="00973DA9" w:rsidRPr="00982CE6">
        <w:t xml:space="preserve">the change in the composition of </w:t>
      </w:r>
      <w:r w:rsidR="00A5263C">
        <w:t>YLLs</w:t>
      </w:r>
      <w:r w:rsidR="00973DA9" w:rsidRPr="00982CE6">
        <w:t xml:space="preserve"> </w:t>
      </w:r>
      <w:r w:rsidR="00080449" w:rsidRPr="00982CE6">
        <w:t xml:space="preserve">by single year from 1990 to 2010 </w:t>
      </w:r>
      <w:r w:rsidR="00973DA9" w:rsidRPr="00982CE6">
        <w:t>for both sexes combined. The impact of major mortality shocks including the Rwanda genocide (1994) and the famine in the Democratic People’s Republic of Korea (covering most of the 1990s with a peak in 1995), are evident even at the global scale.</w:t>
      </w:r>
      <w:r w:rsidR="00C47B5C" w:rsidRPr="00982CE6">
        <w:t xml:space="preserve"> </w:t>
      </w:r>
      <w:r w:rsidR="00973DA9" w:rsidRPr="00982CE6">
        <w:t xml:space="preserve">The fraction of YLLs due to infectious diseases predominantly in children has declined substantially from </w:t>
      </w:r>
      <w:r w:rsidR="00982CE6" w:rsidRPr="00982CE6">
        <w:t>27·3</w:t>
      </w:r>
      <w:r w:rsidR="00973DA9" w:rsidRPr="00982CE6">
        <w:t xml:space="preserve">% in 1990 to </w:t>
      </w:r>
      <w:r w:rsidR="008858C2" w:rsidRPr="00982CE6">
        <w:t>15</w:t>
      </w:r>
      <w:r w:rsidR="001C6BA8" w:rsidRPr="00982CE6">
        <w:t>·</w:t>
      </w:r>
      <w:r w:rsidR="008858C2" w:rsidRPr="00982CE6">
        <w:t>4</w:t>
      </w:r>
      <w:r w:rsidR="00973DA9" w:rsidRPr="00982CE6">
        <w:t>% in 2010.</w:t>
      </w:r>
      <w:r w:rsidR="00C47B5C" w:rsidRPr="00982CE6">
        <w:t xml:space="preserve"> </w:t>
      </w:r>
      <w:r w:rsidR="00973DA9" w:rsidRPr="00982CE6">
        <w:t>The percentage due to HIV/TB has increased due to the HIV epidemic.</w:t>
      </w:r>
      <w:r w:rsidR="00C47B5C" w:rsidRPr="00982CE6">
        <w:t xml:space="preserve"> </w:t>
      </w:r>
      <w:r w:rsidR="00973DA9" w:rsidRPr="00982CE6">
        <w:t xml:space="preserve">There is a concomitant expansion of YLLs due to </w:t>
      </w:r>
      <w:r w:rsidR="00AE2888">
        <w:t>noncommunicable</w:t>
      </w:r>
      <w:r w:rsidR="00973DA9" w:rsidRPr="00982CE6">
        <w:t xml:space="preserve"> diseases, particularly cardiovascular diseases.</w:t>
      </w:r>
      <w:r w:rsidR="00C47B5C" w:rsidRPr="00982CE6">
        <w:t xml:space="preserve"> </w:t>
      </w:r>
      <w:r w:rsidR="00973DA9" w:rsidRPr="00982CE6">
        <w:t xml:space="preserve">The share of YLLs from </w:t>
      </w:r>
      <w:r w:rsidR="00AE2888">
        <w:t>noncommunicable</w:t>
      </w:r>
      <w:r w:rsidR="00973DA9" w:rsidRPr="00982CE6">
        <w:t xml:space="preserve"> diseases expanded from </w:t>
      </w:r>
      <w:r w:rsidR="00B719D7" w:rsidRPr="00982CE6">
        <w:t>33</w:t>
      </w:r>
      <w:r w:rsidR="002373D5" w:rsidRPr="00982CE6">
        <w:t>·</w:t>
      </w:r>
      <w:r w:rsidR="00B719D7" w:rsidRPr="00982CE6">
        <w:t>3</w:t>
      </w:r>
      <w:r w:rsidR="00973DA9" w:rsidRPr="00982CE6">
        <w:t xml:space="preserve">% in 1990 to </w:t>
      </w:r>
      <w:r w:rsidR="00B719D7" w:rsidRPr="00982CE6">
        <w:t>42</w:t>
      </w:r>
      <w:r w:rsidR="002373D5" w:rsidRPr="00982CE6">
        <w:t>·</w:t>
      </w:r>
      <w:r w:rsidR="00982CE6" w:rsidRPr="00982CE6">
        <w:t>8</w:t>
      </w:r>
      <w:r w:rsidR="00973DA9" w:rsidRPr="00982CE6">
        <w:t>% in 2010.</w:t>
      </w:r>
      <w:r w:rsidR="00C47B5C" w:rsidRPr="00982CE6">
        <w:t xml:space="preserve"> </w:t>
      </w:r>
      <w:r w:rsidR="00217200" w:rsidRPr="00982CE6">
        <w:rPr>
          <w:b/>
        </w:rPr>
        <w:t>Web Tables 29 and 30</w:t>
      </w:r>
      <w:r w:rsidR="00291904" w:rsidRPr="00982CE6">
        <w:rPr>
          <w:b/>
        </w:rPr>
        <w:t xml:space="preserve"> </w:t>
      </w:r>
      <w:r w:rsidR="00291904" w:rsidRPr="00982CE6">
        <w:t>show the global YLLs with 95% uncertainty intervals for 2010 and 1990, respectively</w:t>
      </w:r>
      <w:r w:rsidR="00217200" w:rsidRPr="00982CE6">
        <w:t>.</w:t>
      </w:r>
      <w:r w:rsidR="00291904">
        <w:t xml:space="preserve"> </w:t>
      </w:r>
    </w:p>
    <w:p w:rsidR="006F1BC7" w:rsidRDefault="006F1BC7" w:rsidP="00B1744D">
      <w:r w:rsidRPr="00E44D50">
        <w:rPr>
          <w:b/>
        </w:rPr>
        <w:t>Figure 6</w:t>
      </w:r>
      <w:r>
        <w:t xml:space="preserve"> provides a comparison of the top 25 causes of YLLs for both sexes combined</w:t>
      </w:r>
      <w:r w:rsidR="00920A69">
        <w:t xml:space="preserve">. This provides an </w:t>
      </w:r>
      <w:r w:rsidR="00920A69" w:rsidRPr="00982CE6">
        <w:t>even more meaningful perspective on priorities for disease control than a simple ranking of causes of death according to the nu</w:t>
      </w:r>
      <w:r w:rsidR="00133BBC" w:rsidRPr="00982CE6">
        <w:t>mbers of deaths from each cause</w:t>
      </w:r>
      <w:r w:rsidRPr="00982CE6">
        <w:t>.</w:t>
      </w:r>
      <w:r w:rsidR="00C47B5C" w:rsidRPr="00982CE6">
        <w:t xml:space="preserve"> </w:t>
      </w:r>
      <w:r w:rsidR="00D026EF" w:rsidRPr="00982CE6">
        <w:t>The leading cause of YLLs</w:t>
      </w:r>
      <w:r w:rsidR="002E06DF" w:rsidRPr="00982CE6">
        <w:t xml:space="preserve"> globally </w:t>
      </w:r>
      <w:r w:rsidR="00D026EF" w:rsidRPr="00982CE6">
        <w:t>was lower respiratory infections in</w:t>
      </w:r>
      <w:r w:rsidR="002E06DF" w:rsidRPr="00982CE6">
        <w:t xml:space="preserve"> </w:t>
      </w:r>
      <w:r w:rsidR="00D026EF" w:rsidRPr="00982CE6">
        <w:t xml:space="preserve">1990 and </w:t>
      </w:r>
      <w:r w:rsidR="00D24471" w:rsidRPr="00982CE6">
        <w:t xml:space="preserve">ischemic heart disease in </w:t>
      </w:r>
      <w:r w:rsidR="00D026EF" w:rsidRPr="00982CE6">
        <w:t>2010</w:t>
      </w:r>
      <w:r w:rsidR="00D24471" w:rsidRPr="00982CE6">
        <w:t xml:space="preserve">; </w:t>
      </w:r>
      <w:r w:rsidR="00CA3710" w:rsidRPr="00982CE6">
        <w:t>o</w:t>
      </w:r>
      <w:r w:rsidR="00D24471" w:rsidRPr="00982CE6">
        <w:t xml:space="preserve">ver this period, </w:t>
      </w:r>
      <w:r w:rsidR="00D026EF" w:rsidRPr="00982CE6">
        <w:t xml:space="preserve">the total number of YLLs </w:t>
      </w:r>
      <w:r w:rsidR="00D24471" w:rsidRPr="00982CE6">
        <w:t xml:space="preserve">from LRI </w:t>
      </w:r>
      <w:r w:rsidR="00D026EF" w:rsidRPr="00982CE6">
        <w:t xml:space="preserve">decreased by </w:t>
      </w:r>
      <w:r w:rsidR="00974E62" w:rsidRPr="00982CE6">
        <w:t>4</w:t>
      </w:r>
      <w:r w:rsidR="00982CE6" w:rsidRPr="00982CE6">
        <w:t>5</w:t>
      </w:r>
      <w:r w:rsidR="00D026EF" w:rsidRPr="00982CE6">
        <w:t xml:space="preserve">% </w:t>
      </w:r>
      <w:r w:rsidR="00974E62" w:rsidRPr="00982CE6">
        <w:t>but increased 2</w:t>
      </w:r>
      <w:r w:rsidR="00982CE6" w:rsidRPr="00982CE6">
        <w:t>8</w:t>
      </w:r>
      <w:r w:rsidR="00D24471" w:rsidRPr="00982CE6">
        <w:t>% for ischemic heart disease.</w:t>
      </w:r>
      <w:r w:rsidR="00C47B5C" w:rsidRPr="00982CE6">
        <w:t xml:space="preserve"> </w:t>
      </w:r>
      <w:r w:rsidR="002E06DF" w:rsidRPr="00982CE6">
        <w:t>More generally,</w:t>
      </w:r>
      <w:r w:rsidR="00D026EF" w:rsidRPr="00982CE6">
        <w:t xml:space="preserve"> a number of</w:t>
      </w:r>
      <w:r w:rsidR="00A5263C">
        <w:t xml:space="preserve"> communicable, maternal, neonatal, and n</w:t>
      </w:r>
      <w:r w:rsidR="00B978F9">
        <w:t xml:space="preserve">utritional </w:t>
      </w:r>
      <w:r w:rsidR="00D026EF" w:rsidRPr="00982CE6">
        <w:t xml:space="preserve">causes </w:t>
      </w:r>
      <w:r w:rsidR="002E06DF" w:rsidRPr="00982CE6">
        <w:t>declined in both</w:t>
      </w:r>
      <w:r w:rsidR="00D026EF" w:rsidRPr="00982CE6">
        <w:t xml:space="preserve"> absolute terms and in relative importance as causes of YLLs </w:t>
      </w:r>
      <w:r w:rsidR="001665F7" w:rsidRPr="00982CE6">
        <w:t xml:space="preserve">- </w:t>
      </w:r>
      <w:r w:rsidR="00D026EF" w:rsidRPr="00982CE6">
        <w:t>most notably measles,</w:t>
      </w:r>
      <w:r w:rsidR="0023007C" w:rsidRPr="00982CE6">
        <w:t xml:space="preserve"> </w:t>
      </w:r>
      <w:r w:rsidR="00BC60F1" w:rsidRPr="00982CE6">
        <w:t>tetanus,</w:t>
      </w:r>
      <w:r w:rsidR="00D026EF" w:rsidRPr="00982CE6">
        <w:t xml:space="preserve"> preter</w:t>
      </w:r>
      <w:r w:rsidR="001665F7" w:rsidRPr="00982CE6">
        <w:t>m</w:t>
      </w:r>
      <w:r w:rsidR="00E07BFA" w:rsidRPr="00982CE6">
        <w:t xml:space="preserve"> birth</w:t>
      </w:r>
      <w:r w:rsidR="00D647BA">
        <w:t xml:space="preserve"> complications</w:t>
      </w:r>
      <w:r w:rsidR="001665F7" w:rsidRPr="00982CE6">
        <w:t xml:space="preserve">, tuberculosis, </w:t>
      </w:r>
      <w:r w:rsidR="00D026EF" w:rsidRPr="00982CE6">
        <w:t>meningitis</w:t>
      </w:r>
      <w:r w:rsidR="00974E62" w:rsidRPr="00982CE6">
        <w:t>, and protein-energy malnutrition</w:t>
      </w:r>
      <w:r w:rsidR="00D026EF" w:rsidRPr="00982CE6">
        <w:t>.</w:t>
      </w:r>
      <w:r w:rsidR="00C47B5C" w:rsidRPr="00982CE6">
        <w:t xml:space="preserve"> </w:t>
      </w:r>
      <w:r w:rsidR="002E06DF" w:rsidRPr="00982CE6">
        <w:t>Conversely, s</w:t>
      </w:r>
      <w:r w:rsidR="00D026EF" w:rsidRPr="00982CE6">
        <w:t xml:space="preserve">everal </w:t>
      </w:r>
      <w:r w:rsidR="00AE2888">
        <w:t>noncommunicable</w:t>
      </w:r>
      <w:r w:rsidR="00D026EF" w:rsidRPr="00982CE6">
        <w:t xml:space="preserve"> diseases incre</w:t>
      </w:r>
      <w:r w:rsidR="002E06DF" w:rsidRPr="00982CE6">
        <w:t xml:space="preserve">ased </w:t>
      </w:r>
      <w:r w:rsidR="00D026EF" w:rsidRPr="00982CE6">
        <w:t>in importance over the two decades: ischemic heart disease,</w:t>
      </w:r>
      <w:r w:rsidR="00974E62" w:rsidRPr="00982CE6">
        <w:t xml:space="preserve"> stroke,</w:t>
      </w:r>
      <w:r w:rsidR="00D026EF" w:rsidRPr="00982CE6">
        <w:t xml:space="preserve"> lung cancer, cirrhosis</w:t>
      </w:r>
      <w:r w:rsidR="006B1A11" w:rsidRPr="00982CE6">
        <w:t>,</w:t>
      </w:r>
      <w:r w:rsidR="00D026EF" w:rsidRPr="00982CE6">
        <w:t xml:space="preserve"> diabetes</w:t>
      </w:r>
      <w:r w:rsidR="00974E62" w:rsidRPr="00982CE6">
        <w:t xml:space="preserve">, </w:t>
      </w:r>
      <w:r w:rsidR="00982CE6" w:rsidRPr="00982CE6">
        <w:t xml:space="preserve">liver cancer, </w:t>
      </w:r>
      <w:r w:rsidR="00974E62" w:rsidRPr="00982CE6">
        <w:t>and chronic kidney disease</w:t>
      </w:r>
      <w:r w:rsidR="00D026EF" w:rsidRPr="00982CE6">
        <w:t xml:space="preserve"> </w:t>
      </w:r>
      <w:r w:rsidR="002E06DF" w:rsidRPr="00982CE6">
        <w:t>in particular, although COPD and congenital causes ha</w:t>
      </w:r>
      <w:r w:rsidR="0023007C" w:rsidRPr="00982CE6">
        <w:t>ve declined in rankings of YLLs</w:t>
      </w:r>
      <w:r w:rsidR="00CA3710" w:rsidRPr="00982CE6">
        <w:t>.</w:t>
      </w:r>
      <w:r w:rsidR="00C47B5C" w:rsidRPr="00982CE6">
        <w:t xml:space="preserve"> </w:t>
      </w:r>
      <w:r w:rsidR="002E06DF" w:rsidRPr="00982CE6">
        <w:t>Among</w:t>
      </w:r>
      <w:r w:rsidR="00D026EF" w:rsidRPr="00982CE6">
        <w:t xml:space="preserve"> injuries, </w:t>
      </w:r>
      <w:r w:rsidR="00974E62" w:rsidRPr="00982CE6">
        <w:t>road traffic</w:t>
      </w:r>
      <w:r w:rsidR="00D026EF" w:rsidRPr="00982CE6">
        <w:t>, se</w:t>
      </w:r>
      <w:r w:rsidR="00A5263C">
        <w:t xml:space="preserve">lf </w:t>
      </w:r>
      <w:r w:rsidR="00D026EF" w:rsidRPr="00982CE6">
        <w:t>harm</w:t>
      </w:r>
      <w:r w:rsidR="002C7224" w:rsidRPr="00982CE6">
        <w:t>,</w:t>
      </w:r>
      <w:r w:rsidR="00D026EF" w:rsidRPr="00982CE6">
        <w:t xml:space="preserve"> and interpersonal violence have increased substantially in </w:t>
      </w:r>
      <w:r w:rsidR="002E06DF" w:rsidRPr="00982CE6">
        <w:t xml:space="preserve">both </w:t>
      </w:r>
      <w:r w:rsidR="00D026EF" w:rsidRPr="00982CE6">
        <w:t>absolute and relative terms</w:t>
      </w:r>
      <w:r w:rsidR="002C7224" w:rsidRPr="00982CE6">
        <w:t>,</w:t>
      </w:r>
      <w:r w:rsidR="00D026EF" w:rsidRPr="00982CE6">
        <w:t xml:space="preserve"> while drowning ha</w:t>
      </w:r>
      <w:r w:rsidR="002C7224" w:rsidRPr="00982CE6">
        <w:t>s</w:t>
      </w:r>
      <w:r w:rsidR="00D026EF" w:rsidRPr="00982CE6">
        <w:t xml:space="preserve"> declined.</w:t>
      </w:r>
      <w:r w:rsidR="00C47B5C">
        <w:t xml:space="preserve"> </w:t>
      </w:r>
    </w:p>
    <w:p w:rsidR="00B57AFC" w:rsidRDefault="00B57AFC" w:rsidP="00B1744D">
      <w:r w:rsidRPr="00124FB9">
        <w:t>An important innovation in this study has been the quantification of uncertainty by cause. Uncertainty intervals vary widely across causes.</w:t>
      </w:r>
      <w:r w:rsidR="00C47B5C" w:rsidRPr="00124FB9">
        <w:t xml:space="preserve"> </w:t>
      </w:r>
      <w:r w:rsidR="00080449" w:rsidRPr="00124FB9">
        <w:rPr>
          <w:b/>
        </w:rPr>
        <w:t xml:space="preserve">Figure 7 </w:t>
      </w:r>
      <w:r w:rsidR="004B6005" w:rsidRPr="00124FB9">
        <w:t xml:space="preserve">shows the </w:t>
      </w:r>
      <w:r w:rsidR="00E75809" w:rsidRPr="00124FB9">
        <w:t>95% uncertainty interv</w:t>
      </w:r>
      <w:r w:rsidR="001665F7" w:rsidRPr="00124FB9">
        <w:t xml:space="preserve">al for YLLs </w:t>
      </w:r>
      <w:r w:rsidR="00E07BFA" w:rsidRPr="00124FB9">
        <w:t xml:space="preserve">for </w:t>
      </w:r>
      <w:r w:rsidR="001665F7" w:rsidRPr="00124FB9">
        <w:t>each cause in 2010</w:t>
      </w:r>
      <w:r w:rsidR="00E07BFA" w:rsidRPr="00124FB9">
        <w:t>,</w:t>
      </w:r>
      <w:r w:rsidR="001665F7" w:rsidRPr="00124FB9">
        <w:t xml:space="preserve"> </w:t>
      </w:r>
      <w:r w:rsidR="00E75809" w:rsidRPr="00124FB9">
        <w:t>ordered by the mean rank</w:t>
      </w:r>
      <w:r w:rsidR="00E07BFA" w:rsidRPr="00124FB9">
        <w:t xml:space="preserve"> of each cause</w:t>
      </w:r>
      <w:r w:rsidRPr="00124FB9">
        <w:t>.</w:t>
      </w:r>
      <w:r w:rsidR="00C47B5C" w:rsidRPr="00124FB9">
        <w:t xml:space="preserve"> </w:t>
      </w:r>
      <w:r w:rsidR="001665F7" w:rsidRPr="00124FB9">
        <w:t>The two leading causes -</w:t>
      </w:r>
      <w:r w:rsidR="00E75809" w:rsidRPr="00124FB9">
        <w:t xml:space="preserve"> ischemic heart disease a</w:t>
      </w:r>
      <w:r w:rsidR="001665F7" w:rsidRPr="00124FB9">
        <w:t>nd LRI -</w:t>
      </w:r>
      <w:r w:rsidR="00E75809" w:rsidRPr="00124FB9">
        <w:t xml:space="preserve"> have nearly overlapping uncertainty intervals.</w:t>
      </w:r>
      <w:r w:rsidR="00C47B5C" w:rsidRPr="00124FB9">
        <w:t xml:space="preserve"> </w:t>
      </w:r>
      <w:r w:rsidR="00E75809" w:rsidRPr="00124FB9">
        <w:t>There is quite a gap between these two causes and the next highest rank</w:t>
      </w:r>
      <w:r w:rsidR="00A5263C">
        <w:t>ed</w:t>
      </w:r>
      <w:r w:rsidR="00E75809" w:rsidRPr="00124FB9">
        <w:t xml:space="preserve"> cause, stroke.</w:t>
      </w:r>
      <w:r w:rsidR="00C47B5C" w:rsidRPr="00124FB9">
        <w:t xml:space="preserve"> </w:t>
      </w:r>
      <w:r w:rsidR="00E75809" w:rsidRPr="00124FB9">
        <w:t xml:space="preserve">The </w:t>
      </w:r>
      <w:r w:rsidR="005770EB" w:rsidRPr="00124FB9">
        <w:t>12</w:t>
      </w:r>
      <w:r w:rsidR="00E75809" w:rsidRPr="00124FB9">
        <w:rPr>
          <w:vertAlign w:val="superscript"/>
        </w:rPr>
        <w:t>th</w:t>
      </w:r>
      <w:r w:rsidR="00E75809" w:rsidRPr="00124FB9">
        <w:t xml:space="preserve"> ranked cause, neonatal sepsis</w:t>
      </w:r>
      <w:r w:rsidR="001665F7" w:rsidRPr="00124FB9">
        <w:t>,</w:t>
      </w:r>
      <w:r w:rsidR="00E75809" w:rsidRPr="00124FB9">
        <w:t xml:space="preserve"> has an uncertainty interval that is near</w:t>
      </w:r>
      <w:r w:rsidR="005770EB" w:rsidRPr="00124FB9">
        <w:t>ly three times wider than the 11</w:t>
      </w:r>
      <w:r w:rsidR="00E75809" w:rsidRPr="00124FB9">
        <w:rPr>
          <w:vertAlign w:val="superscript"/>
        </w:rPr>
        <w:t>th</w:t>
      </w:r>
      <w:r w:rsidR="00E75809" w:rsidRPr="00124FB9">
        <w:t xml:space="preserve"> ranked cause, COPD.</w:t>
      </w:r>
      <w:r w:rsidR="00C47B5C" w:rsidRPr="00124FB9">
        <w:t xml:space="preserve"> </w:t>
      </w:r>
      <w:r w:rsidR="00E75809" w:rsidRPr="00124FB9">
        <w:t>A number of causes have much larger uncertainty intervals than adjacent causes in the rank list.</w:t>
      </w:r>
      <w:r w:rsidR="00C47B5C" w:rsidRPr="00124FB9">
        <w:t xml:space="preserve"> </w:t>
      </w:r>
      <w:r w:rsidR="00F67639" w:rsidRPr="00124FB9">
        <w:t>Natural history models for whooping cough, measles</w:t>
      </w:r>
      <w:r w:rsidR="003D27CD" w:rsidRPr="00124FB9">
        <w:t>,</w:t>
      </w:r>
      <w:r w:rsidR="00F67639" w:rsidRPr="00124FB9">
        <w:t xml:space="preserve"> and syphilis have large uncertainty intervals.</w:t>
      </w:r>
      <w:r w:rsidR="00C47B5C" w:rsidRPr="00124FB9">
        <w:t xml:space="preserve"> </w:t>
      </w:r>
      <w:r w:rsidR="00F67639" w:rsidRPr="00124FB9">
        <w:t>This stems from considerable empirical uncertainty on the estimation of incidence and case-fatality rates.</w:t>
      </w:r>
      <w:r w:rsidR="00C47B5C" w:rsidRPr="00124FB9">
        <w:t xml:space="preserve"> </w:t>
      </w:r>
      <w:r w:rsidR="00F67639" w:rsidRPr="00124FB9">
        <w:t>In contrast, the HIV</w:t>
      </w:r>
      <w:r w:rsidR="00A5263C">
        <w:t>/AIDS</w:t>
      </w:r>
      <w:r w:rsidR="00F67639" w:rsidRPr="00124FB9">
        <w:t xml:space="preserve"> natural history model developed by UNAIDS has remarkably narrow uncertainty in many countries with large epidemics.</w:t>
      </w:r>
      <w:r w:rsidR="00C47B5C" w:rsidRPr="00124FB9">
        <w:t xml:space="preserve"> </w:t>
      </w:r>
      <w:r w:rsidR="00F67639" w:rsidRPr="00124FB9">
        <w:t>Across the causes analyzed using CODEm, where the validity of uncertainty intervals have been evaluated</w:t>
      </w:r>
      <w:r w:rsidR="00C47B5C" w:rsidRPr="00124FB9">
        <w:t xml:space="preserve"> </w:t>
      </w:r>
      <w:r w:rsidR="00F67639" w:rsidRPr="00124FB9">
        <w:t>using out-of-sample performance</w:t>
      </w:r>
      <w:r w:rsidR="00F67639">
        <w:t>, there is also substantial variation across causes reflecting both the coherence of the underlying data, and whether powerful explanatory covariates have been identified.</w:t>
      </w:r>
      <w:r w:rsidR="00C47B5C">
        <w:t xml:space="preserve"> </w:t>
      </w:r>
    </w:p>
    <w:p w:rsidR="00207BED" w:rsidRDefault="00207BED" w:rsidP="00207BED">
      <w:pPr>
        <w:pStyle w:val="Heading2"/>
      </w:pPr>
      <w:r>
        <w:lastRenderedPageBreak/>
        <w:t>Regional Variation</w:t>
      </w:r>
    </w:p>
    <w:p w:rsidR="00204C9D" w:rsidRDefault="00B57AFC" w:rsidP="00207BED">
      <w:r w:rsidRPr="00F46D3B">
        <w:rPr>
          <w:b/>
        </w:rPr>
        <w:t>Figure 8</w:t>
      </w:r>
      <w:r>
        <w:t xml:space="preserve"> shows the composition of causes of death at the second level of aggregation (</w:t>
      </w:r>
      <w:r w:rsidR="00AC476B">
        <w:t xml:space="preserve">21 </w:t>
      </w:r>
      <w:r>
        <w:t>cause groups) for the 21 GBD regions in</w:t>
      </w:r>
      <w:r w:rsidR="0037768E">
        <w:t xml:space="preserve"> 1990 </w:t>
      </w:r>
      <w:r w:rsidR="00460FC9">
        <w:t>and 2010</w:t>
      </w:r>
      <w:r>
        <w:t xml:space="preserve"> for both sexes combined.</w:t>
      </w:r>
      <w:r w:rsidR="00C47B5C">
        <w:t xml:space="preserve"> </w:t>
      </w:r>
      <w:r>
        <w:t xml:space="preserve">The regions have been ordered by </w:t>
      </w:r>
      <w:r w:rsidRPr="002762CB">
        <w:t xml:space="preserve">the </w:t>
      </w:r>
      <w:r w:rsidR="0037768E" w:rsidRPr="002762CB">
        <w:t>mean age at death</w:t>
      </w:r>
      <w:r w:rsidRPr="002762CB">
        <w:t xml:space="preserve">, a </w:t>
      </w:r>
      <w:r w:rsidR="00460FC9" w:rsidRPr="002762CB">
        <w:t>crude but</w:t>
      </w:r>
      <w:r w:rsidR="0037768E" w:rsidRPr="002762CB">
        <w:t xml:space="preserve"> informative </w:t>
      </w:r>
      <w:r w:rsidRPr="002762CB">
        <w:t>measure of the demographic and epidemiological transition.</w:t>
      </w:r>
      <w:r w:rsidR="00306AF6">
        <w:fldChar w:fldCharType="begin"/>
      </w:r>
      <w:r w:rsidR="00355799">
        <w:instrText xml:space="preserve"> ADDIN ZOTERO_ITEM CSL_CITATION {"citationID":"IMpyEVWo","properties":{"formattedCitation":"{\\rtf \\super 40\\nosupersub{}}","plainCitation":"40"},"citationItems":[{"id":3720,"uris":["http://zotero.org/groups/21876/items/FAGCZAGC"],"uri":["http://zotero.org/groups/21876/items/FAGCZAGC"],"itemData":{"id":3720,"type":"article-journal","title":"Age- and Sex-Specific Mortality for 187 Countries, 1970-2010: A Systematic Analysis","author":[{"family":"Wang","given":"Haidong"},{"family":"Dwyer-Lindgren","given":"Laura"},{"family":"Lofgren","given":"Katherine T"},{"family":"Rajaratnam","given":"Julie Knoll"},{"family":"Marcus","given":"Jacob R"},{"family":"Levin-Rector","given":"Alison"},{"family":"Levitz","given":"Carly E"},{"family":"Lopez","given":"Alan D"},{"family":"Murray","given":"Christopher JL"}],"issued":{"literal":"(in submission)"}}}],"schema":"https://github.com/citation-style-language/schema/raw/master/csl-citation.json"} </w:instrText>
      </w:r>
      <w:r w:rsidR="00306AF6">
        <w:fldChar w:fldCharType="separate"/>
      </w:r>
      <w:r w:rsidR="00306AF6" w:rsidRPr="00306AF6">
        <w:rPr>
          <w:rFonts w:ascii="Calibri" w:hAnsi="Calibri" w:cs="Calibri"/>
          <w:szCs w:val="24"/>
          <w:vertAlign w:val="superscript"/>
        </w:rPr>
        <w:t>40</w:t>
      </w:r>
      <w:r w:rsidR="00306AF6">
        <w:fldChar w:fldCharType="end"/>
      </w:r>
      <w:r w:rsidR="00C47B5C" w:rsidRPr="002762CB">
        <w:t xml:space="preserve"> </w:t>
      </w:r>
      <w:r w:rsidR="0037768E" w:rsidRPr="002762CB">
        <w:t xml:space="preserve">At both time periods, there is substantial variation across regions </w:t>
      </w:r>
      <w:r w:rsidR="00A255FE" w:rsidRPr="002762CB">
        <w:t>in the relative importance of different causes, with communicable diseases and related causes being much more important in</w:t>
      </w:r>
      <w:r w:rsidR="0068207D" w:rsidRPr="002762CB">
        <w:t xml:space="preserve"> parts of</w:t>
      </w:r>
      <w:r w:rsidR="00A255FE" w:rsidRPr="002762CB">
        <w:t xml:space="preserve"> </w:t>
      </w:r>
      <w:r w:rsidR="00A102DE" w:rsidRPr="002762CB">
        <w:t>s</w:t>
      </w:r>
      <w:r w:rsidR="00A255FE" w:rsidRPr="002762CB">
        <w:t>ub</w:t>
      </w:r>
      <w:r w:rsidR="00A102DE" w:rsidRPr="002762CB">
        <w:t>-</w:t>
      </w:r>
      <w:r w:rsidR="00A255FE" w:rsidRPr="002762CB">
        <w:t>Sa</w:t>
      </w:r>
      <w:r w:rsidR="00204592">
        <w:t xml:space="preserve">haran Africa and parts of Asia </w:t>
      </w:r>
      <w:r w:rsidR="00B87FDE" w:rsidRPr="002762CB">
        <w:t>than in</w:t>
      </w:r>
      <w:r w:rsidR="00A255FE" w:rsidRPr="002762CB">
        <w:t xml:space="preserve"> North Africa</w:t>
      </w:r>
      <w:r w:rsidR="00B87FDE" w:rsidRPr="002762CB">
        <w:t xml:space="preserve">, </w:t>
      </w:r>
      <w:r w:rsidR="00A255FE" w:rsidRPr="002762CB">
        <w:t xml:space="preserve">and vascular diseases and cancer predominating in most other regions. By 2010, substantial progress had been achieved, even in Africa, in reducing YLLs from </w:t>
      </w:r>
      <w:r w:rsidR="00D66020" w:rsidRPr="002762CB">
        <w:t xml:space="preserve">communicable, maternal, </w:t>
      </w:r>
      <w:r w:rsidR="009E427C" w:rsidRPr="002762CB">
        <w:t xml:space="preserve">neonatal, and </w:t>
      </w:r>
      <w:r w:rsidR="00D66020" w:rsidRPr="002762CB">
        <w:t xml:space="preserve">nutritional </w:t>
      </w:r>
      <w:r w:rsidR="00A255FE" w:rsidRPr="002762CB">
        <w:t xml:space="preserve">causes in particular, although these still accounted for </w:t>
      </w:r>
      <w:r w:rsidR="002762CB" w:rsidRPr="002762CB">
        <w:t>three out of four</w:t>
      </w:r>
      <w:r w:rsidR="008E044E" w:rsidRPr="002762CB">
        <w:t xml:space="preserve"> premature death</w:t>
      </w:r>
      <w:r w:rsidR="002762CB" w:rsidRPr="002762CB">
        <w:t>s</w:t>
      </w:r>
      <w:r w:rsidR="008E044E" w:rsidRPr="002762CB">
        <w:t xml:space="preserve"> in Africa.</w:t>
      </w:r>
      <w:r w:rsidR="00C47B5C" w:rsidRPr="002762CB">
        <w:t xml:space="preserve"> </w:t>
      </w:r>
      <w:r w:rsidR="008E044E" w:rsidRPr="002762CB">
        <w:t xml:space="preserve">The predominance of vascular diseases as a cause of premature mortality in Eastern Europe is clear from </w:t>
      </w:r>
      <w:r w:rsidR="008E044E" w:rsidRPr="002762CB">
        <w:rPr>
          <w:b/>
        </w:rPr>
        <w:t>Figure</w:t>
      </w:r>
      <w:r w:rsidR="00204C9D" w:rsidRPr="002762CB">
        <w:rPr>
          <w:b/>
        </w:rPr>
        <w:t xml:space="preserve"> 8</w:t>
      </w:r>
      <w:r w:rsidR="008E044E" w:rsidRPr="002762CB">
        <w:t>, particularly compared with other developed regio</w:t>
      </w:r>
      <w:r w:rsidR="001665F7" w:rsidRPr="002762CB">
        <w:t>ns, where cancer causes as much</w:t>
      </w:r>
      <w:r w:rsidR="008E044E" w:rsidRPr="002762CB">
        <w:t>, if not more</w:t>
      </w:r>
      <w:r w:rsidR="001665F7" w:rsidRPr="002762CB">
        <w:t>,</w:t>
      </w:r>
      <w:r w:rsidR="008E044E" w:rsidRPr="002762CB">
        <w:t xml:space="preserve"> premature death. </w:t>
      </w:r>
      <w:r w:rsidR="00FA03EF" w:rsidRPr="002762CB">
        <w:t xml:space="preserve"> In 1990 </w:t>
      </w:r>
      <w:r w:rsidR="008E044E" w:rsidRPr="002762CB">
        <w:t xml:space="preserve">the impact of the civil violence in </w:t>
      </w:r>
      <w:r w:rsidR="00204C9D" w:rsidRPr="002762CB">
        <w:t>Papua New Guinea</w:t>
      </w:r>
      <w:r w:rsidR="008E044E" w:rsidRPr="002762CB">
        <w:t xml:space="preserve"> in 1990 and the 2010 Haiti earthquake lead</w:t>
      </w:r>
      <w:r w:rsidR="00FA03EF" w:rsidRPr="002762CB">
        <w:t xml:space="preserve"> to notable shifts due to war and disaster</w:t>
      </w:r>
      <w:r w:rsidR="00204C9D" w:rsidRPr="002762CB">
        <w:t>.</w:t>
      </w:r>
      <w:r w:rsidR="00FA03EF" w:rsidRPr="002762CB">
        <w:t xml:space="preserve">  The combination of road injuries</w:t>
      </w:r>
      <w:r w:rsidR="00FA03EF">
        <w:t xml:space="preserve">, other unintentional injuries and intentional injuries ranges from a high of 23% of YLLs in 2010 in Latin America Central to a low of 6% in the Caribbean, nearly a four-fold variation.   </w:t>
      </w:r>
    </w:p>
    <w:p w:rsidR="0061142E" w:rsidRDefault="00080449" w:rsidP="00207BED">
      <w:r w:rsidRPr="00F46D3B">
        <w:rPr>
          <w:b/>
        </w:rPr>
        <w:t xml:space="preserve">Table </w:t>
      </w:r>
      <w:r w:rsidR="00F63712">
        <w:rPr>
          <w:b/>
        </w:rPr>
        <w:t xml:space="preserve">3 </w:t>
      </w:r>
      <w:r w:rsidR="003A0C4B">
        <w:t>shows</w:t>
      </w:r>
      <w:r w:rsidR="00B57AFC">
        <w:t xml:space="preserve"> the rank for each cause that </w:t>
      </w:r>
      <w:r w:rsidR="00E07A88">
        <w:t>is</w:t>
      </w:r>
      <w:r w:rsidR="00D74198">
        <w:t xml:space="preserve"> either</w:t>
      </w:r>
      <w:r w:rsidR="00B57AFC">
        <w:t xml:space="preserve"> in the global top 25</w:t>
      </w:r>
      <w:r w:rsidR="00D74198">
        <w:t xml:space="preserve"> causes of YLLs in 2010</w:t>
      </w:r>
      <w:r w:rsidR="001665F7">
        <w:t xml:space="preserve"> </w:t>
      </w:r>
      <w:r w:rsidR="00B57AFC">
        <w:t xml:space="preserve">or </w:t>
      </w:r>
      <w:r w:rsidR="00D74198">
        <w:t>which appears</w:t>
      </w:r>
      <w:r w:rsidR="00B57AFC">
        <w:t xml:space="preserve"> in the top 25 </w:t>
      </w:r>
      <w:r w:rsidR="00D74198">
        <w:t xml:space="preserve">causes of YLLs </w:t>
      </w:r>
      <w:r w:rsidR="00B57AFC">
        <w:t>for any region</w:t>
      </w:r>
      <w:r w:rsidR="00223BF0">
        <w:t xml:space="preserve">. </w:t>
      </w:r>
      <w:r w:rsidR="00F63712" w:rsidRPr="002762CB">
        <w:rPr>
          <w:b/>
        </w:rPr>
        <w:t xml:space="preserve">Web Table </w:t>
      </w:r>
      <w:r w:rsidR="000668F9" w:rsidRPr="002762CB">
        <w:rPr>
          <w:b/>
        </w:rPr>
        <w:t>31</w:t>
      </w:r>
      <w:r w:rsidR="00F63712">
        <w:t xml:space="preserve"> presents the same information for 1990.  </w:t>
      </w:r>
      <w:r w:rsidR="00223BF0">
        <w:t>D</w:t>
      </w:r>
      <w:r w:rsidR="00D74198">
        <w:t>ifferent colors represent different bands of ranks, with the top ranked causes shown in red, progressing th</w:t>
      </w:r>
      <w:r w:rsidR="001665F7">
        <w:t>rough orange, yellow</w:t>
      </w:r>
      <w:r w:rsidR="00FD3D4F">
        <w:t>, green</w:t>
      </w:r>
      <w:r w:rsidR="001665F7">
        <w:t>,</w:t>
      </w:r>
      <w:r w:rsidR="00FD3D4F">
        <w:t xml:space="preserve"> and</w:t>
      </w:r>
      <w:r w:rsidR="00D74198">
        <w:t xml:space="preserve"> finally causes ranked lowest being shown in blue. These</w:t>
      </w:r>
      <w:r w:rsidR="00FB00AD">
        <w:t xml:space="preserve"> </w:t>
      </w:r>
      <w:r w:rsidR="00FB00AD" w:rsidRPr="0033129C">
        <w:t>“</w:t>
      </w:r>
      <w:r w:rsidR="00D74198" w:rsidRPr="0033129C">
        <w:t>heat maps</w:t>
      </w:r>
      <w:r w:rsidR="00FB00AD" w:rsidRPr="0033129C">
        <w:t>”</w:t>
      </w:r>
      <w:r w:rsidR="00D74198" w:rsidRPr="0033129C">
        <w:t xml:space="preserve"> help to visualize important variations in ranking of YLLs across regions. In both 1990 and 2010, a similar number of causes</w:t>
      </w:r>
      <w:r w:rsidR="00B95B69" w:rsidRPr="0033129C">
        <w:t xml:space="preserve"> (60 or so</w:t>
      </w:r>
      <w:r w:rsidR="00D74198" w:rsidRPr="0033129C">
        <w:t>) appear in the rankings, but with very substantial regional variations.</w:t>
      </w:r>
      <w:r w:rsidR="00C47B5C" w:rsidRPr="0033129C">
        <w:t xml:space="preserve"> </w:t>
      </w:r>
      <w:r w:rsidR="004C45B1" w:rsidRPr="0033129C">
        <w:t>At the top of the table, listing causes highest in global rankings of YLLs, causes such as lower respir</w:t>
      </w:r>
      <w:r w:rsidR="00223BF0" w:rsidRPr="0033129C">
        <w:t>a</w:t>
      </w:r>
      <w:r w:rsidR="004C45B1" w:rsidRPr="0033129C">
        <w:t>to</w:t>
      </w:r>
      <w:r w:rsidR="00223BF0" w:rsidRPr="0033129C">
        <w:t>r</w:t>
      </w:r>
      <w:r w:rsidR="00A102DE" w:rsidRPr="0033129C">
        <w:t>y diseases, isch</w:t>
      </w:r>
      <w:r w:rsidR="004C45B1" w:rsidRPr="0033129C">
        <w:t>emic heart disease</w:t>
      </w:r>
      <w:r w:rsidR="001665F7" w:rsidRPr="0033129C">
        <w:t>,</w:t>
      </w:r>
      <w:r w:rsidR="004C45B1" w:rsidRPr="0033129C">
        <w:t xml:space="preserve"> and </w:t>
      </w:r>
      <w:r w:rsidR="00223BF0" w:rsidRPr="0033129C">
        <w:t>stroke</w:t>
      </w:r>
      <w:r w:rsidR="004C45B1" w:rsidRPr="0033129C">
        <w:t xml:space="preserve"> are </w:t>
      </w:r>
      <w:r w:rsidR="00313B37" w:rsidRPr="0033129C">
        <w:t>top 10</w:t>
      </w:r>
      <w:r w:rsidR="004C45B1" w:rsidRPr="0033129C">
        <w:t xml:space="preserve"> causes of premature death in </w:t>
      </w:r>
      <w:r w:rsidR="002762CB" w:rsidRPr="0033129C">
        <w:t>almost all</w:t>
      </w:r>
      <w:r w:rsidR="004C45B1" w:rsidRPr="0033129C">
        <w:t xml:space="preserve"> regions in 2010, as was preterm</w:t>
      </w:r>
      <w:r w:rsidR="00FD3D4F" w:rsidRPr="0033129C">
        <w:t xml:space="preserve"> birth </w:t>
      </w:r>
      <w:r w:rsidR="00D647BA">
        <w:t xml:space="preserve">complications </w:t>
      </w:r>
      <w:r w:rsidR="00FD3D4F" w:rsidRPr="0033129C">
        <w:t xml:space="preserve">in all regions except </w:t>
      </w:r>
      <w:r w:rsidR="0033129C" w:rsidRPr="0033129C">
        <w:t xml:space="preserve">Europe, </w:t>
      </w:r>
      <w:r w:rsidR="00FD3D4F" w:rsidRPr="0033129C">
        <w:t>Asia Pacific High Income</w:t>
      </w:r>
      <w:r w:rsidR="0033129C" w:rsidRPr="0033129C">
        <w:t xml:space="preserve">, </w:t>
      </w:r>
      <w:r w:rsidR="002762CB" w:rsidRPr="0033129C">
        <w:t xml:space="preserve">and </w:t>
      </w:r>
      <w:r w:rsidR="0033129C" w:rsidRPr="0033129C">
        <w:t>East Asia</w:t>
      </w:r>
      <w:r w:rsidR="001F4E21" w:rsidRPr="0033129C">
        <w:t xml:space="preserve">. The massive impact of HIV/AIDS on mortality </w:t>
      </w:r>
      <w:r w:rsidR="001665F7" w:rsidRPr="0033129C">
        <w:t xml:space="preserve">in </w:t>
      </w:r>
      <w:r w:rsidR="001F4E21" w:rsidRPr="0033129C">
        <w:t>most developing regions by 2010 is also clear</w:t>
      </w:r>
      <w:r w:rsidR="00B87FDE" w:rsidRPr="0033129C">
        <w:t xml:space="preserve"> with </w:t>
      </w:r>
      <w:r w:rsidR="001F4E21" w:rsidRPr="0033129C">
        <w:t>North Africa</w:t>
      </w:r>
      <w:r w:rsidR="002762CB" w:rsidRPr="0033129C">
        <w:t xml:space="preserve"> /</w:t>
      </w:r>
      <w:r w:rsidR="009C000A" w:rsidRPr="0033129C">
        <w:t xml:space="preserve"> Middle East,</w:t>
      </w:r>
      <w:r w:rsidR="001F4E21" w:rsidRPr="0033129C">
        <w:t xml:space="preserve"> East Asia</w:t>
      </w:r>
      <w:r w:rsidR="00B87FDE" w:rsidRPr="0033129C">
        <w:t>,</w:t>
      </w:r>
      <w:r w:rsidR="001F4E21" w:rsidRPr="0033129C">
        <w:t xml:space="preserve"> </w:t>
      </w:r>
      <w:r w:rsidR="0033129C" w:rsidRPr="0033129C">
        <w:t xml:space="preserve">Central Asia, </w:t>
      </w:r>
      <w:r w:rsidR="001F4E21" w:rsidRPr="0033129C">
        <w:t xml:space="preserve">and Latin America Southern being notable exceptions. </w:t>
      </w:r>
      <w:r w:rsidR="00FF709B" w:rsidRPr="0033129C">
        <w:t>Malaria is a leading global cause but a minor cause in most regions</w:t>
      </w:r>
      <w:r w:rsidR="00B95B69" w:rsidRPr="0033129C">
        <w:t xml:space="preserve"> outside sub-Saharan Africa and Oceania</w:t>
      </w:r>
      <w:r w:rsidR="00FF709B" w:rsidRPr="0033129C">
        <w:t>.</w:t>
      </w:r>
      <w:r w:rsidR="00C47B5C" w:rsidRPr="0033129C">
        <w:t xml:space="preserve"> </w:t>
      </w:r>
      <w:r w:rsidR="00FF709B" w:rsidRPr="0033129C">
        <w:t>Road injury is a rema</w:t>
      </w:r>
      <w:r w:rsidR="00A102DE" w:rsidRPr="0033129C">
        <w:t>rkably consistent cause of YLLs;</w:t>
      </w:r>
      <w:r w:rsidR="00FF709B" w:rsidRPr="0033129C">
        <w:t xml:space="preserve"> i</w:t>
      </w:r>
      <w:r w:rsidR="00B95B69" w:rsidRPr="0033129C">
        <w:t>ts lowest regional ranking is 1</w:t>
      </w:r>
      <w:r w:rsidR="0033129C" w:rsidRPr="0033129C">
        <w:t>9</w:t>
      </w:r>
      <w:r w:rsidR="00FF709B" w:rsidRPr="0033129C">
        <w:rPr>
          <w:vertAlign w:val="superscript"/>
        </w:rPr>
        <w:t>th</w:t>
      </w:r>
      <w:r w:rsidR="00FF709B" w:rsidRPr="0033129C">
        <w:t xml:space="preserve"> in Oceania and it is in the </w:t>
      </w:r>
      <w:r w:rsidR="0033129C">
        <w:t xml:space="preserve">top five </w:t>
      </w:r>
      <w:r w:rsidR="00FF709B" w:rsidRPr="0033129C">
        <w:t xml:space="preserve">causes in </w:t>
      </w:r>
      <w:r w:rsidR="0033129C">
        <w:t>eight</w:t>
      </w:r>
      <w:r w:rsidR="00FF709B" w:rsidRPr="0033129C">
        <w:t xml:space="preserve"> regions. All the neonatal causes and tuberculosis are important causes in some developing regions but relatively minor causes in the more epidemiologically and demographically advanced regions.</w:t>
      </w:r>
      <w:r w:rsidR="00C47B5C" w:rsidRPr="0033129C">
        <w:t xml:space="preserve"> </w:t>
      </w:r>
      <w:r w:rsidR="00FF709B" w:rsidRPr="0033129C">
        <w:t>This table also</w:t>
      </w:r>
      <w:r w:rsidR="00FF709B">
        <w:t xml:space="preserve"> highlights causes that are not in the top 25 global rankings but are </w:t>
      </w:r>
      <w:r w:rsidR="00FF709B" w:rsidRPr="005366F7">
        <w:t xml:space="preserve">important in selected regions. In some cases, these regional patterns give a glimpse of </w:t>
      </w:r>
      <w:r w:rsidR="00FF709B" w:rsidRPr="0033129C">
        <w:t>future patterns and trends.</w:t>
      </w:r>
      <w:r w:rsidR="00C47B5C" w:rsidRPr="0033129C">
        <w:t xml:space="preserve"> </w:t>
      </w:r>
      <w:r w:rsidR="00FF709B" w:rsidRPr="0033129C">
        <w:t>Suicide is a top ten cause in the eight regions with the most advanced health transition.</w:t>
      </w:r>
      <w:r w:rsidR="00C47B5C" w:rsidRPr="0033129C">
        <w:t xml:space="preserve"> </w:t>
      </w:r>
      <w:r w:rsidR="00FF709B" w:rsidRPr="0033129C">
        <w:t>Other cause</w:t>
      </w:r>
      <w:r w:rsidR="00E94AE5" w:rsidRPr="0033129C">
        <w:t>s</w:t>
      </w:r>
      <w:r w:rsidR="00FF709B" w:rsidRPr="0033129C">
        <w:t xml:space="preserve"> that seem to be strongly related to the epidemiological and demographic transition include colorectal cancer, breast cancer, pancreas cancer, brain cancer, non-</w:t>
      </w:r>
      <w:r w:rsidR="003C5649" w:rsidRPr="0033129C">
        <w:t>Hodgkin’s</w:t>
      </w:r>
      <w:r w:rsidR="00FF709B" w:rsidRPr="0033129C">
        <w:t xml:space="preserve"> lymphoma, </w:t>
      </w:r>
      <w:r w:rsidR="003C5649" w:rsidRPr="0033129C">
        <w:t>Alzheimer’s disease</w:t>
      </w:r>
      <w:r w:rsidR="00FF709B" w:rsidRPr="0033129C">
        <w:t>, kidney</w:t>
      </w:r>
      <w:r w:rsidR="008329F2" w:rsidRPr="0033129C">
        <w:t xml:space="preserve"> cancer</w:t>
      </w:r>
      <w:r w:rsidR="00A102DE" w:rsidRPr="0033129C">
        <w:t>,</w:t>
      </w:r>
      <w:r w:rsidR="00FF709B" w:rsidRPr="0033129C">
        <w:t xml:space="preserve"> and prostate cancer. Other diseases have a more focal regional pattern that is not directly related to the broad health transition.</w:t>
      </w:r>
      <w:r w:rsidR="00C47B5C" w:rsidRPr="0033129C">
        <w:t xml:space="preserve"> </w:t>
      </w:r>
      <w:r w:rsidR="00FF709B" w:rsidRPr="0033129C">
        <w:t xml:space="preserve">More notable examples highlighted by multi-colored rows in the table include: cirrhosis, diabetes, interpersonal violence, </w:t>
      </w:r>
      <w:r w:rsidR="00D66020" w:rsidRPr="0033129C">
        <w:t xml:space="preserve">sickle cell, whooping cough, </w:t>
      </w:r>
      <w:r w:rsidR="00FF709B" w:rsidRPr="0033129C">
        <w:t>poisonings, esophageal cancer, drug use, gallbladder cancer, malignant melanoma</w:t>
      </w:r>
      <w:r w:rsidR="00413386" w:rsidRPr="0033129C">
        <w:t>, and African trypanosomiasis</w:t>
      </w:r>
      <w:r w:rsidR="00FF709B" w:rsidRPr="0033129C">
        <w:t>.</w:t>
      </w:r>
      <w:r w:rsidR="00C47B5C" w:rsidRPr="0033129C">
        <w:t xml:space="preserve"> </w:t>
      </w:r>
      <w:r w:rsidR="00F84D00" w:rsidRPr="0033129C">
        <w:t xml:space="preserve">In general, the distribution of ranks by cause </w:t>
      </w:r>
      <w:r w:rsidR="00F84D00" w:rsidRPr="0033129C">
        <w:lastRenderedPageBreak/>
        <w:t>for YLLs is m</w:t>
      </w:r>
      <w:r w:rsidR="00223BF0" w:rsidRPr="0033129C">
        <w:t>u</w:t>
      </w:r>
      <w:r w:rsidR="00F84D00" w:rsidRPr="0033129C">
        <w:t>ch more heterogen</w:t>
      </w:r>
      <w:r w:rsidR="0061142E" w:rsidRPr="0033129C">
        <w:t>e</w:t>
      </w:r>
      <w:r w:rsidR="00F84D00" w:rsidRPr="0033129C">
        <w:t>ous than for YLDs</w:t>
      </w:r>
      <w:r w:rsidR="00B95B6F" w:rsidRPr="0033129C">
        <w:t>.</w:t>
      </w:r>
      <w:r w:rsidR="00FD2A6F" w:rsidRPr="0033129C">
        <w:fldChar w:fldCharType="begin"/>
      </w:r>
      <w:r w:rsidR="00355799">
        <w:instrText xml:space="preserve"> ADDIN ZOTERO_ITEM CSL_CITATION {"citationID":"UD4H49BF","properties":{"formattedCitation":"{\\rtf \\super 53\\nosupersub{}}","plainCitation":"53"},"citationItems":[{"id":7068,"uris":["http://zotero.org/groups/21876/items/TEDAPJBT"],"uri":["http://zotero.org/groups/21876/items/TEDAPJBT"],"itemData":{"id":7068,"type":"article-journal","title":"The Global Burden of Non-Fatal Health Outcomes for 1,160 Sequelae of 291 Diseases and Injures 1990-2010: a Systematic Analysis","author":[{"family":"Murray","given":"Christopher J.L."},{"family":"Global Burden of Disease 2010 Causes of Death Collaborating Group","given":""}],"issued":{"literal":"In preparation"}}}],"schema":"https://github.com/citation-style-language/schema/raw/master/csl-citation.json"} </w:instrText>
      </w:r>
      <w:r w:rsidR="00FD2A6F" w:rsidRPr="0033129C">
        <w:fldChar w:fldCharType="separate"/>
      </w:r>
      <w:r w:rsidR="003D4A86" w:rsidRPr="003D4A86">
        <w:rPr>
          <w:rFonts w:ascii="Calibri" w:hAnsi="Calibri" w:cs="Calibri"/>
          <w:szCs w:val="24"/>
          <w:vertAlign w:val="superscript"/>
        </w:rPr>
        <w:t>53</w:t>
      </w:r>
      <w:r w:rsidR="00FD2A6F" w:rsidRPr="0033129C">
        <w:fldChar w:fldCharType="end"/>
      </w:r>
      <w:r w:rsidR="00F84D00" w:rsidRPr="0033129C">
        <w:t xml:space="preserve"> This is true for</w:t>
      </w:r>
      <w:r w:rsidR="00F84D00">
        <w:t xml:space="preserve"> both time periods and suggests marked regional variation in disease and injury control priorities in order to improve survival.</w:t>
      </w:r>
      <w:r w:rsidR="001F4E21">
        <w:t xml:space="preserve"> </w:t>
      </w:r>
    </w:p>
    <w:p w:rsidR="00B57AFC" w:rsidRDefault="00A3664F" w:rsidP="00E7783C">
      <w:r>
        <w:t>There is marked variation in cancer rates by site and overall across regions in 2010 (</w:t>
      </w:r>
      <w:r w:rsidR="00A878B7" w:rsidRPr="00A878B7">
        <w:rPr>
          <w:b/>
        </w:rPr>
        <w:t>Figure 9</w:t>
      </w:r>
      <w:r>
        <w:rPr>
          <w:b/>
        </w:rPr>
        <w:t>).</w:t>
      </w:r>
      <w:r w:rsidR="001621F6">
        <w:rPr>
          <w:b/>
        </w:rPr>
        <w:t xml:space="preserve"> </w:t>
      </w:r>
      <w:r>
        <w:t>The figure shows crude death rates</w:t>
      </w:r>
      <w:r w:rsidR="009938E8">
        <w:t xml:space="preserve"> to highlight the mixture of cancers seen in health systems of each region but to remove the effect of variation in population size across regions.  Crude rates </w:t>
      </w:r>
      <w:r>
        <w:t xml:space="preserve">are affected both by variation in age-specific </w:t>
      </w:r>
      <w:r w:rsidR="009B53B9">
        <w:t xml:space="preserve">and </w:t>
      </w:r>
      <w:r>
        <w:t>site-specific death rates and population age-structure.</w:t>
      </w:r>
      <w:r w:rsidR="001621F6">
        <w:t xml:space="preserve"> </w:t>
      </w:r>
      <w:r>
        <w:t xml:space="preserve">In general, crude cancer </w:t>
      </w:r>
      <w:r w:rsidRPr="0033129C">
        <w:t>death rates are higher in the regions with a more advanced demographic transition.</w:t>
      </w:r>
      <w:r w:rsidR="001621F6" w:rsidRPr="0033129C">
        <w:t xml:space="preserve"> </w:t>
      </w:r>
      <w:r w:rsidRPr="0033129C">
        <w:t>But regions such as Asia-Pacific High-Income have a substantially different cancer profile than Europe Western due to breast cancer, liver cancer, and stomach cancer along with a number of smaller cancers.</w:t>
      </w:r>
      <w:r w:rsidR="001621F6" w:rsidRPr="0033129C">
        <w:t xml:space="preserve"> </w:t>
      </w:r>
      <w:r w:rsidRPr="0033129C">
        <w:t>At the other end of the epidemiological spectrum, crude cancer rates in three of the sub-Saharan Africa regions are the lowest.</w:t>
      </w:r>
      <w:r w:rsidR="001621F6" w:rsidRPr="0033129C">
        <w:t xml:space="preserve"> </w:t>
      </w:r>
      <w:r w:rsidRPr="0033129C">
        <w:t>Latin America Central, Latin America Tropical</w:t>
      </w:r>
      <w:r w:rsidR="00204592">
        <w:t>,</w:t>
      </w:r>
      <w:r w:rsidRPr="0033129C">
        <w:t xml:space="preserve"> and Latin America Andean have relatively low cancer rates overall whereas the Caribbean has higher rates than expected for its demographic transition.</w:t>
      </w:r>
      <w:r w:rsidR="001621F6">
        <w:t xml:space="preserve"> </w:t>
      </w:r>
    </w:p>
    <w:p w:rsidR="00E7783C" w:rsidRDefault="00E7783C" w:rsidP="00E7783C">
      <w:pPr>
        <w:pStyle w:val="Heading1"/>
      </w:pPr>
      <w:r>
        <w:t>Discussion</w:t>
      </w:r>
    </w:p>
    <w:p w:rsidR="00E7783C" w:rsidRDefault="00E7783C" w:rsidP="00E7783C">
      <w:r>
        <w:t xml:space="preserve">The GBD 2010 is the most comprehensive and systematic analysis of causes of death undertaken to date. The addition of time trends over the period 1980-2010 and quantification of uncertainty increases both the utility and the methodological rigor of the results. The global health community can now draw on annual estimates of mortality, by age and sex, for 21 regions of the world, for each year from 1980 to 2010, </w:t>
      </w:r>
      <w:r w:rsidRPr="00E92BE8">
        <w:t xml:space="preserve">for </w:t>
      </w:r>
      <w:r w:rsidR="00BF300C">
        <w:t>235</w:t>
      </w:r>
      <w:r w:rsidRPr="00E92BE8">
        <w:t xml:space="preserve"> separate causes</w:t>
      </w:r>
      <w:r>
        <w:t xml:space="preserve">, each with 95% uncertainty intervals to aid interpretation. These cause of death estimates at the regional level are constructed from separate cause of death estimates at the country level for 187 countries. No such resource for policymakers, donors, or scholars currently exists. At the most aggregate level, we have documented dramatic changes in cause of death structure in regions such Latin America Central and Latin America Tropical. We have also identified regions, such as Eastern Europe and Central Asia, where levels of mortality have increased profoundly over the last two decades but the cause of death structure has not changed dramatically, at least for leading causes. </w:t>
      </w:r>
    </w:p>
    <w:p w:rsidR="00E7783C" w:rsidRDefault="00E7783C" w:rsidP="00E7783C">
      <w:r>
        <w:t>The shifting pattern of the number of deaths by caus</w:t>
      </w:r>
      <w:r w:rsidR="00101BD5">
        <w:t xml:space="preserve">e across time, regions, and age </w:t>
      </w:r>
      <w:r>
        <w:t>groups is consistent with the three key drivers of change: rising total population, rising average age of the world’s population</w:t>
      </w:r>
      <w:r w:rsidR="00101BD5">
        <w:t>,</w:t>
      </w:r>
      <w:r>
        <w:t xml:space="preserve"> and the broad epidemiological transition.  For </w:t>
      </w:r>
      <w:r w:rsidR="00101BD5">
        <w:t>communicable, maternal, neonatal, and n</w:t>
      </w:r>
      <w:r w:rsidR="00BC4C0B">
        <w:t xml:space="preserve">utritional </w:t>
      </w:r>
      <w:r>
        <w:t xml:space="preserve">causes, the increase expected due to population growth alone is reversed by population aging and declines in age-sex-specific death rates.   In contrast, both population growth and aging are driving up death numbers from </w:t>
      </w:r>
      <w:r w:rsidR="00333507">
        <w:t>noncommunicable</w:t>
      </w:r>
      <w:r>
        <w:t xml:space="preserve"> diseases and injuries more than the declines expected due to lower age and sex-specific rates.  Overall, these factors </w:t>
      </w:r>
      <w:r w:rsidRPr="0051352B">
        <w:t>are leading to a shift  from a  pattern dominated by the main infectious disease killers of children suc</w:t>
      </w:r>
      <w:r w:rsidR="00101BD5">
        <w:t>h as LRI, diarrhea, malaria, and</w:t>
      </w:r>
      <w:r w:rsidRPr="0051352B">
        <w:t xml:space="preserve"> meningitis, and tuberculosis and maternal causes in younger adu</w:t>
      </w:r>
      <w:r w:rsidR="00101BD5">
        <w:t>lts, to one dominated by the noncommunicable</w:t>
      </w:r>
      <w:r w:rsidRPr="0051352B">
        <w:t xml:space="preserve"> causes over age 40.</w:t>
      </w:r>
      <w:r>
        <w:t xml:space="preserve">  Quite different regional stories are overlaid on this broad pattern. Injuries have very distinct regional patterns with violent death much more common in selected regions. The </w:t>
      </w:r>
      <w:r w:rsidRPr="0051352B">
        <w:t>HIV epidemic has had massive effects in sub-Saharan Africa East and Southern. Diabetes has a major impact in Latin America Central, the Caribbean, North-Africa, the Middle-East, and Oceania. Theories of the epidemiological transition need to be nuanced to capture these distinct trends and</w:t>
      </w:r>
      <w:r>
        <w:t xml:space="preserve"> </w:t>
      </w:r>
      <w:r>
        <w:lastRenderedPageBreak/>
        <w:t>patterns that suggest different health trajectories in different regions in the coming decades. Our findings are also different from many published studies on</w:t>
      </w:r>
      <w:r w:rsidR="00101BD5">
        <w:t xml:space="preserve"> causes of death in certain age </w:t>
      </w:r>
      <w:r>
        <w:t xml:space="preserve">groups or for specific causes; these differences warrant careful discussion. </w:t>
      </w:r>
    </w:p>
    <w:p w:rsidR="00E7783C" w:rsidRDefault="00E7783C" w:rsidP="00E7783C">
      <w:pPr>
        <w:rPr>
          <w:color w:val="FF0000"/>
        </w:rPr>
      </w:pPr>
      <w:r w:rsidRPr="00CF0737">
        <w:t>The HIV epidemic has dramatically changed the pattern of causes of death over the period 1990 to 2010 in sub-Saharan Africa East and Southern. In 2010, we estimate 1·46 million deaths due to HIV</w:t>
      </w:r>
      <w:r w:rsidR="00101BD5">
        <w:t>/AIDS</w:t>
      </w:r>
      <w:r w:rsidRPr="00CF0737">
        <w:t xml:space="preserve"> compared to UNAIDS estimates of 1·77 million. This is a 21% difference at the global level. For specific countries and regions, the differences are much larger. Given that we use UNAIDS estimates as the input to CoDCorrect for the majority of countries, the difference is almost entirely due to the juxtaposition of evidence on levels of all-cause mortality and natural history model estimates of HIV</w:t>
      </w:r>
      <w:r w:rsidR="00101BD5">
        <w:t>/AIDS</w:t>
      </w:r>
      <w:r w:rsidRPr="00CF0737">
        <w:t xml:space="preserve"> deaths. We believe this is an important strength of the burden of disease approach. Some differences in results also stem from Thailand, where the 2012 UNAIDS assessment increased mortality compared to their 2010 assessment by a factor of two.  Even the 2010 UNAIDS assessment was twice the magnitude recorded in two national verbal autopsy studies and vital registration data. </w:t>
      </w:r>
      <w:r w:rsidRPr="00CF0737">
        <w:fldChar w:fldCharType="begin"/>
      </w:r>
      <w:r w:rsidR="00355799">
        <w:instrText xml:space="preserve"> ADDIN ZOTERO_ITEM CSL_CITATION {"citationID":"3pfa2vikk","properties":{"formattedCitation":"{\\rtf \\super 67,68\\nosupersub{}}","plainCitation":"67,68"},"citationItems":[{"id":6660,"uris":["http://zotero.org/groups/21876/items/SDF8EXCM"],"uri":["http://zotero.org/groups/21876/items/SDF8EXCM"],"itemData":{"id":6660,"type":"article-journal","title":"Thailand's national death registration reform: verifying the causes of death between July 1997 and December 1999","container-title":"Asia-Pacific journal of public health / Asia-Pacific Academic Consortium for Public Health","page":"110-116","volume":"17","issue":"2","abstract":"A fundamental aspect of public health is the accuracy of death certification. Assessing the death registration system is a step toward improving the quality of death reporting. Thailand implemented a more rigorous and informative pilot death registration system in March 2001 in 18 provinces, followed by nationwide implementation in August 2003. Since Thailand is an industrializing nation, its experiences will be of interest to other developing nations planning similar reforms. The causes of all deaths in the 15 provincial pilot projects (of Thailand's 76 provinces) and a random sampling in Bangkok were investigated between July 1997 and December 1999. Health workers interviewed close relatives and three medical doctors reviewed hospital records to verify the causes of death. We were able to interview 78% of the relatives (i.e. 47,632 in number). Three-quarters (76%) of the deceased had sought prior medical care; 41% died in hospital and 54% at home. The overall agreement between the causes of death in our survey vs. that reported on the death certificate was 29%. The highest agreement was for: 'Ill-defined' causes (33%), 'Cancer and Tumors' (17%), 'External Causes' (16%), and 'Infectious Diseases' (10%). Considering the different patterns among age groups and sex, hypertension with stroke, cancer of the liver and bile duct, and HIV infection, were the highest ranking causes among females. Infectious diseases (especially HIV/AIDS), hypertension with stroke and accidents, were the leading causes of deaths among males. External causes were highest among children and young adults.","note":"PMID: 16425655","shortTitle":"Thailand's national death registration reform","journalAbbreviation":"Asia Pac J Public Health","author":[{"family":"Choprapawon","given":"Chanpen"},{"family":"Porapakkham","given":"Y"},{"family":"Sablon","given":"O"},{"family":"Panjajaru","given":"R"},{"family":"Jhantharatat","given":"B"}],"issued":{"year":2005},"accessed":{"year":2012,"month":7,"day":11},"page-first":"110"},"label":"page"},{"id":908,"uris":["http://zotero.org/groups/21876/items/5392XWJ2"],"uri":["http://zotero.org/groups/21876/items/5392XWJ2"],"itemData":{"id":908,"type":"article-journal","title":"Estimated causes of death in Thailand, 2005: implications for health policy","container-title":"Population health metrics","page":"14","volume":"8","abstract":"BACKGROUND\n\nAlmost 400,000 deaths are registered each year in Thailand. Their value for public health policy and planning is greatly diminished by incomplete registration of deaths and by concerns about the quality of cause-of-death information. This arises from misclassification of specified causes of death, particularly in hospitals, as well as from extensive use of ill-defined and vague codes to attribute the underlying cause of death. Detailed investigations of a sample of deaths in and out of hospital were carried out to identify misclassification of causes and thus derive a best estimate of national mortality patterns by age, sex, and cause of death.\n\n\nMETHODS\n\nA nationally representative sample of 11,984 deaths in 2005 was selected, and verbal autopsy interviews were conducted for almost 10,000 deaths. Verbal autopsy procedures were validated against 2,558 cases for which medical record review was possible. Misclassification matrices for leading causes of death, including ill-defined causes, were developed separately for deaths inside and outside of hospitals and proportionate mortality distributions constructed. Estimates of mortality undercount were derived from \"capture-recapture\" methods applied to the 2005-06 Survey of Population Change. Proportionate mortality distributions were applied to this mortality \"envelope\" and ill-defined causes redistributed according to Global Burden of Disease methods to yield final estimates of mortality levels and patterns in 2005.\n\n\nRESULTS\n\nEstimated life expectancy in Thailand in 2005 was 68.5 years for males and 75.6 years for females, two years lower than vital registration data suggest. Upon correction, stroke is the leading cause of death in Thailand (10.7%), followed by ischemic heart disease (7.8%) and HIV/AIDS (7.4%). Other leading causes are road traffic accidents (males) and diabetes mellitus (females). In many cases, estimated mortality is at least twice what is estimated in vital registration. Leading causes of death have remained stable since 1999, with the exception of a large decline in HIV/AIDS mortality.\n\n\nCONCLUSIONS\n\nField research into the accuracy of cause-of-death data can result in substantially different patterns of mortality than suggested by routine death registration. Misclassification errors are likely to have very significant implications for health policy debates. Routine incorporation of validated verbal autopsy methods could significantly improve cause-of-death data quality in Thailand.","DOI":"10.1186/1478-7954-8-14","note":"PMID: 20482761","shortTitle":"Estimated causes of death in Thailand, 2005","journalAbbreviation":"Popul Health Metr","author":[{"family":"Porapakkham","given":"Yawarat"},{"family":"Rao","given":"Chalapati"},{"family":"Pattaraarchachai","given":"Junya"},{"family":"Polprasert","given":"Warangkana"},{"family":"Vos","given":"Theo"},{"family":"Adair","given":"Timothy"},{"family":"Lopez","given":"Alan D"}],"issued":{"year":2010},"accessed":{"year":2012,"month":7,"day":11},"page-first":"14"},"label":"page"}],"schema":"https://github.com/citation-style-language/schema/raw/master/csl-citation.json"} </w:instrText>
      </w:r>
      <w:r w:rsidRPr="00CF0737">
        <w:fldChar w:fldCharType="separate"/>
      </w:r>
      <w:r w:rsidR="003D4A86" w:rsidRPr="003D4A86">
        <w:rPr>
          <w:rFonts w:ascii="Calibri" w:hAnsi="Calibri" w:cs="Calibri"/>
          <w:szCs w:val="24"/>
          <w:vertAlign w:val="superscript"/>
        </w:rPr>
        <w:t>67,68</w:t>
      </w:r>
      <w:r w:rsidRPr="00CF0737">
        <w:fldChar w:fldCharType="end"/>
      </w:r>
      <w:r w:rsidRPr="00CF0737">
        <w:t xml:space="preserve">  We have chosen to use the 2010 UNAIDS revision estimates for Thailand because of the implausible nature of the 2012 revision estimates. Nigeria is another example of a country whose estimates contribute to a significant portion of the global UNAIDS and GBD differences. Since Nigeria is a country with a large population, a significant HIV</w:t>
      </w:r>
      <w:r w:rsidR="00101BD5">
        <w:t>/AIDS</w:t>
      </w:r>
      <w:r w:rsidRPr="00CF0737">
        <w:t xml:space="preserve"> epidemic, and poor data quality, when we fit our HIV</w:t>
      </w:r>
      <w:r w:rsidR="00101BD5">
        <w:t>/AIDS</w:t>
      </w:r>
      <w:r w:rsidRPr="00CF0737">
        <w:t xml:space="preserve"> estimates for Nigeria into the country’s all-cause mortality levels our estimates are significantly lower (27·9% in 2010) than UNAIDS and</w:t>
      </w:r>
      <w:r w:rsidRPr="00E05630">
        <w:t xml:space="preserve"> this large death difference </w:t>
      </w:r>
      <w:r>
        <w:t>is</w:t>
      </w:r>
      <w:r w:rsidRPr="00E05630">
        <w:t xml:space="preserve"> reflected at the global level.</w:t>
      </w:r>
      <w:r>
        <w:t xml:space="preserve">  The uncertainty distributions for UNAIDS estimates of mortality in some countries in sub-Saharan Africa are implausibly narrow; for example, at the peak of the epidemic in Malawi, the uncertainty interval for deaths at all ages provided by UNAIDS varies by plus 8·5% or minus 8·1%. Our uncertainty intervals based on the UNAIDS figures are also implausibly narrow. Improved estimation of mortality from HIV</w:t>
      </w:r>
      <w:r w:rsidR="00101BD5">
        <w:t>/AIDS</w:t>
      </w:r>
      <w:r>
        <w:t xml:space="preserve"> including uncertainty in the future will come both from continued progress in the estimation of the time course of the HIV epidemic by UNAIDS as well as further data on the levels of adult mortality in some key countries such as Nigeria. </w:t>
      </w:r>
    </w:p>
    <w:p w:rsidR="00E7783C" w:rsidRPr="00977522" w:rsidRDefault="00E7783C" w:rsidP="00E7783C">
      <w:pPr>
        <w:rPr>
          <w:color w:val="1F497D"/>
        </w:rPr>
      </w:pPr>
      <w:r w:rsidRPr="00B95B6F">
        <w:t>Based on a single-cause analysis, Murray et al (2012)</w:t>
      </w:r>
      <w:r w:rsidRPr="00B95B6F">
        <w:fldChar w:fldCharType="begin"/>
      </w:r>
      <w:r w:rsidR="00355799">
        <w:instrText xml:space="preserve"> ADDIN ZOTERO_ITEM CSL_CITATION {"citationID":"PuMp1a1W","properties":{"formattedCitation":"{\\rtf \\super 25\\nosupersub{}}","plainCitation":"25"},"citationItems":[{"id":7348,"uris":["http://zotero.org/groups/21876/items/TVPCAQVB"],"uri":["http://zotero.org/groups/21876/items/TVPCAQVB"],"itemData":{"id":7348,"type":"article-journal","title":"Global malaria mortality between 1980 and 2010: a systematic analysis","container-title":"The Lancet","page":"413-431","volume":"379","issue":"9814","abstract":"SummaryBackground\nDuring the past decade, renewed global and national efforts to combat malaria have led to ambitious goals. We aimed to provide an accurate assessment of the levels and time trends in malaria mortality to aid assessment of progress towards these goals and the focusing of future efforts.\nMethods\nWe systematically collected all available data for malaria mortality for the period 1980–2010, correcting for misclassification bias. We developed a range of predictive models, including ensemble models, to estimate malaria mortality with uncertainty by age, sex, country, and year. We used key predictors of malaria mortality such as Plasmodium falciparum parasite prevalence, first-line antimalarial drug resistance, and vector control. We used out-of-sample predictive validity to select the final model.\nFindings\nGlobal malaria deaths increased from 995 000 (95% uncertainty interval 711 000–1 412 000) in 1980 to a peak of 1 817 000 (1 430 000–2 366 000) in 2004, decreasing to 1 238 000 (929 000–1 685 000) in 2010. In Africa, malaria deaths increased from 493 000 (290 000–747 000) in 1980 to 1 613 000 (1 243 000–2 145 000) in 2004, decreasing by about 30% to 1 133 000 (848 000–1 591 000) in 2010. Outside of Africa, malaria deaths have steadily decreased from 502 000 (322 000–833 000) in 1980 to 104 000 (45 000–191 000) in 2010. We estimated more deaths in individuals aged 5 years or older than has been estimated in previous studies: 435 000 (307 000–658 000) deaths in Africa and 89 000 (33 000–177 000) deaths outside of Africa in 2010.\nInterpretation\nOur findings show that the malaria mortality burden is larger than previously estimated, especially in adults. There has been a rapid decrease in malaria mortality in Africa because of the scaling up of control activities supported by international donors. Donor support, however, needs to be increased if malaria elimination and eradication and broader health and development goals are to be met.\nFunding\nThe Bill &amp;amp; Melinda Gates Foundation.","DOI":"10.1016/S0140-6736(12)60034-8","shortTitle":"Global malaria mortality between 1980 and 2010","author":[{"family":"Murray","given":"Christopher JL"},{"family":"Rosenfeld","given":"Lisa C"},{"family":"Lim","given":"Stephen S"},{"family":"Andrews","given":"Kathryn G"},{"family":"Foreman","given":"Kyle J"},{"family":"Haring","given":"Diana"},{"family":"Fullman","given":"Nancy"},{"family":"Naghavi","given":"Mohsen"},{"family":"Lozano","given":"Rafael"},{"family":"Lopez","given":"Alan D"}],"issued":{"literal":"4"},"page-first":"413"}}],"schema":"https://github.com/citation-style-language/schema/raw/master/csl-citation.json"} </w:instrText>
      </w:r>
      <w:r w:rsidRPr="00B95B6F">
        <w:fldChar w:fldCharType="separate"/>
      </w:r>
      <w:r w:rsidRPr="00B45B26">
        <w:rPr>
          <w:rFonts w:ascii="Calibri" w:hAnsi="Calibri" w:cs="Calibri"/>
          <w:szCs w:val="24"/>
          <w:vertAlign w:val="superscript"/>
        </w:rPr>
        <w:t>25</w:t>
      </w:r>
      <w:r w:rsidRPr="00B95B6F">
        <w:fldChar w:fldCharType="end"/>
      </w:r>
      <w:r>
        <w:t xml:space="preserve"> reported 1</w:t>
      </w:r>
      <w:r w:rsidR="00245BF4">
        <w:t>.</w:t>
      </w:r>
      <w:r>
        <w:t>2</w:t>
      </w:r>
      <w:r w:rsidR="00245BF4">
        <w:t>4 million</w:t>
      </w:r>
      <w:r>
        <w:t xml:space="preserve"> malaria deaths in 2010 of which 42% were over age 5. These estimates had very large uncertainty intervals; for example, the number of deaths over age 5 in sub-Saharan Africa was estimated to range from 307</w:t>
      </w:r>
      <w:r w:rsidR="00245BF4">
        <w:t xml:space="preserve"> thousand</w:t>
      </w:r>
      <w:r>
        <w:t xml:space="preserve"> to 658</w:t>
      </w:r>
      <w:r w:rsidR="00245BF4">
        <w:t xml:space="preserve"> thousand</w:t>
      </w:r>
      <w:r>
        <w:t xml:space="preserve">. Large uncertainty in the results reflected both the relatively sparse data available on causes of death in adults and the large variation in results across different models included in the final ensemble model. In these GBD results, where the sum of cause-specific estimates must equal the number of deaths from the </w:t>
      </w:r>
      <w:r w:rsidRPr="00CF0737">
        <w:t>demographic analysis for each country-age-sex-year, the number of malaria deaths in 2010 is estimated to be about 5% less or about 1</w:t>
      </w:r>
      <w:r w:rsidR="00245BF4">
        <w:t>.</w:t>
      </w:r>
      <w:r w:rsidRPr="00CF0737">
        <w:t>17</w:t>
      </w:r>
      <w:r w:rsidR="00245BF4">
        <w:t xml:space="preserve"> million</w:t>
      </w:r>
      <w:r w:rsidRPr="00CF0737">
        <w:t>. For deaths under 5, the change is from 714</w:t>
      </w:r>
      <w:r w:rsidR="00245BF4">
        <w:t xml:space="preserve"> thousand</w:t>
      </w:r>
      <w:r w:rsidRPr="00CF0737">
        <w:t xml:space="preserve"> </w:t>
      </w:r>
      <w:r w:rsidRPr="00073C68">
        <w:t>to 676</w:t>
      </w:r>
      <w:r w:rsidR="00245BF4">
        <w:t xml:space="preserve"> thousand</w:t>
      </w:r>
      <w:r w:rsidRPr="00073C68">
        <w:t>.</w:t>
      </w:r>
      <w:r w:rsidRPr="00CF0737">
        <w:t xml:space="preserve"> For </w:t>
      </w:r>
      <w:r w:rsidR="006F127C">
        <w:t xml:space="preserve">deaths over 5, the change </w:t>
      </w:r>
      <w:r w:rsidRPr="00CF0737">
        <w:t>is from 524</w:t>
      </w:r>
      <w:r w:rsidR="00245BF4">
        <w:t xml:space="preserve"> thousand</w:t>
      </w:r>
      <w:r w:rsidRPr="00CF0737">
        <w:t xml:space="preserve"> </w:t>
      </w:r>
      <w:r w:rsidRPr="00073C68">
        <w:t>to 494</w:t>
      </w:r>
      <w:r w:rsidR="00245BF4">
        <w:t xml:space="preserve"> thousand</w:t>
      </w:r>
      <w:r w:rsidRPr="00CF0737">
        <w:t>.  Our finding of</w:t>
      </w:r>
      <w:r>
        <w:t xml:space="preserve"> substantial deaths due to malaria in populations over age 5 is driven by the evidence from verbal autop</w:t>
      </w:r>
      <w:r w:rsidR="00B978F9">
        <w:t>sy studies in endemic areas</w:t>
      </w:r>
      <w:r>
        <w:t>.</w:t>
      </w:r>
      <w:r w:rsidR="003D4A86">
        <w:fldChar w:fldCharType="begin"/>
      </w:r>
      <w:r w:rsidR="00355799">
        <w:instrText xml:space="preserve"> ADDIN ZOTERO_ITEM CSL_CITATION {"citationID":"hO8Kt3On","properties":{"formattedCitation":"{\\rtf \\super 25\\nosupersub{}}","plainCitation":"25"},"citationItems":[{"id":7348,"uris":["http://zotero.org/groups/21876/items/TVPCAQVB"],"uri":["http://zotero.org/groups/21876/items/TVPCAQVB"],"itemData":{"id":7348,"type":"article-journal","title":"Global malaria mortality between 1980 and 2010: a systematic analysis","container-title":"The Lancet","page":"413-431","volume":"379","issue":"9814","abstract":"SummaryBackground\nDuring the past decade, renewed global and national efforts to combat malaria have led to ambitious goals. We aimed to provide an accurate assessment of the levels and time trends in malaria mortality to aid assessment of progress towards these goals and the focusing of future efforts.\nMethods\nWe systematically collected all available data for malaria mortality for the period 1980–2010, correcting for misclassification bias. We developed a range of predictive models, including ensemble models, to estimate malaria mortality with uncertainty by age, sex, country, and year. We used key predictors of malaria mortality such as Plasmodium falciparum parasite prevalence, first-line antimalarial drug resistance, and vector control. We used out-of-sample predictive validity to select the final model.\nFindings\nGlobal malaria deaths increased from 995 000 (95% uncertainty interval 711 000–1 412 000) in 1980 to a peak of 1 817 000 (1 430 000–2 366 000) in 2004, decreasing to 1 238 000 (929 000–1 685 000) in 2010. In Africa, malaria deaths increased from 493 000 (290 000–747 000) in 1980 to 1 613 000 (1 243 000–2 145 000) in 2004, decreasing by about 30% to 1 133 000 (848 000–1 591 000) in 2010. Outside of Africa, malaria deaths have steadily decreased from 502 000 (322 000–833 000) in 1980 to 104 000 (45 000–191 000) in 2010. We estimated more deaths in individuals aged 5 years or older than has been estimated in previous studies: 435 000 (307 000–658 000) deaths in Africa and 89 000 (33 000–177 000) deaths outside of Africa in 2010.\nInterpretation\nOur findings show that the malaria mortality burden is larger than previously estimated, especially in adults. There has been a rapid decrease in malaria mortality in Africa because of the scaling up of control activities supported by international donors. Donor support, however, needs to be increased if malaria elimination and eradication and broader health and development goals are to be met.\nFunding\nThe Bill &amp;amp; Melinda Gates Foundation.","DOI":"10.1016/S0140-6736(12)60034-8","shortTitle":"Global malaria mortality between 1980 and 2010","author":[{"family":"Murray","given":"Christopher JL"},{"family":"Rosenfeld","given":"Lisa C"},{"family":"Lim","given":"Stephen S"},{"family":"Andrews","given":"Kathryn G"},{"family":"Foreman","given":"Kyle J"},{"family":"Haring","given":"Diana"},{"family":"Fullman","given":"Nancy"},{"family":"Naghavi","given":"Mohsen"},{"family":"Lozano","given":"Rafael"},{"family":"Lopez","given":"Alan D"}],"issued":{"literal":"4"},"page-first":"413"}}],"schema":"https://github.com/citation-style-language/schema/raw/master/csl-citation.json"} </w:instrText>
      </w:r>
      <w:r w:rsidR="003D4A86">
        <w:fldChar w:fldCharType="separate"/>
      </w:r>
      <w:r w:rsidR="003D4A86" w:rsidRPr="003D4A86">
        <w:rPr>
          <w:rFonts w:ascii="Calibri" w:hAnsi="Calibri" w:cs="Calibri"/>
          <w:szCs w:val="24"/>
          <w:vertAlign w:val="superscript"/>
        </w:rPr>
        <w:t>25</w:t>
      </w:r>
      <w:r w:rsidR="003D4A86">
        <w:fldChar w:fldCharType="end"/>
      </w:r>
      <w:r>
        <w:t xml:space="preserve">  Validation studies suggest that VA studies may overestimate adult deaths at low malaria cause fractions and underestimate adult malaria deaths</w:t>
      </w:r>
      <w:r w:rsidR="00B978F9">
        <w:t xml:space="preserve"> when malaria deaths are common</w:t>
      </w:r>
      <w:r>
        <w:t>.</w:t>
      </w:r>
      <w:r w:rsidR="003D4A86">
        <w:fldChar w:fldCharType="begin"/>
      </w:r>
      <w:r w:rsidR="00355799">
        <w:instrText xml:space="preserve"> ADDIN ZOTERO_ITEM CSL_CITATION {"citationID":"Oz76ZBCL","properties":{"formattedCitation":"{\\rtf \\super 69\\nosupersub{}}","plainCitation":"69"},"citationItems":[{"id":7723,"uris":["http://zotero.org/groups/21876/items/VBA4E8TC"],"uri":["http://zotero.org/groups/21876/items/VBA4E8TC"],"itemData":{"id":7723,"type":"article-journal","title":"Performance of physician-certified verbal autopsies: multisite validation study using clinical diagnostic gold standards","container-title":"Population Health Metrics","page":"32","volume":"9","issue":"1","abstract":"Physician review of a verbal autopsy (VA) and completion of a death certificate remains the most widely used approach for VA analysis. This study provides new evidence about the performance of physician-certified verbal autopsy (PCVA) using defined clinical diagnostic criteria as a gold standard for a multisite sample of 12,542 VAs. The study was also designed to analyze issues related to PCVA, such as the impact of a second physician reader on the cause of death assigned, the variation in performance with and without household recall of health care experience (HCE), and the importance of local information for physicians reading VAs.","DOI":"10.1186/1478-7954-9-32","shortTitle":"Performance of physician-certified verbal autopsies","language":"en","author":[{"family":"Lozano","given":"Rafael"},{"family":"Lopez","given":"Alan D."},{"family":"Atkinson","given":"Charles"},{"family":"Naghavi","given":"Mohsen"},{"family":"Flaxman","given":"Abraham D."},{"family":"Murray","given":"Christopher JL"},{"family":"(phmrc)","given":"the Population Health Metrics Research Consortium"}],"issued":{"year":2011,"month":8,"day":4},"accessed":{"year":2012,"month":7,"day":6},"page-first":"32"}}],"schema":"https://github.com/citation-style-language/schema/raw/master/csl-citation.json"} </w:instrText>
      </w:r>
      <w:r w:rsidR="003D4A86">
        <w:fldChar w:fldCharType="separate"/>
      </w:r>
      <w:r w:rsidR="003D4A86" w:rsidRPr="003D4A86">
        <w:rPr>
          <w:rFonts w:ascii="Calibri" w:hAnsi="Calibri" w:cs="Calibri"/>
          <w:szCs w:val="24"/>
          <w:vertAlign w:val="superscript"/>
        </w:rPr>
        <w:t>69</w:t>
      </w:r>
      <w:r w:rsidR="003D4A86">
        <w:fldChar w:fldCharType="end"/>
      </w:r>
      <w:r>
        <w:t xml:space="preserve">  The findings of adult deaths from malaria are consistent with hospital discharge and death data in endemic ar</w:t>
      </w:r>
      <w:r w:rsidR="00B978F9">
        <w:t>eas but remain controversial.</w:t>
      </w:r>
      <w:r w:rsidR="0040704D">
        <w:fldChar w:fldCharType="begin"/>
      </w:r>
      <w:r w:rsidR="00355799">
        <w:instrText xml:space="preserve"> ADDIN ZOTERO_ITEM CSL_CITATION {"citationID":"vbce16bb7","properties":{"formattedCitation":"{\\rtf \\super 70\\uc0\\u8211{}73\\nosupersub{}}","plainCitation":"70–73"},"citationItems":[{"id":18206,"uris":["http://zotero.org/groups/21876/items/E2TRPX4A"],"uri":["http://zotero.org/groups/21876/items/E2TRPX4A"],"itemData":{"id":18206,"type":"article-journal","title":"New global estimates of malaria deaths","container-title":"Lancet","page":"560-561","volume":"380","issue":"9841","DOI":"10.1016/S0140-6736(12)61323-3","note":"PMID: 22883498","journalAbbreviation":"Lancet","author":[{"family":"Bates","given":"Matthew"},{"family":"O'Grady","given":"Justin"},{"family":"Mudenda","given":"Victor"},{"family":"Shibemba","given":"Aaron"},{"family":"Zumla","given":"Alimuddin"}],"issued":{"year":2012,"month":8,"day":11},"accessed":{"year":2012,"month":9,"day":19},"page-first":"560"},"label":"page"},{"id":18208,"uris":["http://zotero.org/groups/21876/items/HJT4IPSF"],"uri":["http://zotero.org/groups/21876/items/HJT4IPSF"],"itemData":{"id":18208,"type":"article-journal","title":"New global estimates of malaria deaths","container-title":"Lancet","page":"559","volume":"380","issue":"9841","DOI":"10.1016/S0140-6736(12)61320-8","note":"PMID: 22883496","journalAbbreviation":"Lancet","author":[{"family":"Lynch","given":"Michael"},{"family":"Korenromp","given":"Eline"},{"family":"Eisele","given":"Thom"},{"family":"Newby","given":"Holly"},{"family":"Steketee","given":"Rick"},{"family":"Kachur","given":"S Patrick"},{"family":"Nahlen","given":"Bernard"},{"family":"Yoon","given":"Steven"},{"family":"MacArthur","given":"John"},{"family":"Newman","given":"Robert"},{"family":"Cibulskis","given":"Richard"}],"issued":{"year":2012,"month":8,"day":11},"accessed":{"year":2012,"month":9,"day":19},"page-first":"559"},"label":"page"},{"id":18205,"uris":["http://zotero.org/groups/21876/items/TQPSNSFI"],"uri":["http://zotero.org/groups/21876/items/TQPSNSFI"],"itemData":{"id":18205,"type":"article-journal","title":"New global estimates of malaria deaths","container-title":"Lancet","page":"560","volume":"380","issue":"9841","DOI":"10.1016/S0140-6736(12)61322-1","note":"PMID: 22883499","journalAbbreviation":"Lancet","author":[{"family":"Shah","given":"Naman K"},{"family":"Kumar","given":"Ashwani"},{"family":"Valecha","given":"Neena"}],"issued":{"year":2012,"month":8,"day":11},"accessed":{"year":2012,"month":9,"day":19},"page-first":"560"},"label":"page"},{"id":18207,"uris":["http://zotero.org/groups/21876/items/SPQ9TJXJ"],"uri":["http://zotero.org/groups/21876/items/SPQ9TJXJ"],"itemData":{"id":18207,"type":"article-journal","title":"New global estimates of malaria deaths","container-title":"Lancet","page":"559-560","volume":"380","issue":"9841","DOI":"10.1016/S0140-6736(12)61321-X","note":"PMID: 22883497","journalAbbreviation":"Lancet","author":[{"family":"White","given":"N J"},{"family":"Dondorp","given":"A M"},{"family":"Faiz","given":"A"},{"family":"Mishra","given":"S"},{"family":"Hien","given":"T T"}],"issued":{"year":2012,"month":8,"day":11},"accessed":{"year":2012,"month":9,"day":19},"page-first":"559"},"label":"page"}],"schema":"https://github.com/citation-style-language/schema/raw/master/csl-citation.json"} </w:instrText>
      </w:r>
      <w:r w:rsidR="0040704D">
        <w:fldChar w:fldCharType="separate"/>
      </w:r>
      <w:r w:rsidR="0040704D" w:rsidRPr="0040704D">
        <w:rPr>
          <w:rFonts w:ascii="Calibri" w:hAnsi="Calibri" w:cs="Calibri"/>
          <w:szCs w:val="24"/>
          <w:vertAlign w:val="superscript"/>
        </w:rPr>
        <w:t>70–73</w:t>
      </w:r>
      <w:r w:rsidR="0040704D">
        <w:fldChar w:fldCharType="end"/>
      </w:r>
      <w:r>
        <w:t xml:space="preserve">  Our uncertainty interval for global </w:t>
      </w:r>
      <w:r>
        <w:lastRenderedPageBreak/>
        <w:t xml:space="preserve">deaths over age 5 from malaria is </w:t>
      </w:r>
      <w:r w:rsidR="003E65E4" w:rsidRPr="003E65E4">
        <w:t>365</w:t>
      </w:r>
      <w:r w:rsidRPr="003E65E4">
        <w:t>,</w:t>
      </w:r>
      <w:r w:rsidR="003E65E4" w:rsidRPr="003E65E4">
        <w:t>356</w:t>
      </w:r>
      <w:r w:rsidRPr="003E65E4">
        <w:t xml:space="preserve"> to </w:t>
      </w:r>
      <w:r w:rsidR="003E65E4" w:rsidRPr="003E65E4">
        <w:t>643,977</w:t>
      </w:r>
      <w:r>
        <w:t xml:space="preserve"> in part reflecting the uncertainty in the underlying data sources. </w:t>
      </w:r>
    </w:p>
    <w:p w:rsidR="00E7783C" w:rsidRDefault="00E7783C" w:rsidP="00E7783C">
      <w:r>
        <w:t>An innovative dimension of the GBD 2010 has been the addition of estimates of deaths due to different diarrhea and lower respiratory infection (LRI) pathogens. These are important both for the prioritization of existing treatments, such as rotavirus or pneumococcal vaccines, but also for the development of future technologies. Making sense of the data on etiology is extremely challenging. For diarrhea, many pathogens can be cultured from the stool of individuals without diarrhea. Studies such as the Global Enterics Multi-Center Study (GEMS)</w:t>
      </w:r>
      <w:r>
        <w:fldChar w:fldCharType="begin"/>
      </w:r>
      <w:r w:rsidR="00355799">
        <w:instrText xml:space="preserve"> ADDIN ZOTERO_ITEM CSL_CITATION {"citationID":"TILmi7vi","properties":{"formattedCitation":"{\\rtf \\super 74\\nosupersub{}}","plainCitation":"74"},"citationItems":[{"id":5408,"uris":["http://zotero.org/groups/21876/items/MPXXVCFB"],"uri":["http://zotero.org/groups/21876/items/MPXXVCFB"],"itemData":{"id":5408,"type":"webpage","title":"Project Description","container-title":"Global Enterics Mutli-Center Study (GEMS): University of Maryland School of Medicine","URL":"http://medschool.umaryland.edu/GEMS/","accessed":{"year":2012,"month":6,"day":7}}}],"schema":"https://github.com/citation-style-language/schema/raw/master/csl-citation.json"} </w:instrText>
      </w:r>
      <w:r>
        <w:fldChar w:fldCharType="separate"/>
      </w:r>
      <w:r w:rsidR="0040704D" w:rsidRPr="0040704D">
        <w:rPr>
          <w:rFonts w:ascii="Calibri" w:hAnsi="Calibri" w:cs="Calibri"/>
          <w:szCs w:val="24"/>
          <w:vertAlign w:val="superscript"/>
        </w:rPr>
        <w:t>74</w:t>
      </w:r>
      <w:r>
        <w:fldChar w:fldCharType="end"/>
      </w:r>
      <w:r>
        <w:t xml:space="preserve"> are trying to estimate relative risks of diarrhea in the presence of different pathogens. In the available observational data that do not use this relative risk approach, there is a strong relationship between the prevalence of a given pathogen and the number of pathogens tested. Studies testing only one pathogen effectively report higher fractions due to a pathogen than studies that test for multiple pathogens. This is likely due to the frequency of multiple pathogens in the same stool sample and rules for allocating shares of diarrhea to pathogens such that the sum of the pathogen cause fractions total to 100%.  In our analysis, we have adjusted study results to be equivalent to studies reporting two to eight pathogens. Given both the huge heterogeneity of results and the variation in the number of pathogens tested across studies, great caution should be used in interpreting our findings on diarrhea etiologies. When large multi-center studies such as GEMS publish their results this will be an important addition to the analysis; future revisions of the GBD should make use of these results as they become </w:t>
      </w:r>
      <w:r w:rsidRPr="00211D8B">
        <w:t>available. Nevertheless, our results are notably different than widely cited findings. For example, we f</w:t>
      </w:r>
      <w:r w:rsidR="00101BD5">
        <w:t>ind 173</w:t>
      </w:r>
      <w:r w:rsidR="00245BF4">
        <w:t xml:space="preserve"> thousand</w:t>
      </w:r>
      <w:r w:rsidRPr="00073C68">
        <w:t xml:space="preserve"> deaths due to rotav</w:t>
      </w:r>
      <w:r w:rsidR="00101BD5">
        <w:t>irus under age 5 and 78</w:t>
      </w:r>
      <w:r w:rsidR="00245BF4">
        <w:t xml:space="preserve"> thousand</w:t>
      </w:r>
      <w:r w:rsidRPr="00073C68">
        <w:t xml:space="preserve"> deaths over age 5 in 2010</w:t>
      </w:r>
      <w:r w:rsidRPr="000348EC">
        <w:t>; this cont</w:t>
      </w:r>
      <w:r>
        <w:t>rasts with claims from WHO of 453</w:t>
      </w:r>
      <w:r w:rsidR="00245BF4">
        <w:t xml:space="preserve"> thousand</w:t>
      </w:r>
      <w:r>
        <w:t xml:space="preserve"> rotavirus deaths under age 5 alone in 2008.</w:t>
      </w:r>
      <w:r>
        <w:fldChar w:fldCharType="begin"/>
      </w:r>
      <w:r w:rsidR="00355799">
        <w:instrText xml:space="preserve"> ADDIN ZOTERO_ITEM CSL_CITATION {"citationID":"zO96Xwhf","properties":{"formattedCitation":"{\\rtf \\super 75\\nosupersub{}}","plainCitation":"75"},"citationItems":[{"id":2452,"uris":["http://zotero.org/groups/21876/items/ANRHT4GC"],"uri":["http://zotero.org/groups/21876/items/ANRHT4GC"],"itemData":{"id":2452,"type":"webpage","title":"Estimated rotavirus deaths for children under 5 years of age: 2008,  453 000","container-title":"WHO","URL":"http://www.who.int/immunization_monitoring/burden/rotavirus_estimates/en/index.html","shortTitle":"WHO | Estimated rotavirus deaths for children under 5 years of age","author":[{"family":"World Health Organization","given":""}],"accessed":{"year":2012,"month":7,"day":6}}}],"schema":"https://github.com/citation-style-language/schema/raw/master/csl-citation.json"} </w:instrText>
      </w:r>
      <w:r>
        <w:fldChar w:fldCharType="separate"/>
      </w:r>
      <w:r w:rsidR="0040704D" w:rsidRPr="0040704D">
        <w:rPr>
          <w:rFonts w:ascii="Calibri" w:hAnsi="Calibri" w:cs="Calibri"/>
          <w:szCs w:val="24"/>
          <w:vertAlign w:val="superscript"/>
        </w:rPr>
        <w:t>75</w:t>
      </w:r>
      <w:r>
        <w:fldChar w:fldCharType="end"/>
      </w:r>
      <w:r>
        <w:t xml:space="preserve">  Higher numbers were likely reported by WHO for three reasons: higher all-cause under-five global deaths than currently estimated by UNICEF or the GBD; a much higher fraction of under-five deaths attributed at the time to diarrhea; and a higher fraction of diarrhea attributed to rotavirus.  Because rotavirus remains an important cause of death in many countries, the GBD estimates by country will be an important tool to assist in understanding where its burden is greatest. </w:t>
      </w:r>
    </w:p>
    <w:p w:rsidR="00E7783C" w:rsidRDefault="00E7783C" w:rsidP="00E7783C">
      <w:r>
        <w:t>For respiratory pathogens, there are even greater challenges. In many observational studies, no pathogen is identified in a substantial fraction of cases. Even in severe cases that lead to hospitalization there is likely to be considerable variation in the case-fatality rate by pathogen, which confounds the analysis.  The substantial differences in our results from published assessments by O’Brien et al</w:t>
      </w:r>
      <w:r>
        <w:rPr>
          <w:highlight w:val="green"/>
        </w:rPr>
        <w:fldChar w:fldCharType="begin"/>
      </w:r>
      <w:r w:rsidR="00355799">
        <w:rPr>
          <w:highlight w:val="green"/>
        </w:rPr>
        <w:instrText xml:space="preserve"> ADDIN ZOTERO_ITEM CSL_CITATION {"citationID":"unTfdHoP","properties":{"formattedCitation":"{\\rtf \\super 35\\nosupersub{}}","plainCitation":"35"},"citationItems":[{"id":4886,"uris":["http://zotero.org/groups/21876/items/JPD2XQUZ"],"uri":["http://zotero.org/groups/21876/items/JPD2XQUZ"],"itemData":{"id":4886,"type":"article-journal","title":"Burden of disease caused by Streptococcus pneumoniae in children younger than 5 years: global estimates","container-title":"The Lancet","page":"893-902","volume":"374","issue":"9693","abstract":"SummaryBackground\nStreptococcus pneumoniae is a leading cause of bacterial pneumonia, meningitis, and sepsis in children worldwide. However, many countries lack national estimates of disease burden. Effective interventions are available, including pneumococcal conjugate vaccine and case management. To support local and global policy decisions on pneumococcal disease prevention and treatment, we estimated country-specific incidence of serious cases and deaths in children younger than 5 years.\nMethods\nWe measured the burden of pneumococcal pneumonia by applying the proportion of pneumonia cases caused by S pneumoniae derived from efficacy estimates from vaccine trials to WHO country-specific estimates of all-cause pneumonia cases and deaths. We also estimated burden of meningitis and non-pneumonia, non-meningitis invasive disease using disease incidence and case-fatality data from a systematic literature review. When high-quality data were available from a country, these were used for national estimates. Otherwise, estimates were based on data from neighbouring countries with similar child mortality. Estimates were adjusted for HIV prevalence and access to care and, when applicable, use of vaccine against Haemophilus influenzae type b.\nFindings\nIn 2000, about 14·5 million episodes of serious pneumococcal disease (uncertainty range 11·1–18·0 million) were estimated to occur. Pneumococcal disease caused about 826 000 deaths (582 000–926 000) in children aged 1–59 months, of which 91 000 (63 000–102 000) were in HIV-positive and 735 000 (519 000–825 000) in HIV-negative children. Of the deaths in HIV-negative children, over 61% (449 000 [316 000–501 000]) occurred in ten African and Asian countries.\nInterpretation\nS pneumoniae causes around 11% (8–12%) of all deaths in children aged 1–59 months (excluding pneumococcal deaths in HIV-positive children). Achievement of the UN Millennium Development Goal 4 for child mortality reduction can be accelerated by prevention and treatment of pneumococcal disease, especially in regions of the world with the greatest burden.\nFunding\nGAVI Alliance and the Vaccine Fund.","DOI":"10.1016/S0140-6736(09)61204-6","shortTitle":"Burden of disease caused by Streptococcus pneumoniae in children younger than 5 years","author":[{"family":"O'Brien","given":"Katherine L"},{"family":"Wolfson","given":"Lara J"},{"family":"Watt","given":"James P"},{"family":"Henkle","given":"Emily"},{"family":"Deloria-Knoll","given":"Maria"},{"family":"McCall","given":"Natalie"},{"family":"Lee","given":"Ellen"},{"family":"Mulholland","given":"Kim"},{"family":"Levine","given":"Orin S"},{"family":"Cherian","given":"Thomas"}],"issued":{"literal":"12"},"page-first":"893"}}],"schema":"https://github.com/citation-style-language/schema/raw/master/csl-citation.json"} </w:instrText>
      </w:r>
      <w:r>
        <w:rPr>
          <w:highlight w:val="green"/>
        </w:rPr>
        <w:fldChar w:fldCharType="separate"/>
      </w:r>
      <w:r w:rsidRPr="00446C91">
        <w:rPr>
          <w:rFonts w:ascii="Calibri" w:hAnsi="Calibri" w:cs="Calibri"/>
          <w:szCs w:val="24"/>
          <w:vertAlign w:val="superscript"/>
        </w:rPr>
        <w:t>35</w:t>
      </w:r>
      <w:r>
        <w:rPr>
          <w:highlight w:val="green"/>
        </w:rPr>
        <w:fldChar w:fldCharType="end"/>
      </w:r>
      <w:r>
        <w:t xml:space="preserve"> for pneumococcal LRI, Nair et al for RSV and Watt et al for Hib deserve exploration.   </w:t>
      </w:r>
      <w:r w:rsidRPr="0098325B">
        <w:t xml:space="preserve">Our findings </w:t>
      </w:r>
      <w:r w:rsidRPr="000975BF">
        <w:t>of 168</w:t>
      </w:r>
      <w:r w:rsidR="00245BF4">
        <w:t xml:space="preserve"> thousand</w:t>
      </w:r>
      <w:r w:rsidRPr="000975BF">
        <w:t xml:space="preserve"> pneumococcal LRI deaths unde</w:t>
      </w:r>
      <w:r w:rsidR="00101BD5">
        <w:t>r age 5 in 2010 and 381</w:t>
      </w:r>
      <w:r w:rsidR="00245BF4">
        <w:t xml:space="preserve"> thousand</w:t>
      </w:r>
      <w:r w:rsidRPr="000975BF">
        <w:t xml:space="preserve"> in 1990 under age 5 c</w:t>
      </w:r>
      <w:r w:rsidRPr="000348EC">
        <w:t>ontrast</w:t>
      </w:r>
      <w:r w:rsidR="00101BD5">
        <w:t xml:space="preserve"> sharply with the 826</w:t>
      </w:r>
      <w:r w:rsidR="00245BF4">
        <w:t xml:space="preserve"> thousand</w:t>
      </w:r>
      <w:r>
        <w:t xml:space="preserve"> for the year 2000 published by O’Brien et al.</w:t>
      </w:r>
      <w:r>
        <w:fldChar w:fldCharType="begin"/>
      </w:r>
      <w:r w:rsidR="00355799">
        <w:instrText xml:space="preserve"> ADDIN ZOTERO_ITEM CSL_CITATION {"citationID":"PcUP1GNB","properties":{"formattedCitation":"{\\rtf \\super 35\\nosupersub{}}","plainCitation":"35"},"citationItems":[{"id":4886,"uris":["http://zotero.org/groups/21876/items/JPD2XQUZ"],"uri":["http://zotero.org/groups/21876/items/JPD2XQUZ"],"itemData":{"id":4886,"type":"article-journal","title":"Burden of disease caused by Streptococcus pneumoniae in children younger than 5 years: global estimates","container-title":"The Lancet","page":"893-902","volume":"374","issue":"9693","abstract":"SummaryBackground\nStreptococcus pneumoniae is a leading cause of bacterial pneumonia, meningitis, and sepsis in children worldwide. However, many countries lack national estimates of disease burden. Effective interventions are available, including pneumococcal conjugate vaccine and case management. To support local and global policy decisions on pneumococcal disease prevention and treatment, we estimated country-specific incidence of serious cases and deaths in children younger than 5 years.\nMethods\nWe measured the burden of pneumococcal pneumonia by applying the proportion of pneumonia cases caused by S pneumoniae derived from efficacy estimates from vaccine trials to WHO country-specific estimates of all-cause pneumonia cases and deaths. We also estimated burden of meningitis and non-pneumonia, non-meningitis invasive disease using disease incidence and case-fatality data from a systematic literature review. When high-quality data were available from a country, these were used for national estimates. Otherwise, estimates were based on data from neighbouring countries with similar child mortality. Estimates were adjusted for HIV prevalence and access to care and, when applicable, use of vaccine against Haemophilus influenzae type b.\nFindings\nIn 2000, about 14·5 million episodes of serious pneumococcal disease (uncertainty range 11·1–18·0 million) were estimated to occur. Pneumococcal disease caused about 826 000 deaths (582 000–926 000) in children aged 1–59 months, of which 91 000 (63 000–102 000) were in HIV-positive and 735 000 (519 000–825 000) in HIV-negative children. Of the deaths in HIV-negative children, over 61% (449 000 [316 000–501 000]) occurred in ten African and Asian countries.\nInterpretation\nS pneumoniae causes around 11% (8–12%) of all deaths in children aged 1–59 months (excluding pneumococcal deaths in HIV-positive children). Achievement of the UN Millennium Development Goal 4 for child mortality reduction can be accelerated by prevention and treatment of pneumococcal disease, especially in regions of the world with the greatest burden.\nFunding\nGAVI Alliance and the Vaccine Fund.","DOI":"10.1016/S0140-6736(09)61204-6","shortTitle":"Burden of disease caused by Streptococcus pneumoniae in children younger than 5 years","author":[{"family":"O'Brien","given":"Katherine L"},{"family":"Wolfson","given":"Lara J"},{"family":"Watt","given":"James P"},{"family":"Henkle","given":"Emily"},{"family":"Deloria-Knoll","given":"Maria"},{"family":"McCall","given":"Natalie"},{"family":"Lee","given":"Ellen"},{"family":"Mulholland","given":"Kim"},{"family":"Levine","given":"Orin S"},{"family":"Cherian","given":"Thomas"}],"issued":{"literal":"12"},"page-first":"893"}}],"schema":"https://github.com/citation-style-language/schema/raw/master/csl-citation.json"} </w:instrText>
      </w:r>
      <w:r>
        <w:fldChar w:fldCharType="separate"/>
      </w:r>
      <w:r w:rsidRPr="008A195A">
        <w:rPr>
          <w:rFonts w:ascii="Calibri" w:hAnsi="Calibri" w:cs="Calibri"/>
          <w:szCs w:val="24"/>
          <w:vertAlign w:val="superscript"/>
        </w:rPr>
        <w:t>35</w:t>
      </w:r>
      <w:r>
        <w:fldChar w:fldCharType="end"/>
      </w:r>
      <w:r>
        <w:t xml:space="preserve"> in 2009.  O’Brien used an estimate of 10</w:t>
      </w:r>
      <w:r w:rsidR="00245BF4" w:rsidRPr="00CC21B9">
        <w:t>·</w:t>
      </w:r>
      <w:r>
        <w:t xml:space="preserve">6 million under-five deaths from all causes for the year 2000 which contrasts with our estimate </w:t>
      </w:r>
      <w:r w:rsidRPr="00211D8B">
        <w:t xml:space="preserve">of </w:t>
      </w:r>
      <w:r w:rsidR="00245BF4">
        <w:t>9</w:t>
      </w:r>
      <w:r w:rsidR="00245BF4" w:rsidRPr="00CC21B9">
        <w:t>·</w:t>
      </w:r>
      <w:r w:rsidR="00245BF4">
        <w:t>4</w:t>
      </w:r>
      <w:r w:rsidRPr="000975BF">
        <w:t xml:space="preserve"> million and UNICEF’s</w:t>
      </w:r>
      <w:r>
        <w:t xml:space="preserve"> of 9.6 million.  They used a higher estimated fraction of under-five deaths due to LRI than here, 27% and 18% respectively.  The fraction of under-five LRI deaths due to pneumococcal </w:t>
      </w:r>
      <w:r w:rsidRPr="00CC21B9">
        <w:t>pneumonia was 35·8 % (16·0-50·9 % UI) in 2000 compared with 19·9% (16·1%-24·8% UI)</w:t>
      </w:r>
      <w:r>
        <w:t xml:space="preserve"> in the GBD 2010 for 2010.  The 95% uncertainty intervals for these cause fractions substantially overlap.  Differences in the mean estimate stem largely from the exclusive use by O’Brien et al of the res</w:t>
      </w:r>
      <w:r w:rsidR="00101BD5">
        <w:t>ults of four vaccine trials in t</w:t>
      </w:r>
      <w:r>
        <w:t xml:space="preserve">he Gambia, the Philippines, the United States, and </w:t>
      </w:r>
      <w:r w:rsidRPr="002147A7">
        <w:t>South Africa</w:t>
      </w:r>
      <w:r>
        <w:t xml:space="preserve"> to estimate an </w:t>
      </w:r>
      <w:r>
        <w:lastRenderedPageBreak/>
        <w:t>average fraction of pneumonia under five. Although they reviewed the literature, they chose to not use the published observational studies.  These observational data suggest substantial variation across regions; for example, pneumococcus may be less common in South Asia. We have used both the trials and observational data to generate different etiological fractions by region g</w:t>
      </w:r>
      <w:r w:rsidRPr="003D117D">
        <w:t>iving extra weight to the trials; our findings, however, still show variation by region and age.  For RSV L</w:t>
      </w:r>
      <w:r w:rsidR="00245BF4">
        <w:t xml:space="preserve">RI, our findings of 234 thousand </w:t>
      </w:r>
      <w:r w:rsidRPr="003D117D">
        <w:t>deaths unde</w:t>
      </w:r>
      <w:r w:rsidR="00101BD5">
        <w:t>r age 5 in 2010 and 521</w:t>
      </w:r>
      <w:r w:rsidR="00245BF4">
        <w:t xml:space="preserve"> thousand </w:t>
      </w:r>
      <w:r w:rsidRPr="003D117D">
        <w:t>in 1990 are</w:t>
      </w:r>
      <w:r w:rsidRPr="000348EC">
        <w:t xml:space="preserve"> not</w:t>
      </w:r>
      <w:r w:rsidR="00101BD5">
        <w:t>ably higher than the 66</w:t>
      </w:r>
      <w:r w:rsidR="00245BF4">
        <w:t xml:space="preserve"> thousand </w:t>
      </w:r>
      <w:r w:rsidR="00101BD5">
        <w:t>to 199</w:t>
      </w:r>
      <w:r w:rsidR="00245BF4">
        <w:t xml:space="preserve"> thousand </w:t>
      </w:r>
      <w:r w:rsidRPr="000348EC">
        <w:t>deaths for the year 2005 reported by Nair et al.</w:t>
      </w:r>
      <w:r w:rsidRPr="000348EC">
        <w:fldChar w:fldCharType="begin"/>
      </w:r>
      <w:r w:rsidR="00355799">
        <w:instrText xml:space="preserve"> ADDIN ZOTERO_ITEM CSL_CITATION {"citationID":"HUCmQZU3","properties":{"formattedCitation":"{\\rtf \\super 76\\nosupersub{}}","plainCitation":"76"},"citationItems":[{"id":6104,"uris":["http://zotero.org/groups/21876/items/Q9MUNPQU"],"uri":["http://zotero.org/groups/21876/items/Q9MUNPQU"],"itemData":{"id":6104,"type":"article-journal","title":"Global burden of acute lower respiratory infections due to respiratory syncytial virus in young children: a systematic review and meta-analysis","container-title":"Lancet","page":"1545-1555","volume":"375","issue":"9725","abstract":"BACKGROUND\n\nThe global burden of disease attributable to respiratory syncytial virus (RSV) remains unknown. We aimed to estimate the global incidence of and mortality from episodes of acute lower respiratory infection (ALRI) due to RSV in children younger than 5 years in 2005.\n\n\nMETHODS\n\nWe estimated the incidence of RSV-associated ALRI in children younger than 5 years, stratified by age, using data from a systematic review of studies published between January, 1995, and June, 2009, and ten unpublished population-based studies. We estimated possible boundaries for RSV-associated ALRI mortality by combining case fatality ratios with incidence estimates from hospital-based reports from published and unpublished studies and identifying studies with population-based data for RSV seasonality and monthly ALRI mortality.\n\n\nFINDINGS\n\nIn 2005, an estimated 33.8 (95% CI 19.3-46.2) million new episodes of RSV-associated ALRI occurred worldwide in children younger than 5 years (22% of ALRI episodes), with at least 3.4 (2.8-4.3) million episodes representing severe RSV-associated ALRI necessitating hospital admission. We estimated that 66 000-199 000 children younger than 5 years died from RSV-associated ALRI in 2005, with 99% of these deaths occurring in developing countries. Incidence and mortality can vary substantially from year to year in any one setting.\n\n\nINTERPRETATION\n\nGlobally, RSV is the most common cause of childhood ALRI and a major cause of admission to hospital as a result of severe ALRI. Mortality data suggest that RSV is an important cause of death in childhood from ALRI, after pneumococcal pneumonia and Haemophilus influenzae type b. The development of novel prevention and treatment strategies should be accelerated as a priority.\n\n\nFUNDING\n\nWHO; Bill &amp; Melinda Gates Foundation.","DOI":"10.1016/S0140-6736(10)60206-1","note":"PMID: 20399493","shortTitle":"Global burden of acute lower respiratory infections due to respiratory syncytial virus in young children","journalAbbreviation":"Lancet","author":[{"family":"Nair","given":"Harish"},{"family":"Nokes","given":"D James"},{"family":"Gessner","given":"Bradford D"},{"family":"Dherani","given":"Mukesh"},{"family":"Madhi","given":"Shabir A"},{"family":"Singleton","given":"Rosalyn J"},{"family":"O'Brien","given":"Katherine L"},{"family":"Roca","given":"Anna"},{"family":"Wright","given":"Peter F"},{"family":"Bruce","given":"Nigel"},{"family":"Chandran","given":"Aruna"},{"family":"Theodoratou","given":"Evropi"},{"family":"Sutanto","given":"Agustinus"},{"family":"Sedyaningsih","given":"Endang R"},{"family":"Ngama","given":"Mwanajuma"},{"family":"Munywoki","given":"Patrick K"},{"family":"Kartasasmita","given":"Cissy"},{"family":"Simões","given":"Eric A F"},{"family":"Rudan","given":"Igor"},{"family":"Weber","given":"Martin W"},{"family":"Campbell","given":"Harry"}],"issued":{"year":2010,"month":5,"day":1},"accessed":{"year":2012,"month":7,"day":14},"page-first":"1545"}}],"schema":"https://github.com/citation-style-language/schema/raw/master/csl-citation.json"} </w:instrText>
      </w:r>
      <w:r w:rsidRPr="000348EC">
        <w:fldChar w:fldCharType="separate"/>
      </w:r>
      <w:r w:rsidR="0040704D" w:rsidRPr="0040704D">
        <w:rPr>
          <w:rFonts w:ascii="Calibri" w:hAnsi="Calibri" w:cs="Calibri"/>
          <w:szCs w:val="24"/>
          <w:vertAlign w:val="superscript"/>
        </w:rPr>
        <w:t>76</w:t>
      </w:r>
      <w:r w:rsidRPr="000348EC">
        <w:fldChar w:fldCharType="end"/>
      </w:r>
      <w:r w:rsidRPr="000348EC">
        <w:t xml:space="preserve"> in 2010. </w:t>
      </w:r>
      <w:r>
        <w:t xml:space="preserve"> Nair et al</w:t>
      </w:r>
      <w:r w:rsidR="00E7412E">
        <w:t>.</w:t>
      </w:r>
      <w:r>
        <w:t xml:space="preserve"> reviewed the published studies on RSV but chose, based on expert opinion, to assume no RSV deaths over the age of 2; the published literature, however, records deaths over age 2.</w:t>
      </w:r>
      <w:r w:rsidR="00F0572C">
        <w:fldChar w:fldCharType="begin"/>
      </w:r>
      <w:r w:rsidR="00355799">
        <w:instrText xml:space="preserve"> ADDIN ZOTERO_ITEM CSL_CITATION {"citationID":"jatoopnhh","properties":{"formattedCitation":"{\\rtf \\super 77,78\\nosupersub{}}","plainCitation":"77,78"},"citationItems":[{"id":18096,"uris":["http://zotero.org/groups/21876/items/D7P87AQG"],"uri":["http://zotero.org/groups/21876/items/D7P87AQG"],"itemData":{"id":18096,"type":"article-journal","title":"Differences in the etiology of community-acquired pneumonia according to site of care: A population-based study","container-title":"Respiratory Medicine","page":"2168-2175","volume":"101","issue":"10","abstract":"Background: A few population-based studies assessing the etiology of community-acquired pneumonia in both hospitalized and ambulatory patients, with special emphasis on the etiologic role of viral infections, have been reported. The purpose of this study was to assess microbiological differences according to initial site of care in patients with community-acquired pneumonia. Methods: We studied 496 patients &gt; 14 years of age collected from the study samples of three population-based studies carried out in the same geographical area (''Maresme'' region in the Mediterranean coast in Barcelona, Spain) with the same methodology over an 8-year period (1987-1995). Results: Fifty-six percent of patients were hospitalized and 44% were treated at home. Of the 474 patients with etiological evaluation, 195 patients had an identifiable etiology (overall diagnostic yield 41%). Streptococcus pneumoniae was the most common causative organism. Viral infection was diagnosed in 26.5% of hospitalized patients vs. 13.2% of ambulatory patients (P=0.03). Twenty-five percent of the 68 patients with documented etiology treated at home had Chlamydia pneumoniae infection compared with 14.3% of those treated in the hospital. Ten percent of hospitalized patients had pneumonia caused by two pathogens compared with 9.7% of ambulatory patients. The association of viruses and bacteria was the most frequent cause of dual infection (79% inpatients, 67% outpatients). Conclusions: This study has provided information on etiology of community-acquired pneumonia in hospitalized patients and in patients treated at home. A considerable proportion of patients had viral pneumonia, frequently requiring hospital admission for inpatient care.","shortTitle":"Differences in the etiology of community-acquired pneumonia according to site of care","language":"English","author":[{"family":"for the GEMPAC Study Group","given":""},{"family":"Almirall","given":"J"},{"family":"Boixeda","given":"R"},{"family":"Bolibar","given":"I"},{"family":"Bassa","given":"J"},{"family":"Sauca","given":"G"},{"family":"Vidal","given":"J"},{"family":"Serra-Prat","given":"M"},{"family":"Balanzo","given":"X"}],"issued":{"year":2007},"page-first":"2168"},"label":"page"},{"id":18097,"uris":["http://zotero.org/groups/21876/items/VRSUGJU2"],"uri":["http://zotero.org/groups/21876/items/VRSUGJU2"],"itemData":{"id":18097,"type":"article-journal","title":"Etiology of community-acquired pneumonia in hospitalized patients in chile: the increasing prevalence of respiratory viruses among classic pathogens.","container-title":"Chest","page":"779-87","volume":"131","issue":"3","abstract":"UNLABELLED: BACKGROUND AND STUDY OBJECTIVES: The range and relative impact of microbial pathogens, particularly viral pathogens, as a cause of community-acquired pneumonia (CAP) in hospitalized adults has not received much attention. The aim of this study was to determine the microbial etiology of CAP in adults and to identify the risk factors for various specific pathogens. METHODS: We prospectively studied 176 patients (mean [+/- SD] age, 65.8 +/- 18.5 years) who had hospitalized for CAP to identify the microbial etiology. For each patient, sputum and blood cultures were obtained as well as serology testing for Mycoplasma pneumoniae and Chlamydophila pneumoniae, urinary antigen testing for Legionella pneumophila and Streptococcus pneumoniae, and a nasopharyngeal swab for seven respiratory viruses. RESULTS: Microbial etiology was determined in 98 patients (55%). S pneumoniae (49 of 98 patients; 50%) and respiratory viruses (32%) were the most frequently isolated pathogen groups. Pneumococcal pneumonia was associated with tobacco smoking of &gt; 10 pack-years (odds ratio [OR], 2.6; 95% confidence interval [CI], 1.2 to 5.4; p = 0.01). Respiratory viruses were isolated more often in fall or winter (28%; p = 0.011), and as an exclusive etiology tended to be isolated in patients &gt;/= 65 years of age (20%; p = 0.07). Viral CAP was associated with antimicrobial therapy prior to hospital admission (OR, 4.5; 95% CI, 1.4 to 14.6). CONCLUSIONS: S pneumoniae remains the most frequent pathogen in adults with CAP and should be covered with empirical antimicrobial treatment. Viruses were the second most common etiologic agent and should be tested for, especially in fall or winter, both in young and elderly patients who are hospitalized with CAP.","shortTitle":"Etiology of community-acquired pneumonia in hospitalized patients in chile","language":"English","author":[{"family":"Díaz A","given":""},{"family":"Barria P","given":""},{"family":"Niederman M","given":""},{"family":"Restrepo MI","given":""},{"family":"Dreyse J","given":""},{"family":"Fuentes G","given":""},{"family":"Couble B","given":""},{"family":"Saldias F","given":""}],"issued":{"year":2007},"page-first":"779"},"label":"page"}],"schema":"https://github.com/citation-style-language/schema/raw/master/csl-citation.json"} </w:instrText>
      </w:r>
      <w:r w:rsidR="00F0572C">
        <w:fldChar w:fldCharType="separate"/>
      </w:r>
      <w:r w:rsidR="00F0572C" w:rsidRPr="00F0572C">
        <w:rPr>
          <w:rFonts w:ascii="Calibri" w:hAnsi="Calibri" w:cs="Calibri"/>
          <w:szCs w:val="24"/>
          <w:vertAlign w:val="superscript"/>
        </w:rPr>
        <w:t>77,78</w:t>
      </w:r>
      <w:r w:rsidR="00F0572C">
        <w:fldChar w:fldCharType="end"/>
      </w:r>
      <w:r>
        <w:t xml:space="preserve">  Hospitalization data in the US, for example, suggests considerable burden of severe RSV at least in the ages 3-5. Other studies (refs)</w:t>
      </w:r>
      <w:r w:rsidR="00F0572C">
        <w:fldChar w:fldCharType="begin"/>
      </w:r>
      <w:r w:rsidR="00355799">
        <w:instrText xml:space="preserve"> ADDIN ZOTERO_ITEM CSL_CITATION {"citationID":"1l91qsviva","properties":{"formattedCitation":"{\\rtf \\super 79,80\\nosupersub{}}","plainCitation":"79,80"},"citationItems":[{"id":18098,"uris":["http://zotero.org/groups/21876/items/XA39PEVF"],"uri":["http://zotero.org/groups/21876/items/XA39PEVF"],"itemData":{"id":18098,"type":"article-journal","title":"Influenza and respiratory syncytial virus in the elderly","container-title":"Expert review of vaccines","page":"249-258","volume":"7","issue":"2","abstract":"Respiratory infections are one of the leading causes of morbidity and mortality worldwide: influenza and respiratory syncytial virus (RSV) are the predominant pathogens responsible. Annual vaccination and the use of antiviral drugs provides both protection and treatment against influenza, particularly protecting those patients most at risk, including the elderly and individuals with chronic comorbidities. Currently, there are extremely limited options in the protection against RSV infection, making those at-risk patients vulnerable to serious disease, complications and death. This review focuses on recent trends in respiratory illness in the elderly, particularly focusing on the burden of influenza and RSV on hospitalizations and mortality. We discuss the potential benefit of influenza vaccination on these outcomes, including the recent controversial debate over the effectiveness of influenza vaccination.","DOI":"10.1586/14760584.7.2.249","note":"PMID: 18324893","journalAbbreviation":"Expert Rev Vaccines","author":[{"family":"Elliot","given":"Alex J"},{"family":"Fleming","given":"Douglas M"}],"issued":{"year":2008,"month":3},"accessed":{"year":2012,"month":9,"day":18},"page-first":"249"},"label":"page"},{"id":18130,"uris":["http://zotero.org/groups/21876/items/BDQKN5CZ"],"uri":["http://zotero.org/groups/21876/items/BDQKN5CZ"],"itemData":{"id":18130,"type":"article-journal","title":"Respiratory syncytial virus infection in elderly and high-risk adults","container-title":"The New England journal of medicine","page":"1749-1759","volume":"352","issue":"17","abstract":"BACKGROUND\n\nRespiratory syncytial virus (RSV) is an increasingly recognized cause of illness in adults. Data on the epidemiology and clinical effects in community-dwelling elderly persons and high-risk adults can help in assessing the need for vaccine development.\n\n\nMETHODS\n\nDuring four consecutive winters, we evaluated all respiratory illnesses in prospective cohorts of healthy elderly patients (&gt; or =65 years of age) and high-risk adults (those with chronic heart or lung disease) and in patients hospitalized with acute cardiopulmonary conditions. RSV infection and influenza A were diagnosed on the basis of culture, reverse-transcriptase polymerase chain reaction, and serologic studies.\n\n\nRESULTS\n\nA total of 608 healthy elderly patients and 540 high-risk adults were enrolled in prospective surveillance, and 1388 hospitalized patients were enrolled. A total of 2514 illnesses were evaluated. RSV infection was identified in 102 patients in the prospective cohorts and 142 hospitalized patients, and influenza A was diagnosed in 44 patients in the prospective cohorts and 154 hospitalized patients. RSV infection developed annually in 3 to 7 percent of healthy elderly patients and in 4 to 10 percent of high-risk adults. Among healthy elderly patients, RSV infection generated fewer office visits than influenza; however, the use of health care services by high-risk adults was similar in the two groups. In the hospitalized cohort, RSV infection and influenza A resulted in similar lengths of stay, rates of use of intensive care (15 percent and 12 percent, respectively), and mortality (8 percent and 7 percent, respectively). On the basis of the diagnostic codes of the International Classification of Diseases, 9th Revision, Clinical Modification at discharge, RSV infection accounted for 10.6 percent of hospitalizations for pneumonia, 11.4 percent for chronic obstructive pulmonary disease, 5.4 percent for congestive heart failure, and 7.2 percent for asthma.\n\n\nCONCLUSIONS\n\nRSV infection is an important illness in elderly and high-risk adults, with a disease burden similar to that of nonpandemic influenza A in a population in which the prevalence of vaccination for influenza is high. An effective RSV vaccine may offer benefits for these adults.","DOI":"10.1056/NEJMoa043951","note":"PMID: 15858184","journalAbbreviation":"N. Engl. J. Med.","author":[{"family":"Falsey","given":"Ann R"},{"family":"Hennessey","given":"Patricia A"},{"family":"Formica","given":"Maria A"},{"family":"Cox","given":"Christopher"},{"family":"Walsh","given":"Edward E"}],"issued":{"year":2005,"month":4,"day":28},"accessed":{"year":2012,"month":9,"day":18},"page-first":"1749"},"label":"page"}],"schema":"https://github.com/citation-style-language/schema/raw/master/csl-citation.json"} </w:instrText>
      </w:r>
      <w:r w:rsidR="00F0572C">
        <w:fldChar w:fldCharType="separate"/>
      </w:r>
      <w:r w:rsidR="00F0572C" w:rsidRPr="00F0572C">
        <w:rPr>
          <w:rFonts w:ascii="Calibri" w:hAnsi="Calibri" w:cs="Calibri"/>
          <w:szCs w:val="24"/>
          <w:vertAlign w:val="superscript"/>
        </w:rPr>
        <w:t>79,80</w:t>
      </w:r>
      <w:r w:rsidR="00F0572C">
        <w:fldChar w:fldCharType="end"/>
      </w:r>
      <w:r>
        <w:t xml:space="preserve"> argue that RSV is an important and often missed pathogen causing severe LRI in the elderly.   Studies, however, vary markedly in their sampling, culturing, and identification protocols which may also account for </w:t>
      </w:r>
      <w:r w:rsidRPr="0098325B">
        <w:t>some heterogeneity.</w:t>
      </w:r>
      <w:r>
        <w:t xml:space="preserve">  Given that most studies show high fractions of neonatal LRI deaths due to RSV, the area that needs the most attention is the extent to which RSV is a major cause of post-neonatal LRI deaths.  For HiB LRI, </w:t>
      </w:r>
      <w:r w:rsidRPr="000637DB">
        <w:t>Watt et al published in 2009 for the year 2</w:t>
      </w:r>
      <w:r w:rsidR="00101BD5">
        <w:t>000, an estimate of 292</w:t>
      </w:r>
      <w:r w:rsidR="00245BF4">
        <w:t xml:space="preserve"> thousand </w:t>
      </w:r>
      <w:r w:rsidRPr="000637DB">
        <w:t xml:space="preserve">deaths which compares well with our finding of </w:t>
      </w:r>
      <w:r w:rsidR="00101BD5">
        <w:t>184</w:t>
      </w:r>
      <w:r w:rsidR="00245BF4">
        <w:t xml:space="preserve"> thousand </w:t>
      </w:r>
      <w:r w:rsidR="000637DB" w:rsidRPr="000637DB">
        <w:t>(154,053 – 219</w:t>
      </w:r>
      <w:r w:rsidRPr="000637DB">
        <w:t>,</w:t>
      </w:r>
      <w:r w:rsidR="00101BD5">
        <w:t xml:space="preserve">456 </w:t>
      </w:r>
      <w:r w:rsidR="00245BF4">
        <w:t xml:space="preserve">95% </w:t>
      </w:r>
      <w:r w:rsidR="00101BD5">
        <w:t>UI) in 2010 and 447</w:t>
      </w:r>
      <w:r w:rsidR="00245BF4">
        <w:t xml:space="preserve"> thousand </w:t>
      </w:r>
      <w:r w:rsidR="000637DB" w:rsidRPr="000637DB">
        <w:t>(385,717</w:t>
      </w:r>
      <w:r w:rsidRPr="000637DB">
        <w:t xml:space="preserve"> – </w:t>
      </w:r>
      <w:r w:rsidR="000637DB" w:rsidRPr="000637DB">
        <w:t>506, 594</w:t>
      </w:r>
      <w:r w:rsidRPr="000637DB">
        <w:t xml:space="preserve"> </w:t>
      </w:r>
      <w:r w:rsidR="00245BF4">
        <w:t xml:space="preserve">95% </w:t>
      </w:r>
      <w:r w:rsidRPr="000637DB">
        <w:t>UI) in 1990.  The</w:t>
      </w:r>
      <w:r>
        <w:t xml:space="preserve"> similarity of the result, however, is somewhat misleading.  They used a much higher estimate of all-cause under-five mortality and a higher cause fraction due to LRI than we use here.  In other words, we estimate a large fraction of LRI deaths under five due to HiB than Watt et al.  The primary reason is t</w:t>
      </w:r>
      <w:r w:rsidR="00240F43">
        <w:t>hat they assumed that over age two</w:t>
      </w:r>
      <w:r>
        <w:t xml:space="preserve"> HiB does not cause LRI death; the available observational data, however, demonstrate HiB mortality at all ages.</w:t>
      </w:r>
      <w:r w:rsidR="00242B8E">
        <w:fldChar w:fldCharType="begin"/>
      </w:r>
      <w:r w:rsidR="00355799">
        <w:instrText xml:space="preserve"> ADDIN ZOTERO_ITEM CSL_CITATION {"citationID":"m24n35hak","properties":{"formattedCitation":"{\\rtf \\super 81\\uc0\\u8211{}84\\nosupersub{}}","plainCitation":"81–84"},"citationItems":[{"id":18131,"uris":["http://zotero.org/groups/21876/items/H878WFCC"],"uri":["http://zotero.org/groups/21876/items/H878WFCC"],"itemData":{"id":18131,"type":"article-journal","title":"Etiology of community-acquired pneumonia in hospitalized patients in northern Israel","container-title":"The Israel Medical Association journal: IMAJ","page":"477-482","volume":"12","issue":"8","abstract":"BACKGROUND\n\nCommunity-acquired pneumonia is a common infection and is associated with high rates of morbidity and mortality. Most patients with CAP are treated empirically.\n\n\nOBJECTIVES\n\nTo identify common pathogens causing CAP in hospitalized patients in northern Israel and to evaluate the correlation between etiology and disease severity.\n\n\nMETHODS\n\nWe conducted a prospective study of patients with CAP hospitalized at HaEmek Medical Center, Afula. We collected demographic, clinical and laboratory data (blood and sputum cultures, serology, pneumococcal urinary antigen test, and respiratory multiplex-polymerase chain reaction from nasopharyngeal swab). Radiologic evaluation was performed.\n\n\nRESULTS\n\nA total of 126 patients and 24 controls were enrolled. At least one pathogen was identified in 84 cases (66.7%), more than one in 43 patients (34.1%), and no pathogens in 42 (33.3%). Typical bacteria were found in 23 (18.3%), atypical bacteria in 66 (52.4%), and viruses in 42 (33.3%). The number (%) of patients with pathogens isolated was: Chlamydophila pneumoniae 26 (20.6%), Streptococcus pneumoniae 23 (18.3%), Mycoplasma pneumoniae 23 (18.3%), influenza virus A-B 20 (15.9%), Coxiella burnetti 8 (6.3%), and parainfluenza and adenovirus 13 (10.3%) each. A correlation was found only between a high PORT score on admission and S. pneumoniae, although atypical pathogens did not show class predominance.\n\n\nCONCLUSIONS\n\nS. pneumoniae, M. pneumoniae and C. pneumoniae were the most common pathogens isolated, while co-infection was very frequent. PORT score did not predict any of the pathogens involved. The choice of empiric antimicrobial treatment for CAP should be made according to local epidemiologic data.","note":"PMID: 21337816","journalAbbreviation":"Isr. Med. Assoc. J.","author":[{"family":"Shibli","given":"Fahmi"},{"family":"Chazan","given":"Bibiana"},{"family":"Nitzan","given":"Orna"},{"family":"Flatau","given":"Edit"},{"family":"Edelstein","given":"Hana"},{"family":"Blondheim","given":"Orna"},{"family":"Raz","given":"Raul"},{"family":"Colodner","given":"Raul"}],"issued":{"year":2010,"month":8},"accessed":{"year":2012,"month":9,"day":18},"page-first":"477"},"label":"page"},{"id":18132,"uris":["http://zotero.org/groups/21876/items/QMPEECBN"],"uri":["http://zotero.org/groups/21876/items/QMPEECBN"],"itemData":{"id":18132,"type":"article-journal","title":"Etiological agents of community-acquired pneumonia in adult patients in Turkey; a multicentric, cross-sectional study","container-title":"Tüberküloz ve toraks","page":"119-127","volume":"58","issue":"2","abstract":"This cross-sectional study was intended to investigate the etiology of community-acquired pneumonia (CAP) in adult patients receiving no prior antibiotic therapy. Etiological agents were identified in 137 (62.8%) of 218 patients, the most frequent being Streptococcus pneumoniae (14.7%), Mycoplasma pneumoniae (13.8%) and respiratory syncytial virus (10.1%). A single pathogen was detected in 50.9% of cases and mixed pathogens in 11.9%. Typical pathogens were determined in 35.8% of cases, atypical pathogens in 20.2% and viral pathogens in 20.6%. Chronic obstructive pulmonary disease was a common (42.7%) comorbidity. S. pneumoniae was the most common pathogen in adult patients with CAP. Atypical pathogens were more common in patients &lt; 65 years old, M. pneumoniae being the most common in this age group. Our results suggest that initial empiric antibiotic treatment in patients with CAP should cover S. pneumoniae and M. pneumoniae in Turkey.","note":"PMID: 20865563","journalAbbreviation":"Tuberk Toraks","author":[{"family":"Köksal","given":"Iftihar"},{"family":"Ozlü","given":"Tevfik"},{"family":"Bayraktar","given":"Ozlem"},{"family":"Yılmaz","given":"Gürdal"},{"family":"Bülbül","given":"Yılmaz"},{"family":"Oztuna","given":"Funda"},{"family":"Caylan","given":"Rahmet"},{"family":"Aydın","given":"Kemalettin"},{"family":"Sucu","given":"Nurgün"}],"issued":{"year":2010},"accessed":{"year":2012,"month":9,"day":18},"page-first":"119"},"label":"page"},{"id":18133,"uris":["http://zotero.org/groups/21876/items/K442JEIU"],"uri":["http://zotero.org/groups/21876/items/K442JEIU"],"itemData":{"id":18133,"type":"article-journal","title":"A prospective comparison of nursing home-acquired pneumonia with hospital-acquired pneumonia in non-intubated elderly","container-title":"Respiratory medicine","page":"1287-1295","volume":"102","issue":"9","abstract":"There are no prospective comparison of the etiology and clinical outcome between hospital-acquired pneumonia (HAP) and nursing home-acquired pneumonia (NHAP) in non-intubated elderly. This study prospectively evaluated the etiology of HAP and NHAP in non-intubated elderly. A prospective cohort study was carried out in a rural region of Japan where the population over 65 years of age represents 30% of the population. A total of 108 patients were enrolled. There were 33 patients with HAP and 75 with NHAP. Etiologic diagnosis was established in 78.8% of HAP and in 72% of NHAP patients. The most frequent pathogens were Chlamydophila pneumoniae followed by Streptococcus pneumoniae, Staphylococcus aureus and Influenza virus. The frequency of Streptococcus pneumoniae and Influenza virus was significantly higher, whereas the frequency of Staphylococcus aureus and Enterobacteriaceae was significantly lower in NHAP compared to HAP. Performance and nutritional status were significantly worse in patients with HAP than in those with NHAP. Hospital mortality was significantly lower in patients with NHAP compared to those with HAP. This study demonstrated that C. pneumoniae, Streptococcus pneumoniae, Staphylococcus aureus and Influenza virus are frequent causative agents of pneumonia in non-intubated elderly and that the responsible pathogens and clinical outcome differ between NHAP and HAP.","DOI":"10.1016/j.rmed.2008.03.027","note":"PMID: 18602805","journalAbbreviation":"Respir Med","author":[{"family":"Maruyama","given":"T"},{"family":"Niederman","given":"M S"},{"family":"Kobayashi","given":"T"},{"family":"Kobayashi","given":"H"},{"family":"Takagi","given":"T"},{"family":"D'Alessandro-Gabazza","given":"C N"},{"family":"Fujimoto","given":"H"},{"family":"Gil Bernabe","given":"P"},{"family":"Hirohata","given":"S"},{"family":"Nakayama","given":"S"},{"family":"Nishikubo","given":"K"},{"family":"Yuda","given":"H"},{"family":"Yamaguchi","given":"A"},{"family":"Gabazza","given":"E C"},{"family":"Noguchi","given":"T"},{"family":"Takei","given":"Y"},{"family":"Taguchi","given":"O"}],"issued":{"year":2008,"month":9},"accessed":{"year":2012,"month":9,"day":18},"page-first":"1287"},"label":"page"},{"id":18134,"uris":["http://zotero.org/groups/21876/items/MF6ZU79A"],"uri":["http://zotero.org/groups/21876/items/MF6ZU79A"],"itemData":{"id":18134,"type":"article-journal","title":"Community-acquired pneumonia and nursing home-acquired pneumonia in the very elderly patients","container-title":"Respiratory medicine","page":"584-592","volume":"104","issue":"4","abstract":"The rapid increase in the elderly population is leading to a corresponding increase in the number of people requiring medical care. To date no comparative study between community-acquired pneumonia (CAP) and nursing home-acquired pneumonia (NHAP) has been reported in the very elderly non-intubated patients. The present study was undertaken to compare the clinical characteristics and microbial etiology between CAP and NHAP in elderly patients &gt;/=85-years old. There were 54 patients with NHAP and 47 with CAP. Performance status was significantly worse in the NHAP than in the CAP group. Among all patients, the most frequent pathogens were Chlamydophilia pneumoniae followed by Streptococcus pneumoniae, Mycoplasma pneumoniae influenza virus and Staphylococcus aureus. The frequency of S. peumoniae was significantly higher in NHAP patients than in CAP patients after adjusting for age and sex. Physical activity, nutrition status and dehydration were significant prognostic factors of pneumonia among all patients. In-hospital mortality was significantly higher in NHAP than in CAP after adjusting for age and sex. This study demonstrated that the etiology and clinical outcome differ between CAP and NHAP patients in the very elderly non-intubated population.","DOI":"10.1016/j.rmed.2009.12.008","note":"PMID: 20060700","journalAbbreviation":"Respir Med","author":[{"family":"Maruyama","given":"Takaya"},{"family":"Gabazza","given":"Esteban C"},{"family":"Morser","given":"John"},{"family":"Takagi","given":"Takehiro"},{"family":"D'Alessandro-Gabazza","given":"Corina"},{"family":"Hirohata","given":"Shizu"},{"family":"Nakayama","given":"Sei"},{"family":"Ramirez","given":"Alexis Y"},{"family":"Fujiwara","given":"Atsushi"},{"family":"Naito","given":"Masahiro"},{"family":"Nishikubo","given":"Kimiaki"},{"family":"Yuda","given":"Hisamichi"},{"family":"Yoshida","given":"Masamichi"},{"family":"Takei","given":"Yoshiyuki"},{"family":"Taguchi","given":"Osamu"}],"issued":{"year":2010,"month":4},"accessed":{"year":2012,"month":9,"day":18},"page-first":"584"},"label":"page"}],"schema":"https://github.com/citation-style-language/schema/raw/master/csl-citation.json"} </w:instrText>
      </w:r>
      <w:r w:rsidR="00242B8E">
        <w:fldChar w:fldCharType="separate"/>
      </w:r>
      <w:r w:rsidR="00D84E0F" w:rsidRPr="00D84E0F">
        <w:rPr>
          <w:rFonts w:ascii="Calibri" w:hAnsi="Calibri" w:cs="Calibri"/>
          <w:szCs w:val="24"/>
          <w:vertAlign w:val="superscript"/>
        </w:rPr>
        <w:t>81–84</w:t>
      </w:r>
      <w:r w:rsidR="00242B8E">
        <w:fldChar w:fldCharType="end"/>
      </w:r>
      <w:r>
        <w:t xml:space="preserve">  For example, the study in Japan found severe cases of  hospital-acquired and community-acquired pneumonia related with HiB, the differences in these assessments for all the respiratory pathogens is even more marked. New multi-center studies like PERCH</w:t>
      </w:r>
      <w:r>
        <w:fldChar w:fldCharType="begin"/>
      </w:r>
      <w:r w:rsidR="00355799">
        <w:instrText xml:space="preserve"> ADDIN ZOTERO_ITEM CSL_CITATION {"citationID":"flO1z1ah","properties":{"formattedCitation":"{\\rtf \\super 85\\nosupersub{}}","plainCitation":"85"},"citationItems":[{"id":8284,"uris":["http://zotero.org/groups/21876/items/XDVJHSVF"],"uri":["http://zotero.org/groups/21876/items/XDVJHSVF"],"itemData":{"id":8284,"type":"article-journal","title":"The Pneumonia Etiology Research for Child Health Project: A 21st Century Childhood Pneumonia Etiology Study","container-title":"Clinical Infectious Diseases: An Official Publication of the Infectious Diseases Society of America","page":"S93-S101","volume":"54","issue":"suppl_2","abstract":"The Pneumonia Etiology Research for Child Health (PERCH) project is a 7-country, standardized, comprehensive evaluation of the etiologic agents causing severe pneumonia in children from developing countries. During previous etiology studies, between one-quarter and one-third of patients failed to yield an obvious etiology; PERCH will employ and evaluate previously unavailable innovative, more sensitive diagnostic techniques. Innovative and rigorous epidemiologic and analytic methods will be used to establish the causal association between presence of potential pathogens and pneumonia. By strategic selection of study sites that are broadly representative of regions with the greatest burden of childhood pneumonia, PERCH aims to provide data that reflect the epidemiologic situation in developing countries in 2015, using pneumococcal and Haemophilus influenzae type b vaccines. PERCH will also address differences in host, environmental, and/or geographic factors that might determine pneumonia etiology and, by preserving specimens, will generate a resource for future research and pathogen discovery.","DOI":"10.1093/cid/cir1052","note":"PMID: 22403238\nPMCID: PMC3297546","shortTitle":"The Pneumonia Etiology Research for Child Health Project","journalAbbreviation":"Clin Infect Dis","author":[{"family":"Levine","given":"Orin S."},{"family":"O’Brien","given":"Katherine L."},{"family":"Deloria-Knoll","given":"Maria"},{"family":"Murdoch","given":"David R."},{"family":"Feikin","given":"Daniel R."},{"family":"DeLuca","given":"Andrea N."},{"family":"Driscoll","given":"Amanda J."},{"family":"Baggett","given":"Henry C."},{"family":"Brooks","given":"W. Abdullah"},{"family":"Howie","given":"Stephen R. C."},{"family":"Kotloff","given":"Karen L."},{"family":"Madhi","given":"Shabir A."},{"family":"Maloney","given":"Susan A."},{"family":"Sow","given":"Samba"},{"family":"Thea","given":"Donald M."},{"family":"Scott","given":"J. Anthony"}],"issued":{"year":2012,"month":4,"day":1},"page-first":"S93"}}],"schema":"https://github.com/citation-style-language/schema/raw/master/csl-citation.json"} </w:instrText>
      </w:r>
      <w:r>
        <w:fldChar w:fldCharType="separate"/>
      </w:r>
      <w:r w:rsidR="00D84E0F" w:rsidRPr="00D84E0F">
        <w:rPr>
          <w:rFonts w:ascii="Calibri" w:hAnsi="Calibri" w:cs="Calibri"/>
          <w:szCs w:val="24"/>
          <w:vertAlign w:val="superscript"/>
        </w:rPr>
        <w:t>85</w:t>
      </w:r>
      <w:r>
        <w:fldChar w:fldCharType="end"/>
      </w:r>
      <w:r>
        <w:t xml:space="preserve"> will hopefully provide much needed data to strengthen the analysis of etiology by region. </w:t>
      </w:r>
    </w:p>
    <w:p w:rsidR="00E7783C" w:rsidRDefault="00E7783C" w:rsidP="00E7783C">
      <w:r>
        <w:t xml:space="preserve">In 2010, we estimate that there </w:t>
      </w:r>
      <w:r w:rsidRPr="00C9530E">
        <w:t xml:space="preserve">were 1·20 million deaths due to tuberculosis, about </w:t>
      </w:r>
      <w:r>
        <w:t>14</w:t>
      </w:r>
      <w:r w:rsidRPr="00C9530E">
        <w:t>%</w:t>
      </w:r>
      <w:r>
        <w:t xml:space="preserve"> </w:t>
      </w:r>
      <w:r w:rsidRPr="0098325B">
        <w:t>more than the</w:t>
      </w:r>
      <w:r>
        <w:t xml:space="preserve"> </w:t>
      </w:r>
      <w:r w:rsidRPr="0098325B">
        <w:t>WHO estimate of</w:t>
      </w:r>
      <w:r>
        <w:t xml:space="preserve"> 1·</w:t>
      </w:r>
      <w:r w:rsidRPr="0098325B">
        <w:t>05 million (2011 WHO TB Report).</w:t>
      </w:r>
      <w:r>
        <w:t xml:space="preserve"> </w:t>
      </w:r>
      <w:r w:rsidRPr="0098325B">
        <w:t>Our analysis and WHO’s use fundamentally different methods but do not yield, at the aggregate</w:t>
      </w:r>
      <w:r>
        <w:t xml:space="preserve"> level, substantially different conclusions. The key difference lies in how the case-detection rate in each country is estimated; WHO uses locally informed expert consultation to assess both under-diagnosis and under-reporting while we have used a statistical mod</w:t>
      </w:r>
      <w:r w:rsidR="00240F43">
        <w:t xml:space="preserve">el to try and estimate the case </w:t>
      </w:r>
      <w:r w:rsidRPr="0001613A">
        <w:t>detection rate.</w:t>
      </w:r>
      <w:r>
        <w:t xml:space="preserve"> </w:t>
      </w:r>
      <w:r w:rsidRPr="0001613A">
        <w:t>Our models also capture more of the temporal and spatial correlation structure in the cause of death data yielding quite different estimates than the WHO where data are strong (e.g. Japan and Thailand). These differences result in significant variations between our estimates and those from WHO at the country and regional levels that deserve further investigation.</w:t>
      </w:r>
      <w:r>
        <w:t xml:space="preserve"> </w:t>
      </w:r>
      <w:r w:rsidRPr="0001613A">
        <w:t xml:space="preserve">Despite these variations, there are also countries, </w:t>
      </w:r>
      <w:r>
        <w:t>such as</w:t>
      </w:r>
      <w:r w:rsidRPr="0001613A">
        <w:t xml:space="preserve"> Ecuador, where our estimates, WHO estimates, and the cause of death data are in close alignment.</w:t>
      </w:r>
      <w:r>
        <w:t xml:space="preserve"> Both assessments at the global and regional level point to substantial continued and sustained progress in reducing tuberculosis mortality. Our higher levels of mortality for tuberculosis in 2010 suggest that tuberculosis should remain a major priority. </w:t>
      </w:r>
    </w:p>
    <w:p w:rsidR="00E7783C" w:rsidRDefault="00E7783C" w:rsidP="00E7783C">
      <w:pPr>
        <w:rPr>
          <w:color w:val="FF0000"/>
        </w:rPr>
      </w:pPr>
      <w:r>
        <w:lastRenderedPageBreak/>
        <w:t>Deaths due to maternal causes have been reported in multiple studies</w:t>
      </w:r>
      <w:r>
        <w:fldChar w:fldCharType="begin"/>
      </w:r>
      <w:r w:rsidR="00355799">
        <w:instrText xml:space="preserve"> ADDIN ZOTERO_ITEM CSL_CITATION {"citationID":"1sj4t4q7r1","properties":{"formattedCitation":"{\\rtf \\super 86,87\\nosupersub{}}","plainCitation":"86,87"},"citationItems":[{"id":5995,"uris":["http://zotero.org/groups/21876/items/PU4WSRFZ"],"uri":["http://zotero.org/groups/21876/items/PU4WSRFZ"],"itemData":{"id":5995,"type":"article-journal","title":"A 6-year (2004-2009) review of maternal mortality at the Eastern Regional Hospital, Koforidua, Ghana","container-title":"Seminars in perinatology","page":"79-83","volume":"36","issue":"1","abstract":"A 6-year (2004-2009) review of maternal deaths is presented to establish particular trends at the eastern regional hospital (1 of 10 regional hospitals in Ghana). There were a total of 191 maternal deaths over the period, with a total of 19,965 live births, giving a maternal mortality ratio of 957 per 100,000 live births. The main causes of maternal deaths were postpartum hemorrhage (22.5%), abortion-related causes (19.3%), hypertensive disorders in pregnancy (17.8%), and puerperal sepsis (8.9%). The study revealed that the highest number of deaths was recorded in the period following termination of pregnancy (abortion or delivery). Timely referral of patients to this hospital could help reduce preventable maternal deaths.","DOI":"10.1053/j.semperi.2011.09.015","call-number":"0000","note":"PMID: 22280871","journalAbbreviation":"Semin. Perinatol.","author":[{"family":"Ganyaglo","given":"Gabriel Y K"},{"family":"Hill","given":"Washington C"}],"issued":{"year":2012,"month":2},"accessed":{"year":2012,"month":6,"day":6},"page-first":"79"},"label":"page"},{"id":1335,"uris":["http://zotero.org/groups/21876/items/6KC44TK7"],"uri":["http://zotero.org/groups/21876/items/6KC44TK7"],"itemData":{"id":1335,"type":"article-journal","title":"A 20-year (1989–2008) audit of maternal mortality in Damascus, Syria","container-title":"International Journal of Gynecology &amp; Obstetrics","page":"70-71","volume":"112","issue":"1","DOI":"10.1016/j.ijgo.2010.08.007","call-number":"0001","author":[{"family":"Almerie","given":"Muhammad Q."},{"family":"Matar","given":"Hosam E."},{"family":"Almerie","given":"Yara"}],"issued":{"year":2011,"month":1},"accessed":{"year":2012,"month":6,"day":6},"page-first":"70"},"label":"page"}],"schema":"https://github.com/citation-style-language/schema/raw/master/csl-citation.json"} </w:instrText>
      </w:r>
      <w:r>
        <w:fldChar w:fldCharType="separate"/>
      </w:r>
      <w:r w:rsidR="00D84E0F" w:rsidRPr="00D84E0F">
        <w:rPr>
          <w:rFonts w:ascii="Calibri" w:hAnsi="Calibri" w:cs="Calibri"/>
          <w:szCs w:val="24"/>
          <w:vertAlign w:val="superscript"/>
        </w:rPr>
        <w:t>86,87</w:t>
      </w:r>
      <w:r>
        <w:fldChar w:fldCharType="end"/>
      </w:r>
      <w:r>
        <w:t xml:space="preserve"> in the peer-reviewed literature and UN reports.</w:t>
      </w:r>
      <w:r>
        <w:fldChar w:fldCharType="begin"/>
      </w:r>
      <w:r w:rsidR="00355799">
        <w:instrText xml:space="preserve"> ADDIN ZOTERO_ITEM CSL_CITATION {"citationID":"KcLNb0Fy","properties":{"formattedCitation":"{\\rtf \\super 88\\nosupersub{}}","plainCitation":"88"},"citationItems":[{"id":3971,"uris":["http://zotero.org/groups/21876/items/G7INB3ED"],"uri":["http://zotero.org/groups/21876/items/G7INB3ED"],"itemData":{"id":3971,"type":"webpage","title":"United Nations Millennium Development Goals","URL":"http://www.un.org/millenniumgoals/reports.shtml","note":"This is the site for the United Nations Millennium Development Goals. Here you will find information and links.","language":"EN","accessed":{"year":2012,"month":6,"day":29}}}],"schema":"https://github.com/citation-style-language/schema/raw/master/csl-citation.json"} </w:instrText>
      </w:r>
      <w:r>
        <w:fldChar w:fldCharType="separate"/>
      </w:r>
      <w:r w:rsidR="00D84E0F" w:rsidRPr="00D84E0F">
        <w:rPr>
          <w:rFonts w:ascii="Calibri" w:hAnsi="Calibri" w:cs="Calibri"/>
          <w:szCs w:val="24"/>
          <w:vertAlign w:val="superscript"/>
        </w:rPr>
        <w:t>88</w:t>
      </w:r>
      <w:r>
        <w:fldChar w:fldCharType="end"/>
      </w:r>
      <w:r>
        <w:t xml:space="preserve"> These studies, however, have focused on th</w:t>
      </w:r>
      <w:r w:rsidR="00240F43">
        <w:t>e maternal mortality ratio. ICD</w:t>
      </w:r>
      <w:r>
        <w:t xml:space="preserve">10 rules recommend that pregnancy-related deaths due to HIV should be included in the computation of </w:t>
      </w:r>
      <w:r w:rsidRPr="000008E1">
        <w:t xml:space="preserve">the </w:t>
      </w:r>
      <w:r w:rsidRPr="00E17FA3">
        <w:t>MMR but reported in cause of death tabulations for HIV.</w:t>
      </w:r>
      <w:r>
        <w:t xml:space="preserve"> </w:t>
      </w:r>
      <w:r w:rsidRPr="00E17FA3">
        <w:t xml:space="preserve">The GBD 2010 follows this convention so that </w:t>
      </w:r>
      <w:r w:rsidR="00240F43">
        <w:t>our 255</w:t>
      </w:r>
      <w:r w:rsidR="00245BF4">
        <w:t xml:space="preserve"> thousand </w:t>
      </w:r>
      <w:r w:rsidRPr="001C1E85">
        <w:t xml:space="preserve">maternal deaths in 2010 do not include </w:t>
      </w:r>
      <w:r w:rsidR="006F127C" w:rsidRPr="001C1E85">
        <w:rPr>
          <w:rFonts w:ascii="Tahoma" w:eastAsia="Times New Roman" w:hAnsi="Tahoma" w:cs="Tahoma"/>
          <w:color w:val="000000"/>
          <w:sz w:val="20"/>
          <w:szCs w:val="20"/>
          <w:shd w:val="clear" w:color="auto" w:fill="FFFFFF"/>
        </w:rPr>
        <w:t>18,970</w:t>
      </w:r>
      <w:r w:rsidRPr="001C1E85">
        <w:t xml:space="preserve"> HIV-related deaths in pregnancy included in the HIV totals.</w:t>
      </w:r>
      <w:r>
        <w:t xml:space="preserve"> We have also revised the method used to estimate the fraction of maternal deaths related to HIV</w:t>
      </w:r>
      <w:r w:rsidR="00240F43">
        <w:t>/AIDS</w:t>
      </w:r>
      <w:r>
        <w:t xml:space="preserve"> in this study co</w:t>
      </w:r>
      <w:r w:rsidRPr="00FD1E9D">
        <w:t>mpared to Lozano et al. 2011.</w:t>
      </w:r>
      <w:r>
        <w:fldChar w:fldCharType="begin"/>
      </w:r>
      <w:r w:rsidR="00355799">
        <w:instrText xml:space="preserve"> ADDIN ZOTERO_ITEM CSL_CITATION {"citationID":"BHkpvyFe","properties":{"formattedCitation":"{\\rtf \\super 23\\nosupersub{}}","plainCitation":"23"},"citationItems":[{"id":4125,"uris":["http://zotero.org/groups/21876/items/GTKX57D5"],"uri":["http://zotero.org/groups/21876/items/GTKX57D5"],"itemData":{"id":4125,"type":"article-journal","title":"Progress towards Millennium Development Goals 4 and 5 on maternal and child mortality: an updated systematic analysis","container-title":"The Lancet","page":"1139-1165","volume":"378","issue":"9797","abstract":"SummaryBackground\nWith 4 years until 2015, it is essential to monitor progress towards Millennium Development Goals (MDGs) 4 and 5. Although estimates of maternal and child mortality were published in 2010, an update of estimates is timely in view of additional data sources that have become available and new methods developed. Our aim was to update previous estimates of maternal and child mortality using better data and more robust methods to provide the best available evidence for tracking progress on MDGs 4 and 5.\nMethods\nWe update the analyses of the progress towards MDGs 4 and 5 from 2010 with additional surveys, censuses, vital registration, and verbal autopsy data. For children, we estimate early neonatal (0–6 days), late neonatal (7–28 days), postneonatal (29–364 days), childhood (ages 1–4 years), and under-5 mortality. We use an improved model for estimating mortality by age under 5 years. For maternal mortality, our updated analysis includes greater than 1000 additional site-years of data. We tested a large set of alternative models for maternal mortality; we used an ensemble model based on the models with the best out-of-sample predictive validity to generate new estimates from 1990 to 2011.\nFindings\nUnder-5 deaths have continued to decline, reaching 7·2 million in 2011 of which 2·2 million were early neonatal, 0·7 million late neonatal, 2·1 million postneonatal, and 2·2 million during childhood (ages 1–4 years). Comparing rates of decline from 1990 to 2000 with 2000 to 2011 shows that 106 countries have accelerated declines in the child mortality rate in the past decade. Maternal mortality has also continued to decline from 409 100 (uncertainty interval 382 900–437 900) in 1990 to 273 500 (256 300–291 700) deaths in 2011. We estimate that 56 100 maternal deaths in 2011 were HIV-related deaths during pregnancy. Based on recent trends in developing countries, 31 countries will achieve MDG 4, 13 countries MDG 5, and nine countries will achieve both.\nInterpretation\nEven though progress on reducing maternal and child mortality in most countries is accelerating, most developing countries will take many years past 2015 to achieve the targets of the MDGs 4 and 5. Similarly, although there continues to be progress on maternal mortality the pace is slow, without any overall evidence of acceleration. Immediate concerted action is needed for a large number of countries to achieve MDG 4 and MDG 5.\nFunding\nBill &amp;amp; Melinda Gates Foundation.","DOI":"10.1016/S0140-6736(11)61337-8","shortTitle":"Progress towards Millennium Development Goals 4 and 5 on maternal and child mortality","author":[{"family":"Lozano","given":"Rafael"},{"family":"Wang","given":"Haidong"},{"family":"Foreman","given":"Kyle J"},{"family":"Rajaratnam","given":"Julie Knoll"},{"family":"Naghavi","given":"Mohsen"},{"family":"Marcus","given":"Jake R"},{"family":"Dwyer-Lindgren","given":"Laura"},{"family":"Lofgren","given":"Katherine T"},{"family":"Phillips","given":"David"},{"family":"Atkinson","given":"Charles"},{"family":"Lopez","given":"Alan D"},{"family":"Murray","given":"Christopher JL"}],"issued":{"literal":"24"},"page-first":"1139"}}],"schema":"https://github.com/citation-style-language/schema/raw/master/csl-citation.json"} </w:instrText>
      </w:r>
      <w:r>
        <w:fldChar w:fldCharType="separate"/>
      </w:r>
      <w:r w:rsidRPr="00B45B26">
        <w:rPr>
          <w:rFonts w:ascii="Calibri" w:hAnsi="Calibri" w:cs="Calibri"/>
          <w:szCs w:val="24"/>
          <w:vertAlign w:val="superscript"/>
        </w:rPr>
        <w:t>23</w:t>
      </w:r>
      <w:r>
        <w:fldChar w:fldCharType="end"/>
      </w:r>
      <w:r>
        <w:t xml:space="preserve"> In this study, our estimates of the fraction of maternal deaths related to HIV</w:t>
      </w:r>
      <w:r w:rsidR="00240F43">
        <w:t>/AIDS</w:t>
      </w:r>
      <w:r>
        <w:t xml:space="preserve"> come from a review and statistical analysis of available data that provide a detailed breakdown of maternal deaths. Further, the deaths due to maternal causes reported here are after the application of the CoDCorrect algorithm, which is a strength of the </w:t>
      </w:r>
      <w:r w:rsidRPr="006976A3">
        <w:t>comprehensive burden of disease approach. The global number of deaths due to maternal causes was reduced 9·8% through the application of CoDCorrect. The revised</w:t>
      </w:r>
      <w:r>
        <w:t xml:space="preserve"> approach for maternal mortality </w:t>
      </w:r>
      <w:r w:rsidRPr="00077646">
        <w:t>presented here also highlights the major causes of maternal death.</w:t>
      </w:r>
      <w:r>
        <w:t xml:space="preserve"> </w:t>
      </w:r>
      <w:r w:rsidRPr="00077646">
        <w:t xml:space="preserve">The largest specific cause of maternal </w:t>
      </w:r>
      <w:r w:rsidRPr="00897F4C">
        <w:t>death is maternal hemorrhage accounting for 23% of deaths in 2010, followed by hypertensive disorders causing 19%, abortion causing 15%, sepsis causing 9%, and obstructed labor causing 4%. These</w:t>
      </w:r>
      <w:r>
        <w:t xml:space="preserve"> results contrast with various estimates reported by WHO; one for 2005, which are based in 35,197 deaths reported in various published studies</w:t>
      </w:r>
      <w:r>
        <w:fldChar w:fldCharType="begin"/>
      </w:r>
      <w:r w:rsidR="00355799">
        <w:instrText xml:space="preserve"> ADDIN ZOTERO_ITEM CSL_CITATION {"citationID":"OTI0Eyph","properties":{"formattedCitation":"{\\rtf \\super 89\\nosupersub{}}","plainCitation":"89"},"citationItems":[{"id":7149,"uris":["http://zotero.org/groups/21876/items/TJ2WAJDU"],"uri":["http://zotero.org/groups/21876/items/TJ2WAJDU"],"itemData":{"id":7149,"type":"article-journal","title":"WHO analysis of causes of maternal death: a systematic review","container-title":"The Lancet","page":"1066-1074","volume":"367","issue":"9516","abstract":"SummaryBackground\nThe reduction of maternal deaths is a key international development goal. Evidence-based health policies and programmes aiming to reduce maternal deaths need reliable and valid information. We undertook a systematic review to determine the distribution of causes of maternal deaths.\nMethods\nWe selected datasets using prespecified criteria, and recorded dataset characteristics, methodological features, and causes of maternal deaths. All analyses were restricted to datasets representative of populations. We analysed joint causes of maternal deaths from datasets reporting at least four major causes (haemorrhage, hypertensive disorders, sepsis, abortion, obstructed labour, ectopic pregnancy, embolism). We examined datasets reporting individual causes of death to investigate the heterogeneity due to methodological features and geographical region and the contribution of haemorrhage, hypertensive disorders, abortion, and sepsis as causes of maternal death at the country level.\nFindings\n34 datasets (35 197 maternal deaths) were included in the primary analysis. We recorded wide regional variation in the causes of maternal deaths. Haemorrhage was the leading cause of death in Africa (point estimate 33·9%, range 13·3–43·6; eight datasets, 4508 deaths) and in Asia (30·8%, 5·9–48·5; 11, 16 089). In Latin America and the Caribbean, hypertensive disorders were responsible for the most deaths (25·7%, 7·9–52·4; ten, 11 777). Abortion deaths were the highest in Latin America and the Caribbean (12%), which can be as high as 30% of all deaths in some countries in this region. Deaths due to sepsis were higher in Africa (odds ratio 2·71), Asia (1·91), and Latin America and the Caribbean (2·06) than in developed countries.\nInterpretation\nHaemorrhage and hypertensive disorders are major contributors to maternal deaths in developing countries. These data should inform evidence-based reproductive health-care policies and programmes at regional and national levels. Capacity-strengthening efforts to improve the quality of burden-of-disease studies will further validate future estimates.","DOI":"10.1016/S0140-6736(06)68397-9","shortTitle":"WHO analysis of causes of maternal death","author":[{"family":"Khan","given":"Khalid S"},{"family":"Wojdyla","given":"Daniel"},{"family":"Say","given":"Lale"},{"family":"Gülmezoglu","given":"A Metin"},{"family":"Van Look","given":"Paul FA"}],"issued":{"literal":"1"},"page-first":"1066"}}],"schema":"https://github.com/citation-style-language/schema/raw/master/csl-citation.json"} </w:instrText>
      </w:r>
      <w:r>
        <w:fldChar w:fldCharType="separate"/>
      </w:r>
      <w:r w:rsidR="00D84E0F" w:rsidRPr="00D84E0F">
        <w:rPr>
          <w:rFonts w:ascii="Calibri" w:hAnsi="Calibri" w:cs="Calibri"/>
          <w:szCs w:val="24"/>
          <w:vertAlign w:val="superscript"/>
        </w:rPr>
        <w:t>89</w:t>
      </w:r>
      <w:r>
        <w:fldChar w:fldCharType="end"/>
      </w:r>
      <w:r>
        <w:t xml:space="preserve"> </w:t>
      </w:r>
      <w:r w:rsidRPr="003B72EA">
        <w:t xml:space="preserve">and </w:t>
      </w:r>
      <w:r>
        <w:t xml:space="preserve">one largely based on VR data for </w:t>
      </w:r>
      <w:r w:rsidRPr="003B72EA">
        <w:t>2008.</w:t>
      </w:r>
      <w:r>
        <w:fldChar w:fldCharType="begin"/>
      </w:r>
      <w:r w:rsidR="00355799">
        <w:instrText xml:space="preserve"> ADDIN ZOTERO_ITEM CSL_CITATION {"citationID":"bmsfD1BD","properties":{"formattedCitation":"{\\rtf \\super 16\\nosupersub{}}","plainCitation":"16"},"citationItems":[{"id":255,"uris":["http://zotero.org/groups/21876/items/2PBXAG76"],"uri":["http://zotero.org/groups/21876/items/2PBXAG76"],"itemData":{"id":255,"type":"book","title":"The Global Burden of Disease: 2004 Update","publisher":"World Health Organization","number-of-pages":"156","abstract":"This report provides a comprehensive assessment of the health of the world's population in 2004. Consistent and comparative description of the burden of diseases and injuries is an important input to health decision-making and planning processes. The Global Burden of Diseaseprovides a framework for integrating the available information on mortality and health in populations to assess the comparative importance of diseases and injuries in causing premature death, loss of health and disability in all regions of the world. This report draws upon the extensive databases of the World Health Organization and information provided by Member States to provide detailed estimates of premature mortality, disability and loss of health for 135 causes by age and sex for the world as a whole, for regions of the world, and for countries grouped by average income per capita. It builds on previous assessments for the years 2000-2002 published in The World Health Reportsand World Health Statistics.","ISBN":"9789241563710","call-number":"1357","shortTitle":"The Global Burden of Disease","language":"en","author":[{"family":"Mathers","given":"Colin"},{"family":"Fat","given":"Doris Ma"},{"family":"Organization","given":"World Health"},{"family":"Boerma","given":"J. T."}],"issued":{"year":2008}}}],"schema":"https://github.com/citation-style-language/schema/raw/master/csl-citation.json"} </w:instrText>
      </w:r>
      <w:r>
        <w:fldChar w:fldCharType="separate"/>
      </w:r>
      <w:r w:rsidRPr="00E20FC1">
        <w:rPr>
          <w:rFonts w:ascii="Calibri" w:hAnsi="Calibri" w:cs="Calibri"/>
          <w:szCs w:val="24"/>
          <w:vertAlign w:val="superscript"/>
        </w:rPr>
        <w:t>16</w:t>
      </w:r>
      <w:r>
        <w:fldChar w:fldCharType="end"/>
      </w:r>
      <w:r>
        <w:t xml:space="preserve"> </w:t>
      </w:r>
      <w:r w:rsidRPr="003B72EA">
        <w:t>The 2005 WHO report estimated that abortion caused only 8% of maternal deaths</w:t>
      </w:r>
      <w:r>
        <w:t xml:space="preserve"> but 14% in the 2008 study. There are also substantial differences for other </w:t>
      </w:r>
      <w:r w:rsidR="00E5666C">
        <w:t xml:space="preserve">maternal </w:t>
      </w:r>
      <w:r>
        <w:t xml:space="preserve">causes as well. Our findings are based both on a larger set of published studies including reports from 18 countries such as </w:t>
      </w:r>
      <w:r w:rsidRPr="003B72EA">
        <w:t xml:space="preserve">India, South Africa, Bangladesh, Ghana, and Pakistan </w:t>
      </w:r>
      <w:r>
        <w:t xml:space="preserve">which </w:t>
      </w:r>
      <w:r w:rsidRPr="00A95906">
        <w:t>contribute 22,943 additional maternal deaths on the</w:t>
      </w:r>
      <w:r>
        <w:t xml:space="preserve"> detailed causes of maternal death</w:t>
      </w:r>
      <w:r w:rsidRPr="003B72EA">
        <w:t>.</w:t>
      </w:r>
    </w:p>
    <w:p w:rsidR="00E7783C" w:rsidRDefault="00E7783C" w:rsidP="00E7783C">
      <w:r>
        <w:t>For under-five deaths, our results differ from those published by CHERG</w:t>
      </w:r>
      <w:r>
        <w:fldChar w:fldCharType="begin"/>
      </w:r>
      <w:r w:rsidR="00355799">
        <w:instrText xml:space="preserve"> ADDIN ZOTERO_ITEM CSL_CITATION {"citationID":"m2lEFORB","properties":{"formattedCitation":"{\\rtf \\super 20\\nosupersub{}}","plainCitation":"20"},"citationItems":[{"id":5434,"uris":["http://zotero.org/groups/21876/items/MSJEMPE5"],"uri":["http://zotero.org/groups/21876/items/MSJEMPE5"],"itemData":{"id":5434,"type":"article-journal","title":"Global, regional, and national causes of child mortality: an updated systematic analysis for 2010 with time trends since 2000","container-title":"Lancet","abstract":"BACKGROUND: Information about the distribution of causes of and time trends for child mortality should be periodically updated. We report the latest estimates of causes of child mortality in 2010 with time trends since 2000. METHODS: Updated total numbers of deaths in children aged 0-27 days and 1-59 months were applied to the corresponding country-specific distribution of deaths by cause. We did the following to derive the number of deaths in children aged 1-59 months: we used vital registration data for countries with an adequate vital registration system; we applied a multinomial logistic regression model to vital registration data for low-mortality countries without adequate vital registration; we used a similar multinomial logistic regression with verbal autopsy data for high-mortality countries; for India and China, we developed national models. We aggregated country results to generate regional and global estimates. FINDINGS: Of 7·6 million deaths in children younger than 5 years in 2010, 64·0% (4·879 million) were attributable to infectious causes and 40·3% (3·072 million) occurred in neonates. Preterm birth complications (14·1%; 1·078 million, uncertainty range [UR] 0·916-1·325), intrapartum-related complications (9·4%; 0·717 million, 0·610-0·876), and sepsis or meningitis (5·2%; 0·393 million, 0·252-0·552) were the leading causes of neonatal death. In older children, pneumonia (14·1%; 1·071 million, 0·977-1·176), diarrhoea (9·9%; 0·751 million, 0·538-1·031), and malaria (7·4%; 0·564 million, 0·432-0·709) claimed the most lives. Despite tremendous efforts to identify relevant data, the causes of only 2·7% (0·205 million) of deaths in children younger than 5 years were medically certified in 2010. Between 2000 and 2010, the global burden of deaths in children younger than 5 years decreased by 2 million, of which pneumonia, measles, and diarrhoea contributed the most to the overall reduction (0·451 million [0·339-0·547], 0·363 million [0·283-0·419], and 0·359 million [0·215-0·476], respectively). However, only tetanus, measles, AIDS, and malaria (in Africa) decreased at an annual rate sufficient to attain the Millennium Development Goal 4. INTERPRETATION: Child survival strategies should direct resources toward the leading causes of child mortality, with attention focusing on infectious and neonatal causes. More rapid decreases from 2010-15 will need accelerated reduction for the most common causes of death, notably pneumonia and preterm birth complications. Continued efforts to gather high-quality data and enhance estimation methods are essential for the improvement of future estimates. FUNDING: The Bill &amp; Melinda Gates Foundation.","URL":"http://www.ncbi.nlm.nih.gov/pubmed/22579125","DOI":"10.1016/S0140-6736(12)60560-1","call-number":"0000","note":"PMID: 22579125","shortTitle":"Global, regional, and national causes of child mortality","author":[{"family":"Liu","given":"Li"},{"family":"Johnson","given":"Hope L"},{"family":"Cousens","given":"Simon"},{"family":"Perin","given":"Jamie"},{"family":"Scott","given":"Susana"},{"family":"Lawn","given":"Joy E"},{"family":"Rudan","given":"Igor"},{"family":"Campbell","given":"Harry"},{"family":"Cibulskis","given":"Richard"},{"family":"Li","given":"Mengying"},{"family":"Mathers","given":"Colin"},{"family":"Black","given":"Robert E"}],"issued":{"year":2012,"month":5,"day":10},"accessed":{"year":2012,"month":6,"day":5}}}],"schema":"https://github.com/citation-style-language/schema/raw/master/csl-citation.json"} </w:instrText>
      </w:r>
      <w:r>
        <w:fldChar w:fldCharType="separate"/>
      </w:r>
      <w:r w:rsidRPr="0070376C">
        <w:rPr>
          <w:rFonts w:ascii="Calibri" w:hAnsi="Calibri" w:cs="Calibri"/>
          <w:szCs w:val="24"/>
          <w:vertAlign w:val="superscript"/>
        </w:rPr>
        <w:t>20</w:t>
      </w:r>
      <w:r>
        <w:fldChar w:fldCharType="end"/>
      </w:r>
      <w:r>
        <w:t xml:space="preserve"> for the same year in several key ways: CHERG estimates 1</w:t>
      </w:r>
      <w:r w:rsidR="00245BF4">
        <w:t>.40 million</w:t>
      </w:r>
      <w:r w:rsidR="00240F43">
        <w:t xml:space="preserve"> LRI</w:t>
      </w:r>
      <w:r>
        <w:t xml:space="preserve"> deaths compared to </w:t>
      </w:r>
      <w:r w:rsidRPr="00073C68">
        <w:t>848</w:t>
      </w:r>
      <w:r w:rsidR="00245BF4">
        <w:t xml:space="preserve"> thousand</w:t>
      </w:r>
      <w:r w:rsidR="00240F43">
        <w:t xml:space="preserve"> </w:t>
      </w:r>
      <w:r w:rsidRPr="00073C68">
        <w:t>in this study; CHERG es</w:t>
      </w:r>
      <w:r w:rsidR="00240F43">
        <w:t>timates 801</w:t>
      </w:r>
      <w:r w:rsidR="00245BF4">
        <w:t xml:space="preserve"> thousand</w:t>
      </w:r>
      <w:r w:rsidRPr="00073C68">
        <w:t xml:space="preserve"> for diarrh</w:t>
      </w:r>
      <w:r w:rsidR="00240F43">
        <w:t>eal diseases versus 666</w:t>
      </w:r>
      <w:r w:rsidR="00245BF4">
        <w:t xml:space="preserve"> thousand</w:t>
      </w:r>
      <w:r w:rsidRPr="00073C68">
        <w:t xml:space="preserve"> in the GBD; for mala</w:t>
      </w:r>
      <w:r w:rsidR="00240F43">
        <w:t>ria CHERG estimates 564</w:t>
      </w:r>
      <w:r w:rsidR="00245BF4">
        <w:t xml:space="preserve"> thousand</w:t>
      </w:r>
      <w:r w:rsidR="00240F43">
        <w:t xml:space="preserve"> versus 676</w:t>
      </w:r>
      <w:r w:rsidR="00245BF4">
        <w:t xml:space="preserve"> thousand</w:t>
      </w:r>
      <w:r w:rsidRPr="00073C68">
        <w:t xml:space="preserve"> here</w:t>
      </w:r>
      <w:r>
        <w:t>. Within the neonatal causes, there are also marked differences in the composition of specific neonatal causes, with CHERG estimating much higher fractions due to preterm birth</w:t>
      </w:r>
      <w:r w:rsidR="00D647BA">
        <w:t xml:space="preserve"> complications</w:t>
      </w:r>
      <w:r>
        <w:t xml:space="preserve"> and lower fractions due to sepsis and other disorders. In exploring these differences, it is critical to distinguish between the neonatal age group (under 28 days) and causes arising during the neonatal period that can cause mortality both under 28 days and in the post-neonatal period and less commonly over age 1.  Understanding the source of the differences for neonatal causes, however, is challenging. Differences must stem from any or all of the following: the datasets used, the adjustments to the data, and the modeling strategies. In their analysis of post-neonatal child mortality (1-59 months), CHERG reports using VR data for 578 country years between 1998-2009, while we </w:t>
      </w:r>
      <w:r w:rsidR="00240F43">
        <w:t>use 1,125 country years for that period</w:t>
      </w:r>
      <w:r w:rsidRPr="00753517">
        <w:t>.</w:t>
      </w:r>
      <w:r>
        <w:t xml:space="preserve"> They use 113 study years between 1980-2008; in contrast, we </w:t>
      </w:r>
      <w:r w:rsidRPr="00EF51A5">
        <w:t xml:space="preserve">use </w:t>
      </w:r>
      <w:r>
        <w:t>294</w:t>
      </w:r>
      <w:r w:rsidRPr="00EF51A5">
        <w:t>. The</w:t>
      </w:r>
      <w:r>
        <w:t xml:space="preserve"> reduced number of studies used by CHERG is due to their decision to u</w:t>
      </w:r>
      <w:r w:rsidR="00240F43">
        <w:t>se only studies that report on six</w:t>
      </w:r>
      <w:r>
        <w:t xml:space="preserve"> major causes. The largest differences and the ones likely to explain the differing results lie in the modeling strategy. For a single cause such as diarrheal diseases or lower respiratory infections, we develop one ensemble model using all the data. The one ensemble model includes component models with a wide variety of functional forms but all include age group fixed effects. CHERG tests and develops four different models with no relationship between them: for under five mortality rates (UFMR) below </w:t>
      </w:r>
      <w:r>
        <w:lastRenderedPageBreak/>
        <w:t>35 for under 1 month, for above 35 UFMR under 1 month, for 1-59 months under 35 UFMR, and for 1-59 months above 1-59 above 35 UFMR. The relationships between covariates in these different models are estimated as completely independent. Covariate selection is performed for each cause of death independently for each of the four models. Th</w:t>
      </w:r>
      <w:r w:rsidR="00240F43">
        <w:t>ey use multinomial l</w:t>
      </w:r>
      <w:r>
        <w:t>ogisti</w:t>
      </w:r>
      <w:r w:rsidR="00240F43">
        <w:t>c models to make estimates for six</w:t>
      </w:r>
      <w:r>
        <w:t xml:space="preserve"> causes of death simultaneously, a method found to perform worse than modeling causes individually and then s</w:t>
      </w:r>
      <w:r w:rsidR="00240F43">
        <w:t>caling to all-cause mortality (</w:t>
      </w:r>
      <w:r>
        <w:t xml:space="preserve">see webappendix </w:t>
      </w:r>
      <w:r w:rsidR="00B978F9">
        <w:t>S</w:t>
      </w:r>
      <w:r>
        <w:t>ection</w:t>
      </w:r>
      <w:r w:rsidR="00B978F9">
        <w:t xml:space="preserve"> 4</w:t>
      </w:r>
      <w:r w:rsidR="00240F43">
        <w:t>)</w:t>
      </w:r>
      <w:r>
        <w:t>. Their model structure does not allow for spatial or temporal patterns in the residuals, likely substantially reducing model performance.</w:t>
      </w:r>
      <w:r>
        <w:fldChar w:fldCharType="begin"/>
      </w:r>
      <w:r w:rsidR="00355799">
        <w:instrText xml:space="preserve"> ADDIN ZOTERO_ITEM CSL_CITATION {"citationID":"5IF85bdt","properties":{"formattedCitation":"{\\rtf \\super 22\\nosupersub{}}","plainCitation":"22"},"citationItems":[{"id":8362,"uris":["http://zotero.org/groups/21876/items/XPQP7A9G"],"uri":["http://zotero.org/groups/21876/items/XPQP7A9G"],"itemData":{"id":8362,"type":"article-journal","title":"Maternal mortality for 181 countries, 1980–2008: a systematic analysis of progress towards Millennium Development Goal 5","container-title":"The Lancet","page":"1609-1623","volume":"375","issue":"9726","abstract":"SummaryBackground\nMaternal mortality remains a major challenge to health systems worldwide. Reliable information about the rates and trends in maternal mortality is essential for resource mobilisation, and for planning and assessment of progress towards Millennium Development Goal 5 (MDG 5), the target for which is a 75% reduction in the maternal mortality ratio (MMR) from 1990 to 2015. We assessed levels and trends in maternal mortality for 181 countries.\nMethods\nWe constructed a database of 2651 observations of maternal mortality for 181 countries for 1980–2008, from vital registration data, censuses, surveys, and verbal autopsy studies. We used robust analytical methods to generate estimates of maternal deaths and the MMR for each year between 1980 and 2008. We explored the sensitivity of our data to model specification and show the out-of-sample predictive validity of our methods.\nFindings\nWe estimated that there were 342 900 (uncertainty interval 302 100–394 300) maternal deaths worldwide in 2008, down from 526 300 (446 400–629 600) in 1980. The global MMR decreased from 422 (358–505) in 1980 to 320 (272–388) in 1990, and was 251 (221–289) per 100 000 livebirths in 2008. The yearly rate of decline of the global MMR since 1990 was 1·3% (1·0–1·5). During 1990–2008, rates of yearly decline in the MMR varied between countries, from 8·8% (8·7–14·1) in the Maldives to an increase of 5·5% (5·2–5·6) in Zimbabwe. More than 50% of all maternal deaths were in only six countries in 2008 (India, Nigeria, Pakistan, Afghanistan, Ethiopia, and the Democratic Republic of the Congo). In the absence of HIV, there would have been 281 500 (243 900–327 900) maternal deaths worldwide in 2008.\nInterpretation\nSubstantial, albeit varied, progress has been made towards MDG 5. Although only 23 countries are on track to achieve a 75% decrease in MMR by 2015, countries such as Egypt, China, Ecuador, and Bolivia have been achieving accelerated progress.\nFunding\nBill &amp;amp; Melinda Gates Foundation.","DOI":"10.1016/S0140-6736(10)60518-1","shortTitle":"Maternal mortality for 181 countries, 1980–2008","author":[{"family":"Hogan","given":"Margaret C"},{"family":"Foreman","given":"Kyle J"},{"family":"Naghavi","given":"Mohsen"},{"family":"Ahn","given":"Stephanie Y"},{"family":"Wang","given":"Mengru"},{"family":"Makela","given":"Susanna M"},{"family":"Lopez","given":"Alan D"},{"family":"Lozano","given":"Rafael"},{"family":"Murray","given":"Christopher JL"}],"issued":{"literal":"8"},"page-first":"1609"}}],"schema":"https://github.com/citation-style-language/schema/raw/master/csl-citation.json"} </w:instrText>
      </w:r>
      <w:r>
        <w:fldChar w:fldCharType="separate"/>
      </w:r>
      <w:r w:rsidRPr="00B45B26">
        <w:rPr>
          <w:rFonts w:ascii="Calibri" w:hAnsi="Calibri" w:cs="Calibri"/>
          <w:szCs w:val="24"/>
          <w:vertAlign w:val="superscript"/>
        </w:rPr>
        <w:t>22</w:t>
      </w:r>
      <w:r>
        <w:fldChar w:fldCharType="end"/>
      </w:r>
      <w:r>
        <w:t xml:space="preserve"> Model performance is difficult to assess and compare with ours: they report undertaking a cross-validation study but no metrics of model performance are reported such as the coverage of their uncertainty intervals or a measure of prediction error. Further, in their cross-validation study they leave out 10% of the data at random; as demonstrated in previous studies,</w:t>
      </w:r>
      <w:r>
        <w:fldChar w:fldCharType="begin"/>
      </w:r>
      <w:r w:rsidR="00355799">
        <w:instrText xml:space="preserve"> ADDIN ZOTERO_ITEM CSL_CITATION {"citationID":"SCwNpIwr","properties":{"formattedCitation":"{\\rtf \\super 23\\nosupersub{}}","plainCitation":"23"},"citationItems":[{"id":4125,"uris":["http://zotero.org/groups/21876/items/GTKX57D5"],"uri":["http://zotero.org/groups/21876/items/GTKX57D5"],"itemData":{"id":4125,"type":"article-journal","title":"Progress towards Millennium Development Goals 4 and 5 on maternal and child mortality: an updated systematic analysis","container-title":"The Lancet","page":"1139-1165","volume":"378","issue":"9797","abstract":"SummaryBackground\nWith 4 years until 2015, it is essential to monitor progress towards Millennium Development Goals (MDGs) 4 and 5. Although estimates of maternal and child mortality were published in 2010, an update of estimates is timely in view of additional data sources that have become available and new methods developed. Our aim was to update previous estimates of maternal and child mortality using better data and more robust methods to provide the best available evidence for tracking progress on MDGs 4 and 5.\nMethods\nWe update the analyses of the progress towards MDGs 4 and 5 from 2010 with additional surveys, censuses, vital registration, and verbal autopsy data. For children, we estimate early neonatal (0–6 days), late neonatal (7–28 days), postneonatal (29–364 days), childhood (ages 1–4 years), and under-5 mortality. We use an improved model for estimating mortality by age under 5 years. For maternal mortality, our updated analysis includes greater than 1000 additional site-years of data. We tested a large set of alternative models for maternal mortality; we used an ensemble model based on the models with the best out-of-sample predictive validity to generate new estimates from 1990 to 2011.\nFindings\nUnder-5 deaths have continued to decline, reaching 7·2 million in 2011 of which 2·2 million were early neonatal, 0·7 million late neonatal, 2·1 million postneonatal, and 2·2 million during childhood (ages 1–4 years). Comparing rates of decline from 1990 to 2000 with 2000 to 2011 shows that 106 countries have accelerated declines in the child mortality rate in the past decade. Maternal mortality has also continued to decline from 409 100 (uncertainty interval 382 900–437 900) in 1990 to 273 500 (256 300–291 700) deaths in 2011. We estimate that 56 100 maternal deaths in 2011 were HIV-related deaths during pregnancy. Based on recent trends in developing countries, 31 countries will achieve MDG 4, 13 countries MDG 5, and nine countries will achieve both.\nInterpretation\nEven though progress on reducing maternal and child mortality in most countries is accelerating, most developing countries will take many years past 2015 to achieve the targets of the MDGs 4 and 5. Similarly, although there continues to be progress on maternal mortality the pace is slow, without any overall evidence of acceleration. Immediate concerted action is needed for a large number of countries to achieve MDG 4 and MDG 5.\nFunding\nBill &amp;amp; Melinda Gates Foundation.","DOI":"10.1016/S0140-6736(11)61337-8","shortTitle":"Progress towards Millennium Development Goals 4 and 5 on maternal and child mortality","author":[{"family":"Lozano","given":"Rafael"},{"family":"Wang","given":"Haidong"},{"family":"Foreman","given":"Kyle J"},{"family":"Rajaratnam","given":"Julie Knoll"},{"family":"Naghavi","given":"Mohsen"},{"family":"Marcus","given":"Jake R"},{"family":"Dwyer-Lindgren","given":"Laura"},{"family":"Lofgren","given":"Katherine T"},{"family":"Phillips","given":"David"},{"family":"Atkinson","given":"Charles"},{"family":"Lopez","given":"Alan D"},{"family":"Murray","given":"Christopher JL"}],"issued":{"literal":"24"},"page-first":"1139"}}],"schema":"https://github.com/citation-style-language/schema/raw/master/csl-citation.json"} </w:instrText>
      </w:r>
      <w:r>
        <w:fldChar w:fldCharType="separate"/>
      </w:r>
      <w:r w:rsidRPr="00B45B26">
        <w:rPr>
          <w:rFonts w:ascii="Calibri" w:hAnsi="Calibri" w:cs="Calibri"/>
          <w:szCs w:val="24"/>
          <w:vertAlign w:val="superscript"/>
        </w:rPr>
        <w:t>23</w:t>
      </w:r>
      <w:r>
        <w:fldChar w:fldCharType="end"/>
      </w:r>
      <w:r>
        <w:t xml:space="preserve"> this is the easiest task for prediction. A much harder task, which is used in this study, is to leave out long sequences or all data for some countries and see how well the models perform. In addition, leaving out data for one cause without also dropping it for the other causes in that country-year makes</w:t>
      </w:r>
      <w:r w:rsidR="00240F43">
        <w:t xml:space="preserve"> for an even simpler task in a multinomial logistic m</w:t>
      </w:r>
      <w:r>
        <w:t>odel such as they use. The high levels of mortality for lower respiratory infections may be related to the demonstrated bias in rigorous validation studies of physician-certified verbal autopsy to over report the LRI cause fraction.</w:t>
      </w:r>
      <w:r>
        <w:fldChar w:fldCharType="begin"/>
      </w:r>
      <w:r w:rsidR="00355799">
        <w:instrText xml:space="preserve"> ADDIN ZOTERO_ITEM CSL_CITATION {"citationID":"pa2TXwO5","properties":{"formattedCitation":"{\\rtf \\super 69\\nosupersub{}}","plainCitation":"69"},"citationItems":[{"id":7723,"uris":["http://zotero.org/groups/21876/items/VBA4E8TC"],"uri":["http://zotero.org/groups/21876/items/VBA4E8TC"],"itemData":{"id":7723,"type":"article-journal","title":"Performance of physician-certified verbal autopsies: multisite validation study using clinical diagnostic gold standards","container-title":"Population Health Metrics","page":"32","volume":"9","issue":"1","abstract":"Physician review of a verbal autopsy (VA) and completion of a death certificate remains the most widely used approach for VA analysis. This study provides new evidence about the performance of physician-certified verbal autopsy (PCVA) using defined clinical diagnostic criteria as a gold standard for a multisite sample of 12,542 VAs. The study was also designed to analyze issues related to PCVA, such as the impact of a second physician reader on the cause of death assigned, the variation in performance with and without household recall of health care experience (HCE), and the importance of local information for physicians reading VAs.","DOI":"10.1186/1478-7954-9-32","shortTitle":"Performance of physician-certified verbal autopsies","language":"en","author":[{"family":"Lozano","given":"Rafael"},{"family":"Lopez","given":"Alan D."},{"family":"Atkinson","given":"Charles"},{"family":"Naghavi","given":"Mohsen"},{"family":"Flaxman","given":"Abraham D."},{"family":"Murray","given":"Christopher JL"},{"family":"(phmrc)","given":"the Population Health Metrics Research Consortium"}],"issued":{"year":2011,"month":8,"day":4},"accessed":{"year":2012,"month":7,"day":6},"page-first":"32"}}],"schema":"https://github.com/citation-style-language/schema/raw/master/csl-citation.json"} </w:instrText>
      </w:r>
      <w:r>
        <w:fldChar w:fldCharType="separate"/>
      </w:r>
      <w:r w:rsidR="003D4A86" w:rsidRPr="003D4A86">
        <w:rPr>
          <w:rFonts w:ascii="Calibri" w:hAnsi="Calibri" w:cs="Calibri"/>
          <w:szCs w:val="24"/>
          <w:vertAlign w:val="superscript"/>
        </w:rPr>
        <w:t>69</w:t>
      </w:r>
      <w:r>
        <w:fldChar w:fldCharType="end"/>
      </w:r>
      <w:r>
        <w:t xml:space="preserve"> While this study uses physician-certified verbal autopsy data on LRI, by separating the data into four components and not including country random effects in their models, the bias towards higher LRI in VA studies may be having a larger impact on their estimation procedure. Finally, the CHERG estimation strategy uses multinomial models for a subset of models and then adds on estimates for selected causes in selected countries such as HIV</w:t>
      </w:r>
      <w:r w:rsidR="00240F43">
        <w:t>/AIDS</w:t>
      </w:r>
      <w:r>
        <w:t xml:space="preserve">, measles, tetanus, and malaria. The differential treatment of some causes and not others in the modeling strategy may also cause distortions in the results. Interestingly, given the substantial difference in modeling approaches, the results for 2010 between the two approaches are actually surprisingly close. </w:t>
      </w:r>
    </w:p>
    <w:p w:rsidR="00E7783C" w:rsidRPr="0091104B" w:rsidRDefault="00E7783C" w:rsidP="00E7783C">
      <w:pPr>
        <w:rPr>
          <w:rFonts w:ascii="Times New Roman" w:hAnsi="Times New Roman" w:cs="Times New Roman"/>
          <w:sz w:val="24"/>
          <w:szCs w:val="24"/>
        </w:rPr>
      </w:pPr>
      <w:r>
        <w:t xml:space="preserve">The health-related </w:t>
      </w:r>
      <w:r w:rsidR="00240F43">
        <w:t>MDGs</w:t>
      </w:r>
      <w:r w:rsidRPr="009B40E4">
        <w:t xml:space="preserve"> place special priority on reducing under-five mortality, maternal mortality, and deaths from HIV, tuberculosis, and malaria. These causes collectively accounted for </w:t>
      </w:r>
      <w:r w:rsidR="00C62C45">
        <w:t>42</w:t>
      </w:r>
      <w:r w:rsidRPr="009B40E4">
        <w:t>·</w:t>
      </w:r>
      <w:r w:rsidR="00C62C45">
        <w:t>4</w:t>
      </w:r>
      <w:r w:rsidRPr="009B40E4">
        <w:t xml:space="preserve">% of YLLs in 2010. Despite the fact that the computation of YLLs heavily weights deaths under five, </w:t>
      </w:r>
      <w:r w:rsidR="00C62C45">
        <w:t>over half</w:t>
      </w:r>
      <w:r w:rsidRPr="009B40E4">
        <w:t xml:space="preserve"> (</w:t>
      </w:r>
      <w:r w:rsidR="00C62C45">
        <w:t>57</w:t>
      </w:r>
      <w:r w:rsidRPr="009B40E4">
        <w:t>·</w:t>
      </w:r>
      <w:r w:rsidR="00C62C45">
        <w:t>6</w:t>
      </w:r>
      <w:r w:rsidRPr="009B40E4">
        <w:t>%) of global years of life lost in 2010 were due to non-MDG diseases and injuries. Important global causes that are not included in the MDGs include ischemic heart disease, stroke, and road traffic injuries. The predominance of these causes in YLL rankings is not merely a volume issue: many of those who die from these causes do so at young adult ages. A more holistic view of preventable mortality within the MDG platform would argue that these causes ought to be included in any evidence-based framework for reducing avoidable deaths. Examination of the trends from 1990 to 2010 indicates that the MDG-related YLLs are declining at 2·</w:t>
      </w:r>
      <w:r w:rsidR="00C62C45">
        <w:t>0</w:t>
      </w:r>
      <w:r w:rsidRPr="009B40E4">
        <w:t xml:space="preserve">% per year, whereas the non-MDG related YLLs are increasing at </w:t>
      </w:r>
      <w:r w:rsidR="00C62C45">
        <w:t>0</w:t>
      </w:r>
      <w:r w:rsidRPr="009B40E4">
        <w:t>·</w:t>
      </w:r>
      <w:r w:rsidR="00C62C45">
        <w:t>8</w:t>
      </w:r>
      <w:r w:rsidRPr="009B40E4">
        <w:t xml:space="preserve">% per year. Population aging, and the substantial if incomplete progress in reducing age-specific death rates from the MDG related causes all suggest that these trends will continue. Indeed, if they do, then non-MDG related causes are likely to account for </w:t>
      </w:r>
      <w:r w:rsidR="00C62C45">
        <w:t>over two-thirds</w:t>
      </w:r>
      <w:r w:rsidR="00D70B53">
        <w:t xml:space="preserve"> </w:t>
      </w:r>
      <w:r w:rsidRPr="009B40E4">
        <w:t>(</w:t>
      </w:r>
      <w:r w:rsidR="00C62C45">
        <w:t>67</w:t>
      </w:r>
      <w:r w:rsidRPr="009B40E4">
        <w:t>·</w:t>
      </w:r>
      <w:r w:rsidR="00C62C45">
        <w:t>6</w:t>
      </w:r>
      <w:r w:rsidRPr="009B40E4">
        <w:t>%) of YLLs by 2025. These findings highlight the importance of looking more critically and comprehensively at what are the leading causes of death and YLLs worldwide, and how these are changing. Our analyses, for the first time, allow such comparative assessments and are important inputs into discussions about goals and targets for the post-MDG era.</w:t>
      </w:r>
      <w:r w:rsidRPr="009B40E4">
        <w:fldChar w:fldCharType="begin"/>
      </w:r>
      <w:r w:rsidR="00355799">
        <w:instrText xml:space="preserve"> ADDIN ZOTERO_ITEM CSL_CITATION {"citationID":"2O2rT4gA","properties":{"formattedCitation":"{\\rtf \\super 90\\nosupersub{}}","plainCitation":"90"},"citationItems":[{"id":1298,"uris":["http://zotero.org/groups/21876/items/6FVSPTNA"],"uri":["http://zotero.org/groups/21876/items/6FVSPTNA"],"itemData":{"id":1298,"type":"article-journal","title":"The Millennium Development Goals: a cross-sectoral analysis and principles for goal setting after 2015","container-title":"The Lancet","page":"991-1023","volume":"376","issue":"9745","DOI":"10.1016/S0140-6736(10)61196-8","shortTitle":"The Millennium Development Goals","author":[{"family":"Waage","given":"Jeff"},{"family":"Banerji","given":"Rukmini"},{"family":"Campbell","given":"Oona"},{"family":"Chirwa","given":"Ephraim"},{"family":"Collender","given":"Guy"},{"family":"Dieltiens","given":"Veerle"},{"family":"Dorward","given":"Andrew"},{"family":"Godfrey-Faussett","given":"Peter"},{"family":"Hanvoravongchai","given":"Piya"},{"family":"Kingdon","given":"Geeta"},{"family":"Little","given":"Angela"},{"family":"Mills","given":"Anne"},{"family":"Mulholland","given":"Kim"},{"family":"Mwinga","given":"Alwyn"},{"family":"North","given":"Amy"},{"family":"Patcharanarumol","given":"Walaiporn"},{"family":"Poulton","given":"Colin"},{"family":"Tangcharoensathien","given":"Viroj"},{"family":"Unterhalter","given":"Elaine"}],"issued":{"year":2010,"month":9},"accessed":{"year":2012,"month":7,"day":5},"page-first":"991"}}],"schema":"https://github.com/citation-style-language/schema/raw/master/csl-citation.json"} </w:instrText>
      </w:r>
      <w:r w:rsidRPr="009B40E4">
        <w:fldChar w:fldCharType="separate"/>
      </w:r>
      <w:r w:rsidR="00D84E0F" w:rsidRPr="00D84E0F">
        <w:rPr>
          <w:rFonts w:ascii="Calibri" w:hAnsi="Calibri" w:cs="Calibri"/>
          <w:szCs w:val="24"/>
          <w:vertAlign w:val="superscript"/>
        </w:rPr>
        <w:t>90</w:t>
      </w:r>
      <w:r w:rsidRPr="009B40E4">
        <w:fldChar w:fldCharType="end"/>
      </w:r>
      <w:r w:rsidRPr="009B40E4">
        <w:t xml:space="preserve"> The rapid and global rise in p</w:t>
      </w:r>
      <w:r w:rsidR="00240F43">
        <w:t>remature death from leading noncommunicable diseases</w:t>
      </w:r>
      <w:r w:rsidRPr="009B40E4">
        <w:t xml:space="preserve"> </w:t>
      </w:r>
      <w:r w:rsidRPr="009B40E4">
        <w:lastRenderedPageBreak/>
        <w:t>argues strongly for inclusion of these conditions, and their principle causes, in this agenda, particularly given their close relationship to poverty reduction goals.</w:t>
      </w:r>
      <w:r w:rsidRPr="009B40E4">
        <w:fldChar w:fldCharType="begin"/>
      </w:r>
      <w:r w:rsidR="00355799">
        <w:instrText xml:space="preserve"> ADDIN ZOTERO_ITEM CSL_CITATION {"citationID":"2mf5vc8dt2","properties":{"formattedCitation":"{\\rtf \\super 91\\uc0\\u8211{}96\\nosupersub{}}","plainCitation":"91–96"},"citationItems":[{"id":7877,"uris":["http://zotero.org/groups/21876/items/VTWP4JUR"],"uri":["http://zotero.org/groups/21876/items/VTWP4JUR"],"itemData":{"id":7877,"type":"article-journal","title":"Priority actions for the non-communicable disease crisis","container-title":"Lancet","page":"1438-1447","volume":"377","issue":"9775","abstract":"The UN High-Level Meeting on Non-Communicable Diseases (NCDs) in September, 2011, is an unprecedented opportunity to create a sustained global movement against premature death and preventable morbidity and disability from NCDs, mainly heart disease, stroke, cancer, diabetes, and chronic respiratory disease. The increasing global crisis in NCDs is a barrier to development goals including poverty reduction, health equity, economic stability, and human security. The Lancet NCD Action Group and the NCD Alliance propose five overarching priority actions for the response to the crisis--leadership, prevention, treatment, international cooperation, and monitoring and accountability--and the delivery of five priority interventions--tobacco control, salt reduction, improved diets and physical activity, reduction in hazardous alcohol intake, and essential drugs and technologies. The priority interventions were chosen for their health effects, cost-effectiveness, low costs of implementation, and political and financial feasibility. The most urgent and immediate priority is tobacco control. We propose as a goal for 2040, a world essentially free from tobacco where less than 5% of people use tobacco. Implementation of the priority interventions, at an estimated global commitment of about US$9 billion per year, will bring enormous benefits to social and economic development and to the health sector. If widely adopted, these interventions will achieve the global goal of reducing NCD death rates by 2% per year, averting tens of millions of premature deaths in this decade.","DOI":"10.1016/S0140-6736(11)60393-0","note":"PMID: 21474174","journalAbbreviation":"Lancet","author":[{"family":"Beaglehole","given":"Robert"},{"family":"Bonita","given":"Ruth"},{"family":"Horton","given":"Richard"},{"family":"Adams","given":"Cary"},{"family":"Alleyne","given":"George"},{"family":"Asaria","given":"Perviz"},{"family":"Baugh","given":"Vanessa"},{"family":"Bekedam","given":"Henk"},{"family":"Billo","given":"Nils"},{"family":"Casswell","given":"Sally"},{"family":"Cecchini","given":"Michele"},{"family":"Colagiuri","given":"Ruth"},{"family":"Colagiuri","given":"Stephen"},{"family":"Collins","given":"Tea"},{"family":"Ebrahim","given":"Shah"},{"family":"Engelgau","given":"Michael"},{"family":"Galea","given":"Gauden"},{"family":"Gaziano","given":"Thomas"},{"family":"Geneau","given":"Robert"},{"family":"Haines","given":"Andy"},{"family":"Hospedales","given":"James"},{"family":"Jha","given":"Prabhat"},{"family":"Keeling","given":"Ann"},{"family":"Leeder","given":"Stephen"},{"family":"Lincoln","given":"Paul"},{"family":"McKee","given":"Martin"},{"family":"Mackay","given":"Judith"},{"family":"Magnusson","given":"Roger"},{"family":"Moodie","given":"Rob"},{"family":"Mwatsama","given":"Modi"},{"family":"Nishtar","given":"Sania"},{"family":"Norrving","given":"Bo"},{"family":"Patterson","given":"David"},{"family":"Piot","given":"Peter"},{"family":"Ralston","given":"Johanna"},{"family":"Rani","given":"Manju"},{"family":"Reddy","given":"K Srinath"},{"family":"Sassi","given":"Franco"},{"family":"Sheron","given":"Nick"},{"family":"Stuckler","given":"David"},{"family":"Suh","given":"Il"},{"family":"Torode","given":"Julie"},{"family":"Varghese","given":"Cherian"},{"family":"Watt","given":"Judith"}],"issued":{"year":2011,"month":4,"day":23},"accessed":{"year":2012,"month":6,"day":7},"page-first":"1438"},"label":"page"},{"id":6615,"uris":["http://zotero.org/groups/21876/items/S7Q8QC6P"],"uri":["http://zotero.org/groups/21876/items/S7Q8QC6P"],"itemData":{"id":6615,"type":"article-journal","title":"Globalisation and the prevention and control of non-communicable disease: the neglected chronic diseases of adults","container-title":"Lancet","page":"903-908","volume":"362","issue":"9387","abstract":"The growing global burden of non-communicable diseases in poor countries and poor populations has been neglected by policy makers, major multilateral and bilateral aid donors, and academics. Despite strong evidence for the magnitude of this burden, the preventability of its causes, and the threat it poses to already strained health care systems, national and global actions have been inadequate. Globalisation is an important determinant of non-communicable disease epidemics since it has direct effects on risks to populations and indirect effects on national economies and health systems. The globalisation of the production and marketing campaigns of the tobacco and alcohol industries exemplify the challenges to policy makers and public health practitioners. A full range of policy responses is required from government and non-governmental agencies; unfortunately the capacity and resources for this response are insufficient, and governments need to respond appropriately. The progress made in controlling the tobacco industry is a modest cause for optimism.","DOI":"10.1016/S0140-6736(03)14335-8","note":"PMID: 13678979","shortTitle":"Globalisation and the prevention and control of non-communicable disease","journalAbbreviation":"Lancet","author":[{"family":"Beaglehole","given":"R"},{"family":"Yach","given":"D"}],"issued":{"year":2003,"month":9,"day":13},"accessed":{"year":2012,"month":6,"day":13},"page-first":"903"},"label":"page"},{"id":3250,"uris":["http://zotero.org/groups/21876/items/DJS5EAB4"],"uri":["http://zotero.org/groups/21876/items/DJS5EAB4"],"itemData":{"id":3250,"type":"article-journal","title":"Grand challenges in chronic non-communicable diseases","container-title":"Nature","page":"494-496","volume":"450","issue":"7169","DOI":"10.1038/450494a","note":"PMID: 18033288","journalAbbreviation":"Nature","author":[{"family":"Daar","given":"Abdallah S"},{"family":"Singer","given":"Peter A"},{"family":"Persad","given":"Deepa Leah"},{"family":"Pramming","given":"Stig K"},{"family":"Matthews","given":"David R"},{"family":"Beaglehole","given":"Robert"},{"family":"Bernstein","given":"Alan"},{"family":"Borysiewicz","given":"Leszek K"},{"family":"Colagiuri","given":"Stephen"},{"family":"Ganguly","given":"Nirmal"},{"family":"Glass","given":"Roger I"},{"family":"Finegood","given":"Diane T"},{"family":"Koplan","given":"Jeffrey"},{"family":"Nabel","given":"Elizabeth G"},{"family":"Sarna","given":"George"},{"family":"Sarrafzadegan","given":"Nizal"},{"family":"Smith","given":"Richard"},{"family":"Yach","given":"Derek"},{"family":"Bell","given":"John"}],"issued":{"year":2007,"month":11,"day":22},"accessed":{"year":2012,"month":6,"day":13},"page-first":"494"},"label":"page"},{"id":1051,"uris":["http://zotero.org/groups/21876/items/5JTZ2TMF"],"uri":["http://zotero.org/groups/21876/items/5JTZ2TMF"],"itemData":{"id":1051,"type":"article-journal","title":"Non-communicable diseases and the Paris Declaration","container-title":"Lancet","page":"784-785","volume":"374","issue":"9692","DOI":"10.1016/S0140-6736(09)61589-0","note":"PMID: 19733778","journalAbbreviation":"Lancet","author":[{"family":"Nugent","given":"Rachel A"},{"family":"Yach","given":"Derek"},{"family":"Feigl","given":"Andrea B"}],"issued":{"year":2009,"month":9,"day":5},"accessed":{"year":2012,"month":6,"day":13},"page-first":"784"},"label":"page"},{"id":656,"uris":["http://zotero.org/groups/21876/items/46ACWGU9"],"uri":["http://zotero.org/groups/21876/items/46ACWGU9"],"itemData":{"id":656,"type":"article-journal","title":"Nutritional change is not a simple answer to non-communicable diseases","container-title":"BMJ","volume":"343","abstract":"Salty problemSalt reduction is a good example. WHO and the US Institute of Medicine have highlighted its importance, and it has been cited as a “best buy” second only to tobacco control in terms of its potential to prevent non-communicable diseases.2 3 4 The Lancet reports that up to 8.5 million deaths could be averted in 23 high burden countries over 10 years if population-wide salt consumption is reduced by 15%.5 “Simple changes in diet” are suggested to reduce salt intake, and the cost of intervention is calculated at $0.4 (£0.24; €0.28) per person per year in low and lower middle income countries. These interventions are stated to be affordable in all countries.4However, the reality is that salt reduction is not quite as simple as sometimes implied and the costs are rather more extensive. Indeed, the costs extend far beyond government, media campaigns, surveillance, and meetings (which formed the basis of WHO cost calculations)5 and include costs for research, reformulation, marketing, new technology (all incurred by food manufacturers), and the costs of enforcement. A shared and balanced investment between the public, private, and business sectors is vital for these interventions to be sustainable long term.Although the UK, Japan, and Finland have had some success with national salt reduction programmes, it has required substantial effort and investment by both the public and private sectors.6 The box summarises the UK experience, which is characterised by strong government health departments, effective non-governmental organisations with good media links, fully engaged consumers, and a means to convene and incrementally work with an organised food sector. It will be much more challenging to implement such programmes in developing countries.Salt reduction in the UK The UK programme started with a major public education push by the Consensus Action on Salt and Health, a group of 22 experts on salt and blood pressure As a result, the Department of Health altered its stance on salt and empowered the Food Standards Agency (FSA) to develop a strategy to reduce salt intake nationwide The FSA set standards for the food industry to reduce the amount of salt added to foods by 40% and made labelling and other changes to encourage people to reduce the amount of salt they added to foods themselves from 1.4 g to 0.9 g a day (40% reduction)6 All sectors of the food industry—retailers, manufacturers, trade associations, caterers, and suppliers to the catering industry—have responded positively and continue to be engaged UK salt intake decreased from 9.5 g/day in 2003-4 to 8.6 g/day in 2008 Since the majority of food in developing countries is prepared at home, on the street, or by the informal food processing sector, even if manufacturers were to lower salt dramatically, the population’s sodium burden would be only marginally affected. The 10 multinational companies comprising the International Food and Beverage Alliance (IFBA) sell only about 10% of all packaged foods in developing countries, so participation from small and medium sized enterprises is vital to success.7 These smaller enterprises often do not have the resources or incentives to reformulate. Government has an important role here. For example, in the UK, bread contributes around 20% to dietary salt intake, and so the Food Standards Agency funded research to help the bread industry better understand how salt interacts with other elements in bread production.8More often, however, publicly funded research into nutrition related health problems, including salt reduction, focuses on therapeutic rather than food based solutions—antihypertensive drugs rather than sodium lowering strategies, for example. Leading food companies invest in nutrition research, but for competitive reasons the results may not get disseminated to the numerous smaller companies with limited research budgets.Several IFBA companies have set salt reduction targets for their global portfolio. PepsiCo pledged to reduce its salt levels in major brands by 15% by 2015. Progress has been steady.9 PepsiCo is also investigating ways to share its salt reduction technology and consumer insights with governments and food companies in developing countries in recognition of the challenges they face. A coalition of willing companies supported by governments and global non-governmental organisations with technical strength and community reach could overcome resource constraints and make the WHO target achievable. Such a coalition would ensure support for companies making positive changes. Without such support we could see positive changes being reversed. A recent example is Campbell slowing down its plans to almost halve sodium in soups because of weak public uptake.10","URL":"http://www.bmj.com.offcampus.lib.washington.edu/content/343/bmj.d5097.full","DOI":"10.1136/bmj.d5097","language":"en","author":[{"family":"Yach","given":"Derek"}],"issued":{"year":2011,"month":8,"day":11},"accessed":{"year":2012,"month":6,"day":7}},"label":"page"},{"id":485,"uris":["http://zotero.org/groups/21876/items/3H3Q9MD2"],"uri":["http://zotero.org/groups/21876/items/3H3Q9MD2"],"itemData":{"id":485,"type":"article-journal","title":"Raising the priority of preventing chronic diseases: a political process","container-title":"Lancet","page":"1689-1698","volume":"376","issue":"9753","abstract":"Chronic diseases, especially cardiovascular diseases, diabetes, cancer, and chronic obstructive respiratory diseases,are neglected globally despite growing awareness of the serious burden that they cause. Global and national policies have failed to stop, and in many cases have contributed to, the chronic disease pandemic. Low-cost and highly effective solutions for the prevention of chronic diseases are readily available; the failure to respond is now a political, rather than a technical issue. We seek to understand this failure and to position chronic disease centrally on the global health and development agendas. To identify strategies for generation of increased political priority for chronic diseases and to further the involvement of development agencies, we use an adapted political process model. This model has previously been used to assess the success and failure of social movements. On the basis of this analysis,we recommend three strategies: reframe the debate to emphasise the societal determinants of disease and the interrelation between chronic disease, poverty, and development; mobilise resources through a cooperative and inclusive approach to development and by equitably distributing resources on the basis of avoidable mortality; and build one merging strategic and political opportunities, such as the World Health Assembly 2008–13 Action Plan and the high level meeting of the UN General Assembly in 2011 on chronic disease. Until the full set of threats—which include chronic disease—that trap poor households in cycles of debt and illness are addressed, progress towards equitable human development will remain inadequate.","DOI":"10.1016/S0140-6736(10)61414-6","note":"PMID: 21074260","shortTitle":"Raising the priority of preventing chronic diseases","journalAbbreviation":"Lancet","author":[{"family":"Geneau","given":"Robert"},{"family":"Stuckler","given":"David"},{"family":"Stachenko","given":"Sylvie"},{"family":"McKee","given":"Martin"},{"family":"Ebrahim","given":"Shah"},{"family":"Basu","given":"Sanjay"},{"family":"Chockalingham","given":"Arun"},{"family":"Mwatsama","given":"Modi"},{"family":"Jamal","given":"Rozmin"},{"family":"Alwan","given":"Ala"},{"family":"Beaglehole","given":"Robert"}],"issued":{"year":2010,"month":11,"day":13},"accessed":{"year":2012,"month":7,"day":11},"page-first":"1689"},"label":"page"}],"schema":"https://github.com/citation-style-language/schema/raw/master/csl-citation.json"} </w:instrText>
      </w:r>
      <w:r w:rsidRPr="009B40E4">
        <w:fldChar w:fldCharType="separate"/>
      </w:r>
      <w:r w:rsidR="00D84E0F" w:rsidRPr="00D84E0F">
        <w:rPr>
          <w:rFonts w:ascii="Calibri" w:hAnsi="Calibri" w:cs="Calibri"/>
          <w:szCs w:val="24"/>
          <w:vertAlign w:val="superscript"/>
        </w:rPr>
        <w:t>91–96</w:t>
      </w:r>
      <w:r w:rsidRPr="009B40E4">
        <w:fldChar w:fldCharType="end"/>
      </w:r>
      <w:r w:rsidRPr="009B40E4">
        <w:t xml:space="preserve"> It also stresses the need to understand the effective and affordabl</w:t>
      </w:r>
      <w:r w:rsidR="00240F43">
        <w:t>e options for prevention of noncommunicable diseases</w:t>
      </w:r>
      <w:r w:rsidRPr="009B40E4">
        <w:t xml:space="preserve"> and injuries and treatment including both medical and </w:t>
      </w:r>
      <w:r w:rsidRPr="0091104B">
        <w:t>surgical interventions.</w:t>
      </w:r>
      <w:r w:rsidRPr="0091104B">
        <w:fldChar w:fldCharType="begin"/>
      </w:r>
      <w:r w:rsidR="00355799">
        <w:instrText xml:space="preserve"> ADDIN ZOTERO_ITEM CSL_CITATION {"citationID":"M9zsscEh","properties":{"formattedCitation":"{\\rtf \\super 97\\nosupersub{}}","plainCitation":"97"},"citationItems":[{"id":15081,"uris":["http://zotero.org/groups/21876/items/GDFVKMRT"],"uri":["http://zotero.org/groups/21876/items/GDFVKMRT"],"itemData":{"id":15081,"type":"article-journal","title":"An estimate of the number of lives that could be saved through improvements in trauma care globally","container-title":"World journal of surgery","page":"959-963","volume":"36","issue":"5","abstract":"BACKGROUND\n\nReducing the global burden of injury requires both injury prevention and improved trauma care. We sought to provide an estimate of the number of lives that could be saved by improvements in trauma care, especially in low income and middle income countries.\n\n\nMETHODS\n\nPrior data showed differences in case fatality rates for seriously injured persons (Injury Severity Score ≥ 9) in three separate locations: Seattle, WA (high income; case fatality 35%); Monterrey, Mexico (middle income; case fatality 55%); and Kumasi, Ghana (low income; case fatality 63%). For the present study, total numbers of injury deaths in all countries in different economic strata were obtained from the Global Burden of Disease study. The number of lives that could potentially be saved from improvements in trauma care globally was calculated as the difference in current number of deaths from trauma in low income and middle income countries minus the number of deaths that would have occurred if case fatality rates in these locations were decreased to the case fatality rate in high income countries.\n\n\nRESULTS\n\nBetween 1,730,000 and 1,965,000 lives could be saved in low income and middle income countries if case fatality rates among seriously injured persons could be reduced to those in high income countries. This amounts to 34-38% of all injury deaths.\n\n\nCONCLUSIONS\n\nA significant number of lives could be saved by improvements in trauma care globally. This is another piece of evidence in support of investment in and greater attention to strengthening trauma care services globally.","DOI":"10.1007/s00268-012-1459-6","note":"PMID: 22419411","journalAbbreviation":"World J Surg","author":[{"family":"Mock","given":"Charles"},{"family":"Joshipura","given":"Manjul"},{"family":"Arreola-Risa","given":"Carlos"},{"family":"Quansah","given":"Robert"}],"issued":{"year":2012,"month":5},"accessed":{"year":2012,"month":7,"day":26},"page-first":"959"}}],"schema":"https://github.com/citation-style-language/schema/raw/master/csl-citation.json"} </w:instrText>
      </w:r>
      <w:r w:rsidRPr="0091104B">
        <w:fldChar w:fldCharType="separate"/>
      </w:r>
      <w:r w:rsidR="00D84E0F" w:rsidRPr="00D84E0F">
        <w:rPr>
          <w:rFonts w:ascii="Calibri" w:hAnsi="Calibri" w:cs="Calibri"/>
          <w:szCs w:val="24"/>
          <w:vertAlign w:val="superscript"/>
        </w:rPr>
        <w:t>97</w:t>
      </w:r>
      <w:r w:rsidRPr="0091104B">
        <w:fldChar w:fldCharType="end"/>
      </w:r>
      <w:r w:rsidRPr="0091104B">
        <w:t xml:space="preserve"> </w:t>
      </w:r>
    </w:p>
    <w:p w:rsidR="00E7783C" w:rsidRDefault="00E7783C" w:rsidP="00E7783C">
      <w:r w:rsidRPr="0091104B">
        <w:t>Our study suggests that the number of deaths where chronic kidney disease is the ICD underlying cause of death increased by 82% from 1990 to 2010.</w:t>
      </w:r>
      <w:r>
        <w:t xml:space="preserve"> It is important to note that in addition to these deaths, a reduced glomerular filtration rate (GFR) has been associated with an increased risk of death.</w:t>
      </w:r>
      <w:r>
        <w:fldChar w:fldCharType="begin"/>
      </w:r>
      <w:r w:rsidR="00355799">
        <w:instrText xml:space="preserve"> ADDIN ZOTERO_ITEM CSL_CITATION {"citationID":"xOtDJAlK","properties":{"formattedCitation":"{\\rtf \\super 98\\nosupersub{}}","plainCitation":"98"},"citationItems":[{"id":15103,"uris":["http://zotero.org/groups/21876/items/MGAA6FTJ"],"uri":["http://zotero.org/groups/21876/items/MGAA6FTJ"],"itemData":{"id":15103,"type":"article-journal","title":"Chronic kidney disease and the risks of death, cardiovascular events, and hospitalization","container-title":"The New England journal of medicine","page":"1296-1305","volume":"351","issue":"13","abstract":"BACKGROUND\n\nEnd-stage renal disease substantially increases the risks of death, cardiovascular disease, and use of specialized health care, but the effects of less severe kidney dysfunction on these outcomes are less well defined.\n\n\nMETHODS\n\nWe estimated the longitudinal glomerular filtration rate (GFR) among 1,120,295 adults within a large, integrated system of health care delivery in whom serum creatinine had been measured between 1996 and 2000 and who had not undergone dialysis or kidney transplantation. We examined the multivariable association between the estimated GFR and the risks of death, cardiovascular events, and hospitalization.\n\n\nRESULTS\n\nThe median follow-up was 2.84 years, the mean age was 52 years, and 55 percent of the group were women. After adjustment, the risk of death increased as the GFR decreased below 60 ml per minute per 1.73 m2 of body-surface area: the adjusted hazard ratio for death was 1.2 with an estimated GFR of 45 to 59 ml per minute per 1.73 m2 (95 percent confidence interval, 1.1 to 1.2), 1.8 with an estimated GFR of 30 to 44 ml per minute per 1.73 m2 (95 percent confidence interval, 1.7 to 1.9), 3.2 with an estimated GFR of 15 to 29 ml per minute per 1.73 m2 (95 percent confidence interval, 3.1 to 3.4), and 5.9 with an estimated GFR of less than 15 ml per minute per 1.73 m2 (95 percent confidence interval, 5.4 to 6.5). The adjusted hazard ratio for cardiovascular events also increased inversely with the estimated GFR: 1.4 (95 percent confidence interval, 1.4 to 1.5), 2.0 (95 percent confidence interval, 1.9 to 2.1), 2.8 (95 percent confidence interval, 2.6 to 2.9), and 3.4 (95 percent confidence interval, 3.1 to 3.8), respectively. The adjusted risk of hospitalization with a reduced estimated GFR followed a similar pattern.\n\n\nCONCLUSIONS\n\nAn independent, graded association was observed between a reduced estimated GFR and the risk of death, cardiovascular events, and hospitalization in a large, community-based population. These findings highlight the clinical and public health importance of chronic renal insufficiency.","DOI":"10.1056/NEJMoa041031","note":"PMID: 15385656","journalAbbreviation":"N. Engl. J. Med.","author":[{"family":"Go","given":"Alan S"},{"family":"Chertow","given":"Glenn M"},{"family":"Fan","given":"Dongjie"},{"family":"McCulloch","given":"Charles E"},{"family":"Hsu","given":"Chi-yuan"}],"issued":{"year":2004,"month":9,"day":23},"accessed":{"year":2012,"month":7,"day":26},"page-first":"1296"}}],"schema":"https://github.com/citation-style-language/schema/raw/master/csl-citation.json"} </w:instrText>
      </w:r>
      <w:r>
        <w:fldChar w:fldCharType="separate"/>
      </w:r>
      <w:r w:rsidR="00D84E0F" w:rsidRPr="00D84E0F">
        <w:rPr>
          <w:rFonts w:ascii="Calibri" w:hAnsi="Calibri" w:cs="Calibri"/>
          <w:szCs w:val="24"/>
          <w:vertAlign w:val="superscript"/>
        </w:rPr>
        <w:t>98</w:t>
      </w:r>
      <w:r>
        <w:fldChar w:fldCharType="end"/>
      </w:r>
      <w:r>
        <w:t xml:space="preserve"> Even chronic kidney disease stages 2-4 are associated with increased risk of death. It is likely that the directly coded deaths due to chronic kidney disease estimated here capture only those deaths due to end-stage renal disease. There are other diseases such as diabetes that are also associated with an elevated risk of death from other causes. In the case of diabetes, the risk factor analysis</w:t>
      </w:r>
      <w:r>
        <w:fldChar w:fldCharType="begin"/>
      </w:r>
      <w:r w:rsidR="00355799">
        <w:instrText xml:space="preserve"> ADDIN ZOTERO_ITEM CSL_CITATION {"citationID":"bQDccs3u","properties":{"formattedCitation":"{\\rtf \\super 99\\nosupersub{}}","plainCitation":"99"},"citationItems":[{"id":4965,"uris":["http://zotero.org/groups/21876/items/JXPTQJAB"],"uri":["http://zotero.org/groups/21876/items/JXPTQJAB"],"itemData":{"id":4965,"type":"article-journal","title":"The Burden of Disease and Injury Attributable to 66 Risk Factors in 21 Regions 1990-2010: A Systematic Analysis","author":[{"family":"Lim","given":"Stephen"},{"family":"Murray","given":"Christopher J"},{"family":"Lopez","given":"Alan"},{"family":"Vos","given":"Theo"},{"family":"Danaei","given":"Goodarz"},{"family":"Flaxman","given":"Abraham"},{"family":"Shibuya","given":"Kenji"},{"family":"Ezzati","given":"Majid"}],"issued":{"literal":"In preparation"}}}],"schema":"https://github.com/citation-style-language/schema/raw/master/csl-citation.json"} </w:instrText>
      </w:r>
      <w:r>
        <w:fldChar w:fldCharType="separate"/>
      </w:r>
      <w:r w:rsidR="00D84E0F" w:rsidRPr="00D84E0F">
        <w:rPr>
          <w:rFonts w:ascii="Calibri" w:hAnsi="Calibri" w:cs="Calibri"/>
          <w:szCs w:val="24"/>
          <w:vertAlign w:val="superscript"/>
        </w:rPr>
        <w:t>99</w:t>
      </w:r>
      <w:r>
        <w:fldChar w:fldCharType="end"/>
      </w:r>
      <w:r>
        <w:t xml:space="preserve"> provides an assessment of all mortality associated with hyperglycemia. This number is substantially larger than the number of deaths directly coded to diabetes estimated here. </w:t>
      </w:r>
    </w:p>
    <w:p w:rsidR="00E7783C" w:rsidRDefault="00E7783C" w:rsidP="00E7783C">
      <w:r>
        <w:t>Those who study the health effects of war will be surprised by the number of direct conflict-related</w:t>
      </w:r>
      <w:r w:rsidR="00E839D4">
        <w:t xml:space="preserve"> deaths estimated for 2010: 17,6</w:t>
      </w:r>
      <w:r>
        <w:t xml:space="preserve">70. One needs to interpret this number with great caution. First, in the ICD cause list only direct deaths are assigned to this cause; this is not the total number of deaths related to conflict which would include indirect deaths mediated through multiple mechanisms such as the </w:t>
      </w:r>
      <w:r w:rsidRPr="00981E4A">
        <w:t>destruction of he</w:t>
      </w:r>
      <w:r w:rsidRPr="00EA2001">
        <w:t>althcare infrastructure.</w:t>
      </w:r>
      <w:r w:rsidRPr="00EA2001">
        <w:fldChar w:fldCharType="begin"/>
      </w:r>
      <w:r w:rsidR="00355799">
        <w:instrText xml:space="preserve"> ADDIN ZOTERO_ITEM CSL_CITATION {"citationID":"uiOPs0Af","properties":{"formattedCitation":"{\\rtf \\super 100\\nosupersub{}}","plainCitation":"100"},"citationItems":[{"id":3566,"uris":["http://zotero.org/groups/21876/items/ENRFI7T9"],"uri":["http://zotero.org/groups/21876/items/ENRFI7T9"],"itemData":{"id":3566,"type":"article-journal","title":"Armed conflict as a public health problem","container-title":"BMJ (Clinical research ed.)","page":"346-349","volume":"324","issue":"7333","note":"PMID: 11834565","journalAbbreviation":"BMJ","author":[{"family":"Murray","given":"C J L"},{"family":"King","given":"G"},{"family":"Lopez","given":"A D"},{"family":"Tomijima","given":"N"},{"family":"Krug","given":"E G"}],"issued":{"year":2002,"month":2,"day":9},"accessed":{"year":2012,"month":7,"day":6},"page-first":"346"}}],"schema":"https://github.com/citation-style-language/schema/raw/master/csl-citation.json"} </w:instrText>
      </w:r>
      <w:r w:rsidRPr="00EA2001">
        <w:fldChar w:fldCharType="separate"/>
      </w:r>
      <w:r w:rsidR="00D84E0F" w:rsidRPr="00D84E0F">
        <w:rPr>
          <w:rFonts w:ascii="Calibri" w:hAnsi="Calibri" w:cs="Calibri"/>
          <w:szCs w:val="24"/>
          <w:vertAlign w:val="superscript"/>
        </w:rPr>
        <w:t>100</w:t>
      </w:r>
      <w:r w:rsidRPr="00EA2001">
        <w:fldChar w:fldCharType="end"/>
      </w:r>
      <w:r w:rsidRPr="00EA2001">
        <w:t xml:space="preserve"> Second, the number of direct deaths varies substantially from year to year. During the period 1990 to 2010, direct deaths peaked at 49</w:t>
      </w:r>
      <w:r w:rsidR="0046777D">
        <w:t>6</w:t>
      </w:r>
      <w:r w:rsidR="00E7412E" w:rsidRPr="00D149FF">
        <w:t>·</w:t>
      </w:r>
      <w:r w:rsidR="00E7412E">
        <w:t>4 thousand</w:t>
      </w:r>
      <w:r w:rsidR="0046777D">
        <w:t xml:space="preserve"> in 1994 with a low in 2001 of 14</w:t>
      </w:r>
      <w:r w:rsidR="00E7412E" w:rsidRPr="00D149FF">
        <w:t>·</w:t>
      </w:r>
      <w:r w:rsidR="0046777D">
        <w:t>7</w:t>
      </w:r>
      <w:r w:rsidR="00E7412E">
        <w:t xml:space="preserve"> thousand</w:t>
      </w:r>
      <w:r w:rsidR="00BD4DA0">
        <w:t xml:space="preserve"> and a low figure of </w:t>
      </w:r>
      <w:r w:rsidR="00245BF4">
        <w:t xml:space="preserve">17.7 </w:t>
      </w:r>
      <w:r w:rsidR="00E7412E">
        <w:t xml:space="preserve">thousand </w:t>
      </w:r>
      <w:r w:rsidR="00BD4DA0">
        <w:t xml:space="preserve">in 2010.  </w:t>
      </w:r>
      <w:r>
        <w:t>In the following year 2011, because of the conflict in Libya, for example, direct deaths were likely to have been much higher</w:t>
      </w:r>
      <w:r w:rsidRPr="00981E4A">
        <w:t xml:space="preserve">, closer </w:t>
      </w:r>
      <w:r w:rsidRPr="00016B08">
        <w:t>to 61</w:t>
      </w:r>
      <w:r w:rsidR="00245BF4">
        <w:t xml:space="preserve"> thousand</w:t>
      </w:r>
      <w:r w:rsidRPr="00981E4A">
        <w:t>.</w:t>
      </w:r>
      <w:r>
        <w:t xml:space="preserve"> For episodic events such as wars or natural disasters, it is important to consider the burden of disease over longer periods of time to fully appreciate their impact on human populations. </w:t>
      </w:r>
    </w:p>
    <w:p w:rsidR="00E7783C" w:rsidRDefault="00E7783C" w:rsidP="00E7783C">
      <w:r>
        <w:t xml:space="preserve">For the first time in the GBD enterprise, we have included deaths that are primarily related to hepatitis B, hepatitis C, alcohol, and other causes as sub-causes for cirrhosis and liver cancer. These categorical breakdowns are not counterfactual assessments but rather an attempt to assign deaths to the primary or dominant cause. There are interactions between hepatitis and alcohol consumption such that assessing these </w:t>
      </w:r>
      <w:r w:rsidRPr="00D064AC">
        <w:t>conditions as a risk factor would give different results. Nevertheless, this categorical attribution provides a useful assessment of the magnitude of direct burden, particularly for guiding intervention priorities. The total number of deaths due to hepatitis B in 2010 was estimated to be 786</w:t>
      </w:r>
      <w:r w:rsidR="00245BF4">
        <w:t xml:space="preserve"> thousand</w:t>
      </w:r>
      <w:r w:rsidRPr="00D064AC">
        <w:t xml:space="preserve"> and due </w:t>
      </w:r>
      <w:r w:rsidR="009B6175">
        <w:t>to hepatitis C is 499</w:t>
      </w:r>
      <w:r w:rsidR="00245BF4">
        <w:t xml:space="preserve"> thousand</w:t>
      </w:r>
      <w:r w:rsidRPr="00787BEA">
        <w:t>. If all deaths related to these diseases were directly counted in the main GBD cause list, hepatitis B would be the 15th ranked cause of death and hepatitis C would be the 25th rank</w:t>
      </w:r>
      <w:r w:rsidRPr="000A5B73">
        <w:t>ed cause of death. Cirrhosis rates vary dramatically across countries with Egypt having the hi</w:t>
      </w:r>
      <w:r w:rsidRPr="00B648A3">
        <w:t>ghest level related to an iatrogenic epidemic of hepatitis C that began as early as the 1920s.</w:t>
      </w:r>
      <w:r w:rsidRPr="00B648A3">
        <w:fldChar w:fldCharType="begin"/>
      </w:r>
      <w:r w:rsidR="00355799">
        <w:instrText xml:space="preserve"> ADDIN ZOTERO_ITEM CSL_CITATION {"citationID":"CfVSIt4L","properties":{"formattedCitation":"{\\rtf \\super 101\\nosupersub{}}","plainCitation":"101"},"citationItems":[{"id":364,"uris":["http://zotero.org/groups/21876/items/32W6MU7V"],"uri":["http://zotero.org/groups/21876/items/32W6MU7V"],"itemData":{"id":364,"type":"article-journal","title":"The role of parenteral antischistosomal therapy in the spread of hepatitis C virus in Egypt","container-title":"Lancet","page":"887-891","volume":"355","issue":"9207","abstract":"BACKGROUND\n\nThe population of Egypt has a heavy burden of liver disease, mostly due to chronic infection with hepatitis C virus (HCV). Overall prevalence of antibody to HCV in the general population is around 15-20%. The risk factor for HCV transmission that specifically sets Egypt apart from other countries is a personal history of parenteral antischistosomal therapy (PAT). A review of the Egyptian PAT mass-treatment campaigns, discontinued only in the 1980s, show a very high potential for transmission of blood-borne pathogens. We examine the relative importance of PAT in the spread of HCV in Egypt.\n\n\nMETHODS\n\nThe degree of exposure to PAT by cohort was estimated from 1961-86 Ministry of Health data. A cohort-specific exposure index for PAT was calculated and compared with cohort-specific HCV prevalence rates in four regions.\n\n\nFINDINGS\n\nHCV prevalence was calculated for 8499 Egyptians aged 10-50 years. A significant association between seroprevalence of antibodies to HCV and the exposure index (1.31 [95% CI 1.08-1.59]; p=0.007) was identified across four different regions. In all regions cohort-specific HCV prevalence was lowest in children and young adults than in older cohorts. These lower prevalence rates coincided with the gradual and final replacement of PAT with oral antischistosomal drugs at different points in time in the four regions.\n\n\nINTERPRETATION\n\nThe data suggest that PAT had a major role in the spread of HCV throughout Egypt. This intensive transmission established a large reservoir of chronic HCV infection, responsible for the high prevalence of HCV infection and current high rates of transmission. Egypt's mass campaigns of PAT may represent the world's largest iatrogenic transmission of blood-borne pathogens.","note":"PMID: 10752705","journalAbbreviation":"Lancet","author":[{"family":"Frank","given":"C"},{"family":"Mohamed","given":"M K"},{"family":"Strickland","given":"G T"},{"family":"Lavanchy","given":"D"},{"family":"Arthur","given":"R R"},{"family":"Magder","given":"L S"},{"family":"El Khoby","given":"T"},{"family":"Abdel-Wahab","given":"Y"},{"family":"Aly Ohn","given":"E S"},{"family":"Anwar","given":"W"},{"family":"Sallam","given":"I"}],"issued":{"year":2000,"month":3,"day":11},"accessed":{"year":2012,"month":7,"day":6},"page-first":"887"}}],"schema":"https://github.com/citation-style-language/schema/raw/master/csl-citation.json"} </w:instrText>
      </w:r>
      <w:r w:rsidRPr="00B648A3">
        <w:fldChar w:fldCharType="separate"/>
      </w:r>
      <w:r w:rsidR="00D84E0F" w:rsidRPr="00D84E0F">
        <w:rPr>
          <w:rFonts w:ascii="Calibri" w:hAnsi="Calibri" w:cs="Calibri"/>
          <w:szCs w:val="24"/>
          <w:vertAlign w:val="superscript"/>
        </w:rPr>
        <w:t>101</w:t>
      </w:r>
      <w:r w:rsidRPr="00B648A3">
        <w:fldChar w:fldCharType="end"/>
      </w:r>
      <w:r w:rsidRPr="00B648A3">
        <w:t xml:space="preserve"> Some regions have high rates such as Asia Central, Oceania, sub-Saharan Africa East and West, </w:t>
      </w:r>
      <w:r w:rsidR="00B648A3" w:rsidRPr="00B648A3">
        <w:t xml:space="preserve">Europe </w:t>
      </w:r>
      <w:r w:rsidRPr="00B648A3">
        <w:t>Eastern, and Latin America Central</w:t>
      </w:r>
      <w:r w:rsidRPr="00B71571">
        <w:t>. Not all of this regional and country variation can be explained by hepatitis B, hepatitis C, or total alcohol consumption.</w:t>
      </w:r>
      <w:r>
        <w:t xml:space="preserve"> </w:t>
      </w:r>
      <w:r w:rsidRPr="00B648A3">
        <w:t>For example, high rates in Europe Eastern</w:t>
      </w:r>
      <w:r>
        <w:t xml:space="preserve"> may be related to the content rather than volume of alcohol consumed. Theories on this distinction include hepatotoxic alcohol constituents in homemade poor quality alcohol which is common </w:t>
      </w:r>
      <w:r>
        <w:lastRenderedPageBreak/>
        <w:t>in these regions</w:t>
      </w:r>
      <w:r w:rsidRPr="003B77B2">
        <w:rPr>
          <w:strike/>
        </w:rPr>
        <w:t>.</w:t>
      </w:r>
      <w:r>
        <w:rPr>
          <w:strike/>
        </w:rPr>
        <w:fldChar w:fldCharType="begin"/>
      </w:r>
      <w:r w:rsidR="00355799">
        <w:rPr>
          <w:strike/>
        </w:rPr>
        <w:instrText xml:space="preserve"> ADDIN ZOTERO_ITEM CSL_CITATION {"citationID":"vPgQ4eIa","properties":{"formattedCitation":"{\\rtf \\super 102\\nosupersub{}}","plainCitation":"102"},"citationItems":[{"id":4824,"uris":["http://zotero.org/groups/21876/items/JHEATZ2N"],"uri":["http://zotero.org/groups/21876/items/JHEATZ2N"],"itemData":{"id":4824,"type":"article-journal","title":"Liver cirrhosis mortality in Europe, with special attention to Central and Eastern Europe","container-title":"European addiction research","page":"193-201","volume":"16","issue":"4","abstract":"BACKGROUND AND AIMS\n\nOver the last decades, Europe has experienced dramatic changes in the geographical variation of liver cirrhosis rates. We attempt to provide a comprehensive analysis of patterns and trends in liver cirrhosis mortality in European countries and regions.\n\n\nMETHODS\n\nAge-standardized (world standard) liver cirrhosis mortality rates per 100,000 person-years at ages 20-64 for 35 separate countries were computed using the World Health Organization Mortality Database.\n\n\nRESULTS\n\nIn the analyzed period (1959-2002), a very strong East-to-West gradient in mortality rates was observed. An increase of the burden of mortality due to liver cirrhosis appeared in Eastern Europe in two specific areas: South-eastern Europe and North-eastern Europe. In the first group of countries, liver cirrhosis mortality was 10-20 times higher than in most other European states, levels never before observed in Europe. In the countries of North-eastern Europe (former Soviet Union countries) liver cirrhosis mortality was characterized by dramatic changes (both positive and negative) in specific periods of time.\n\n\nCONCLUSIONS\n\nDespite the fact that the etiology of liver cirrhosis is multifactorial, it seems that alcohol drinking is the factor that best explains the observed patterns in frequency of this disease in Europe. Alcohol control policies in Central and Eastern Europe could lead to an appreciable reduction of premature mortality from liver cirrhosis.","DOI":"10.1159/000317248","note":"PMID: 20606444","journalAbbreviation":"Eur Addict Res","author":[{"family":"Zatoński","given":"Witold A"},{"family":"Sulkowska","given":"Urszula"},{"family":"Mańczuk","given":"Marta"},{"family":"Rehm","given":"Jürgen"},{"family":"Boffetta","given":"Paolo"},{"family":"Lowenfels","given":"Albert B"},{"family":"La Vecchia","given":"Carlo"}],"issued":{"year":2010},"accessed":{"year":2012,"month":7,"day":6},"page-first":"193"}}],"schema":"https://github.com/citation-style-language/schema/raw/master/csl-citation.json"} </w:instrText>
      </w:r>
      <w:r>
        <w:rPr>
          <w:strike/>
        </w:rPr>
        <w:fldChar w:fldCharType="separate"/>
      </w:r>
      <w:r w:rsidR="00D84E0F" w:rsidRPr="00D84E0F">
        <w:rPr>
          <w:rFonts w:ascii="Calibri" w:hAnsi="Calibri" w:cs="Calibri"/>
          <w:szCs w:val="24"/>
          <w:vertAlign w:val="superscript"/>
        </w:rPr>
        <w:t>102</w:t>
      </w:r>
      <w:r>
        <w:rPr>
          <w:strike/>
        </w:rPr>
        <w:fldChar w:fldCharType="end"/>
      </w:r>
      <w:r>
        <w:t xml:space="preserve"> Given that much of the burden of cirrhosis may be preventable, its substantial global mortality deserves more policy attention. </w:t>
      </w:r>
    </w:p>
    <w:p w:rsidR="00E7783C" w:rsidRDefault="00E7783C" w:rsidP="00E7783C">
      <w:r>
        <w:t xml:space="preserve">The much more detailed categories of causes of death for injuries in the GBD 2010 provide some </w:t>
      </w:r>
      <w:r w:rsidRPr="00B71571">
        <w:t>important insights into the global epidemic of road injuries.</w:t>
      </w:r>
      <w:r>
        <w:t xml:space="preserve"> </w:t>
      </w:r>
      <w:r w:rsidRPr="00B71571">
        <w:t xml:space="preserve">The number of deaths has increased from </w:t>
      </w:r>
      <w:r w:rsidRPr="00980E4E">
        <w:t>90</w:t>
      </w:r>
      <w:r>
        <w:t>8</w:t>
      </w:r>
      <w:r w:rsidR="00245BF4">
        <w:t xml:space="preserve"> thousand</w:t>
      </w:r>
      <w:r>
        <w:t xml:space="preserve"> </w:t>
      </w:r>
      <w:r w:rsidRPr="00980E4E">
        <w:t>in 1990 to 1·329 million in 2010. These</w:t>
      </w:r>
      <w:r w:rsidRPr="00B71571">
        <w:t xml:space="preserve"> results are similar</w:t>
      </w:r>
      <w:r>
        <w:t xml:space="preserve"> to </w:t>
      </w:r>
      <w:r w:rsidRPr="0049006E">
        <w:rPr>
          <w:rFonts w:cstheme="minorHAnsi"/>
        </w:rPr>
        <w:t xml:space="preserve">the </w:t>
      </w:r>
      <w:r w:rsidRPr="005D5CEE">
        <w:rPr>
          <w:rFonts w:eastAsia="Times New Roman" w:cstheme="minorHAnsi"/>
        </w:rPr>
        <w:t>1</w:t>
      </w:r>
      <w:r>
        <w:t>·</w:t>
      </w:r>
      <w:r w:rsidRPr="005D5CEE">
        <w:rPr>
          <w:rFonts w:eastAsia="Times New Roman" w:cstheme="minorHAnsi"/>
        </w:rPr>
        <w:t>237</w:t>
      </w:r>
      <w:r>
        <w:rPr>
          <w:rFonts w:eastAsia="Times New Roman" w:cstheme="minorHAnsi"/>
        </w:rPr>
        <w:t xml:space="preserve"> </w:t>
      </w:r>
      <w:r w:rsidRPr="0062657C">
        <w:rPr>
          <w:rFonts w:eastAsia="Times New Roman" w:cstheme="minorHAnsi"/>
        </w:rPr>
        <w:t xml:space="preserve">million </w:t>
      </w:r>
      <w:r w:rsidRPr="0062657C">
        <w:t>reported for 2007 by WHO.</w:t>
      </w:r>
      <w:r w:rsidRPr="0062657C">
        <w:fldChar w:fldCharType="begin"/>
      </w:r>
      <w:r w:rsidR="00355799">
        <w:instrText xml:space="preserve"> ADDIN ZOTERO_ITEM CSL_CITATION {"citationID":"V7q73uOX","properties":{"formattedCitation":"{\\rtf \\super 103\\nosupersub{}}","plainCitation":"103"},"citationItems":[{"id":2838,"uris":["http://zotero.org/groups/21876/items/C2GKKTUX"],"uri":["http://zotero.org/groups/21876/items/C2GKKTUX"],"itemData":{"id":2838,"type":"webpage","title":"Global Health Observatory Data Repository | Mortality, Road traffic deaths","URL":"http://apps.who.int/ghodata/?vid=51210#","author":[{"family":"World Health Organization","given":""}],"issued":{"year":2007},"accessed":{"year":2012,"month":7,"day":5}}}],"schema":"https://github.com/citation-style-language/schema/raw/master/csl-citation.json"} </w:instrText>
      </w:r>
      <w:r w:rsidRPr="0062657C">
        <w:fldChar w:fldCharType="separate"/>
      </w:r>
      <w:r w:rsidR="00D84E0F" w:rsidRPr="00D84E0F">
        <w:rPr>
          <w:rFonts w:ascii="Calibri" w:hAnsi="Calibri" w:cs="Calibri"/>
          <w:szCs w:val="24"/>
          <w:vertAlign w:val="superscript"/>
        </w:rPr>
        <w:t>103</w:t>
      </w:r>
      <w:r w:rsidRPr="0062657C">
        <w:fldChar w:fldCharType="end"/>
      </w:r>
      <w:r w:rsidRPr="0062657C">
        <w:t xml:space="preserve"> The composition of this increase in road injuries, however, has differed by sub-cause. Road deaths to pedestrians were the major cause, rising from 284</w:t>
      </w:r>
      <w:r w:rsidR="00245BF4">
        <w:t xml:space="preserve"> thousand</w:t>
      </w:r>
      <w:r w:rsidRPr="0062657C">
        <w:t xml:space="preserve"> in 1990 to </w:t>
      </w:r>
      <w:r w:rsidRPr="0062657C">
        <w:rPr>
          <w:rFonts w:ascii="Calibri" w:eastAsia="Times New Roman" w:hAnsi="Calibri" w:cs="Calibri"/>
          <w:color w:val="000000"/>
        </w:rPr>
        <w:t>461</w:t>
      </w:r>
      <w:r w:rsidR="00245BF4">
        <w:rPr>
          <w:rFonts w:ascii="Calibri" w:eastAsia="Times New Roman" w:hAnsi="Calibri" w:cs="Calibri"/>
          <w:color w:val="000000"/>
        </w:rPr>
        <w:t xml:space="preserve"> thousand</w:t>
      </w:r>
      <w:r w:rsidRPr="0062657C">
        <w:rPr>
          <w:rFonts w:ascii="Calibri" w:eastAsia="Times New Roman" w:hAnsi="Calibri" w:cs="Calibri"/>
          <w:color w:val="000000"/>
        </w:rPr>
        <w:t xml:space="preserve"> in 2010. </w:t>
      </w:r>
      <w:r w:rsidRPr="0062657C">
        <w:t>Road deaths of occupants in motorized vehicles with three or more wheels and road deaths of riders of motorized vehicles with two wheels each have also increased by about 200</w:t>
      </w:r>
      <w:r w:rsidR="00245BF4">
        <w:t xml:space="preserve"> thousand</w:t>
      </w:r>
      <w:r w:rsidRPr="0062657C">
        <w:t xml:space="preserve"> over</w:t>
      </w:r>
      <w:r>
        <w:t xml:space="preserve"> the past two decades. Regional detail shows road deaths </w:t>
      </w:r>
      <w:r w:rsidRPr="00B868B6">
        <w:t>in Asia East</w:t>
      </w:r>
      <w:r w:rsidR="00BD4DA0">
        <w:t xml:space="preserve">, Asia South, sub-Saharan Africa East and sub-Saharan Africa West </w:t>
      </w:r>
      <w:r w:rsidRPr="00B868B6">
        <w:t>rapidly escalating</w:t>
      </w:r>
      <w:r>
        <w:t xml:space="preserve"> over the past two decades, while in high-income areas with a history </w:t>
      </w:r>
      <w:r w:rsidRPr="00D6023A">
        <w:t xml:space="preserve">of road safety programs such as Europe Western and North America High Income, road deaths have </w:t>
      </w:r>
      <w:r w:rsidR="00B978F9">
        <w:t>decreased</w:t>
      </w:r>
      <w:r w:rsidRPr="00D6023A">
        <w:t>.</w:t>
      </w:r>
      <w:r>
        <w:t xml:space="preserve"> </w:t>
      </w:r>
    </w:p>
    <w:p w:rsidR="00E7783C" w:rsidRDefault="00E7783C" w:rsidP="00E7783C">
      <w:r>
        <w:t xml:space="preserve">Violence as a cause </w:t>
      </w:r>
      <w:r w:rsidRPr="001C4E3E">
        <w:t xml:space="preserve">of death is one of the most heterogeneous </w:t>
      </w:r>
      <w:r w:rsidRPr="00B22DCA">
        <w:t xml:space="preserve">across different regions. Crude death rates for violence are lowest in Asia Pacific High </w:t>
      </w:r>
      <w:r w:rsidRPr="006002F7">
        <w:t>Income at 1 per 100</w:t>
      </w:r>
      <w:r w:rsidR="00245BF4">
        <w:t xml:space="preserve"> thousand</w:t>
      </w:r>
      <w:r w:rsidRPr="006002F7">
        <w:t>. The rate in 2010 in North America High-Income dom</w:t>
      </w:r>
      <w:r w:rsidR="006002F7" w:rsidRPr="006002F7">
        <w:t>inated by the United States of 7</w:t>
      </w:r>
      <w:r w:rsidRPr="006002F7">
        <w:t xml:space="preserve"> per 100</w:t>
      </w:r>
      <w:r w:rsidR="00245BF4">
        <w:t xml:space="preserve"> thousand</w:t>
      </w:r>
      <w:r w:rsidRPr="006002F7">
        <w:t xml:space="preserve"> was nearly </w:t>
      </w:r>
      <w:r w:rsidR="009B6175">
        <w:t>seven</w:t>
      </w:r>
      <w:r w:rsidRPr="006002F7">
        <w:t xml:space="preserve"> times higher than Asia Pacific High Income, Western Europe, or Australasia</w:t>
      </w:r>
      <w:r w:rsidRPr="001C4E3E">
        <w:t>.</w:t>
      </w:r>
      <w:r>
        <w:t xml:space="preserve"> </w:t>
      </w:r>
      <w:r w:rsidRPr="001C4E3E">
        <w:t xml:space="preserve">But </w:t>
      </w:r>
      <w:r w:rsidRPr="00B22DCA">
        <w:t xml:space="preserve">in Latin America Tropical </w:t>
      </w:r>
      <w:r w:rsidR="00044E66">
        <w:t>the rates are substantially greater still, at 30 per 100</w:t>
      </w:r>
      <w:r w:rsidR="00245BF4">
        <w:t xml:space="preserve"> thousand</w:t>
      </w:r>
      <w:r w:rsidR="00044E66">
        <w:t xml:space="preserve">, </w:t>
      </w:r>
      <w:r w:rsidRPr="00B22DCA">
        <w:t xml:space="preserve">and </w:t>
      </w:r>
      <w:r w:rsidR="00044E66">
        <w:t xml:space="preserve">even higher in </w:t>
      </w:r>
      <w:r w:rsidRPr="00B22DCA">
        <w:t xml:space="preserve">Latin America Central </w:t>
      </w:r>
      <w:r w:rsidR="009B6175">
        <w:t xml:space="preserve">and sub-Saharan Africa Southern, </w:t>
      </w:r>
      <w:r w:rsidR="00B22DCA" w:rsidRPr="00B22DCA">
        <w:t>33</w:t>
      </w:r>
      <w:r w:rsidRPr="00B22DCA">
        <w:t xml:space="preserve"> per 100</w:t>
      </w:r>
      <w:r w:rsidR="00245BF4">
        <w:t xml:space="preserve"> thousand</w:t>
      </w:r>
      <w:r w:rsidRPr="00B22DCA">
        <w:t>.</w:t>
      </w:r>
      <w:r>
        <w:t xml:space="preserve"> The massive variation in violence raises important questions about the origins and sociopolitical context of violence, the drivers of change in </w:t>
      </w:r>
      <w:r w:rsidRPr="00393165">
        <w:t xml:space="preserve">violence-related mortality, and the effectiveness of public health strategies in reducing deaths from violence. In Latin America Tropical males, violence is the number one cause of YLLs. In 2010, males in the 20 to 24 </w:t>
      </w:r>
      <w:r w:rsidR="00393165" w:rsidRPr="00393165">
        <w:t>age group alone suffered 653</w:t>
      </w:r>
      <w:r w:rsidR="00E7412E" w:rsidRPr="00D149FF">
        <w:t>·</w:t>
      </w:r>
      <w:r w:rsidR="00E7412E">
        <w:t>6 thousand</w:t>
      </w:r>
      <w:r w:rsidRPr="00393165">
        <w:t xml:space="preserve"> YLLs, three quarters the size of the </w:t>
      </w:r>
      <w:r w:rsidR="00393165" w:rsidRPr="00393165">
        <w:t>824</w:t>
      </w:r>
      <w:r w:rsidR="00E7412E" w:rsidRPr="00D149FF">
        <w:t>·</w:t>
      </w:r>
      <w:r w:rsidR="00393165" w:rsidRPr="00393165">
        <w:t>0</w:t>
      </w:r>
      <w:r w:rsidR="00E7412E">
        <w:t xml:space="preserve"> thousand</w:t>
      </w:r>
      <w:r w:rsidR="00393165" w:rsidRPr="00393165">
        <w:t xml:space="preserve"> </w:t>
      </w:r>
      <w:r w:rsidRPr="00393165">
        <w:t>YLLs suffered by North America High-Income males of all ages combined.</w:t>
      </w:r>
      <w:r>
        <w:t xml:space="preserve"> </w:t>
      </w:r>
    </w:p>
    <w:p w:rsidR="00E7783C" w:rsidRDefault="00E7783C" w:rsidP="00E7783C">
      <w:r>
        <w:t xml:space="preserve">An important dimension to the GBD is the requirement that estimates of causes of death sum to estimates of all-cause mortality. The discipline of requiring this internal consistency has been a hallmark of burden of disease analysis since the GBD 1990. As quantified in </w:t>
      </w:r>
      <w:r>
        <w:rPr>
          <w:b/>
        </w:rPr>
        <w:t>Web Table 23</w:t>
      </w:r>
      <w:r>
        <w:t xml:space="preserve"> the effect is to reduce the number of deaths estimated for many causes compared to single cause analyses. The correction factor is an indication of inconsistency at the country-age-sex-year level between demographic analysis and the cause-specific analyses. We believe that for causes where the magnitude of these corrections is comparatively large, future research should be targeted to trying to build a better understanding of the strengths and weaknesses of the various data sources, whether epidemiological or demographic. In some sense, the CoDCorrect ratios can help direct attention to settings where the data are the most inconsistent and our knowledge the most uncertain.  The considerable difference between single cause model estimates and those presented here raises questions about the value of publishing single cause assessments.   Some organizations such as WHO have in recent years been producing both types of assessments: WHO with CHERG produces estimates for 16 major causes of child death but also publishes single cause estimates for tuberculosis, HIV</w:t>
      </w:r>
      <w:r w:rsidR="009B6175">
        <w:t>/AIDS</w:t>
      </w:r>
      <w:r>
        <w:t xml:space="preserve">, malaria, maternal mortality and other causes.  Should leading scientific journals continue to review and publish studies on single causes of death?   Due consideration of the value of single cause models to bring attention to neglected problems or stimulate </w:t>
      </w:r>
      <w:r>
        <w:lastRenderedPageBreak/>
        <w:t xml:space="preserve">methods innovation or new data collection will need to be balanced against the greater robustness of more comprehensive assessments such as presented here.  </w:t>
      </w:r>
    </w:p>
    <w:p w:rsidR="00E7783C" w:rsidRDefault="00E7783C" w:rsidP="00E7783C">
      <w:r>
        <w:t xml:space="preserve">A study of this size and scope undoubtedly has many limitations. The ambition to estimate mortality </w:t>
      </w:r>
      <w:r w:rsidRPr="00787BEA">
        <w:t xml:space="preserve">from </w:t>
      </w:r>
      <w:r w:rsidR="00BF300C">
        <w:t>235</w:t>
      </w:r>
      <w:r w:rsidRPr="00787BEA">
        <w:t xml:space="preserve"> causes</w:t>
      </w:r>
      <w:r>
        <w:t xml:space="preserve"> with uncertainty for 187 countries over time from 1980 to 2010 means that many choices about data sources, quality adjustments to data and modeling strategies had to be made.  We highlight some key limitations.  First, cause of death data even in settings with medical certification may not always accurately capture the underlying c</w:t>
      </w:r>
      <w:r w:rsidR="009B53B9">
        <w:t>ause of death.  Autopsy studies</w:t>
      </w:r>
      <w:r w:rsidR="00847755">
        <w:fldChar w:fldCharType="begin"/>
      </w:r>
      <w:r w:rsidR="00847755">
        <w:instrText xml:space="preserve"> ADDIN ZOTERO_ITEM CSL_CITATION {"citationID":"2qtikpgsdh","properties":{"formattedCitation":"{\\rtf \\super 104\\uc0\\u8211{}106\\nosupersub{}}","plainCitation":"104–106"},"citationItems":[{"id":18135,"uris":["http://zotero.org/groups/21876/items/JTKW9MCD"],"uri":["http://zotero.org/groups/21876/items/JTKW9MCD"],"itemData":{"id":18135,"type":"article-journal","title":"Discrepancies between clinical and autopsy diagnosis and the value of post mortem histology; a meta-analysis and review","container-title":"Histopathology","page":"551-559","volume":"47","issue":"6","abstract":"The autopsy is in decline, despite the fact that accurate mortality statistics remain essential for public health and health service planning. The falling autopsy rate combined with the Coroners Review and Human Tissue Act have contributed to this decline, and to a falling use of autopsy histology, with potential impact on clinical audit and mortality statistics. At a time when the need for reform and improvement in the death certification process is so prominent, we felt it important to assess the value of the autopsy and autopsy histology. We carried out a meta-analysis of discrepancies between clinical and autopsy diagnoses and the contribution of autopsy histology. There has been little improvement in the overall rate of discrepancies between the 1960s and the present. At least a third of death certificates are likely to be incorrect and 50% of autopsies produce findings unsuspected before death. In addition, the cases which give rise to discrepancies cannot be identified prior to autopsy. Over 20% of clinically unexpected autopsy findings, including 5% of major findings, can be correctly diagnosed only by histological examination. Although the autopsy and particularly autopsy histology are being undermined, they are still the most accurate method of determining the cause of death and auditing accuracy of clinical diagnosis, diagnostic tests and death certification.","DOI":"10.1111/j.1365-2559.2005.02243.x","note":"PMID: 16324191","journalAbbreviation":"Histopathology","author":[{"family":"Roulson","given":"J"},{"family":"Benbow","given":"E W"},{"family":"Hasleton","given":"P S"}],"issued":{"year":2005,"month":12},"accessed":{"year":2012,"month":9,"day":18},"page-first":"551"},"label":"page"},{"id":18145,"uris":["http://zotero.org/groups/21876/items/UHCEK5U6"],"uri":["http://zotero.org/groups/21876/items/UHCEK5U6"],"itemData":{"id":18145,"type":"article-journal","title":"Diagnostic errors in three medical eras: a necropsy study.","container-title":"Lancet","volume":"355","issue":"9220","shortTitle":"Diagnostic errors in three medical eras","language":"English","author":[{"family":"Sonderegger-Iseli","given":"Katharina"},{"family":"Burger","given":"Stefanie"},{"family":"Muntwyler","given":"Jorg"}],"issued":{"year":2000}},"label":"page"},{"id":18143,"uris":["http://zotero.org/groups/21876/items/866P2MTD"],"uri":["http://zotero.org/groups/21876/items/866P2MTD"],"itemData":{"id":18143,"type":"webpage","title":"Autopsy as an Outcome and Performance Measure: Summary - AHRQ Evidence Report Summaries - NCBI Bookshelf","URL":"http://www.ncbi.nlm.nih.gov/books/NBK11951/","shortTitle":"Autopsy as an Outcome and Performance Measure","accessed":{"year":2012,"month":9,"day":18}},"label":"page"}],"schema":"https://github.com/citation-style-language/schema/raw/master/csl-citation.json"} </w:instrText>
      </w:r>
      <w:r w:rsidR="00847755">
        <w:fldChar w:fldCharType="separate"/>
      </w:r>
      <w:r w:rsidR="00847755" w:rsidRPr="00847755">
        <w:rPr>
          <w:rFonts w:ascii="Calibri" w:hAnsi="Calibri" w:cs="Calibri"/>
          <w:szCs w:val="24"/>
          <w:vertAlign w:val="superscript"/>
        </w:rPr>
        <w:t>104–106</w:t>
      </w:r>
      <w:r w:rsidR="00847755">
        <w:fldChar w:fldCharType="end"/>
      </w:r>
      <w:r>
        <w:t xml:space="preserve"> have demonstrated that medically certified causes of death may be incorrect.   Second, our approach to garbage code redistribution, while an improvement over past efforts, could benefit strongly from more empirical information on misclassification collected in places where gold standard cause of death assignment is possible. We have not been able to develop uncertainty distributions around garbage code redistribution algorithms; to the extent that this is poorly known, our uncertainty intervals for some causes may be underestimated.  Third, we have made extensive use of verbal autopsy data especially in low-income settings.   Verbal autopsy validation studies suggest VA is quite accurate for some causes such as breast cancer, drowning</w:t>
      </w:r>
      <w:r w:rsidR="00EE7106">
        <w:t>,</w:t>
      </w:r>
      <w:r>
        <w:t xml:space="preserve"> or road injuries but for other causes may be less accurate.</w:t>
      </w:r>
      <w:r w:rsidR="00847755">
        <w:fldChar w:fldCharType="begin"/>
      </w:r>
      <w:r w:rsidR="00847755">
        <w:instrText xml:space="preserve"> ADDIN ZOTERO_ITEM CSL_CITATION {"citationID":"XsC7Qu9g","properties":{"formattedCitation":"{\\rtf \\super 69\\nosupersub{}}","plainCitation":"69"},"citationItems":[{"id":7723,"uris":["http://zotero.org/groups/21876/items/VBA4E8TC"],"uri":["http://zotero.org/groups/21876/items/VBA4E8TC"],"itemData":{"id":7723,"type":"article-journal","title":"Performance of physician-certified verbal autopsies: multisite validation study using clinical diagnostic gold standards","container-title":"Population Health Metrics","page":"32","volume":"9","issue":"1","abstract":"Physician review of a verbal autopsy (VA) and completion of a death certificate remains the most widely used approach for VA analysis. This study provides new evidence about the performance of physician-certified verbal autopsy (PCVA) using defined clinical diagnostic criteria as a gold standard for a multisite sample of 12,542 VAs. The study was also designed to analyze issues related to PCVA, such as the impact of a second physician reader on the cause of death assigned, the variation in performance with and without household recall of health care experience (HCE), and the importance of local information for physicians reading VAs.","DOI":"10.1186/1478-7954-9-32","shortTitle":"Performance of physician-certified verbal autopsies","language":"en","author":[{"family":"Lozano","given":"Rafael"},{"family":"Lopez","given":"Alan D."},{"family":"Atkinson","given":"Charles"},{"family":"Naghavi","given":"Mohsen"},{"family":"Flaxman","given":"Abraham D."},{"family":"Murray","given":"Christopher JL"},{"family":"(phmrc)","given":"the Population Health Metrics Research Consortium"}],"issued":{"year":2011,"month":8,"day":4},"accessed":{"year":2012,"month":7,"day":6},"page-first":"32"}}],"schema":"https://github.com/citation-style-language/schema/raw/master/csl-citation.json"} </w:instrText>
      </w:r>
      <w:r w:rsidR="00847755">
        <w:fldChar w:fldCharType="separate"/>
      </w:r>
      <w:r w:rsidR="00847755" w:rsidRPr="00847755">
        <w:rPr>
          <w:rFonts w:ascii="Calibri" w:hAnsi="Calibri" w:cs="Calibri"/>
          <w:szCs w:val="24"/>
          <w:vertAlign w:val="superscript"/>
        </w:rPr>
        <w:t>69</w:t>
      </w:r>
      <w:r w:rsidR="00847755">
        <w:fldChar w:fldCharType="end"/>
      </w:r>
      <w:r>
        <w:t xml:space="preserve">   VA performance for some key causes of child death such as LRI is particularly poor.   Much could be learned about causes of death in countries where death certification is poor through the more widespread testing and application of recent advances in verbal autopsy methods which greatly reduce heterogeneity in diagnostic practices across populations where VA is currently used.</w:t>
      </w:r>
      <w:r>
        <w:fldChar w:fldCharType="begin"/>
      </w:r>
      <w:r w:rsidR="00355799">
        <w:instrText xml:space="preserve"> ADDIN ZOTERO_ITEM CSL_CITATION {"citationID":"nt3lk8sa","properties":{"formattedCitation":"{\\rtf \\super 107\\nosupersub{}}","plainCitation":"107"},"citationItems":[{"id":6039,"uris":["http://zotero.org/groups/21876/items/Q472F2FG"],"uri":["http://zotero.org/groups/21876/items/Q472F2FG"],"itemData":{"id":6039,"type":"article-journal","title":"Verbal autopsy: innovations, applications, opportunities - Improving cause of death measurement","container-title":"Population Health Metrics","volume":"9","URL":"http://www.pophealthmetrics.com/series/verbal_autopsy","issued":{"year":2011,"month":8}}}],"schema":"https://github.com/citation-style-language/schema/raw/master/csl-citation.json"} </w:instrText>
      </w:r>
      <w:r>
        <w:fldChar w:fldCharType="separate"/>
      </w:r>
      <w:r w:rsidR="00847755" w:rsidRPr="00847755">
        <w:rPr>
          <w:rFonts w:ascii="Calibri" w:hAnsi="Calibri" w:cs="Calibri"/>
          <w:szCs w:val="24"/>
          <w:vertAlign w:val="superscript"/>
        </w:rPr>
        <w:t>107</w:t>
      </w:r>
      <w:r>
        <w:fldChar w:fldCharType="end"/>
      </w:r>
      <w:r>
        <w:t>Fourth, for some causes of death such as kidney cancer, poisonings, or paralytic ileus, only weak covariates have been identified that explain the spatial or temporal variation in the cause. Inevitably, model estimates for these causes will have wide uncertainty intervals.   The use of negative binomial models and fixed proportion models where data are extremely weak is another area where better data and improved methods could strengthen the overall findings.   Fifth, where natural history models have been used, it is at present extremely difficult to validate these. Natural history models are in principle used when there are concerns that direct cause of death data are potentially biased. Improvements in cause of death data for some causes such as HIV</w:t>
      </w:r>
      <w:r w:rsidR="00EE7106">
        <w:t>/AIDS</w:t>
      </w:r>
      <w:r>
        <w:t xml:space="preserve"> may allow in the future opportunities to validate natural history models in selected countries.  Where natural history models have been used, there is a potential that these approaches will tend to yield higher estimates than using more empirical strat</w:t>
      </w:r>
      <w:r w:rsidR="00EE7106">
        <w:t>egies such as CODEm.   Sixth, our</w:t>
      </w:r>
      <w:r>
        <w:t xml:space="preserve"> use of CODEm for most major causes of death means that our uncertainty intervals have in most cases been demonstrated to be valid, but for causes where we have had to use other methods such as negative binomial, fixed proportion</w:t>
      </w:r>
      <w:r w:rsidR="00EE7106">
        <w:t>,</w:t>
      </w:r>
      <w:r>
        <w:t xml:space="preserve"> or natural history models, the uncertainty intervals have not been independently validated.   Seventh, CODEm can be improved in the future by including an even broader set of model families. Ultimately, the greatest limitation is the availability of cause of death data itself.  Eighth, in cases where expert opinion and the available data diverge, we have tended to follow the available data.  Examples of this practice include estimating deaths from malaria over age 5 or deaths from Hib over age 2.  Subsequent more detailed studies may affirm that expert opinion was correct and the available data substantially biased.  Nevertheless, we believe it is important to follow the balance of the available data that meet our quality criteria.  </w:t>
      </w:r>
    </w:p>
    <w:p w:rsidR="00E7783C" w:rsidRDefault="00E7783C" w:rsidP="00E7783C">
      <w:r>
        <w:lastRenderedPageBreak/>
        <w:t>Improving cause of death data collection in the future is the most direct and obvious pathway to better global, regional, and national cause of death estimation with narrower uncertainty intervals. Improved verbal autopsy tools</w:t>
      </w:r>
      <w:r>
        <w:fldChar w:fldCharType="begin"/>
      </w:r>
      <w:r w:rsidR="00355799">
        <w:instrText xml:space="preserve"> ADDIN ZOTERO_ITEM CSL_CITATION {"citationID":"233025no01","properties":{"formattedCitation":"{\\rtf \\super 108\\uc0\\u8211{}111\\nosupersub{}}","plainCitation":"108–111"},"citationItems":[{"id":5641,"uris":["http://zotero.org/groups/21876/items/NM5D2TZK"],"uri":["http://zotero.org/groups/21876/items/NM5D2TZK"],"itemData":{"id":5641,"type":"article-journal","title":"Random forests for verbal autopsy analysis: multisite validation study using clinical diagnostic gold standards","container-title":"Population health metrics","page":"29","volume":"9","abstract":"UNLABELLED\n\nABSTRACT:\n\n\nBACKGROUND\n\nComputer-coded verbal autopsy (CCVA) is a promising alternative to the standard approach of physician-certified verbal autopsy (PCVA), because of its high speed, low cost, and reliability. This study introduces a new CCVA technique and validates its performance using defined clinical diagnostic criteria as a gold standard for a multisite sample of 12,542 verbal autopsies (VAs).\n\n\nMETHODS\n\nThe Random Forest (RF) Method from machine learning (ML) was adapted to predict cause of death by training random forests to distinguish between each pair of causes, and then combining the results through a novel ranking technique. We assessed quality of the new method at the individual level using chance-corrected concordance and at the population level using cause-specific mortality fraction (CSMF) accuracy as well as linear regression. We also compared the quality of RF to PCVA for all of these metrics. We performed this analysis separately for adult, child, and neonatal VAs. We also assessed the variation in performance with and without household recall of health care experience (HCE).\n\n\nRESULTS\n\nFor all metrics, for all settings, RF was as good as or better than PCVA, with the exception of a nonsignificantly lower CSMF accuracy for neonates with HCE information. With HCE, the chance-corrected concordance of RF was 3.4 percentage points higher for adults, 3.2 percentage points higher for children, and 1.6 percentage points higher for neonates. The CSMF accuracy was 0.097 higher for adults, 0.097 higher for children, and 0.007 lower for neonates. Without HCE, the chance-corrected concordance of RF was 8.1 percentage points higher than PCVA for adults, 10.2 percentage points higher for children, and 5.9 percentage points higher for neonates. The CSMF accuracy was higher for RF by 0.102 for adults, 0.131 for children, and 0.025 for neonates.\n\n\nCONCLUSIONS\n\nWe found that our RF Method outperformed the PCVA method in terms of chance-corrected concordance and CSMF accuracy for adult and child VA with and without HCE and for neonatal VA without HCE. It is also preferable to PCVA in terms of time and cost. Therefore, we recommend it as the technique of choice for analyzing past and current verbal autopsies.","DOI":"10.1186/1478-7954-9-29","note":"PMID: 21816105","shortTitle":"Random forests for verbal autopsy analysis","journalAbbreviation":"Popul Health Metr","author":[{"family":"Flaxman","given":"Abraham D"},{"family":"Vahdatpour","given":"Alireza"},{"family":"Green","given":"Sean"},{"family":"James","given":"Spencer L"},{"family":"Murray","given":"Christopher Jl"}],"issued":{"year":2011},"accessed":{"year":2012,"month":7,"day":11},"page-first":"29"},"label":"page"},{"id":553,"uris":["http://zotero.org/groups/21876/items/3SVI9QSB"],"uri":["http://zotero.org/groups/21876/items/3SVI9QSB"],"itemData":{"id":553,"type":"article-journal","title":"Simplified Symptom Pattern Method for verbal autopsy analysis: multisite validation study using clinical diagnostic gold standards","container-title":"Population health metrics","page":"30","volume":"9","abstract":"UNLABELLED\n\nABSTRACT:\n\n\nBACKGROUND\n\nVerbal autopsy can be a useful tool for generating cause of death data in data-sparse regions around the world. The Symptom Pattern (SP) Method is one promising approach to analyzing verbal autopsy data, but it has not been tested rigorously with gold standard diagnostic criteria. We propose a simplified version of SP and evaluate its performance using verbal autopsy data with accompanying true cause of death.\n\n\nMETHODS\n\nWe investigated specific parameters in SP's Bayesian framework that allow for its optimal performance in both assigning individual cause of death and in determining cause-specific mortality fractions. We evaluated these outcomes of the method separately for adult, child, and neonatal verbal autopsies in 500 different population constructs of verbal autopsy data to analyze its ability in various settings.\n\n\nRESULTS\n\nWe determined that a modified, simpler version of Symptom Pattern (termed Simplified Symptom Pattern, or SSP) performs better than the previously-developed approach. Across 500 samples of verbal autopsy testing data, SSP achieves a median cause-specific mortality fraction accuracy of 0.710 for adults, 0.739 for children, and 0.751 for neonates. In individual cause of death assignment in the same testing environment, SSP achieves 45.8% chance-corrected concordance for adults, 51.5% for children, and 32.5% for neonates.\n\n\nCONCLUSIONS\n\nThe Simplified Symptom Pattern Method for verbal autopsy can yield reliable and reasonably accurate results for both individual cause of death assignment and for determining cause-specific mortality fractions. The method demonstrates that verbal autopsies coupled with SSP can be a useful tool for analyzing mortality patterns and determining individual cause of death from verbal autopsy data.","DOI":"10.1186/1478-7954-9-30","note":"PMID: 21816099","shortTitle":"Simplified Symptom Pattern Method for verbal autopsy analysis","journalAbbreviation":"Popul Health Metr","author":[{"family":"Murray","given":"Christopher Jl"},{"family":"James","given":"Spencer L"},{"family":"Birnbaum","given":"Jeanette K"},{"family":"Freeman","given":"Michael K"},{"family":"Lozano","given":"Rafael"},{"family":"Lopez","given":"Alan D"}],"issued":{"year":2011},"accessed":{"year":2012,"month":7,"day":11},"page-first":"30"},"label":"page"},{"id":7613,"uris":["http://zotero.org/groups/21876/items/UTHTI2IW"],"uri":["http://zotero.org/groups/21876/items/UTHTI2IW"],"itemData":{"id":7613,"type":"article-journal","title":"Performance of the Tariff Method: validation of a simple additive algorithm for analysis of verbal autopsies","container-title":"Population health metrics","page":"31","volume":"9","abstract":"UNLABELLED\n\nABSTRACT:\n\n\nBACKGROUND\n\nVerbal autopsies provide valuable information for studying mortality patterns in populations that lack reliable vital registration data. Methods for transforming verbal autopsy results into meaningful information for health workers and policymakers, however, are often costly or complicated to use. We present a simple additive algorithm, the Tariff Method (termed Tariff), which can be used for assigning individual cause of death and for determining cause-specific mortality fractions (CSMFs) from verbal autopsy data.\n\n\nMETHODS\n\nTariff calculates a score, or \"tariff,\" for each cause, for each sign/symptom, across a pool of validated verbal autopsy data. The tariffs are summed for a given response pattern in a verbal autopsy, and this sum (score) provides the basis for predicting the cause of death in a dataset. We implemented this algorithm and evaluated the method's predictive ability, both in terms of chance-corrected concordance at the individual cause assignment level and in terms of CSMF accuracy at the population level. The analysis was conducted separately for adult, child, and neonatal verbal autopsies across 500 pairs of train-test validation verbal autopsy data.\n\n\nRESULTS\n\nTariff is capable of outperforming physician-certified verbal autopsy in most cases. In terms of chance-corrected concordance, the method achieves 44.5% in adults, 39% in children, and 23.9% in neonates. CSMF accuracy was 0.745 in adults, 0.709 in children, and 0.679 in neonates.\n\n\nCONCLUSIONS\n\nVerbal autopsies can be an efficient means of obtaining cause of death data, and Tariff provides an intuitive, reliable method for generating individual cause assignment and CSMFs. The method is transparent and flexible and can be readily implemented by users without training in statistics or computer science.","DOI":"10.1186/1478-7954-9-31","note":"PMID: 21816107","shortTitle":"Performance of the Tariff Method","journalAbbreviation":"Popul Health Metr","author":[{"family":"James","given":"Spencer L"},{"family":"Flaxman","given":"Abraham D"},{"family":"Murray","given":"Christopher Jl"}],"issued":{"year":2011},"accessed":{"year":2012,"month":7,"day":11},"page-first":"31"},"label":"page"},{"id":4331,"uris":["http://zotero.org/groups/21876/items/HMN2RIQT"],"uri":["http://zotero.org/groups/21876/items/HMN2RIQT"],"itemData":{"id":4331,"type":"article-journal","title":"Population Health Metrics Research Consortium gold standard verbal autopsy validation study: design, implementation, and development of analysis datasets","container-title":"Population health metrics","page":"27","volume":"9","abstract":"UNLABELLED\n\nABSTRACT:\n\n\nBACKGROUND\n\nVerbal autopsy methods are critically important for evaluating the leading causes of death in populations without adequate vital registration systems. With a myriad of analytical and data collection approaches, it is essential to create a high quality validation dataset from different populations to evaluate comparative method performance and make recommendations for future verbal autopsy implementation. This study was undertaken to compile a set of strictly defined gold standard deaths for which verbal autopsies were collected to validate the accuracy of different methods of verbal autopsy cause of death assignment.\n\n\nMETHODS\n\nData collection was implemented in six sites in four countries: Andhra Pradesh, India; Bohol, Philippines; Dar es Salaam, Tanzania; Mexico City, Mexico; Pemba Island, Tanzania; and Uttar Pradesh, India. The Population Health Metrics Research Consortium (PHMRC) developed stringent diagnostic criteria including laboratory, pathology, and medical imaging findings to identify gold standard deaths in health facilities as well as an enhanced verbal autopsy instrument based on World Health Organization (WHO) standards. A cause list was constructed based on the WHO Global Burden of Disease estimates of the leading causes of death, potential to identify unique signs and symptoms, and the likely existence of sufficient medical technology to ascertain gold standard cases. Blinded verbal autopsies were collected on all gold standard deaths.\n\n\nRESULTS\n\nOver 12,000 verbal autopsies on deaths with gold standard diagnoses were collected (7,836 adults, 2,075 children, 1,629 neonates, and 1,002 stillbirths). Difficulties in finding sufficient cases to meet gold standard criteria as well as problems with misclassification for certain causes meant that the target list of causes for analysis was reduced to 34 for adults, 21 for children, and 10 for neonates, excluding stillbirths. To ensure strict independence for the validation of methods and assessment of comparative performance, 500 test-train datasets were created from the universe of cases, covering a range of cause-specific compositions.\n\n\nCONCLUSIONS\n\nThis unique, robust validation dataset will allow scholars to evaluate the performance of different verbal autopsy analytic methods as well as instrument design. This dataset can be used to inform the implementation of verbal autopsies to more reliably ascertain cause of death in national health information systems.","DOI":"10.1186/1478-7954-9-27","note":"PMID: 21816095","shortTitle":"Population Health Metrics Research Consortium gold standard verbal autopsy validation study","journalAbbreviation":"Popul Health Metr","author":[{"family":"Murray","given":"Christopher Jl"},{"family":"Lopez","given":"Alan D"},{"family":"Black","given":"Robert"},{"family":"Ahuja","given":"Ramesh"},{"family":"Ali","given":"Said Mohd"},{"family":"Baqui","given":"Abdullah"},{"family":"Dandona","given":"Lalit"},{"family":"Dantzer","given":"Emily"},{"family":"Das","given":"Vinita"},{"family":"Dhingra","given":"Usha"},{"family":"Dutta","given":"Arup"},{"family":"Fawzi","given":"Wafaie"},{"family":"Flaxman","given":"Abraham D"},{"family":"Gómez","given":"Sara"},{"family":"Hernández","given":"Bernardo"},{"family":"Joshi","given":"Rohina"},{"family":"Kalter","given":"Henry"},{"family":"Kumar","given":"Aarti"},{"family":"Kumar","given":"Vishwajeet"},{"family":"Lozano","given":"Rafael"},{"family":"Lucero","given":"Marilla"},{"family":"Mehta","given":"Saurabh"},{"family":"Neal","given":"Bruce"},{"family":"Ohno","given":"Summer Lockett"},{"family":"Prasad","given":"Rajendra"},{"family":"Praveen","given":"Devarsetty"},{"family":"Premji","given":"Zul"},{"family":"Ramírez-Villalobos","given":"Dolores"},{"family":"Remolador","given":"Hazel"},{"family":"Riley","given":"Ian"},{"family":"Romero","given":"Minerva"},{"family":"Said","given":"Mwanaidi"},{"family":"Sanvictores","given":"Diozele"},{"family":"Sazawal","given":"Sunil"},{"family":"Tallo","given":"Veronica"}],"issued":{"year":2011},"accessed":{"year":2012,"month":7,"day":11},"page-first":"27"},"label":"page"}],"schema":"https://github.com/citation-style-language/schema/raw/master/csl-citation.json"} </w:instrText>
      </w:r>
      <w:r>
        <w:fldChar w:fldCharType="separate"/>
      </w:r>
      <w:r w:rsidR="00847755" w:rsidRPr="00847755">
        <w:rPr>
          <w:rFonts w:ascii="Calibri" w:hAnsi="Calibri" w:cs="Calibri"/>
          <w:szCs w:val="24"/>
          <w:vertAlign w:val="superscript"/>
        </w:rPr>
        <w:t>108–111</w:t>
      </w:r>
      <w:r>
        <w:fldChar w:fldCharType="end"/>
      </w:r>
      <w:r>
        <w:t xml:space="preserve"> mean that it may soon be feasible to apply them routinely to generate comparable cause of death data cost effectively in populations where we are still substantially ignorant about the leading causes of death. Opportunities for strengthening death registration, cause of death certification, and the more widespread use of verbal autopsy exist. Some countries have civil registration systems that capture less than 70% of deaths; the priority in this case is to improve cause of death certification and coding. Other countries such as Saudi Arabia have functioning civil registration run by Ministries of the Interior that are not fully utilized by Ministries of Health. Collectively, the global health community would benefit enormously by placing much greater priority on strengthening vital registration systems to improve cause of death measurement. This is now the key focus of the Health Metrics Network and it is reasonable to expect that significant progress can be made with appropriate leadership, attention, and collaboration among global development partners.</w:t>
      </w:r>
      <w:r>
        <w:fldChar w:fldCharType="begin"/>
      </w:r>
      <w:r w:rsidR="00355799">
        <w:instrText xml:space="preserve"> ADDIN ZOTERO_ITEM CSL_CITATION {"citationID":"EXUE50Bt","properties":{"formattedCitation":"{\\rtf \\super 112\\nosupersub{}}","plainCitation":"112"},"citationItems":[{"id":5863,"uris":["http://zotero.org/groups/21876/items/PEDZ8I4W"],"uri":["http://zotero.org/groups/21876/items/PEDZ8I4W"],"itemData":{"id":5863,"type":"webpage","title":"WHO | Health Metrics Network (HMN)","container-title":"WHO","URL":"http://www.who.int/healthmetrics/en/","accessed":{"year":2012,"month":7,"day":10}}}],"schema":"https://github.com/citation-style-language/schema/raw/master/csl-citation.json"} </w:instrText>
      </w:r>
      <w:r>
        <w:fldChar w:fldCharType="separate"/>
      </w:r>
      <w:r w:rsidR="00847755" w:rsidRPr="00847755">
        <w:rPr>
          <w:rFonts w:ascii="Calibri" w:hAnsi="Calibri" w:cs="Calibri"/>
          <w:szCs w:val="24"/>
          <w:vertAlign w:val="superscript"/>
        </w:rPr>
        <w:t>112</w:t>
      </w:r>
      <w:r>
        <w:fldChar w:fldCharType="end"/>
      </w:r>
      <w:r>
        <w:t xml:space="preserve"> </w:t>
      </w:r>
    </w:p>
    <w:p w:rsidR="00E7783C" w:rsidRDefault="00E7783C" w:rsidP="00E7783C">
      <w:r>
        <w:t>In the GBD 2010, a substantially new set of analytical approaches and tools have been developed and applied. These tools range from improved diagnostic redistribution methods to CODEm and CoDCorrect, drawing on information for almost a billion dea</w:t>
      </w:r>
      <w:r w:rsidR="00DD471D">
        <w:t>ths and time series for hundreds of</w:t>
      </w:r>
      <w:r>
        <w:t xml:space="preserve"> covariates that affect mortality. This is a massive endeavor, but, with appropriate investment and leadership, updating results as new data on causes of death or alternative covariates become available will be much more feasible than hitherto. Rather than massive periodic revisions of the GBD every decade, it is now feasible to conduct annual updates so that the consumers of health intelligence have the most recent and comprehensive information on comparative causes of disease burden available where and when it is required to he</w:t>
      </w:r>
      <w:r w:rsidR="00EE7106">
        <w:t xml:space="preserve">lp guide public health decision </w:t>
      </w:r>
      <w:r>
        <w:t>making. There can be no doubt that public health priorities everywhere are changing, or soon will be, as large and avoidable causes of disease burden become more common with development. To not have strategically important and comparable health information available and used to inform the new health dialogue and disease control priorities, as we have shown here it can be, would be a massive missed opportunity for global health.</w:t>
      </w:r>
    </w:p>
    <w:p w:rsidR="0070443F" w:rsidRDefault="0070443F" w:rsidP="0070443F"/>
    <w:p w:rsidR="008F722D" w:rsidRDefault="005C3089" w:rsidP="00073728">
      <w:pPr>
        <w:pStyle w:val="Heading1"/>
        <w:spacing w:before="0"/>
      </w:pPr>
      <w:r>
        <w:t>Author Contributions</w:t>
      </w:r>
    </w:p>
    <w:p w:rsidR="00073728" w:rsidRDefault="00AC1D22" w:rsidP="00073728">
      <w:pPr>
        <w:pStyle w:val="Heading1"/>
        <w:spacing w:before="0"/>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 xml:space="preserve">CJLM, ADL, and RL prepared the first draft. </w:t>
      </w:r>
      <w:r w:rsidR="00073728" w:rsidRPr="00073728">
        <w:rPr>
          <w:rFonts w:asciiTheme="minorHAnsi" w:eastAsiaTheme="minorHAnsi" w:hAnsiTheme="minorHAnsi" w:cstheme="minorBidi"/>
          <w:b w:val="0"/>
          <w:bCs w:val="0"/>
          <w:color w:val="auto"/>
          <w:sz w:val="22"/>
          <w:szCs w:val="22"/>
        </w:rPr>
        <w:t>RL, MN, KF, SL, KS, A</w:t>
      </w:r>
      <w:r w:rsidR="00ED205C">
        <w:rPr>
          <w:rFonts w:asciiTheme="minorHAnsi" w:eastAsiaTheme="minorHAnsi" w:hAnsiTheme="minorHAnsi" w:cstheme="minorBidi"/>
          <w:b w:val="0"/>
          <w:bCs w:val="0"/>
          <w:color w:val="auto"/>
          <w:sz w:val="22"/>
          <w:szCs w:val="22"/>
        </w:rPr>
        <w:t>D</w:t>
      </w:r>
      <w:r w:rsidR="00073728" w:rsidRPr="00073728">
        <w:rPr>
          <w:rFonts w:asciiTheme="minorHAnsi" w:eastAsiaTheme="minorHAnsi" w:hAnsiTheme="minorHAnsi" w:cstheme="minorBidi"/>
          <w:b w:val="0"/>
          <w:bCs w:val="0"/>
          <w:color w:val="auto"/>
          <w:sz w:val="22"/>
          <w:szCs w:val="22"/>
        </w:rPr>
        <w:t>L, and CJLM finalized the draft based on comments from other authors and reviewer feedback.  A</w:t>
      </w:r>
      <w:r w:rsidR="00ED205C">
        <w:rPr>
          <w:rFonts w:asciiTheme="minorHAnsi" w:eastAsiaTheme="minorHAnsi" w:hAnsiTheme="minorHAnsi" w:cstheme="minorBidi"/>
          <w:b w:val="0"/>
          <w:bCs w:val="0"/>
          <w:color w:val="auto"/>
          <w:sz w:val="22"/>
          <w:szCs w:val="22"/>
        </w:rPr>
        <w:t>D</w:t>
      </w:r>
      <w:r w:rsidR="00073728" w:rsidRPr="00073728">
        <w:rPr>
          <w:rFonts w:asciiTheme="minorHAnsi" w:eastAsiaTheme="minorHAnsi" w:hAnsiTheme="minorHAnsi" w:cstheme="minorBidi"/>
          <w:b w:val="0"/>
          <w:bCs w:val="0"/>
          <w:color w:val="auto"/>
          <w:sz w:val="22"/>
          <w:szCs w:val="22"/>
        </w:rPr>
        <w:t xml:space="preserve">L and CJLM </w:t>
      </w:r>
      <w:r w:rsidR="00BD4DA0">
        <w:rPr>
          <w:rFonts w:asciiTheme="minorHAnsi" w:eastAsiaTheme="minorHAnsi" w:hAnsiTheme="minorHAnsi" w:cstheme="minorBidi"/>
          <w:b w:val="0"/>
          <w:bCs w:val="0"/>
          <w:color w:val="auto"/>
          <w:sz w:val="22"/>
          <w:szCs w:val="22"/>
        </w:rPr>
        <w:t>conceived of the study</w:t>
      </w:r>
      <w:r w:rsidR="005B0268">
        <w:rPr>
          <w:rFonts w:asciiTheme="minorHAnsi" w:eastAsiaTheme="minorHAnsi" w:hAnsiTheme="minorHAnsi" w:cstheme="minorBidi"/>
          <w:b w:val="0"/>
          <w:bCs w:val="0"/>
          <w:color w:val="auto"/>
          <w:sz w:val="22"/>
          <w:szCs w:val="22"/>
        </w:rPr>
        <w:t xml:space="preserve"> and provided overall guidance</w:t>
      </w:r>
      <w:r w:rsidR="00BD4DA0">
        <w:rPr>
          <w:rFonts w:asciiTheme="minorHAnsi" w:eastAsiaTheme="minorHAnsi" w:hAnsiTheme="minorHAnsi" w:cstheme="minorBidi"/>
          <w:b w:val="0"/>
          <w:bCs w:val="0"/>
          <w:color w:val="auto"/>
          <w:sz w:val="22"/>
          <w:szCs w:val="22"/>
        </w:rPr>
        <w:t xml:space="preserve">.  </w:t>
      </w:r>
      <w:r w:rsidR="00073728" w:rsidRPr="00073728">
        <w:rPr>
          <w:rFonts w:asciiTheme="minorHAnsi" w:eastAsiaTheme="minorHAnsi" w:hAnsiTheme="minorHAnsi" w:cstheme="minorBidi"/>
          <w:b w:val="0"/>
          <w:bCs w:val="0"/>
          <w:color w:val="auto"/>
          <w:sz w:val="22"/>
          <w:szCs w:val="22"/>
        </w:rPr>
        <w:t xml:space="preserve"> All other authors developed cause-specific models, reviewed results, provided guidance on the selection of key covariates, and reviewed the manuscript.</w:t>
      </w:r>
    </w:p>
    <w:p w:rsidR="008F722D" w:rsidRDefault="008F722D" w:rsidP="000A5851">
      <w:pPr>
        <w:pStyle w:val="Heading1"/>
      </w:pPr>
      <w:r>
        <w:t>Conflicts of Interest</w:t>
      </w:r>
    </w:p>
    <w:p w:rsidR="005F21CE" w:rsidRPr="005F21CE" w:rsidRDefault="005F21CE" w:rsidP="005F21CE">
      <w:r>
        <w:t>We declare no conflicts of interest.</w:t>
      </w:r>
    </w:p>
    <w:p w:rsidR="0094367C" w:rsidRDefault="0094367C" w:rsidP="000A5851">
      <w:pPr>
        <w:pStyle w:val="Heading1"/>
      </w:pPr>
      <w:r>
        <w:lastRenderedPageBreak/>
        <w:t>Acknowledgements</w:t>
      </w:r>
    </w:p>
    <w:p w:rsidR="00E45EBE" w:rsidRPr="00E45EBE" w:rsidRDefault="00D7303D" w:rsidP="00E45EBE">
      <w:r>
        <w:t xml:space="preserve">We would like to thank the countless individuals who have contributed to the Global Burden of Disease 2010 study in various capacities. </w:t>
      </w:r>
      <w:r w:rsidR="00E45EBE">
        <w:t xml:space="preserve">We would </w:t>
      </w:r>
      <w:r>
        <w:t xml:space="preserve">also </w:t>
      </w:r>
      <w:r w:rsidR="00E45EBE">
        <w:t xml:space="preserve">like to </w:t>
      </w:r>
      <w:r>
        <w:t xml:space="preserve">specifically </w:t>
      </w:r>
      <w:r w:rsidR="00E45EBE">
        <w:t>acknowledge the important contribution to this work from multiple staff members of the World Health Organization.</w:t>
      </w:r>
      <w:r w:rsidR="001621F6">
        <w:t xml:space="preserve"> </w:t>
      </w:r>
      <w:r>
        <w:t>Finally, we</w:t>
      </w:r>
      <w:r w:rsidR="00E45EBE">
        <w:t xml:space="preserve"> would </w:t>
      </w:r>
      <w:r>
        <w:t xml:space="preserve">like </w:t>
      </w:r>
      <w:r w:rsidR="00E45EBE">
        <w:t>to acknowledge the extensive support from the Institute for Health Metrics and Evaluation IT team.</w:t>
      </w:r>
      <w:r w:rsidR="001621F6">
        <w:t xml:space="preserve"> </w:t>
      </w:r>
      <w:r w:rsidR="005C3089">
        <w:t xml:space="preserve"> </w:t>
      </w:r>
    </w:p>
    <w:p w:rsidR="00DD17FA" w:rsidRDefault="00DD17FA" w:rsidP="00DD17FA">
      <w:pPr>
        <w:pStyle w:val="Heading1"/>
      </w:pPr>
      <w:r>
        <w:t xml:space="preserve">Figures and Tables </w:t>
      </w:r>
    </w:p>
    <w:p w:rsidR="00DD17FA" w:rsidRDefault="00DD17FA" w:rsidP="00DD17FA">
      <w:r>
        <w:t xml:space="preserve">Table 1.  Decomposition analysis of the change of global death numbers by </w:t>
      </w:r>
      <w:r w:rsidR="0060491B">
        <w:t xml:space="preserve">broad cause groups </w:t>
      </w:r>
      <w:r>
        <w:t xml:space="preserve">from 1990 to 2010 into total population growth, population aging and changes in age-,sex-and cause-specific death rates. </w:t>
      </w:r>
    </w:p>
    <w:p w:rsidR="00DD17FA" w:rsidRDefault="00DD17FA" w:rsidP="00DD17FA">
      <w:r>
        <w:t>Table 2. Global death numbers for 235 causes in 1990 and 2010 for all ages and both sexes combined (thousands) and age-standardized death rates (per 100</w:t>
      </w:r>
      <w:r w:rsidR="00245BF4">
        <w:t xml:space="preserve"> thousand</w:t>
      </w:r>
      <w:r>
        <w:t>) with 95% uncertainty intervals and percent change.</w:t>
      </w:r>
    </w:p>
    <w:p w:rsidR="00DD17FA" w:rsidRDefault="00DD17FA" w:rsidP="00DD17FA">
      <w:r>
        <w:t>Table 3. Ranking of YLLs for top 25 global causes</w:t>
      </w:r>
      <w:r w:rsidR="00713510">
        <w:t xml:space="preserve"> in 2010</w:t>
      </w:r>
      <w:bookmarkStart w:id="0" w:name="_GoBack"/>
      <w:bookmarkEnd w:id="0"/>
      <w:r>
        <w:t xml:space="preserve"> and additional causes appearing within the top 25 causes for any region across 21 geographic regions ordered by overall global ranking.  Red indicates the causes with the highest ranking (1-10), followed by those in dark orange (11-20), orange (21-30), yellow (31-50), green (51-90), and, finally, blue (91-171) showing the lowest ranked causes.</w:t>
      </w:r>
    </w:p>
    <w:p w:rsidR="00DD17FA" w:rsidRDefault="00DD17FA" w:rsidP="00DD17FA">
      <w:r>
        <w:t xml:space="preserve">Figure 1a, 1b, 1c, 1d. </w:t>
      </w:r>
      <w:r w:rsidRPr="006A4DA6">
        <w:t xml:space="preserve">Percentage of global deaths for </w:t>
      </w:r>
      <w:r>
        <w:t xml:space="preserve">females and </w:t>
      </w:r>
      <w:r w:rsidRPr="006A4DA6">
        <w:t xml:space="preserve">males in 1990 </w:t>
      </w:r>
      <w:r>
        <w:t xml:space="preserve">and 2010 </w:t>
      </w:r>
      <w:r w:rsidRPr="006A4DA6">
        <w:t>by cause and age</w:t>
      </w:r>
      <w:r>
        <w:t xml:space="preserve">. </w:t>
      </w:r>
      <w:r w:rsidRPr="00BB2773">
        <w:t xml:space="preserve">The causes include war and </w:t>
      </w:r>
      <w:r>
        <w:t>natural disaster</w:t>
      </w:r>
      <w:r w:rsidRPr="00BB2773">
        <w:t>; intentional injuries (“Intent Inj”); accidents; transport accidents; other non-communicable diseases (“Oth NCD”)</w:t>
      </w:r>
      <w:r>
        <w:t>; musculoskeletal diseases (“MSK</w:t>
      </w:r>
      <w:r w:rsidRPr="00BB2773">
        <w:t>”); diabetes, urinary, blood, and endocrine (“DUBE”); mental and behavioral disorders (“Mental”), neurological disorders (“Neuro”), digestive diseases; cirrhosis; chronic respiratory diseases (“Chronic Resp”); cardiovascular and circulatory diseases (“Cardio &amp; Circ”); cancer; other communicable diseases (“Other Comm”); nutritional deficiencies (“Nutr Def”); neonatal; maternal; parasitic; child infectious diseases; and HIV + TB.</w:t>
      </w:r>
    </w:p>
    <w:p w:rsidR="00DD17FA" w:rsidRDefault="00DD17FA" w:rsidP="00DD17FA">
      <w:r>
        <w:t xml:space="preserve">Figure 2a, 2b, 2c. Pie chart of global deaths in 2010 for both sexes combined and ages 0-27 days (neonatal), 28-365 days (post-neonatal), and 1-4 years  by cause. Some cause abbreviations used in the figures are lower respiratory infections (“LRI”); pneumonia (“Pneum”); </w:t>
      </w:r>
      <w:r w:rsidRPr="00F946AC">
        <w:rPr>
          <w:i/>
        </w:rPr>
        <w:t>Haemophilus influenzae</w:t>
      </w:r>
      <w:r>
        <w:t xml:space="preserve"> type b (“HIB”); respiratory syncytial virus (RSV); enterotoxigenic E. coli (“ETEC”); cryptosporidiosis (“Crypto”); enteropathogenic E. coli (“EPEC”); campylobacter (“Campylo”); </w:t>
      </w:r>
      <w:r w:rsidRPr="00BB2773">
        <w:t>diabetes, urinary, blood, and endocrine (“DUBE”);</w:t>
      </w:r>
      <w:r>
        <w:t xml:space="preserve"> and other non-communicable diseases (“Other NCD”). </w:t>
      </w:r>
    </w:p>
    <w:p w:rsidR="00DD17FA" w:rsidRDefault="00DD17FA" w:rsidP="00DD17FA">
      <w:r>
        <w:t>Figure 3a, 3b. Pie chart of g</w:t>
      </w:r>
      <w:r w:rsidRPr="00F31690">
        <w:t xml:space="preserve">lobal deaths in 2010 for males </w:t>
      </w:r>
      <w:r>
        <w:t xml:space="preserve">and females </w:t>
      </w:r>
      <w:r w:rsidRPr="00F31690">
        <w:t>ages 15-49</w:t>
      </w:r>
      <w:r>
        <w:t xml:space="preserve">.  Some cause abbreviations used in the figures are lower respiratory infections (“LRI”); cardiovascular disease (“CVD”); and chronic kidney disease (“CKD”) . </w:t>
      </w:r>
    </w:p>
    <w:p w:rsidR="00DD17FA" w:rsidRDefault="00DD17FA" w:rsidP="00DD17FA">
      <w:r>
        <w:t xml:space="preserve">Figure 4. </w:t>
      </w:r>
      <w:r w:rsidRPr="00F31690">
        <w:t>Global death ranks for all ages and both sexes combined with 95 % UI for the top 25 causes and the percent change with 95 % UI from 1990 and 2010</w:t>
      </w:r>
      <w:r>
        <w:t xml:space="preserve">.  The colors represent the various level one </w:t>
      </w:r>
      <w:r>
        <w:lastRenderedPageBreak/>
        <w:t>causes; blue is for non-communicable diseases, red is for communicable</w:t>
      </w:r>
      <w:r w:rsidR="0060491B">
        <w:t>, maternal, neonatal and nutritional conditions</w:t>
      </w:r>
      <w:r>
        <w:t xml:space="preserve">, and green is for injuries.   </w:t>
      </w:r>
      <w:r w:rsidR="00A3549B">
        <w:t xml:space="preserve">The dashed lines signify descending order in rank, while the solid lines signify ascending order in rank.  </w:t>
      </w:r>
      <w:r>
        <w:t xml:space="preserve">Some cause abbreviations used in the figure are ischemic heart disease (“IHD”); lower respiratory infections (“LRI”); chronic obstructive pulmonary disorder (“COPD”); tuberculosis (“TB”); cancer (“CA”); road injuries (“Road Inj”); protein energy malnutrition (“PEM”); neonatal encephalopathy (“N Enceph”); hypertensive heart disease (“HTN Heart”); neonatal sepsis (“N Sepsis”); other circulatory (“Oth Circ”); rheumatic heart disease (“Rheum HD”); and chronic kidney disease (“CKD”). </w:t>
      </w:r>
    </w:p>
    <w:p w:rsidR="00DD17FA" w:rsidRDefault="00DD17FA" w:rsidP="00DD17FA">
      <w:r>
        <w:t>Figure 5.</w:t>
      </w:r>
      <w:r w:rsidRPr="00E7644C">
        <w:t xml:space="preserve"> </w:t>
      </w:r>
      <w:r w:rsidRPr="00F31690">
        <w:t>Percentage of global YLLs from 1990 to 2010 for all ages and both sexes combined by cause and year</w:t>
      </w:r>
      <w:r>
        <w:t xml:space="preserve">. </w:t>
      </w:r>
      <w:r w:rsidRPr="00BB2773">
        <w:t xml:space="preserve">The causes include war and </w:t>
      </w:r>
      <w:r>
        <w:t>natural disaster</w:t>
      </w:r>
      <w:r w:rsidRPr="00BB2773">
        <w:t>; intentional injuries (“Intent Inj”); accidents; transport accidents; other non-communicable diseases (“Oth NCD”)</w:t>
      </w:r>
      <w:r>
        <w:t>; musculoskeletal diseases (“MSK</w:t>
      </w:r>
      <w:r w:rsidRPr="00BB2773">
        <w:t>”); diabetes, urinary, blood, and endocrine (“DUBE”); mental and behavioral disorders (“Mental”), neurological disorders (“Neuro”), digestive diseases; cirrhosis; chronic respiratory diseases (“Chronic Resp”); cardiovascular and circulatory diseases (“Cardio &amp; Circ”); cancer; other communicable diseases (“Other Comm”); nutritional deficiencies (“Nutr Def”); neonatal; maternal; parasitic; child infectious diseases; and HIV + TB.</w:t>
      </w:r>
    </w:p>
    <w:p w:rsidR="00DD17FA" w:rsidRDefault="00DD17FA" w:rsidP="00DD17FA">
      <w:r>
        <w:t xml:space="preserve">Figure 6. </w:t>
      </w:r>
      <w:r w:rsidRPr="00F31690">
        <w:t>Global YLL ranks for all ages and both sexes combined with 95 % UI for the top 25 causes and the percent change with 95 % UI from 1990 and 2010</w:t>
      </w:r>
      <w:r>
        <w:t>. The colors represent the various level one causes; blue is for non-communicable diseases, red is for communicable</w:t>
      </w:r>
      <w:r w:rsidR="0060491B">
        <w:t>, maternal, neonatal and nutritional conditions</w:t>
      </w:r>
      <w:r>
        <w:t xml:space="preserve">, and green is for injuries.   </w:t>
      </w:r>
      <w:r w:rsidR="00A3549B">
        <w:t xml:space="preserve">The dashed lines signify descending order in rank, while the solid lines signify ascending order in rank.  </w:t>
      </w:r>
      <w:r>
        <w:t>Some cause abbreviations used in the figure are</w:t>
      </w:r>
      <w:r w:rsidRPr="001D683A">
        <w:t xml:space="preserve"> </w:t>
      </w:r>
      <w:r>
        <w:t>lower respiratory infections (“LRI”); ischemic heart disease (“IHD”); chronic obstructive pulmonary disorder (“COPD”);</w:t>
      </w:r>
      <w:r w:rsidRPr="001D683A">
        <w:t xml:space="preserve"> </w:t>
      </w:r>
      <w:r>
        <w:t>protein energy malnutrition (“PEM”); tuberculosis (“TB”); neonatal encephalopathy (“N Enceph”); neonatal sepsis (“N Sepsis”); road injuries (“Road Inj”); cancer (“CA”); and chronic kidney disease (“CKD”).</w:t>
      </w:r>
    </w:p>
    <w:p w:rsidR="00DD17FA" w:rsidRDefault="00DD17FA" w:rsidP="00DD17FA">
      <w:r>
        <w:t>Figure 7.</w:t>
      </w:r>
      <w:r w:rsidRPr="00E7644C">
        <w:t xml:space="preserve"> </w:t>
      </w:r>
      <w:r w:rsidRPr="00845509">
        <w:t>Global YLL 95 % UI (millions) vs rank by cause in 2010</w:t>
      </w:r>
      <w:r>
        <w:t xml:space="preserve">. </w:t>
      </w:r>
    </w:p>
    <w:p w:rsidR="00DD17FA" w:rsidRDefault="00DD17FA" w:rsidP="00DD17FA">
      <w:r>
        <w:t xml:space="preserve">Figure 8a, 8b. Percentage of YLLs for all ages and both sexes combined by cause and region in 1990 and 2010. </w:t>
      </w:r>
      <w:r w:rsidRPr="00BB2773">
        <w:t xml:space="preserve">The causes include war and </w:t>
      </w:r>
      <w:r>
        <w:t>natural disaster</w:t>
      </w:r>
      <w:r w:rsidRPr="00BB2773">
        <w:t>; intentional injuries (“Intent Inj”); accidents; transport accidents; other non-communicable diseases (“Oth NCD”)</w:t>
      </w:r>
      <w:r>
        <w:t>; musculoskeletal diseases (“MSK</w:t>
      </w:r>
      <w:r w:rsidRPr="00BB2773">
        <w:t>”); diabetes, urinary, blood, and endocrine (“DUBE”); mental and behavioral disorders (“Mental”), neurological disorders (“Neuro”), digestive diseases; cirrhosis; chronic respiratory diseases (“Chronic Resp”); cardiovascular and circulatory diseases (“Cardio &amp; Circ”); cancer; other communicable diseases (“Other Comm”); nutritional deficiencies (“Nutr Def”); neonatal; maternal; parasitic; child infectious diseases; and HIV + TB.</w:t>
      </w:r>
    </w:p>
    <w:p w:rsidR="00DD17FA" w:rsidRDefault="00DD17FA" w:rsidP="00DD17FA">
      <w:r>
        <w:t xml:space="preserve">Figure 9. </w:t>
      </w:r>
      <w:r w:rsidRPr="00845509">
        <w:t>Cancer death rates (per 100</w:t>
      </w:r>
      <w:r w:rsidR="00245BF4">
        <w:t xml:space="preserve"> thousand</w:t>
      </w:r>
      <w:r w:rsidRPr="00845509">
        <w:t>) in 2010 for all ages and both sexes combined by cause and region</w:t>
      </w:r>
      <w:r>
        <w:t xml:space="preserve">. </w:t>
      </w:r>
    </w:p>
    <w:p w:rsidR="00B57AFC" w:rsidRDefault="00DB1AC7" w:rsidP="004F6917">
      <w:pPr>
        <w:pStyle w:val="Heading1"/>
      </w:pPr>
      <w:r>
        <w:lastRenderedPageBreak/>
        <w:t>References</w:t>
      </w:r>
    </w:p>
    <w:p w:rsidR="00FF139B" w:rsidRPr="00FF139B" w:rsidRDefault="00FF139B" w:rsidP="00FF139B">
      <w:pPr>
        <w:pStyle w:val="Bibliography"/>
        <w:rPr>
          <w:rFonts w:ascii="Calibri" w:hAnsi="Calibri" w:cs="Calibri"/>
        </w:rPr>
      </w:pPr>
      <w:r>
        <w:rPr>
          <w:rFonts w:cstheme="minorHAnsi"/>
        </w:rPr>
        <w:fldChar w:fldCharType="begin"/>
      </w:r>
      <w:r>
        <w:rPr>
          <w:rFonts w:cstheme="minorHAnsi"/>
        </w:rPr>
        <w:instrText xml:space="preserve"> ADDIN ZOTERO_BIBL {"custom":[]} CSL_BIBLIOGRAPHY </w:instrText>
      </w:r>
      <w:r>
        <w:rPr>
          <w:rFonts w:cstheme="minorHAnsi"/>
        </w:rPr>
        <w:fldChar w:fldCharType="separate"/>
      </w:r>
      <w:r w:rsidRPr="00FF139B">
        <w:rPr>
          <w:rFonts w:ascii="Calibri" w:hAnsi="Calibri" w:cs="Calibri"/>
        </w:rPr>
        <w:t>1</w:t>
      </w:r>
      <w:r w:rsidRPr="00FF139B">
        <w:rPr>
          <w:rFonts w:ascii="Calibri" w:hAnsi="Calibri" w:cs="Calibri"/>
        </w:rPr>
        <w:tab/>
        <w:t xml:space="preserve">Murray CJL, Kulkarni SC, Ezzati M. Understanding the coronary heart disease versus total cardiovascular mortality paradox: a method to enhance the comparability of cardiovascular death statistics in the United States. </w:t>
      </w:r>
      <w:r w:rsidRPr="00FF139B">
        <w:rPr>
          <w:rFonts w:ascii="Calibri" w:hAnsi="Calibri" w:cs="Calibri"/>
          <w:i/>
          <w:iCs/>
        </w:rPr>
        <w:t>Circulation</w:t>
      </w:r>
      <w:r w:rsidRPr="00FF139B">
        <w:rPr>
          <w:rFonts w:ascii="Calibri" w:hAnsi="Calibri" w:cs="Calibri"/>
        </w:rPr>
        <w:t xml:space="preserve"> 2006; </w:t>
      </w:r>
      <w:r w:rsidRPr="00FF139B">
        <w:rPr>
          <w:rFonts w:ascii="Calibri" w:hAnsi="Calibri" w:cs="Calibri"/>
          <w:b/>
          <w:bCs/>
        </w:rPr>
        <w:t>113</w:t>
      </w:r>
      <w:r w:rsidRPr="00FF139B">
        <w:rPr>
          <w:rFonts w:ascii="Calibri" w:hAnsi="Calibri" w:cs="Calibri"/>
        </w:rPr>
        <w:t>: 2071–81.</w:t>
      </w:r>
    </w:p>
    <w:p w:rsidR="00FF139B" w:rsidRPr="00FF139B" w:rsidRDefault="00FF139B" w:rsidP="00FF139B">
      <w:pPr>
        <w:pStyle w:val="Bibliography"/>
        <w:rPr>
          <w:rFonts w:ascii="Calibri" w:hAnsi="Calibri" w:cs="Calibri"/>
        </w:rPr>
      </w:pPr>
      <w:r w:rsidRPr="00FF139B">
        <w:rPr>
          <w:rFonts w:ascii="Calibri" w:hAnsi="Calibri" w:cs="Calibri"/>
        </w:rPr>
        <w:t>2</w:t>
      </w:r>
      <w:r w:rsidRPr="00FF139B">
        <w:rPr>
          <w:rFonts w:ascii="Calibri" w:hAnsi="Calibri" w:cs="Calibri"/>
        </w:rPr>
        <w:tab/>
        <w:t xml:space="preserve">Ruzicka LT, Lopez AD. The use of cause-of-death statistics for health situation assessment: national and international experiences. </w:t>
      </w:r>
      <w:r w:rsidRPr="00FF139B">
        <w:rPr>
          <w:rFonts w:ascii="Calibri" w:hAnsi="Calibri" w:cs="Calibri"/>
          <w:i/>
          <w:iCs/>
        </w:rPr>
        <w:t>World Health Stat Q</w:t>
      </w:r>
      <w:r w:rsidRPr="00FF139B">
        <w:rPr>
          <w:rFonts w:ascii="Calibri" w:hAnsi="Calibri" w:cs="Calibri"/>
        </w:rPr>
        <w:t xml:space="preserve"> 1990; </w:t>
      </w:r>
      <w:r w:rsidRPr="00FF139B">
        <w:rPr>
          <w:rFonts w:ascii="Calibri" w:hAnsi="Calibri" w:cs="Calibri"/>
          <w:b/>
          <w:bCs/>
        </w:rPr>
        <w:t>43</w:t>
      </w:r>
      <w:r w:rsidRPr="00FF139B">
        <w:rPr>
          <w:rFonts w:ascii="Calibri" w:hAnsi="Calibri" w:cs="Calibri"/>
        </w:rPr>
        <w:t>: 249–58.</w:t>
      </w:r>
    </w:p>
    <w:p w:rsidR="00FF139B" w:rsidRPr="00FF139B" w:rsidRDefault="00FF139B" w:rsidP="00FF139B">
      <w:pPr>
        <w:pStyle w:val="Bibliography"/>
        <w:rPr>
          <w:rFonts w:ascii="Calibri" w:hAnsi="Calibri" w:cs="Calibri"/>
        </w:rPr>
      </w:pPr>
      <w:r w:rsidRPr="00FF139B">
        <w:rPr>
          <w:rFonts w:ascii="Calibri" w:hAnsi="Calibri" w:cs="Calibri"/>
        </w:rPr>
        <w:t>3</w:t>
      </w:r>
      <w:r w:rsidRPr="00FF139B">
        <w:rPr>
          <w:rFonts w:ascii="Calibri" w:hAnsi="Calibri" w:cs="Calibri"/>
        </w:rPr>
        <w:tab/>
        <w:t>Lopez A. Causes of Death in the Industrialized and Developing Countries: Estimates for 1985-1990. In: Disease Control Priorities in Developing Countries: Oxford Medical Publications. , Oxford University Press, 1993: 15–30.</w:t>
      </w:r>
    </w:p>
    <w:p w:rsidR="00FF139B" w:rsidRPr="00FF139B" w:rsidRDefault="00FF139B" w:rsidP="00FF139B">
      <w:pPr>
        <w:pStyle w:val="Bibliography"/>
        <w:rPr>
          <w:rFonts w:ascii="Calibri" w:hAnsi="Calibri" w:cs="Calibri"/>
        </w:rPr>
      </w:pPr>
      <w:r w:rsidRPr="00FF139B">
        <w:rPr>
          <w:rFonts w:ascii="Calibri" w:hAnsi="Calibri" w:cs="Calibri"/>
        </w:rPr>
        <w:t>4</w:t>
      </w:r>
      <w:r w:rsidRPr="00FF139B">
        <w:rPr>
          <w:rFonts w:ascii="Calibri" w:hAnsi="Calibri" w:cs="Calibri"/>
        </w:rPr>
        <w:tab/>
        <w:t xml:space="preserve">Mathers CD, Fat DM, Inoue M, Rao C, Lopez AD. Counting the dead and what they died from: an assessment of the global status of cause of death data. </w:t>
      </w:r>
      <w:r w:rsidRPr="00FF139B">
        <w:rPr>
          <w:rFonts w:ascii="Calibri" w:hAnsi="Calibri" w:cs="Calibri"/>
          <w:i/>
          <w:iCs/>
        </w:rPr>
        <w:t>Bull World Health Organ</w:t>
      </w:r>
      <w:r w:rsidRPr="00FF139B">
        <w:rPr>
          <w:rFonts w:ascii="Calibri" w:hAnsi="Calibri" w:cs="Calibri"/>
        </w:rPr>
        <w:t xml:space="preserve"> 2005; </w:t>
      </w:r>
      <w:r w:rsidRPr="00FF139B">
        <w:rPr>
          <w:rFonts w:ascii="Calibri" w:hAnsi="Calibri" w:cs="Calibri"/>
          <w:b/>
          <w:bCs/>
        </w:rPr>
        <w:t>83</w:t>
      </w:r>
      <w:r w:rsidRPr="00FF139B">
        <w:rPr>
          <w:rFonts w:ascii="Calibri" w:hAnsi="Calibri" w:cs="Calibri"/>
        </w:rPr>
        <w:t>: 171–7.</w:t>
      </w:r>
    </w:p>
    <w:p w:rsidR="00FF139B" w:rsidRPr="00FF139B" w:rsidRDefault="00FF139B" w:rsidP="00FF139B">
      <w:pPr>
        <w:pStyle w:val="Bibliography"/>
        <w:rPr>
          <w:rFonts w:ascii="Calibri" w:hAnsi="Calibri" w:cs="Calibri"/>
        </w:rPr>
      </w:pPr>
      <w:r w:rsidRPr="00FF139B">
        <w:rPr>
          <w:rFonts w:ascii="Calibri" w:hAnsi="Calibri" w:cs="Calibri"/>
        </w:rPr>
        <w:t>5</w:t>
      </w:r>
      <w:r w:rsidRPr="00FF139B">
        <w:rPr>
          <w:rFonts w:ascii="Calibri" w:hAnsi="Calibri" w:cs="Calibri"/>
        </w:rPr>
        <w:tab/>
        <w:t xml:space="preserve">Lu T-H, Shih T-P, Lee M-C, Chou M-C, Lin C-K. Diversity in death certification: A case vignette approach. </w:t>
      </w:r>
      <w:r w:rsidRPr="00FF139B">
        <w:rPr>
          <w:rFonts w:ascii="Calibri" w:hAnsi="Calibri" w:cs="Calibri"/>
          <w:i/>
          <w:iCs/>
        </w:rPr>
        <w:t>Journal of Clinical Epidemiology</w:t>
      </w:r>
      <w:r w:rsidRPr="00FF139B">
        <w:rPr>
          <w:rFonts w:ascii="Calibri" w:hAnsi="Calibri" w:cs="Calibri"/>
        </w:rPr>
        <w:t xml:space="preserve"> 2001; </w:t>
      </w:r>
      <w:r w:rsidRPr="00FF139B">
        <w:rPr>
          <w:rFonts w:ascii="Calibri" w:hAnsi="Calibri" w:cs="Calibri"/>
          <w:b/>
          <w:bCs/>
        </w:rPr>
        <w:t>54</w:t>
      </w:r>
      <w:r w:rsidRPr="00FF139B">
        <w:rPr>
          <w:rFonts w:ascii="Calibri" w:hAnsi="Calibri" w:cs="Calibri"/>
        </w:rPr>
        <w:t>: 1086–93.</w:t>
      </w:r>
    </w:p>
    <w:p w:rsidR="00FF139B" w:rsidRPr="00FF139B" w:rsidRDefault="00FF139B" w:rsidP="00FF139B">
      <w:pPr>
        <w:pStyle w:val="Bibliography"/>
        <w:rPr>
          <w:rFonts w:ascii="Calibri" w:hAnsi="Calibri" w:cs="Calibri"/>
        </w:rPr>
      </w:pPr>
      <w:r w:rsidRPr="00FF139B">
        <w:rPr>
          <w:rFonts w:ascii="Calibri" w:hAnsi="Calibri" w:cs="Calibri"/>
        </w:rPr>
        <w:t>6</w:t>
      </w:r>
      <w:r w:rsidRPr="00FF139B">
        <w:rPr>
          <w:rFonts w:ascii="Calibri" w:hAnsi="Calibri" w:cs="Calibri"/>
        </w:rPr>
        <w:tab/>
        <w:t xml:space="preserve">AbouZahr C. New estimates of maternal mortality and how to interpret them: choice or confusion? </w:t>
      </w:r>
      <w:r w:rsidRPr="00FF139B">
        <w:rPr>
          <w:rFonts w:ascii="Calibri" w:hAnsi="Calibri" w:cs="Calibri"/>
          <w:i/>
          <w:iCs/>
        </w:rPr>
        <w:t>Reproductive Health Matters</w:t>
      </w:r>
      <w:r w:rsidRPr="00FF139B">
        <w:rPr>
          <w:rFonts w:ascii="Calibri" w:hAnsi="Calibri" w:cs="Calibri"/>
        </w:rPr>
        <w:t xml:space="preserve"> 2011; </w:t>
      </w:r>
      <w:r w:rsidRPr="00FF139B">
        <w:rPr>
          <w:rFonts w:ascii="Calibri" w:hAnsi="Calibri" w:cs="Calibri"/>
          <w:b/>
          <w:bCs/>
        </w:rPr>
        <w:t>19</w:t>
      </w:r>
      <w:r w:rsidRPr="00FF139B">
        <w:rPr>
          <w:rFonts w:ascii="Calibri" w:hAnsi="Calibri" w:cs="Calibri"/>
        </w:rPr>
        <w:t>: 117–28.</w:t>
      </w:r>
    </w:p>
    <w:p w:rsidR="00FF139B" w:rsidRPr="00FF139B" w:rsidRDefault="00FF139B" w:rsidP="00FF139B">
      <w:pPr>
        <w:pStyle w:val="Bibliography"/>
        <w:rPr>
          <w:rFonts w:ascii="Calibri" w:hAnsi="Calibri" w:cs="Calibri"/>
        </w:rPr>
      </w:pPr>
      <w:r w:rsidRPr="00FF139B">
        <w:rPr>
          <w:rFonts w:ascii="Calibri" w:hAnsi="Calibri" w:cs="Calibri"/>
        </w:rPr>
        <w:t>7</w:t>
      </w:r>
      <w:r w:rsidRPr="00FF139B">
        <w:rPr>
          <w:rFonts w:ascii="Calibri" w:hAnsi="Calibri" w:cs="Calibri"/>
        </w:rPr>
        <w:tab/>
        <w:t xml:space="preserve">Grassly NC, Morgan M, Walker N, </w:t>
      </w:r>
      <w:r w:rsidRPr="00FF139B">
        <w:rPr>
          <w:rFonts w:ascii="Calibri" w:hAnsi="Calibri" w:cs="Calibri"/>
          <w:i/>
          <w:iCs/>
        </w:rPr>
        <w:t>et al.</w:t>
      </w:r>
      <w:r w:rsidRPr="00FF139B">
        <w:rPr>
          <w:rFonts w:ascii="Calibri" w:hAnsi="Calibri" w:cs="Calibri"/>
        </w:rPr>
        <w:t xml:space="preserve"> Uncertainty in estimates of HIV/AIDS: the estimation and application of plausibility bounds. </w:t>
      </w:r>
      <w:r w:rsidRPr="00FF139B">
        <w:rPr>
          <w:rFonts w:ascii="Calibri" w:hAnsi="Calibri" w:cs="Calibri"/>
          <w:i/>
          <w:iCs/>
        </w:rPr>
        <w:t>Sex Transm Infect</w:t>
      </w:r>
      <w:r w:rsidRPr="00FF139B">
        <w:rPr>
          <w:rFonts w:ascii="Calibri" w:hAnsi="Calibri" w:cs="Calibri"/>
        </w:rPr>
        <w:t xml:space="preserve"> 2004; </w:t>
      </w:r>
      <w:r w:rsidRPr="00FF139B">
        <w:rPr>
          <w:rFonts w:ascii="Calibri" w:hAnsi="Calibri" w:cs="Calibri"/>
          <w:b/>
          <w:bCs/>
        </w:rPr>
        <w:t>80 Suppl 1</w:t>
      </w:r>
      <w:r w:rsidRPr="00FF139B">
        <w:rPr>
          <w:rFonts w:ascii="Calibri" w:hAnsi="Calibri" w:cs="Calibri"/>
        </w:rPr>
        <w:t>: i31–38.</w:t>
      </w:r>
    </w:p>
    <w:p w:rsidR="00FF139B" w:rsidRPr="00FF139B" w:rsidRDefault="00FF139B" w:rsidP="00FF139B">
      <w:pPr>
        <w:pStyle w:val="Bibliography"/>
        <w:rPr>
          <w:rFonts w:ascii="Calibri" w:hAnsi="Calibri" w:cs="Calibri"/>
        </w:rPr>
      </w:pPr>
      <w:r w:rsidRPr="00FF139B">
        <w:rPr>
          <w:rFonts w:ascii="Calibri" w:hAnsi="Calibri" w:cs="Calibri"/>
        </w:rPr>
        <w:t>8</w:t>
      </w:r>
      <w:r w:rsidRPr="00FF139B">
        <w:rPr>
          <w:rFonts w:ascii="Calibri" w:hAnsi="Calibri" w:cs="Calibri"/>
        </w:rPr>
        <w:tab/>
        <w:t xml:space="preserve">Cooper RS, Osotimehin B, Kaufman JS, Forrester T. Disease burden in sub-Saharan Africa: what should we conclude in the absence of data? </w:t>
      </w:r>
      <w:r w:rsidRPr="00FF139B">
        <w:rPr>
          <w:rFonts w:ascii="Calibri" w:hAnsi="Calibri" w:cs="Calibri"/>
          <w:i/>
          <w:iCs/>
        </w:rPr>
        <w:t>Lancet</w:t>
      </w:r>
      <w:r w:rsidRPr="00FF139B">
        <w:rPr>
          <w:rFonts w:ascii="Calibri" w:hAnsi="Calibri" w:cs="Calibri"/>
        </w:rPr>
        <w:t xml:space="preserve"> 1998; </w:t>
      </w:r>
      <w:r w:rsidRPr="00FF139B">
        <w:rPr>
          <w:rFonts w:ascii="Calibri" w:hAnsi="Calibri" w:cs="Calibri"/>
          <w:b/>
          <w:bCs/>
        </w:rPr>
        <w:t>351</w:t>
      </w:r>
      <w:r w:rsidRPr="00FF139B">
        <w:rPr>
          <w:rFonts w:ascii="Calibri" w:hAnsi="Calibri" w:cs="Calibri"/>
        </w:rPr>
        <w:t>: 208–10.</w:t>
      </w:r>
    </w:p>
    <w:p w:rsidR="00FF139B" w:rsidRPr="00FF139B" w:rsidRDefault="00FF139B" w:rsidP="00FF139B">
      <w:pPr>
        <w:pStyle w:val="Bibliography"/>
        <w:rPr>
          <w:rFonts w:ascii="Calibri" w:hAnsi="Calibri" w:cs="Calibri"/>
        </w:rPr>
      </w:pPr>
      <w:r w:rsidRPr="00FF139B">
        <w:rPr>
          <w:rFonts w:ascii="Calibri" w:hAnsi="Calibri" w:cs="Calibri"/>
        </w:rPr>
        <w:t>9</w:t>
      </w:r>
      <w:r w:rsidRPr="00FF139B">
        <w:rPr>
          <w:rFonts w:ascii="Calibri" w:hAnsi="Calibri" w:cs="Calibri"/>
        </w:rPr>
        <w:tab/>
        <w:t xml:space="preserve">Hakulinen T, Hansluwka H, Lopez AD, Nakada T. Global and regional mortality patterns by cause of death in 1980. </w:t>
      </w:r>
      <w:r w:rsidRPr="00FF139B">
        <w:rPr>
          <w:rFonts w:ascii="Calibri" w:hAnsi="Calibri" w:cs="Calibri"/>
          <w:i/>
          <w:iCs/>
        </w:rPr>
        <w:t>Int J Epidemiol</w:t>
      </w:r>
      <w:r w:rsidRPr="00FF139B">
        <w:rPr>
          <w:rFonts w:ascii="Calibri" w:hAnsi="Calibri" w:cs="Calibri"/>
        </w:rPr>
        <w:t xml:space="preserve"> 1986; </w:t>
      </w:r>
      <w:r w:rsidRPr="00FF139B">
        <w:rPr>
          <w:rFonts w:ascii="Calibri" w:hAnsi="Calibri" w:cs="Calibri"/>
          <w:b/>
          <w:bCs/>
        </w:rPr>
        <w:t>15</w:t>
      </w:r>
      <w:r w:rsidRPr="00FF139B">
        <w:rPr>
          <w:rFonts w:ascii="Calibri" w:hAnsi="Calibri" w:cs="Calibri"/>
        </w:rPr>
        <w:t>: 226–33.</w:t>
      </w:r>
    </w:p>
    <w:p w:rsidR="00FF139B" w:rsidRPr="00FF139B" w:rsidRDefault="00FF139B" w:rsidP="00FF139B">
      <w:pPr>
        <w:pStyle w:val="Bibliography"/>
        <w:rPr>
          <w:rFonts w:ascii="Calibri" w:hAnsi="Calibri" w:cs="Calibri"/>
        </w:rPr>
      </w:pPr>
      <w:r w:rsidRPr="00FF139B">
        <w:rPr>
          <w:rFonts w:ascii="Calibri" w:hAnsi="Calibri" w:cs="Calibri"/>
        </w:rPr>
        <w:t>10</w:t>
      </w:r>
      <w:r w:rsidRPr="00FF139B">
        <w:rPr>
          <w:rFonts w:ascii="Calibri" w:hAnsi="Calibri" w:cs="Calibri"/>
        </w:rPr>
        <w:tab/>
        <w:t>Bulatao RA, Stephens PW. Global estimates and projections of mortality by cause, 1970-2015. , Population and Human Resources Dept., the World Bank, 1992.</w:t>
      </w:r>
    </w:p>
    <w:p w:rsidR="00FF139B" w:rsidRPr="00FF139B" w:rsidRDefault="00FF139B" w:rsidP="00FF139B">
      <w:pPr>
        <w:pStyle w:val="Bibliography"/>
        <w:rPr>
          <w:rFonts w:ascii="Calibri" w:hAnsi="Calibri" w:cs="Calibri"/>
        </w:rPr>
      </w:pPr>
      <w:r w:rsidRPr="00FF139B">
        <w:rPr>
          <w:rFonts w:ascii="Calibri" w:hAnsi="Calibri" w:cs="Calibri"/>
        </w:rPr>
        <w:t>11</w:t>
      </w:r>
      <w:r w:rsidRPr="00FF139B">
        <w:rPr>
          <w:rFonts w:ascii="Calibri" w:hAnsi="Calibri" w:cs="Calibri"/>
        </w:rPr>
        <w:tab/>
        <w:t xml:space="preserve">Lopez AD, Hull TH. A note on estimating the cause of death structure in high mortality populations. </w:t>
      </w:r>
      <w:r w:rsidRPr="00FF139B">
        <w:rPr>
          <w:rFonts w:ascii="Calibri" w:hAnsi="Calibri" w:cs="Calibri"/>
          <w:i/>
          <w:iCs/>
        </w:rPr>
        <w:t>Popul Bull UN</w:t>
      </w:r>
      <w:r w:rsidRPr="00FF139B">
        <w:rPr>
          <w:rFonts w:ascii="Calibri" w:hAnsi="Calibri" w:cs="Calibri"/>
        </w:rPr>
        <w:t xml:space="preserve"> 1982; : 66–70.</w:t>
      </w:r>
    </w:p>
    <w:p w:rsidR="00FF139B" w:rsidRPr="00FF139B" w:rsidRDefault="00FF139B" w:rsidP="00FF139B">
      <w:pPr>
        <w:pStyle w:val="Bibliography"/>
        <w:rPr>
          <w:rFonts w:ascii="Calibri" w:hAnsi="Calibri" w:cs="Calibri"/>
        </w:rPr>
      </w:pPr>
      <w:r w:rsidRPr="00FF139B">
        <w:rPr>
          <w:rFonts w:ascii="Calibri" w:hAnsi="Calibri" w:cs="Calibri"/>
        </w:rPr>
        <w:t>12</w:t>
      </w:r>
      <w:r w:rsidRPr="00FF139B">
        <w:rPr>
          <w:rFonts w:ascii="Calibri" w:hAnsi="Calibri" w:cs="Calibri"/>
        </w:rPr>
        <w:tab/>
        <w:t xml:space="preserve">Murray CJL, Lopez AD. Evidence-Based Health Policy--Lessons from the Global Burden of Disease Study. </w:t>
      </w:r>
      <w:r w:rsidRPr="00FF139B">
        <w:rPr>
          <w:rFonts w:ascii="Calibri" w:hAnsi="Calibri" w:cs="Calibri"/>
          <w:i/>
          <w:iCs/>
        </w:rPr>
        <w:t>Science</w:t>
      </w:r>
      <w:r w:rsidRPr="00FF139B">
        <w:rPr>
          <w:rFonts w:ascii="Calibri" w:hAnsi="Calibri" w:cs="Calibri"/>
        </w:rPr>
        <w:t xml:space="preserve"> 1996; </w:t>
      </w:r>
      <w:r w:rsidRPr="00FF139B">
        <w:rPr>
          <w:rFonts w:ascii="Calibri" w:hAnsi="Calibri" w:cs="Calibri"/>
          <w:b/>
          <w:bCs/>
        </w:rPr>
        <w:t>274</w:t>
      </w:r>
      <w:r w:rsidRPr="00FF139B">
        <w:rPr>
          <w:rFonts w:ascii="Calibri" w:hAnsi="Calibri" w:cs="Calibri"/>
        </w:rPr>
        <w:t>: 740–3.</w:t>
      </w:r>
    </w:p>
    <w:p w:rsidR="00FF139B" w:rsidRPr="00FF139B" w:rsidRDefault="00FF139B" w:rsidP="00FF139B">
      <w:pPr>
        <w:pStyle w:val="Bibliography"/>
        <w:rPr>
          <w:rFonts w:ascii="Calibri" w:hAnsi="Calibri" w:cs="Calibri"/>
        </w:rPr>
      </w:pPr>
      <w:r w:rsidRPr="00FF139B">
        <w:rPr>
          <w:rFonts w:ascii="Calibri" w:hAnsi="Calibri" w:cs="Calibri"/>
        </w:rPr>
        <w:t>13</w:t>
      </w:r>
      <w:r w:rsidRPr="00FF139B">
        <w:rPr>
          <w:rFonts w:ascii="Calibri" w:hAnsi="Calibri" w:cs="Calibri"/>
        </w:rPr>
        <w:tab/>
        <w:t>World Health Organization. The world health report 2000 - Health systems: improving performance. , 2000http://www.who.int/whr/2000/en/whr00_en.pdf (accessed 9 Jul2012).</w:t>
      </w:r>
    </w:p>
    <w:p w:rsidR="00FF139B" w:rsidRPr="00FF139B" w:rsidRDefault="00FF139B" w:rsidP="00FF139B">
      <w:pPr>
        <w:pStyle w:val="Bibliography"/>
        <w:rPr>
          <w:rFonts w:ascii="Calibri" w:hAnsi="Calibri" w:cs="Calibri"/>
        </w:rPr>
      </w:pPr>
      <w:r w:rsidRPr="00FF139B">
        <w:rPr>
          <w:rFonts w:ascii="Calibri" w:hAnsi="Calibri" w:cs="Calibri"/>
        </w:rPr>
        <w:t>14</w:t>
      </w:r>
      <w:r w:rsidRPr="00FF139B">
        <w:rPr>
          <w:rFonts w:ascii="Calibri" w:hAnsi="Calibri" w:cs="Calibri"/>
        </w:rPr>
        <w:tab/>
        <w:t>World Health Organization. The world health report 2001 - Mental Health: New Understanding, New Hope. , 2001http://www.who.int/whr/2001/en/whr01_en.pdf (accessed 25 Jun2012).</w:t>
      </w:r>
    </w:p>
    <w:p w:rsidR="00FF139B" w:rsidRPr="00FF139B" w:rsidRDefault="00FF139B" w:rsidP="00FF139B">
      <w:pPr>
        <w:pStyle w:val="Bibliography"/>
        <w:rPr>
          <w:rFonts w:ascii="Calibri" w:hAnsi="Calibri" w:cs="Calibri"/>
        </w:rPr>
      </w:pPr>
      <w:r w:rsidRPr="00FF139B">
        <w:rPr>
          <w:rFonts w:ascii="Calibri" w:hAnsi="Calibri" w:cs="Calibri"/>
        </w:rPr>
        <w:t>15</w:t>
      </w:r>
      <w:r w:rsidRPr="00FF139B">
        <w:rPr>
          <w:rFonts w:ascii="Calibri" w:hAnsi="Calibri" w:cs="Calibri"/>
        </w:rPr>
        <w:tab/>
        <w:t>World Health Organization. The world health report 2002 - Reducing Risks, Promoting Healthy Life. , 2002http://www.who.int/whr/2002/en/whr02_en.pdf (accessed 9 Jul2012).</w:t>
      </w:r>
    </w:p>
    <w:p w:rsidR="00FF139B" w:rsidRPr="00FF139B" w:rsidRDefault="00FF139B" w:rsidP="00FF139B">
      <w:pPr>
        <w:pStyle w:val="Bibliography"/>
        <w:rPr>
          <w:rFonts w:ascii="Calibri" w:hAnsi="Calibri" w:cs="Calibri"/>
        </w:rPr>
      </w:pPr>
      <w:r w:rsidRPr="00FF139B">
        <w:rPr>
          <w:rFonts w:ascii="Calibri" w:hAnsi="Calibri" w:cs="Calibri"/>
        </w:rPr>
        <w:lastRenderedPageBreak/>
        <w:t>16</w:t>
      </w:r>
      <w:r w:rsidRPr="00FF139B">
        <w:rPr>
          <w:rFonts w:ascii="Calibri" w:hAnsi="Calibri" w:cs="Calibri"/>
        </w:rPr>
        <w:tab/>
        <w:t>Mathers C, Fat DM, Organization WH, Boerma JT. The Global Burden of Disease: 2004 Update. , World Health Organization, 2008.</w:t>
      </w:r>
    </w:p>
    <w:p w:rsidR="00FF139B" w:rsidRPr="00FF139B" w:rsidRDefault="00FF139B" w:rsidP="00FF139B">
      <w:pPr>
        <w:pStyle w:val="Bibliography"/>
        <w:rPr>
          <w:rFonts w:ascii="Calibri" w:hAnsi="Calibri" w:cs="Calibri"/>
        </w:rPr>
      </w:pPr>
      <w:r w:rsidRPr="00FF139B">
        <w:rPr>
          <w:rFonts w:ascii="Calibri" w:hAnsi="Calibri" w:cs="Calibri"/>
        </w:rPr>
        <w:t>17</w:t>
      </w:r>
      <w:r w:rsidRPr="00FF139B">
        <w:rPr>
          <w:rFonts w:ascii="Calibri" w:hAnsi="Calibri" w:cs="Calibri"/>
        </w:rPr>
        <w:tab/>
        <w:t>WHO. Disease and injury regional estimates. Cause-specific mortality: regional estimates for 2008. WHO. http://www.who.int/healthinfo/global_burden_disease/estimates_regional/en/index.html (accessed 10 Jul2012).</w:t>
      </w:r>
    </w:p>
    <w:p w:rsidR="00FF139B" w:rsidRPr="00FF139B" w:rsidRDefault="00FF139B" w:rsidP="00FF139B">
      <w:pPr>
        <w:pStyle w:val="Bibliography"/>
        <w:rPr>
          <w:rFonts w:ascii="Calibri" w:hAnsi="Calibri" w:cs="Calibri"/>
        </w:rPr>
      </w:pPr>
      <w:r w:rsidRPr="00FF139B">
        <w:rPr>
          <w:rFonts w:ascii="Calibri" w:hAnsi="Calibri" w:cs="Calibri"/>
        </w:rPr>
        <w:t>18</w:t>
      </w:r>
      <w:r w:rsidRPr="00FF139B">
        <w:rPr>
          <w:rFonts w:ascii="Calibri" w:hAnsi="Calibri" w:cs="Calibri"/>
        </w:rPr>
        <w:tab/>
        <w:t xml:space="preserve">Bryce J, Boschi-Pinto C, Shibuya K, Black RE. WHO estimates of the causes of death in children. </w:t>
      </w:r>
      <w:r w:rsidRPr="00FF139B">
        <w:rPr>
          <w:rFonts w:ascii="Calibri" w:hAnsi="Calibri" w:cs="Calibri"/>
          <w:i/>
          <w:iCs/>
        </w:rPr>
        <w:t>Lancet</w:t>
      </w:r>
      <w:r w:rsidRPr="00FF139B">
        <w:rPr>
          <w:rFonts w:ascii="Calibri" w:hAnsi="Calibri" w:cs="Calibri"/>
        </w:rPr>
        <w:t xml:space="preserve"> 2005; </w:t>
      </w:r>
      <w:r w:rsidRPr="00FF139B">
        <w:rPr>
          <w:rFonts w:ascii="Calibri" w:hAnsi="Calibri" w:cs="Calibri"/>
          <w:b/>
          <w:bCs/>
        </w:rPr>
        <w:t>365</w:t>
      </w:r>
      <w:r w:rsidRPr="00FF139B">
        <w:rPr>
          <w:rFonts w:ascii="Calibri" w:hAnsi="Calibri" w:cs="Calibri"/>
        </w:rPr>
        <w:t>: 1147–52.</w:t>
      </w:r>
    </w:p>
    <w:p w:rsidR="00FF139B" w:rsidRPr="00FF139B" w:rsidRDefault="00FF139B" w:rsidP="00FF139B">
      <w:pPr>
        <w:pStyle w:val="Bibliography"/>
        <w:rPr>
          <w:rFonts w:ascii="Calibri" w:hAnsi="Calibri" w:cs="Calibri"/>
        </w:rPr>
      </w:pPr>
      <w:r w:rsidRPr="00FF139B">
        <w:rPr>
          <w:rFonts w:ascii="Calibri" w:hAnsi="Calibri" w:cs="Calibri"/>
        </w:rPr>
        <w:t>19</w:t>
      </w:r>
      <w:r w:rsidRPr="00FF139B">
        <w:rPr>
          <w:rFonts w:ascii="Calibri" w:hAnsi="Calibri" w:cs="Calibri"/>
        </w:rPr>
        <w:tab/>
        <w:t xml:space="preserve">Black RE, Cousens S, Johnson HL, </w:t>
      </w:r>
      <w:r w:rsidRPr="00FF139B">
        <w:rPr>
          <w:rFonts w:ascii="Calibri" w:hAnsi="Calibri" w:cs="Calibri"/>
          <w:i/>
          <w:iCs/>
        </w:rPr>
        <w:t>et al.</w:t>
      </w:r>
      <w:r w:rsidRPr="00FF139B">
        <w:rPr>
          <w:rFonts w:ascii="Calibri" w:hAnsi="Calibri" w:cs="Calibri"/>
        </w:rPr>
        <w:t xml:space="preserve"> Global, regional, and national causes of child mortality in 2008: a systematic analysis. </w:t>
      </w:r>
      <w:r w:rsidRPr="00FF139B">
        <w:rPr>
          <w:rFonts w:ascii="Calibri" w:hAnsi="Calibri" w:cs="Calibri"/>
          <w:i/>
          <w:iCs/>
        </w:rPr>
        <w:t>Lancet</w:t>
      </w:r>
      <w:r w:rsidRPr="00FF139B">
        <w:rPr>
          <w:rFonts w:ascii="Calibri" w:hAnsi="Calibri" w:cs="Calibri"/>
        </w:rPr>
        <w:t xml:space="preserve"> 2010; </w:t>
      </w:r>
      <w:r w:rsidRPr="00FF139B">
        <w:rPr>
          <w:rFonts w:ascii="Calibri" w:hAnsi="Calibri" w:cs="Calibri"/>
          <w:b/>
          <w:bCs/>
        </w:rPr>
        <w:t>375</w:t>
      </w:r>
      <w:r w:rsidRPr="00FF139B">
        <w:rPr>
          <w:rFonts w:ascii="Calibri" w:hAnsi="Calibri" w:cs="Calibri"/>
        </w:rPr>
        <w:t>: 1969–87.</w:t>
      </w:r>
    </w:p>
    <w:p w:rsidR="00FF139B" w:rsidRPr="00FF139B" w:rsidRDefault="00FF139B" w:rsidP="00FF139B">
      <w:pPr>
        <w:pStyle w:val="Bibliography"/>
        <w:rPr>
          <w:rFonts w:ascii="Calibri" w:hAnsi="Calibri" w:cs="Calibri"/>
        </w:rPr>
      </w:pPr>
      <w:r w:rsidRPr="00FF139B">
        <w:rPr>
          <w:rFonts w:ascii="Calibri" w:hAnsi="Calibri" w:cs="Calibri"/>
        </w:rPr>
        <w:t>20</w:t>
      </w:r>
      <w:r w:rsidRPr="00FF139B">
        <w:rPr>
          <w:rFonts w:ascii="Calibri" w:hAnsi="Calibri" w:cs="Calibri"/>
        </w:rPr>
        <w:tab/>
        <w:t xml:space="preserve">Liu L, Johnson HL, Cousens S, </w:t>
      </w:r>
      <w:r w:rsidRPr="00FF139B">
        <w:rPr>
          <w:rFonts w:ascii="Calibri" w:hAnsi="Calibri" w:cs="Calibri"/>
          <w:i/>
          <w:iCs/>
        </w:rPr>
        <w:t>et al.</w:t>
      </w:r>
      <w:r w:rsidRPr="00FF139B">
        <w:rPr>
          <w:rFonts w:ascii="Calibri" w:hAnsi="Calibri" w:cs="Calibri"/>
        </w:rPr>
        <w:t xml:space="preserve"> Global, regional, and national causes of child mortality: an updated systematic analysis for 2010 with time trends since 2000. </w:t>
      </w:r>
      <w:r w:rsidRPr="00FF139B">
        <w:rPr>
          <w:rFonts w:ascii="Calibri" w:hAnsi="Calibri" w:cs="Calibri"/>
          <w:i/>
          <w:iCs/>
        </w:rPr>
        <w:t>Lancet</w:t>
      </w:r>
      <w:r w:rsidRPr="00FF139B">
        <w:rPr>
          <w:rFonts w:ascii="Calibri" w:hAnsi="Calibri" w:cs="Calibri"/>
        </w:rPr>
        <w:t xml:space="preserve"> 2012. doi:10.1016/S0140-6736(12)60560-1.</w:t>
      </w:r>
    </w:p>
    <w:p w:rsidR="00FF139B" w:rsidRPr="00FF139B" w:rsidRDefault="00FF139B" w:rsidP="00FF139B">
      <w:pPr>
        <w:pStyle w:val="Bibliography"/>
        <w:rPr>
          <w:rFonts w:ascii="Calibri" w:hAnsi="Calibri" w:cs="Calibri"/>
        </w:rPr>
      </w:pPr>
      <w:r w:rsidRPr="00FF139B">
        <w:rPr>
          <w:rFonts w:ascii="Calibri" w:hAnsi="Calibri" w:cs="Calibri"/>
        </w:rPr>
        <w:t>21</w:t>
      </w:r>
      <w:r w:rsidRPr="00FF139B">
        <w:rPr>
          <w:rFonts w:ascii="Calibri" w:hAnsi="Calibri" w:cs="Calibri"/>
        </w:rPr>
        <w:tab/>
        <w:t xml:space="preserve">Hill K, Thomas K, AbouZahr C, </w:t>
      </w:r>
      <w:r w:rsidRPr="00FF139B">
        <w:rPr>
          <w:rFonts w:ascii="Calibri" w:hAnsi="Calibri" w:cs="Calibri"/>
          <w:i/>
          <w:iCs/>
        </w:rPr>
        <w:t>et al.</w:t>
      </w:r>
      <w:r w:rsidRPr="00FF139B">
        <w:rPr>
          <w:rFonts w:ascii="Calibri" w:hAnsi="Calibri" w:cs="Calibri"/>
        </w:rPr>
        <w:t xml:space="preserve"> Estimates of maternal mortality worldwide between 1990 and 2005: an assessment of available data. </w:t>
      </w:r>
      <w:r w:rsidRPr="00FF139B">
        <w:rPr>
          <w:rFonts w:ascii="Calibri" w:hAnsi="Calibri" w:cs="Calibri"/>
          <w:i/>
          <w:iCs/>
        </w:rPr>
        <w:t>The Lancet</w:t>
      </w:r>
      <w:r w:rsidRPr="00FF139B">
        <w:rPr>
          <w:rFonts w:ascii="Calibri" w:hAnsi="Calibri" w:cs="Calibri"/>
        </w:rPr>
        <w:t xml:space="preserve"> 13; </w:t>
      </w:r>
      <w:r w:rsidRPr="00FF139B">
        <w:rPr>
          <w:rFonts w:ascii="Calibri" w:hAnsi="Calibri" w:cs="Calibri"/>
          <w:b/>
          <w:bCs/>
        </w:rPr>
        <w:t>370</w:t>
      </w:r>
      <w:r w:rsidRPr="00FF139B">
        <w:rPr>
          <w:rFonts w:ascii="Calibri" w:hAnsi="Calibri" w:cs="Calibri"/>
        </w:rPr>
        <w:t>: 1311–9.</w:t>
      </w:r>
    </w:p>
    <w:p w:rsidR="00FF139B" w:rsidRPr="00FF139B" w:rsidRDefault="00FF139B" w:rsidP="00FF139B">
      <w:pPr>
        <w:pStyle w:val="Bibliography"/>
        <w:rPr>
          <w:rFonts w:ascii="Calibri" w:hAnsi="Calibri" w:cs="Calibri"/>
        </w:rPr>
      </w:pPr>
      <w:r w:rsidRPr="00FF139B">
        <w:rPr>
          <w:rFonts w:ascii="Calibri" w:hAnsi="Calibri" w:cs="Calibri"/>
        </w:rPr>
        <w:t>22</w:t>
      </w:r>
      <w:r w:rsidRPr="00FF139B">
        <w:rPr>
          <w:rFonts w:ascii="Calibri" w:hAnsi="Calibri" w:cs="Calibri"/>
        </w:rPr>
        <w:tab/>
        <w:t xml:space="preserve">Hogan MC, Foreman KJ, Naghavi M, </w:t>
      </w:r>
      <w:r w:rsidRPr="00FF139B">
        <w:rPr>
          <w:rFonts w:ascii="Calibri" w:hAnsi="Calibri" w:cs="Calibri"/>
          <w:i/>
          <w:iCs/>
        </w:rPr>
        <w:t>et al.</w:t>
      </w:r>
      <w:r w:rsidRPr="00FF139B">
        <w:rPr>
          <w:rFonts w:ascii="Calibri" w:hAnsi="Calibri" w:cs="Calibri"/>
        </w:rPr>
        <w:t xml:space="preserve"> Maternal mortality for 181 countries, 1980–2008: a systematic analysis of progress towards Millennium Development Goal 5. </w:t>
      </w:r>
      <w:r w:rsidRPr="00FF139B">
        <w:rPr>
          <w:rFonts w:ascii="Calibri" w:hAnsi="Calibri" w:cs="Calibri"/>
          <w:i/>
          <w:iCs/>
        </w:rPr>
        <w:t>The Lancet</w:t>
      </w:r>
      <w:r w:rsidRPr="00FF139B">
        <w:rPr>
          <w:rFonts w:ascii="Calibri" w:hAnsi="Calibri" w:cs="Calibri"/>
        </w:rPr>
        <w:t xml:space="preserve"> 8; </w:t>
      </w:r>
      <w:r w:rsidRPr="00FF139B">
        <w:rPr>
          <w:rFonts w:ascii="Calibri" w:hAnsi="Calibri" w:cs="Calibri"/>
          <w:b/>
          <w:bCs/>
        </w:rPr>
        <w:t>375</w:t>
      </w:r>
      <w:r w:rsidRPr="00FF139B">
        <w:rPr>
          <w:rFonts w:ascii="Calibri" w:hAnsi="Calibri" w:cs="Calibri"/>
        </w:rPr>
        <w:t>: 1609–23.</w:t>
      </w:r>
    </w:p>
    <w:p w:rsidR="00FF139B" w:rsidRPr="00FF139B" w:rsidRDefault="00FF139B" w:rsidP="00FF139B">
      <w:pPr>
        <w:pStyle w:val="Bibliography"/>
        <w:rPr>
          <w:rFonts w:ascii="Calibri" w:hAnsi="Calibri" w:cs="Calibri"/>
        </w:rPr>
      </w:pPr>
      <w:r w:rsidRPr="00FF139B">
        <w:rPr>
          <w:rFonts w:ascii="Calibri" w:hAnsi="Calibri" w:cs="Calibri"/>
        </w:rPr>
        <w:t>23</w:t>
      </w:r>
      <w:r w:rsidRPr="00FF139B">
        <w:rPr>
          <w:rFonts w:ascii="Calibri" w:hAnsi="Calibri" w:cs="Calibri"/>
        </w:rPr>
        <w:tab/>
        <w:t xml:space="preserve">Lozano R, Wang H, Foreman KJ, </w:t>
      </w:r>
      <w:r w:rsidRPr="00FF139B">
        <w:rPr>
          <w:rFonts w:ascii="Calibri" w:hAnsi="Calibri" w:cs="Calibri"/>
          <w:i/>
          <w:iCs/>
        </w:rPr>
        <w:t>et al.</w:t>
      </w:r>
      <w:r w:rsidRPr="00FF139B">
        <w:rPr>
          <w:rFonts w:ascii="Calibri" w:hAnsi="Calibri" w:cs="Calibri"/>
        </w:rPr>
        <w:t xml:space="preserve"> Progress towards Millennium Development Goals 4 and 5 on maternal and child mortality: an updated systematic analysis. </w:t>
      </w:r>
      <w:r w:rsidRPr="00FF139B">
        <w:rPr>
          <w:rFonts w:ascii="Calibri" w:hAnsi="Calibri" w:cs="Calibri"/>
          <w:i/>
          <w:iCs/>
        </w:rPr>
        <w:t>The Lancet</w:t>
      </w:r>
      <w:r w:rsidRPr="00FF139B">
        <w:rPr>
          <w:rFonts w:ascii="Calibri" w:hAnsi="Calibri" w:cs="Calibri"/>
        </w:rPr>
        <w:t xml:space="preserve"> 24; </w:t>
      </w:r>
      <w:r w:rsidRPr="00FF139B">
        <w:rPr>
          <w:rFonts w:ascii="Calibri" w:hAnsi="Calibri" w:cs="Calibri"/>
          <w:b/>
          <w:bCs/>
        </w:rPr>
        <w:t>378</w:t>
      </w:r>
      <w:r w:rsidRPr="00FF139B">
        <w:rPr>
          <w:rFonts w:ascii="Calibri" w:hAnsi="Calibri" w:cs="Calibri"/>
        </w:rPr>
        <w:t>: 1139–65.</w:t>
      </w:r>
    </w:p>
    <w:p w:rsidR="00FF139B" w:rsidRPr="00FF139B" w:rsidRDefault="00FF139B" w:rsidP="00FF139B">
      <w:pPr>
        <w:pStyle w:val="Bibliography"/>
        <w:rPr>
          <w:rFonts w:ascii="Calibri" w:hAnsi="Calibri" w:cs="Calibri"/>
        </w:rPr>
      </w:pPr>
      <w:r w:rsidRPr="00FF139B">
        <w:rPr>
          <w:rFonts w:ascii="Calibri" w:hAnsi="Calibri" w:cs="Calibri"/>
        </w:rPr>
        <w:t>24</w:t>
      </w:r>
      <w:r w:rsidRPr="00FF139B">
        <w:rPr>
          <w:rFonts w:ascii="Calibri" w:hAnsi="Calibri" w:cs="Calibri"/>
        </w:rPr>
        <w:tab/>
        <w:t>UNFPA, UNICEF, WHO, World Bank. Trends in Maternal Mortality: 1990 to 2010. , WHO, 2012http://www.unfpa.org/webdav/site/global/shared/documents/publications/2012/Trends_in_maternal_mortality_A4-1.pdf (accessed 7 Jun2012).</w:t>
      </w:r>
    </w:p>
    <w:p w:rsidR="00FF139B" w:rsidRPr="00FF139B" w:rsidRDefault="00FF139B" w:rsidP="00FF139B">
      <w:pPr>
        <w:pStyle w:val="Bibliography"/>
        <w:rPr>
          <w:rFonts w:ascii="Calibri" w:hAnsi="Calibri" w:cs="Calibri"/>
        </w:rPr>
      </w:pPr>
      <w:r w:rsidRPr="00FF139B">
        <w:rPr>
          <w:rFonts w:ascii="Calibri" w:hAnsi="Calibri" w:cs="Calibri"/>
        </w:rPr>
        <w:t>25</w:t>
      </w:r>
      <w:r w:rsidRPr="00FF139B">
        <w:rPr>
          <w:rFonts w:ascii="Calibri" w:hAnsi="Calibri" w:cs="Calibri"/>
        </w:rPr>
        <w:tab/>
        <w:t xml:space="preserve">Murray CJ, Rosenfeld LC, Lim SS, </w:t>
      </w:r>
      <w:r w:rsidRPr="00FF139B">
        <w:rPr>
          <w:rFonts w:ascii="Calibri" w:hAnsi="Calibri" w:cs="Calibri"/>
          <w:i/>
          <w:iCs/>
        </w:rPr>
        <w:t>et al.</w:t>
      </w:r>
      <w:r w:rsidRPr="00FF139B">
        <w:rPr>
          <w:rFonts w:ascii="Calibri" w:hAnsi="Calibri" w:cs="Calibri"/>
        </w:rPr>
        <w:t xml:space="preserve"> Global malaria mortality between 1980 and 2010: a systematic analysis. </w:t>
      </w:r>
      <w:r w:rsidRPr="00FF139B">
        <w:rPr>
          <w:rFonts w:ascii="Calibri" w:hAnsi="Calibri" w:cs="Calibri"/>
          <w:i/>
          <w:iCs/>
        </w:rPr>
        <w:t>The Lancet</w:t>
      </w:r>
      <w:r w:rsidRPr="00FF139B">
        <w:rPr>
          <w:rFonts w:ascii="Calibri" w:hAnsi="Calibri" w:cs="Calibri"/>
        </w:rPr>
        <w:t xml:space="preserve"> 4; </w:t>
      </w:r>
      <w:r w:rsidRPr="00FF139B">
        <w:rPr>
          <w:rFonts w:ascii="Calibri" w:hAnsi="Calibri" w:cs="Calibri"/>
          <w:b/>
          <w:bCs/>
        </w:rPr>
        <w:t>379</w:t>
      </w:r>
      <w:r w:rsidRPr="00FF139B">
        <w:rPr>
          <w:rFonts w:ascii="Calibri" w:hAnsi="Calibri" w:cs="Calibri"/>
        </w:rPr>
        <w:t>: 413–31.</w:t>
      </w:r>
    </w:p>
    <w:p w:rsidR="00FF139B" w:rsidRPr="00FF139B" w:rsidRDefault="00FF139B" w:rsidP="00FF139B">
      <w:pPr>
        <w:pStyle w:val="Bibliography"/>
        <w:rPr>
          <w:rFonts w:ascii="Calibri" w:hAnsi="Calibri" w:cs="Calibri"/>
        </w:rPr>
      </w:pPr>
      <w:r w:rsidRPr="00FF139B">
        <w:rPr>
          <w:rFonts w:ascii="Calibri" w:hAnsi="Calibri" w:cs="Calibri"/>
        </w:rPr>
        <w:t>26</w:t>
      </w:r>
      <w:r w:rsidRPr="00FF139B">
        <w:rPr>
          <w:rFonts w:ascii="Calibri" w:hAnsi="Calibri" w:cs="Calibri"/>
        </w:rPr>
        <w:tab/>
        <w:t>WHO. World Malaria Report 2011. http://www.who.int/malaria/world_malaria_report_2011/9789241564403_eng.pdf (accessed 2 Jul2012).</w:t>
      </w:r>
    </w:p>
    <w:p w:rsidR="00FF139B" w:rsidRPr="00FF139B" w:rsidRDefault="00FF139B" w:rsidP="00FF139B">
      <w:pPr>
        <w:pStyle w:val="Bibliography"/>
        <w:rPr>
          <w:rFonts w:ascii="Calibri" w:hAnsi="Calibri" w:cs="Calibri"/>
        </w:rPr>
      </w:pPr>
      <w:r w:rsidRPr="00FF139B">
        <w:rPr>
          <w:rFonts w:ascii="Calibri" w:hAnsi="Calibri" w:cs="Calibri"/>
        </w:rPr>
        <w:t>27</w:t>
      </w:r>
      <w:r w:rsidRPr="00FF139B">
        <w:rPr>
          <w:rFonts w:ascii="Calibri" w:hAnsi="Calibri" w:cs="Calibri"/>
        </w:rPr>
        <w:tab/>
        <w:t xml:space="preserve">Glaziou P, Floyd K, Korenromp EL, </w:t>
      </w:r>
      <w:r w:rsidRPr="00FF139B">
        <w:rPr>
          <w:rFonts w:ascii="Calibri" w:hAnsi="Calibri" w:cs="Calibri"/>
          <w:i/>
          <w:iCs/>
        </w:rPr>
        <w:t>et al.</w:t>
      </w:r>
      <w:r w:rsidRPr="00FF139B">
        <w:rPr>
          <w:rFonts w:ascii="Calibri" w:hAnsi="Calibri" w:cs="Calibri"/>
        </w:rPr>
        <w:t xml:space="preserve"> Lives saved by tuberculosis control and prospects for achieving the 2015 global target for reducing tuberculosis mortality. </w:t>
      </w:r>
      <w:r w:rsidRPr="00FF139B">
        <w:rPr>
          <w:rFonts w:ascii="Calibri" w:hAnsi="Calibri" w:cs="Calibri"/>
          <w:i/>
          <w:iCs/>
        </w:rPr>
        <w:t>Bulletin of the World Health Organization</w:t>
      </w:r>
      <w:r w:rsidRPr="00FF139B">
        <w:rPr>
          <w:rFonts w:ascii="Calibri" w:hAnsi="Calibri" w:cs="Calibri"/>
        </w:rPr>
        <w:t xml:space="preserve"> 2011; </w:t>
      </w:r>
      <w:r w:rsidRPr="00FF139B">
        <w:rPr>
          <w:rFonts w:ascii="Calibri" w:hAnsi="Calibri" w:cs="Calibri"/>
          <w:b/>
          <w:bCs/>
        </w:rPr>
        <w:t>89</w:t>
      </w:r>
      <w:r w:rsidRPr="00FF139B">
        <w:rPr>
          <w:rFonts w:ascii="Calibri" w:hAnsi="Calibri" w:cs="Calibri"/>
        </w:rPr>
        <w:t>: 573–82.</w:t>
      </w:r>
    </w:p>
    <w:p w:rsidR="00FF139B" w:rsidRPr="00FF139B" w:rsidRDefault="00FF139B" w:rsidP="00FF139B">
      <w:pPr>
        <w:pStyle w:val="Bibliography"/>
        <w:rPr>
          <w:rFonts w:ascii="Calibri" w:hAnsi="Calibri" w:cs="Calibri"/>
        </w:rPr>
      </w:pPr>
      <w:r w:rsidRPr="00FF139B">
        <w:rPr>
          <w:rFonts w:ascii="Calibri" w:hAnsi="Calibri" w:cs="Calibri"/>
        </w:rPr>
        <w:t>28</w:t>
      </w:r>
      <w:r w:rsidRPr="00FF139B">
        <w:rPr>
          <w:rFonts w:ascii="Calibri" w:hAnsi="Calibri" w:cs="Calibri"/>
        </w:rPr>
        <w:tab/>
        <w:t>WHO. Global tuberculosis control 2011. http://www.who.int/entity/tb/publications/global_report/2011/gtbr11_full.pdf (accessed 2 Jul2012).</w:t>
      </w:r>
    </w:p>
    <w:p w:rsidR="00FF139B" w:rsidRPr="00FF139B" w:rsidRDefault="00FF139B" w:rsidP="00FF139B">
      <w:pPr>
        <w:pStyle w:val="Bibliography"/>
        <w:rPr>
          <w:rFonts w:ascii="Calibri" w:hAnsi="Calibri" w:cs="Calibri"/>
        </w:rPr>
      </w:pPr>
      <w:r w:rsidRPr="00FF139B">
        <w:rPr>
          <w:rFonts w:ascii="Calibri" w:hAnsi="Calibri" w:cs="Calibri"/>
        </w:rPr>
        <w:t>29</w:t>
      </w:r>
      <w:r w:rsidRPr="00FF139B">
        <w:rPr>
          <w:rFonts w:ascii="Calibri" w:hAnsi="Calibri" w:cs="Calibri"/>
        </w:rPr>
        <w:tab/>
        <w:t>UNAIDS Report on the Global Aids Epidemic 2010. , UNAIDShttp://www.unaids.org/globalreport/documents/20101123_GlobalReport_full_en.pdf.</w:t>
      </w:r>
    </w:p>
    <w:p w:rsidR="00FF139B" w:rsidRPr="00FF139B" w:rsidRDefault="00FF139B" w:rsidP="00FF139B">
      <w:pPr>
        <w:pStyle w:val="Bibliography"/>
        <w:rPr>
          <w:rFonts w:ascii="Calibri" w:hAnsi="Calibri" w:cs="Calibri"/>
        </w:rPr>
      </w:pPr>
      <w:r w:rsidRPr="00FF139B">
        <w:rPr>
          <w:rFonts w:ascii="Calibri" w:hAnsi="Calibri" w:cs="Calibri"/>
        </w:rPr>
        <w:lastRenderedPageBreak/>
        <w:t>30</w:t>
      </w:r>
      <w:r w:rsidRPr="00FF139B">
        <w:rPr>
          <w:rFonts w:ascii="Calibri" w:hAnsi="Calibri" w:cs="Calibri"/>
        </w:rPr>
        <w:tab/>
        <w:t>World Health Organization. Global status report on road safety 2009. , 2009http://whqlibdoc.who.int/publications/2009/9789241563840_eng.pdf (accessed 29 Jun2012).</w:t>
      </w:r>
    </w:p>
    <w:p w:rsidR="00FF139B" w:rsidRPr="00FF139B" w:rsidRDefault="00FF139B" w:rsidP="00FF139B">
      <w:pPr>
        <w:pStyle w:val="Bibliography"/>
        <w:rPr>
          <w:rFonts w:ascii="Calibri" w:hAnsi="Calibri" w:cs="Calibri"/>
        </w:rPr>
      </w:pPr>
      <w:r w:rsidRPr="00FF139B">
        <w:rPr>
          <w:rFonts w:ascii="Calibri" w:hAnsi="Calibri" w:cs="Calibri"/>
        </w:rPr>
        <w:t>31</w:t>
      </w:r>
      <w:r w:rsidRPr="00FF139B">
        <w:rPr>
          <w:rFonts w:ascii="Calibri" w:hAnsi="Calibri" w:cs="Calibri"/>
        </w:rPr>
        <w:tab/>
        <w:t xml:space="preserve">Forouzanfar MH, Foreman KJ, Delossantos AM, </w:t>
      </w:r>
      <w:r w:rsidRPr="00FF139B">
        <w:rPr>
          <w:rFonts w:ascii="Calibri" w:hAnsi="Calibri" w:cs="Calibri"/>
          <w:i/>
          <w:iCs/>
        </w:rPr>
        <w:t>et al.</w:t>
      </w:r>
      <w:r w:rsidRPr="00FF139B">
        <w:rPr>
          <w:rFonts w:ascii="Calibri" w:hAnsi="Calibri" w:cs="Calibri"/>
        </w:rPr>
        <w:t xml:space="preserve"> Breast and cervical cancer in 187 countries between 1980 and 2010: a systematic analysis. </w:t>
      </w:r>
      <w:r w:rsidRPr="00FF139B">
        <w:rPr>
          <w:rFonts w:ascii="Calibri" w:hAnsi="Calibri" w:cs="Calibri"/>
          <w:i/>
          <w:iCs/>
        </w:rPr>
        <w:t>The Lancet</w:t>
      </w:r>
      <w:r w:rsidRPr="00FF139B">
        <w:rPr>
          <w:rFonts w:ascii="Calibri" w:hAnsi="Calibri" w:cs="Calibri"/>
        </w:rPr>
        <w:t xml:space="preserve"> 22; </w:t>
      </w:r>
      <w:r w:rsidRPr="00FF139B">
        <w:rPr>
          <w:rFonts w:ascii="Calibri" w:hAnsi="Calibri" w:cs="Calibri"/>
          <w:b/>
          <w:bCs/>
        </w:rPr>
        <w:t>378</w:t>
      </w:r>
      <w:r w:rsidRPr="00FF139B">
        <w:rPr>
          <w:rFonts w:ascii="Calibri" w:hAnsi="Calibri" w:cs="Calibri"/>
        </w:rPr>
        <w:t>: 1461–84.</w:t>
      </w:r>
    </w:p>
    <w:p w:rsidR="00FF139B" w:rsidRPr="00FF139B" w:rsidRDefault="00FF139B" w:rsidP="00FF139B">
      <w:pPr>
        <w:pStyle w:val="Bibliography"/>
        <w:rPr>
          <w:rFonts w:ascii="Calibri" w:hAnsi="Calibri" w:cs="Calibri"/>
        </w:rPr>
      </w:pPr>
      <w:r w:rsidRPr="00FF139B">
        <w:rPr>
          <w:rFonts w:ascii="Calibri" w:hAnsi="Calibri" w:cs="Calibri"/>
        </w:rPr>
        <w:t>32</w:t>
      </w:r>
      <w:r w:rsidRPr="00FF139B">
        <w:rPr>
          <w:rFonts w:ascii="Calibri" w:hAnsi="Calibri" w:cs="Calibri"/>
        </w:rPr>
        <w:tab/>
        <w:t xml:space="preserve">Ferlay J, Shin H-R, Bray F, Forman D, Mathers C, Parkin DM. Estimates of worldwide burden of cancer in 2008: GLOBOCAN 2008. </w:t>
      </w:r>
      <w:r w:rsidRPr="00FF139B">
        <w:rPr>
          <w:rFonts w:ascii="Calibri" w:hAnsi="Calibri" w:cs="Calibri"/>
          <w:i/>
          <w:iCs/>
        </w:rPr>
        <w:t>International Journal of Cancer</w:t>
      </w:r>
      <w:r w:rsidRPr="00FF139B">
        <w:rPr>
          <w:rFonts w:ascii="Calibri" w:hAnsi="Calibri" w:cs="Calibri"/>
        </w:rPr>
        <w:t xml:space="preserve"> 2010; </w:t>
      </w:r>
      <w:r w:rsidRPr="00FF139B">
        <w:rPr>
          <w:rFonts w:ascii="Calibri" w:hAnsi="Calibri" w:cs="Calibri"/>
          <w:b/>
          <w:bCs/>
        </w:rPr>
        <w:t>127</w:t>
      </w:r>
      <w:r w:rsidRPr="00FF139B">
        <w:rPr>
          <w:rFonts w:ascii="Calibri" w:hAnsi="Calibri" w:cs="Calibri"/>
        </w:rPr>
        <w:t>: 2893–917.</w:t>
      </w:r>
    </w:p>
    <w:p w:rsidR="00FF139B" w:rsidRPr="00FF139B" w:rsidRDefault="00FF139B" w:rsidP="00FF139B">
      <w:pPr>
        <w:pStyle w:val="Bibliography"/>
        <w:rPr>
          <w:rFonts w:ascii="Calibri" w:hAnsi="Calibri" w:cs="Calibri"/>
        </w:rPr>
      </w:pPr>
      <w:r w:rsidRPr="00FF139B">
        <w:rPr>
          <w:rFonts w:ascii="Calibri" w:hAnsi="Calibri" w:cs="Calibri"/>
        </w:rPr>
        <w:t>33</w:t>
      </w:r>
      <w:r w:rsidRPr="00FF139B">
        <w:rPr>
          <w:rFonts w:ascii="Calibri" w:hAnsi="Calibri" w:cs="Calibri"/>
        </w:rPr>
        <w:tab/>
        <w:t xml:space="preserve">Roglic G, Unwin N, Bennett PH, </w:t>
      </w:r>
      <w:r w:rsidRPr="00FF139B">
        <w:rPr>
          <w:rFonts w:ascii="Calibri" w:hAnsi="Calibri" w:cs="Calibri"/>
          <w:i/>
          <w:iCs/>
        </w:rPr>
        <w:t>et al.</w:t>
      </w:r>
      <w:r w:rsidRPr="00FF139B">
        <w:rPr>
          <w:rFonts w:ascii="Calibri" w:hAnsi="Calibri" w:cs="Calibri"/>
        </w:rPr>
        <w:t xml:space="preserve"> The Burden of Mortality Attributable to Diabetes Realistic estimates for the year 2000. </w:t>
      </w:r>
      <w:r w:rsidRPr="00FF139B">
        <w:rPr>
          <w:rFonts w:ascii="Calibri" w:hAnsi="Calibri" w:cs="Calibri"/>
          <w:i/>
          <w:iCs/>
        </w:rPr>
        <w:t>Dia Care</w:t>
      </w:r>
      <w:r w:rsidRPr="00FF139B">
        <w:rPr>
          <w:rFonts w:ascii="Calibri" w:hAnsi="Calibri" w:cs="Calibri"/>
        </w:rPr>
        <w:t xml:space="preserve"> 2005; </w:t>
      </w:r>
      <w:r w:rsidRPr="00FF139B">
        <w:rPr>
          <w:rFonts w:ascii="Calibri" w:hAnsi="Calibri" w:cs="Calibri"/>
          <w:b/>
          <w:bCs/>
        </w:rPr>
        <w:t>28</w:t>
      </w:r>
      <w:r w:rsidRPr="00FF139B">
        <w:rPr>
          <w:rFonts w:ascii="Calibri" w:hAnsi="Calibri" w:cs="Calibri"/>
        </w:rPr>
        <w:t>: 2130–5.</w:t>
      </w:r>
    </w:p>
    <w:p w:rsidR="00FF139B" w:rsidRPr="00FF139B" w:rsidRDefault="00FF139B" w:rsidP="00FF139B">
      <w:pPr>
        <w:pStyle w:val="Bibliography"/>
        <w:rPr>
          <w:rFonts w:ascii="Calibri" w:hAnsi="Calibri" w:cs="Calibri"/>
        </w:rPr>
      </w:pPr>
      <w:r w:rsidRPr="00FF139B">
        <w:rPr>
          <w:rFonts w:ascii="Calibri" w:hAnsi="Calibri" w:cs="Calibri"/>
        </w:rPr>
        <w:t>34</w:t>
      </w:r>
      <w:r w:rsidRPr="00FF139B">
        <w:rPr>
          <w:rFonts w:ascii="Calibri" w:hAnsi="Calibri" w:cs="Calibri"/>
        </w:rPr>
        <w:tab/>
        <w:t xml:space="preserve">Simons E, Ferrari M, Fricks J, </w:t>
      </w:r>
      <w:r w:rsidRPr="00FF139B">
        <w:rPr>
          <w:rFonts w:ascii="Calibri" w:hAnsi="Calibri" w:cs="Calibri"/>
          <w:i/>
          <w:iCs/>
        </w:rPr>
        <w:t>et al.</w:t>
      </w:r>
      <w:r w:rsidRPr="00FF139B">
        <w:rPr>
          <w:rFonts w:ascii="Calibri" w:hAnsi="Calibri" w:cs="Calibri"/>
        </w:rPr>
        <w:t xml:space="preserve"> Assessment of the 2010 global measles mortality reduction goal: results from a model of surveillance data. </w:t>
      </w:r>
      <w:r w:rsidRPr="00FF139B">
        <w:rPr>
          <w:rFonts w:ascii="Calibri" w:hAnsi="Calibri" w:cs="Calibri"/>
          <w:i/>
          <w:iCs/>
        </w:rPr>
        <w:t>The Lancet</w:t>
      </w:r>
      <w:r w:rsidRPr="00FF139B">
        <w:rPr>
          <w:rFonts w:ascii="Calibri" w:hAnsi="Calibri" w:cs="Calibri"/>
        </w:rPr>
        <w:t xml:space="preserve"> 2012; </w:t>
      </w:r>
      <w:r w:rsidRPr="00FF139B">
        <w:rPr>
          <w:rFonts w:ascii="Calibri" w:hAnsi="Calibri" w:cs="Calibri"/>
          <w:b/>
          <w:bCs/>
        </w:rPr>
        <w:t>379</w:t>
      </w:r>
      <w:r w:rsidRPr="00FF139B">
        <w:rPr>
          <w:rFonts w:ascii="Calibri" w:hAnsi="Calibri" w:cs="Calibri"/>
        </w:rPr>
        <w:t>: 2173–8.</w:t>
      </w:r>
    </w:p>
    <w:p w:rsidR="00FF139B" w:rsidRPr="00FF139B" w:rsidRDefault="00FF139B" w:rsidP="00FF139B">
      <w:pPr>
        <w:pStyle w:val="Bibliography"/>
        <w:rPr>
          <w:rFonts w:ascii="Calibri" w:hAnsi="Calibri" w:cs="Calibri"/>
        </w:rPr>
      </w:pPr>
      <w:r w:rsidRPr="00FF139B">
        <w:rPr>
          <w:rFonts w:ascii="Calibri" w:hAnsi="Calibri" w:cs="Calibri"/>
        </w:rPr>
        <w:t>35</w:t>
      </w:r>
      <w:r w:rsidRPr="00FF139B">
        <w:rPr>
          <w:rFonts w:ascii="Calibri" w:hAnsi="Calibri" w:cs="Calibri"/>
        </w:rPr>
        <w:tab/>
        <w:t xml:space="preserve">O’Brien KL, Wolfson LJ, Watt JP, </w:t>
      </w:r>
      <w:r w:rsidRPr="00FF139B">
        <w:rPr>
          <w:rFonts w:ascii="Calibri" w:hAnsi="Calibri" w:cs="Calibri"/>
          <w:i/>
          <w:iCs/>
        </w:rPr>
        <w:t>et al.</w:t>
      </w:r>
      <w:r w:rsidRPr="00FF139B">
        <w:rPr>
          <w:rFonts w:ascii="Calibri" w:hAnsi="Calibri" w:cs="Calibri"/>
        </w:rPr>
        <w:t xml:space="preserve"> Burden of disease caused by Streptococcus pneumoniae in children younger than 5 years: global estimates. </w:t>
      </w:r>
      <w:r w:rsidRPr="00FF139B">
        <w:rPr>
          <w:rFonts w:ascii="Calibri" w:hAnsi="Calibri" w:cs="Calibri"/>
          <w:i/>
          <w:iCs/>
        </w:rPr>
        <w:t>The Lancet</w:t>
      </w:r>
      <w:r w:rsidRPr="00FF139B">
        <w:rPr>
          <w:rFonts w:ascii="Calibri" w:hAnsi="Calibri" w:cs="Calibri"/>
        </w:rPr>
        <w:t xml:space="preserve"> 12; </w:t>
      </w:r>
      <w:r w:rsidRPr="00FF139B">
        <w:rPr>
          <w:rFonts w:ascii="Calibri" w:hAnsi="Calibri" w:cs="Calibri"/>
          <w:b/>
          <w:bCs/>
        </w:rPr>
        <w:t>374</w:t>
      </w:r>
      <w:r w:rsidRPr="00FF139B">
        <w:rPr>
          <w:rFonts w:ascii="Calibri" w:hAnsi="Calibri" w:cs="Calibri"/>
        </w:rPr>
        <w:t>: 893–902.</w:t>
      </w:r>
    </w:p>
    <w:p w:rsidR="00FF139B" w:rsidRPr="00FF139B" w:rsidRDefault="00FF139B" w:rsidP="00FF139B">
      <w:pPr>
        <w:pStyle w:val="Bibliography"/>
        <w:rPr>
          <w:rFonts w:ascii="Calibri" w:hAnsi="Calibri" w:cs="Calibri"/>
        </w:rPr>
      </w:pPr>
      <w:r w:rsidRPr="00FF139B">
        <w:rPr>
          <w:rFonts w:ascii="Calibri" w:hAnsi="Calibri" w:cs="Calibri"/>
        </w:rPr>
        <w:t>36</w:t>
      </w:r>
      <w:r w:rsidRPr="00FF139B">
        <w:rPr>
          <w:rFonts w:ascii="Calibri" w:hAnsi="Calibri" w:cs="Calibri"/>
        </w:rPr>
        <w:tab/>
        <w:t xml:space="preserve">Salomon JA, Murray CJL. The Epidemiologic Transition Revisited: Compositional Models for Causes of Death by Age and Sex. </w:t>
      </w:r>
      <w:r w:rsidRPr="00FF139B">
        <w:rPr>
          <w:rFonts w:ascii="Calibri" w:hAnsi="Calibri" w:cs="Calibri"/>
          <w:i/>
          <w:iCs/>
        </w:rPr>
        <w:t>Population and Development Review</w:t>
      </w:r>
      <w:r w:rsidRPr="00FF139B">
        <w:rPr>
          <w:rFonts w:ascii="Calibri" w:hAnsi="Calibri" w:cs="Calibri"/>
        </w:rPr>
        <w:t xml:space="preserve"> 2002; </w:t>
      </w:r>
      <w:r w:rsidRPr="00FF139B">
        <w:rPr>
          <w:rFonts w:ascii="Calibri" w:hAnsi="Calibri" w:cs="Calibri"/>
          <w:b/>
          <w:bCs/>
        </w:rPr>
        <w:t>28</w:t>
      </w:r>
      <w:r w:rsidRPr="00FF139B">
        <w:rPr>
          <w:rFonts w:ascii="Calibri" w:hAnsi="Calibri" w:cs="Calibri"/>
        </w:rPr>
        <w:t>: 205–28.</w:t>
      </w:r>
    </w:p>
    <w:p w:rsidR="00FF139B" w:rsidRPr="00FF139B" w:rsidRDefault="00FF139B" w:rsidP="00FF139B">
      <w:pPr>
        <w:pStyle w:val="Bibliography"/>
        <w:rPr>
          <w:rFonts w:ascii="Calibri" w:hAnsi="Calibri" w:cs="Calibri"/>
        </w:rPr>
      </w:pPr>
      <w:r w:rsidRPr="00FF139B">
        <w:rPr>
          <w:rFonts w:ascii="Calibri" w:hAnsi="Calibri" w:cs="Calibri"/>
        </w:rPr>
        <w:t>37</w:t>
      </w:r>
      <w:r w:rsidRPr="00FF139B">
        <w:rPr>
          <w:rFonts w:ascii="Calibri" w:hAnsi="Calibri" w:cs="Calibri"/>
        </w:rPr>
        <w:tab/>
        <w:t xml:space="preserve">Rajaratnam JK, Marcus JR, Flaxman AD, </w:t>
      </w:r>
      <w:r w:rsidRPr="00FF139B">
        <w:rPr>
          <w:rFonts w:ascii="Calibri" w:hAnsi="Calibri" w:cs="Calibri"/>
          <w:i/>
          <w:iCs/>
        </w:rPr>
        <w:t>et al.</w:t>
      </w:r>
      <w:r w:rsidRPr="00FF139B">
        <w:rPr>
          <w:rFonts w:ascii="Calibri" w:hAnsi="Calibri" w:cs="Calibri"/>
        </w:rPr>
        <w:t xml:space="preserve"> Neonatal, postneonatal, childhood, and under-5 mortality for 187 countries, 1970-2010: a systematic analysis of progress towards Millennium Development Goal 4. </w:t>
      </w:r>
      <w:r w:rsidRPr="00FF139B">
        <w:rPr>
          <w:rFonts w:ascii="Calibri" w:hAnsi="Calibri" w:cs="Calibri"/>
          <w:i/>
          <w:iCs/>
        </w:rPr>
        <w:t>The Lancet</w:t>
      </w:r>
      <w:r w:rsidRPr="00FF139B">
        <w:rPr>
          <w:rFonts w:ascii="Calibri" w:hAnsi="Calibri" w:cs="Calibri"/>
        </w:rPr>
        <w:t xml:space="preserve"> 2010; </w:t>
      </w:r>
      <w:r w:rsidRPr="00FF139B">
        <w:rPr>
          <w:rFonts w:ascii="Calibri" w:hAnsi="Calibri" w:cs="Calibri"/>
          <w:b/>
          <w:bCs/>
        </w:rPr>
        <w:t>375</w:t>
      </w:r>
      <w:r w:rsidRPr="00FF139B">
        <w:rPr>
          <w:rFonts w:ascii="Calibri" w:hAnsi="Calibri" w:cs="Calibri"/>
        </w:rPr>
        <w:t>: 1988–2008.</w:t>
      </w:r>
    </w:p>
    <w:p w:rsidR="00FF139B" w:rsidRPr="00FF139B" w:rsidRDefault="00FF139B" w:rsidP="00FF139B">
      <w:pPr>
        <w:pStyle w:val="Bibliography"/>
        <w:rPr>
          <w:rFonts w:ascii="Calibri" w:hAnsi="Calibri" w:cs="Calibri"/>
        </w:rPr>
      </w:pPr>
      <w:r w:rsidRPr="00FF139B">
        <w:rPr>
          <w:rFonts w:ascii="Calibri" w:hAnsi="Calibri" w:cs="Calibri"/>
        </w:rPr>
        <w:t>38</w:t>
      </w:r>
      <w:r w:rsidRPr="00FF139B">
        <w:rPr>
          <w:rFonts w:ascii="Calibri" w:hAnsi="Calibri" w:cs="Calibri"/>
        </w:rPr>
        <w:tab/>
        <w:t xml:space="preserve">Foreman K, Lozano R, Lopez A, Murray C. Modeling causes of death: an integrated approach using CODEm. </w:t>
      </w:r>
      <w:r w:rsidRPr="00FF139B">
        <w:rPr>
          <w:rFonts w:ascii="Calibri" w:hAnsi="Calibri" w:cs="Calibri"/>
          <w:i/>
          <w:iCs/>
        </w:rPr>
        <w:t>Popul Health Metr</w:t>
      </w:r>
      <w:r w:rsidRPr="00FF139B">
        <w:rPr>
          <w:rFonts w:ascii="Calibri" w:hAnsi="Calibri" w:cs="Calibri"/>
        </w:rPr>
        <w:t xml:space="preserve"> 2012; </w:t>
      </w:r>
      <w:r w:rsidRPr="00FF139B">
        <w:rPr>
          <w:rFonts w:ascii="Calibri" w:hAnsi="Calibri" w:cs="Calibri"/>
          <w:b/>
          <w:bCs/>
        </w:rPr>
        <w:t>10</w:t>
      </w:r>
      <w:r w:rsidRPr="00FF139B">
        <w:rPr>
          <w:rFonts w:ascii="Calibri" w:hAnsi="Calibri" w:cs="Calibri"/>
        </w:rPr>
        <w:t>: 1.</w:t>
      </w:r>
    </w:p>
    <w:p w:rsidR="00FF139B" w:rsidRPr="00FF139B" w:rsidRDefault="00FF139B" w:rsidP="00FF139B">
      <w:pPr>
        <w:pStyle w:val="Bibliography"/>
        <w:rPr>
          <w:rFonts w:ascii="Calibri" w:hAnsi="Calibri" w:cs="Calibri"/>
        </w:rPr>
      </w:pPr>
      <w:r w:rsidRPr="00FF139B">
        <w:rPr>
          <w:rFonts w:ascii="Calibri" w:hAnsi="Calibri" w:cs="Calibri"/>
        </w:rPr>
        <w:t>39</w:t>
      </w:r>
      <w:r w:rsidRPr="00FF139B">
        <w:rPr>
          <w:rFonts w:ascii="Calibri" w:hAnsi="Calibri" w:cs="Calibri"/>
        </w:rPr>
        <w:tab/>
        <w:t xml:space="preserve">Murray CJ, Ezzati M, Flaxman A, </w:t>
      </w:r>
      <w:r w:rsidRPr="00FF139B">
        <w:rPr>
          <w:rFonts w:ascii="Calibri" w:hAnsi="Calibri" w:cs="Calibri"/>
          <w:i/>
          <w:iCs/>
        </w:rPr>
        <w:t>et al.</w:t>
      </w:r>
      <w:r w:rsidRPr="00FF139B">
        <w:rPr>
          <w:rFonts w:ascii="Calibri" w:hAnsi="Calibri" w:cs="Calibri"/>
        </w:rPr>
        <w:t xml:space="preserve"> Comprehensive Systematic Analysis of Global Epidemiology: Definitions, Methods, Simplification of DALYs, and Comparative Results from the Global Burden of Disease 2010 Study. In Preparation.</w:t>
      </w:r>
    </w:p>
    <w:p w:rsidR="00FF139B" w:rsidRPr="00FF139B" w:rsidRDefault="00FF139B" w:rsidP="00FF139B">
      <w:pPr>
        <w:pStyle w:val="Bibliography"/>
        <w:rPr>
          <w:rFonts w:ascii="Calibri" w:hAnsi="Calibri" w:cs="Calibri"/>
        </w:rPr>
      </w:pPr>
      <w:r w:rsidRPr="00FF139B">
        <w:rPr>
          <w:rFonts w:ascii="Calibri" w:hAnsi="Calibri" w:cs="Calibri"/>
        </w:rPr>
        <w:t>40</w:t>
      </w:r>
      <w:r w:rsidRPr="00FF139B">
        <w:rPr>
          <w:rFonts w:ascii="Calibri" w:hAnsi="Calibri" w:cs="Calibri"/>
        </w:rPr>
        <w:tab/>
        <w:t xml:space="preserve">Wang H, Dwyer-Lindgren L, Lofgren KT, </w:t>
      </w:r>
      <w:r w:rsidRPr="00FF139B">
        <w:rPr>
          <w:rFonts w:ascii="Calibri" w:hAnsi="Calibri" w:cs="Calibri"/>
          <w:i/>
          <w:iCs/>
        </w:rPr>
        <w:t>et al.</w:t>
      </w:r>
      <w:r w:rsidRPr="00FF139B">
        <w:rPr>
          <w:rFonts w:ascii="Calibri" w:hAnsi="Calibri" w:cs="Calibri"/>
        </w:rPr>
        <w:t xml:space="preserve"> Age- and Sex-Specific Mortality for 187 Countries, 1970-2010: A Systematic Analysis. (in submission).</w:t>
      </w:r>
    </w:p>
    <w:p w:rsidR="00FF139B" w:rsidRPr="00FF139B" w:rsidRDefault="00FF139B" w:rsidP="00FF139B">
      <w:pPr>
        <w:pStyle w:val="Bibliography"/>
        <w:rPr>
          <w:rFonts w:ascii="Calibri" w:hAnsi="Calibri" w:cs="Calibri"/>
        </w:rPr>
      </w:pPr>
      <w:r w:rsidRPr="00FF139B">
        <w:rPr>
          <w:rFonts w:ascii="Calibri" w:hAnsi="Calibri" w:cs="Calibri"/>
        </w:rPr>
        <w:t>41</w:t>
      </w:r>
      <w:r w:rsidRPr="00FF139B">
        <w:rPr>
          <w:rFonts w:ascii="Calibri" w:hAnsi="Calibri" w:cs="Calibri"/>
        </w:rPr>
        <w:tab/>
        <w:t>United Nations Surveys on Crime Trends and the Operations of Criminal Justice Systems. http://www.unodc.org/unodc/en/data-and-analysis/United-Nations-Surveys-on-Crime-Trends-and-the-Operations-of-Criminal-Justice-Systems.html.</w:t>
      </w:r>
    </w:p>
    <w:p w:rsidR="00FF139B" w:rsidRPr="00FF139B" w:rsidRDefault="00FF139B" w:rsidP="00FF139B">
      <w:pPr>
        <w:pStyle w:val="Bibliography"/>
        <w:rPr>
          <w:rFonts w:ascii="Calibri" w:hAnsi="Calibri" w:cs="Calibri"/>
        </w:rPr>
      </w:pPr>
      <w:r w:rsidRPr="00FF139B">
        <w:rPr>
          <w:rFonts w:ascii="Calibri" w:hAnsi="Calibri" w:cs="Calibri"/>
        </w:rPr>
        <w:t>42</w:t>
      </w:r>
      <w:r w:rsidRPr="00FF139B">
        <w:rPr>
          <w:rFonts w:ascii="Calibri" w:hAnsi="Calibri" w:cs="Calibri"/>
        </w:rPr>
        <w:tab/>
        <w:t xml:space="preserve">Murray CJL, Lopez AD, Barofsky JT, Bryson-Cahn C, Lozano R. Estimating Population Cause-Specific Mortality Fractions from in-Hospital Mortality: Validation of a New Method. </w:t>
      </w:r>
      <w:r w:rsidRPr="00FF139B">
        <w:rPr>
          <w:rFonts w:ascii="Calibri" w:hAnsi="Calibri" w:cs="Calibri"/>
          <w:i/>
          <w:iCs/>
        </w:rPr>
        <w:t>PLoS Med</w:t>
      </w:r>
      <w:r w:rsidRPr="00FF139B">
        <w:rPr>
          <w:rFonts w:ascii="Calibri" w:hAnsi="Calibri" w:cs="Calibri"/>
        </w:rPr>
        <w:t xml:space="preserve"> 2007; </w:t>
      </w:r>
      <w:r w:rsidRPr="00FF139B">
        <w:rPr>
          <w:rFonts w:ascii="Calibri" w:hAnsi="Calibri" w:cs="Calibri"/>
          <w:b/>
          <w:bCs/>
        </w:rPr>
        <w:t>4</w:t>
      </w:r>
      <w:r w:rsidRPr="00FF139B">
        <w:rPr>
          <w:rFonts w:ascii="Calibri" w:hAnsi="Calibri" w:cs="Calibri"/>
        </w:rPr>
        <w:t>: e326.</w:t>
      </w:r>
    </w:p>
    <w:p w:rsidR="00FF139B" w:rsidRPr="00FF139B" w:rsidRDefault="00FF139B" w:rsidP="00FF139B">
      <w:pPr>
        <w:pStyle w:val="Bibliography"/>
        <w:rPr>
          <w:rFonts w:ascii="Calibri" w:hAnsi="Calibri" w:cs="Calibri"/>
        </w:rPr>
      </w:pPr>
      <w:r w:rsidRPr="00FF139B">
        <w:rPr>
          <w:rFonts w:ascii="Calibri" w:hAnsi="Calibri" w:cs="Calibri"/>
        </w:rPr>
        <w:t>43</w:t>
      </w:r>
      <w:r w:rsidRPr="00FF139B">
        <w:rPr>
          <w:rFonts w:ascii="Calibri" w:hAnsi="Calibri" w:cs="Calibri"/>
        </w:rPr>
        <w:tab/>
        <w:t>Murray CJL, López AD. Estimating Causes of Death: New Methods and Global and Regional Application for 1990. In: The global burden of disease: a comprehensive assessment of mortality and disability from diseases, injuries, and risk factors in 1990 and projected to 2020. , Published by the Harvard School of Public Health on behalf of the World Health Organization and the World Bank, 1996: 117–200.</w:t>
      </w:r>
    </w:p>
    <w:p w:rsidR="00FF139B" w:rsidRPr="00FF139B" w:rsidRDefault="00FF139B" w:rsidP="00FF139B">
      <w:pPr>
        <w:pStyle w:val="Bibliography"/>
        <w:rPr>
          <w:rFonts w:ascii="Calibri" w:hAnsi="Calibri" w:cs="Calibri"/>
        </w:rPr>
      </w:pPr>
      <w:r w:rsidRPr="00FF139B">
        <w:rPr>
          <w:rFonts w:ascii="Calibri" w:hAnsi="Calibri" w:cs="Calibri"/>
        </w:rPr>
        <w:lastRenderedPageBreak/>
        <w:t>44</w:t>
      </w:r>
      <w:r w:rsidRPr="00FF139B">
        <w:rPr>
          <w:rFonts w:ascii="Calibri" w:hAnsi="Calibri" w:cs="Calibri"/>
        </w:rPr>
        <w:tab/>
        <w:t xml:space="preserve">Lawn JE, Wilczynska-Ketende K, Cousens SN. Estimating the causes of 4 million neonatal deaths in the year 2000. </w:t>
      </w:r>
      <w:r w:rsidRPr="00FF139B">
        <w:rPr>
          <w:rFonts w:ascii="Calibri" w:hAnsi="Calibri" w:cs="Calibri"/>
          <w:i/>
          <w:iCs/>
        </w:rPr>
        <w:t>Int J Epidemiol</w:t>
      </w:r>
      <w:r w:rsidRPr="00FF139B">
        <w:rPr>
          <w:rFonts w:ascii="Calibri" w:hAnsi="Calibri" w:cs="Calibri"/>
        </w:rPr>
        <w:t xml:space="preserve"> 2006; </w:t>
      </w:r>
      <w:r w:rsidRPr="00FF139B">
        <w:rPr>
          <w:rFonts w:ascii="Calibri" w:hAnsi="Calibri" w:cs="Calibri"/>
          <w:b/>
          <w:bCs/>
        </w:rPr>
        <w:t>35</w:t>
      </w:r>
      <w:r w:rsidRPr="00FF139B">
        <w:rPr>
          <w:rFonts w:ascii="Calibri" w:hAnsi="Calibri" w:cs="Calibri"/>
        </w:rPr>
        <w:t>: 706–18.</w:t>
      </w:r>
    </w:p>
    <w:p w:rsidR="00FF139B" w:rsidRPr="00FF139B" w:rsidRDefault="00FF139B" w:rsidP="00FF139B">
      <w:pPr>
        <w:pStyle w:val="Bibliography"/>
        <w:rPr>
          <w:rFonts w:ascii="Calibri" w:hAnsi="Calibri" w:cs="Calibri"/>
        </w:rPr>
      </w:pPr>
      <w:r w:rsidRPr="00FF139B">
        <w:rPr>
          <w:rFonts w:ascii="Calibri" w:hAnsi="Calibri" w:cs="Calibri"/>
        </w:rPr>
        <w:t>45</w:t>
      </w:r>
      <w:r w:rsidRPr="00FF139B">
        <w:rPr>
          <w:rFonts w:ascii="Calibri" w:hAnsi="Calibri" w:cs="Calibri"/>
        </w:rPr>
        <w:tab/>
        <w:t xml:space="preserve">Kulkarni SC, Levin-Rector A, Ezzati M, Murray CJ. Falling behind: life expectancy in US counties from 2000 to 2007 in an international context. </w:t>
      </w:r>
      <w:r w:rsidRPr="00FF139B">
        <w:rPr>
          <w:rFonts w:ascii="Calibri" w:hAnsi="Calibri" w:cs="Calibri"/>
          <w:i/>
          <w:iCs/>
        </w:rPr>
        <w:t>Popul Health Metr</w:t>
      </w:r>
      <w:r w:rsidRPr="00FF139B">
        <w:rPr>
          <w:rFonts w:ascii="Calibri" w:hAnsi="Calibri" w:cs="Calibri"/>
        </w:rPr>
        <w:t xml:space="preserve"> 2011; </w:t>
      </w:r>
      <w:r w:rsidRPr="00FF139B">
        <w:rPr>
          <w:rFonts w:ascii="Calibri" w:hAnsi="Calibri" w:cs="Calibri"/>
          <w:b/>
          <w:bCs/>
        </w:rPr>
        <w:t>9</w:t>
      </w:r>
      <w:r w:rsidRPr="00FF139B">
        <w:rPr>
          <w:rFonts w:ascii="Calibri" w:hAnsi="Calibri" w:cs="Calibri"/>
        </w:rPr>
        <w:t>: 16.</w:t>
      </w:r>
    </w:p>
    <w:p w:rsidR="00FF139B" w:rsidRPr="00FF139B" w:rsidRDefault="00FF139B" w:rsidP="00FF139B">
      <w:pPr>
        <w:pStyle w:val="Bibliography"/>
        <w:rPr>
          <w:rFonts w:ascii="Calibri" w:hAnsi="Calibri" w:cs="Calibri"/>
        </w:rPr>
      </w:pPr>
      <w:r w:rsidRPr="00FF139B">
        <w:rPr>
          <w:rFonts w:ascii="Calibri" w:hAnsi="Calibri" w:cs="Calibri"/>
        </w:rPr>
        <w:t>46</w:t>
      </w:r>
      <w:r w:rsidRPr="00FF139B">
        <w:rPr>
          <w:rFonts w:ascii="Calibri" w:hAnsi="Calibri" w:cs="Calibri"/>
        </w:rPr>
        <w:tab/>
        <w:t xml:space="preserve">Murray CJL, Rajaratnam JK, Marcus J, Laakso T, Lopez AD. What Can We Conclude from Death Registration? Improved Methods for Evaluating Completeness. </w:t>
      </w:r>
      <w:r w:rsidRPr="00FF139B">
        <w:rPr>
          <w:rFonts w:ascii="Calibri" w:hAnsi="Calibri" w:cs="Calibri"/>
          <w:i/>
          <w:iCs/>
        </w:rPr>
        <w:t>PLoS Med</w:t>
      </w:r>
      <w:r w:rsidRPr="00FF139B">
        <w:rPr>
          <w:rFonts w:ascii="Calibri" w:hAnsi="Calibri" w:cs="Calibri"/>
        </w:rPr>
        <w:t xml:space="preserve"> 2010; </w:t>
      </w:r>
      <w:r w:rsidRPr="00FF139B">
        <w:rPr>
          <w:rFonts w:ascii="Calibri" w:hAnsi="Calibri" w:cs="Calibri"/>
          <w:b/>
          <w:bCs/>
        </w:rPr>
        <w:t>7</w:t>
      </w:r>
      <w:r w:rsidRPr="00FF139B">
        <w:rPr>
          <w:rFonts w:ascii="Calibri" w:hAnsi="Calibri" w:cs="Calibri"/>
        </w:rPr>
        <w:t>: e1000262.</w:t>
      </w:r>
    </w:p>
    <w:p w:rsidR="00FF139B" w:rsidRPr="00FF139B" w:rsidRDefault="00FF139B" w:rsidP="00FF139B">
      <w:pPr>
        <w:pStyle w:val="Bibliography"/>
        <w:rPr>
          <w:rFonts w:ascii="Calibri" w:hAnsi="Calibri" w:cs="Calibri"/>
        </w:rPr>
      </w:pPr>
      <w:r w:rsidRPr="00FF139B">
        <w:rPr>
          <w:rFonts w:ascii="Calibri" w:hAnsi="Calibri" w:cs="Calibri"/>
        </w:rPr>
        <w:t>47</w:t>
      </w:r>
      <w:r w:rsidRPr="00FF139B">
        <w:rPr>
          <w:rFonts w:ascii="Calibri" w:hAnsi="Calibri" w:cs="Calibri"/>
        </w:rPr>
        <w:tab/>
        <w:t xml:space="preserve">Wang H, Dwyer-Lindgren L, Lofgren K, </w:t>
      </w:r>
      <w:r w:rsidRPr="00FF139B">
        <w:rPr>
          <w:rFonts w:ascii="Calibri" w:hAnsi="Calibri" w:cs="Calibri"/>
          <w:i/>
          <w:iCs/>
        </w:rPr>
        <w:t>et al.</w:t>
      </w:r>
      <w:r w:rsidRPr="00FF139B">
        <w:rPr>
          <w:rFonts w:ascii="Calibri" w:hAnsi="Calibri" w:cs="Calibri"/>
        </w:rPr>
        <w:t xml:space="preserve"> Global and Regional Age-Specific Mortality 1970-2010: A Systematic Analysis. In preparation.</w:t>
      </w:r>
    </w:p>
    <w:p w:rsidR="00FF139B" w:rsidRPr="00FF139B" w:rsidRDefault="00FF139B" w:rsidP="00FF139B">
      <w:pPr>
        <w:pStyle w:val="Bibliography"/>
        <w:rPr>
          <w:rFonts w:ascii="Calibri" w:hAnsi="Calibri" w:cs="Calibri"/>
        </w:rPr>
      </w:pPr>
      <w:r w:rsidRPr="00FF139B">
        <w:rPr>
          <w:rFonts w:ascii="Calibri" w:hAnsi="Calibri" w:cs="Calibri"/>
        </w:rPr>
        <w:t>48</w:t>
      </w:r>
      <w:r w:rsidRPr="00FF139B">
        <w:rPr>
          <w:rFonts w:ascii="Calibri" w:hAnsi="Calibri" w:cs="Calibri"/>
        </w:rPr>
        <w:tab/>
        <w:t xml:space="preserve">Gakidou E, King G. Death by survey: estimating adult mortality without selection bias from sibling survival data. </w:t>
      </w:r>
      <w:r w:rsidRPr="00FF139B">
        <w:rPr>
          <w:rFonts w:ascii="Calibri" w:hAnsi="Calibri" w:cs="Calibri"/>
          <w:i/>
          <w:iCs/>
        </w:rPr>
        <w:t>Demography</w:t>
      </w:r>
      <w:r w:rsidRPr="00FF139B">
        <w:rPr>
          <w:rFonts w:ascii="Calibri" w:hAnsi="Calibri" w:cs="Calibri"/>
        </w:rPr>
        <w:t xml:space="preserve"> 2006; </w:t>
      </w:r>
      <w:r w:rsidRPr="00FF139B">
        <w:rPr>
          <w:rFonts w:ascii="Calibri" w:hAnsi="Calibri" w:cs="Calibri"/>
          <w:b/>
          <w:bCs/>
        </w:rPr>
        <w:t>43</w:t>
      </w:r>
      <w:r w:rsidRPr="00FF139B">
        <w:rPr>
          <w:rFonts w:ascii="Calibri" w:hAnsi="Calibri" w:cs="Calibri"/>
        </w:rPr>
        <w:t>: 569–85.</w:t>
      </w:r>
    </w:p>
    <w:p w:rsidR="00FF139B" w:rsidRPr="00FF139B" w:rsidRDefault="00FF139B" w:rsidP="00FF139B">
      <w:pPr>
        <w:pStyle w:val="Bibliography"/>
        <w:rPr>
          <w:rFonts w:ascii="Calibri" w:hAnsi="Calibri" w:cs="Calibri"/>
        </w:rPr>
      </w:pPr>
      <w:r w:rsidRPr="00FF139B">
        <w:rPr>
          <w:rFonts w:ascii="Calibri" w:hAnsi="Calibri" w:cs="Calibri"/>
        </w:rPr>
        <w:t>49</w:t>
      </w:r>
      <w:r w:rsidRPr="00FF139B">
        <w:rPr>
          <w:rFonts w:ascii="Calibri" w:hAnsi="Calibri" w:cs="Calibri"/>
        </w:rPr>
        <w:tab/>
        <w:t>Sullivan J. An assessment of the credibility of child mortality declines estimated from DHS mortality rates. , UNICEF, (Working Draft; Revision 1, 10/29/08).</w:t>
      </w:r>
    </w:p>
    <w:p w:rsidR="00FF139B" w:rsidRPr="00FF139B" w:rsidRDefault="00FF139B" w:rsidP="00FF139B">
      <w:pPr>
        <w:pStyle w:val="Bibliography"/>
        <w:rPr>
          <w:rFonts w:ascii="Calibri" w:hAnsi="Calibri" w:cs="Calibri"/>
        </w:rPr>
      </w:pPr>
      <w:r w:rsidRPr="00FF139B">
        <w:rPr>
          <w:rFonts w:ascii="Calibri" w:hAnsi="Calibri" w:cs="Calibri"/>
        </w:rPr>
        <w:t>50</w:t>
      </w:r>
      <w:r w:rsidRPr="00FF139B">
        <w:rPr>
          <w:rFonts w:ascii="Calibri" w:hAnsi="Calibri" w:cs="Calibri"/>
        </w:rPr>
        <w:tab/>
        <w:t>Murray CJL, López AD, Bank W. The global burden of disease: a comprehensive assessment of mortality and disability from diseases, injuries, and risk factors in 1990 and projected to 2020. , Published by the Harvard School of Public Health on behalf of the World Health Organization and the World Bank, 1996.</w:t>
      </w:r>
    </w:p>
    <w:p w:rsidR="00FF139B" w:rsidRPr="00FF139B" w:rsidRDefault="00FF139B" w:rsidP="00FF139B">
      <w:pPr>
        <w:pStyle w:val="Bibliography"/>
        <w:rPr>
          <w:rFonts w:ascii="Calibri" w:hAnsi="Calibri" w:cs="Calibri"/>
        </w:rPr>
      </w:pPr>
      <w:r w:rsidRPr="00FF139B">
        <w:rPr>
          <w:rFonts w:ascii="Calibri" w:hAnsi="Calibri" w:cs="Calibri"/>
        </w:rPr>
        <w:t>51</w:t>
      </w:r>
      <w:r w:rsidRPr="00FF139B">
        <w:rPr>
          <w:rFonts w:ascii="Calibri" w:hAnsi="Calibri" w:cs="Calibri"/>
        </w:rPr>
        <w:tab/>
        <w:t xml:space="preserve">Naghavi M, Makela S, Foreman K, O’Brien J, Pourmalek F, Lozano R. Algorithms for enhancing public health utility of national causes-of-death data. </w:t>
      </w:r>
      <w:r w:rsidRPr="00FF139B">
        <w:rPr>
          <w:rFonts w:ascii="Calibri" w:hAnsi="Calibri" w:cs="Calibri"/>
          <w:i/>
          <w:iCs/>
        </w:rPr>
        <w:t>Popul Health Metr</w:t>
      </w:r>
      <w:r w:rsidRPr="00FF139B">
        <w:rPr>
          <w:rFonts w:ascii="Calibri" w:hAnsi="Calibri" w:cs="Calibri"/>
        </w:rPr>
        <w:t xml:space="preserve"> 2010; </w:t>
      </w:r>
      <w:r w:rsidRPr="00FF139B">
        <w:rPr>
          <w:rFonts w:ascii="Calibri" w:hAnsi="Calibri" w:cs="Calibri"/>
          <w:b/>
          <w:bCs/>
        </w:rPr>
        <w:t>8</w:t>
      </w:r>
      <w:r w:rsidRPr="00FF139B">
        <w:rPr>
          <w:rFonts w:ascii="Calibri" w:hAnsi="Calibri" w:cs="Calibri"/>
        </w:rPr>
        <w:t>: 9.</w:t>
      </w:r>
    </w:p>
    <w:p w:rsidR="00FF139B" w:rsidRPr="00FF139B" w:rsidRDefault="00FF139B" w:rsidP="00FF139B">
      <w:pPr>
        <w:pStyle w:val="Bibliography"/>
        <w:rPr>
          <w:rFonts w:ascii="Calibri" w:hAnsi="Calibri" w:cs="Calibri"/>
        </w:rPr>
      </w:pPr>
      <w:r w:rsidRPr="00FF139B">
        <w:rPr>
          <w:rFonts w:ascii="Calibri" w:hAnsi="Calibri" w:cs="Calibri"/>
        </w:rPr>
        <w:t>52</w:t>
      </w:r>
      <w:r w:rsidRPr="00FF139B">
        <w:rPr>
          <w:rFonts w:ascii="Calibri" w:hAnsi="Calibri" w:cs="Calibri"/>
        </w:rPr>
        <w:tab/>
        <w:t xml:space="preserve">Ahern RM, Lozano R, Naghavi M, Foreman K, Gakidou E, Murray CJ. Improving the public health utility of global cardiovascular mortality data: the rise of ischemic heart disease. </w:t>
      </w:r>
      <w:r w:rsidRPr="00FF139B">
        <w:rPr>
          <w:rFonts w:ascii="Calibri" w:hAnsi="Calibri" w:cs="Calibri"/>
          <w:i/>
          <w:iCs/>
        </w:rPr>
        <w:t>Popul Health Metr</w:t>
      </w:r>
      <w:r w:rsidRPr="00FF139B">
        <w:rPr>
          <w:rFonts w:ascii="Calibri" w:hAnsi="Calibri" w:cs="Calibri"/>
        </w:rPr>
        <w:t xml:space="preserve"> 2011; </w:t>
      </w:r>
      <w:r w:rsidRPr="00FF139B">
        <w:rPr>
          <w:rFonts w:ascii="Calibri" w:hAnsi="Calibri" w:cs="Calibri"/>
          <w:b/>
          <w:bCs/>
        </w:rPr>
        <w:t>9</w:t>
      </w:r>
      <w:r w:rsidRPr="00FF139B">
        <w:rPr>
          <w:rFonts w:ascii="Calibri" w:hAnsi="Calibri" w:cs="Calibri"/>
        </w:rPr>
        <w:t>: 8.</w:t>
      </w:r>
    </w:p>
    <w:p w:rsidR="00FF139B" w:rsidRPr="00FF139B" w:rsidRDefault="00FF139B" w:rsidP="00FF139B">
      <w:pPr>
        <w:pStyle w:val="Bibliography"/>
        <w:rPr>
          <w:rFonts w:ascii="Calibri" w:hAnsi="Calibri" w:cs="Calibri"/>
        </w:rPr>
      </w:pPr>
      <w:r w:rsidRPr="00FF139B">
        <w:rPr>
          <w:rFonts w:ascii="Calibri" w:hAnsi="Calibri" w:cs="Calibri"/>
        </w:rPr>
        <w:t>53</w:t>
      </w:r>
      <w:r w:rsidRPr="00FF139B">
        <w:rPr>
          <w:rFonts w:ascii="Calibri" w:hAnsi="Calibri" w:cs="Calibri"/>
        </w:rPr>
        <w:tab/>
        <w:t>Murray CJL, Global Burden of Disease 2010 Causes of Death Collaborating Group. The Global Burden of Non-Fatal Health Outcomes for 1,160 Sequelae of 291 Diseases and Injures 1990-2010: a Systematic Analysis. In preparation.</w:t>
      </w:r>
    </w:p>
    <w:p w:rsidR="00FF139B" w:rsidRPr="00FF139B" w:rsidRDefault="00FF139B" w:rsidP="00FF139B">
      <w:pPr>
        <w:pStyle w:val="Bibliography"/>
        <w:rPr>
          <w:rFonts w:ascii="Calibri" w:hAnsi="Calibri" w:cs="Calibri"/>
        </w:rPr>
      </w:pPr>
      <w:r w:rsidRPr="00FF139B">
        <w:rPr>
          <w:rFonts w:ascii="Calibri" w:hAnsi="Calibri" w:cs="Calibri"/>
        </w:rPr>
        <w:t>54</w:t>
      </w:r>
      <w:r w:rsidRPr="00FF139B">
        <w:rPr>
          <w:rFonts w:ascii="Calibri" w:hAnsi="Calibri" w:cs="Calibri"/>
        </w:rPr>
        <w:tab/>
        <w:t xml:space="preserve">Schulz KF, Cates W Jr, O’Mara PR. Pregnancy loss, infant death, and suffering: legacy of syphilis and gonorrhoea in Africa. </w:t>
      </w:r>
      <w:r w:rsidRPr="00FF139B">
        <w:rPr>
          <w:rFonts w:ascii="Calibri" w:hAnsi="Calibri" w:cs="Calibri"/>
          <w:i/>
          <w:iCs/>
        </w:rPr>
        <w:t>Genitourin Med</w:t>
      </w:r>
      <w:r w:rsidRPr="00FF139B">
        <w:rPr>
          <w:rFonts w:ascii="Calibri" w:hAnsi="Calibri" w:cs="Calibri"/>
        </w:rPr>
        <w:t xml:space="preserve"> 1987; </w:t>
      </w:r>
      <w:r w:rsidRPr="00FF139B">
        <w:rPr>
          <w:rFonts w:ascii="Calibri" w:hAnsi="Calibri" w:cs="Calibri"/>
          <w:b/>
          <w:bCs/>
        </w:rPr>
        <w:t>63</w:t>
      </w:r>
      <w:r w:rsidRPr="00FF139B">
        <w:rPr>
          <w:rFonts w:ascii="Calibri" w:hAnsi="Calibri" w:cs="Calibri"/>
        </w:rPr>
        <w:t>: 320–5.</w:t>
      </w:r>
    </w:p>
    <w:p w:rsidR="00FF139B" w:rsidRPr="00FF139B" w:rsidRDefault="00FF139B" w:rsidP="00FF139B">
      <w:pPr>
        <w:pStyle w:val="Bibliography"/>
        <w:rPr>
          <w:rFonts w:ascii="Calibri" w:hAnsi="Calibri" w:cs="Calibri"/>
        </w:rPr>
      </w:pPr>
      <w:r w:rsidRPr="00FF139B">
        <w:rPr>
          <w:rFonts w:ascii="Calibri" w:hAnsi="Calibri" w:cs="Calibri"/>
        </w:rPr>
        <w:t>55</w:t>
      </w:r>
      <w:r w:rsidRPr="00FF139B">
        <w:rPr>
          <w:rFonts w:ascii="Calibri" w:hAnsi="Calibri" w:cs="Calibri"/>
        </w:rPr>
        <w:tab/>
        <w:t>WHO. The global elimination of congenital syphilis: rationale and strategy for action. http://whqlibdoc.who.int/publications/2007/9789241595858_eng.pdf (accessed 6 Jul2012).</w:t>
      </w:r>
    </w:p>
    <w:p w:rsidR="00FF139B" w:rsidRPr="00FF139B" w:rsidRDefault="00FF139B" w:rsidP="00FF139B">
      <w:pPr>
        <w:pStyle w:val="Bibliography"/>
        <w:rPr>
          <w:rFonts w:ascii="Calibri" w:hAnsi="Calibri" w:cs="Calibri"/>
        </w:rPr>
      </w:pPr>
      <w:r w:rsidRPr="00FF139B">
        <w:rPr>
          <w:rFonts w:ascii="Calibri" w:hAnsi="Calibri" w:cs="Calibri"/>
        </w:rPr>
        <w:t>56</w:t>
      </w:r>
      <w:r w:rsidRPr="00FF139B">
        <w:rPr>
          <w:rFonts w:ascii="Calibri" w:hAnsi="Calibri" w:cs="Calibri"/>
        </w:rPr>
        <w:tab/>
        <w:t xml:space="preserve">Crowcroft NS, Andrews N, Rooney C, Brisson M, Miller E. Deaths from pertussis are underestimated in England. </w:t>
      </w:r>
      <w:r w:rsidRPr="00FF139B">
        <w:rPr>
          <w:rFonts w:ascii="Calibri" w:hAnsi="Calibri" w:cs="Calibri"/>
          <w:i/>
          <w:iCs/>
        </w:rPr>
        <w:t>Arch Dis Child</w:t>
      </w:r>
      <w:r w:rsidRPr="00FF139B">
        <w:rPr>
          <w:rFonts w:ascii="Calibri" w:hAnsi="Calibri" w:cs="Calibri"/>
        </w:rPr>
        <w:t xml:space="preserve"> 2002; </w:t>
      </w:r>
      <w:r w:rsidRPr="00FF139B">
        <w:rPr>
          <w:rFonts w:ascii="Calibri" w:hAnsi="Calibri" w:cs="Calibri"/>
          <w:b/>
          <w:bCs/>
        </w:rPr>
        <w:t>86</w:t>
      </w:r>
      <w:r w:rsidRPr="00FF139B">
        <w:rPr>
          <w:rFonts w:ascii="Calibri" w:hAnsi="Calibri" w:cs="Calibri"/>
        </w:rPr>
        <w:t>: 336–8.</w:t>
      </w:r>
    </w:p>
    <w:p w:rsidR="00FF139B" w:rsidRPr="00FF139B" w:rsidRDefault="00FF139B" w:rsidP="00FF139B">
      <w:pPr>
        <w:pStyle w:val="Bibliography"/>
        <w:rPr>
          <w:rFonts w:ascii="Calibri" w:hAnsi="Calibri" w:cs="Calibri"/>
        </w:rPr>
      </w:pPr>
      <w:r w:rsidRPr="00FF139B">
        <w:rPr>
          <w:rFonts w:ascii="Calibri" w:hAnsi="Calibri" w:cs="Calibri"/>
        </w:rPr>
        <w:t>57</w:t>
      </w:r>
      <w:r w:rsidRPr="00FF139B">
        <w:rPr>
          <w:rFonts w:ascii="Calibri" w:hAnsi="Calibri" w:cs="Calibri"/>
        </w:rPr>
        <w:tab/>
        <w:t xml:space="preserve">Anker M. The effect of misclassification error on reported cause-specific mortality fractions from verbal autopsy. </w:t>
      </w:r>
      <w:r w:rsidRPr="00FF139B">
        <w:rPr>
          <w:rFonts w:ascii="Calibri" w:hAnsi="Calibri" w:cs="Calibri"/>
          <w:i/>
          <w:iCs/>
        </w:rPr>
        <w:t>Int J Epidemiol</w:t>
      </w:r>
      <w:r w:rsidRPr="00FF139B">
        <w:rPr>
          <w:rFonts w:ascii="Calibri" w:hAnsi="Calibri" w:cs="Calibri"/>
        </w:rPr>
        <w:t xml:space="preserve"> 1997; </w:t>
      </w:r>
      <w:r w:rsidRPr="00FF139B">
        <w:rPr>
          <w:rFonts w:ascii="Calibri" w:hAnsi="Calibri" w:cs="Calibri"/>
          <w:b/>
          <w:bCs/>
        </w:rPr>
        <w:t>26</w:t>
      </w:r>
      <w:r w:rsidRPr="00FF139B">
        <w:rPr>
          <w:rFonts w:ascii="Calibri" w:hAnsi="Calibri" w:cs="Calibri"/>
        </w:rPr>
        <w:t>: 1090–6.</w:t>
      </w:r>
    </w:p>
    <w:p w:rsidR="00FF139B" w:rsidRPr="00FF139B" w:rsidRDefault="00FF139B" w:rsidP="00FF139B">
      <w:pPr>
        <w:pStyle w:val="Bibliography"/>
        <w:rPr>
          <w:rFonts w:ascii="Calibri" w:hAnsi="Calibri" w:cs="Calibri"/>
        </w:rPr>
      </w:pPr>
      <w:r w:rsidRPr="00FF139B">
        <w:rPr>
          <w:rFonts w:ascii="Calibri" w:hAnsi="Calibri" w:cs="Calibri"/>
        </w:rPr>
        <w:t>58</w:t>
      </w:r>
      <w:r w:rsidRPr="00FF139B">
        <w:rPr>
          <w:rFonts w:ascii="Calibri" w:hAnsi="Calibri" w:cs="Calibri"/>
        </w:rPr>
        <w:tab/>
        <w:t xml:space="preserve">Birnbaum JK, Murray CJ, Lozano R. Exposing misclassified HIV/AIDS deaths in South Africa. </w:t>
      </w:r>
      <w:r w:rsidRPr="00FF139B">
        <w:rPr>
          <w:rFonts w:ascii="Calibri" w:hAnsi="Calibri" w:cs="Calibri"/>
          <w:i/>
          <w:iCs/>
        </w:rPr>
        <w:t>Bulletin of the World Health Organization</w:t>
      </w:r>
      <w:r w:rsidRPr="00FF139B">
        <w:rPr>
          <w:rFonts w:ascii="Calibri" w:hAnsi="Calibri" w:cs="Calibri"/>
        </w:rPr>
        <w:t xml:space="preserve"> 2011; </w:t>
      </w:r>
      <w:r w:rsidRPr="00FF139B">
        <w:rPr>
          <w:rFonts w:ascii="Calibri" w:hAnsi="Calibri" w:cs="Calibri"/>
          <w:b/>
          <w:bCs/>
        </w:rPr>
        <w:t>89</w:t>
      </w:r>
      <w:r w:rsidRPr="00FF139B">
        <w:rPr>
          <w:rFonts w:ascii="Calibri" w:hAnsi="Calibri" w:cs="Calibri"/>
        </w:rPr>
        <w:t>: 278–85.</w:t>
      </w:r>
    </w:p>
    <w:p w:rsidR="00FF139B" w:rsidRPr="00FF139B" w:rsidRDefault="00FF139B" w:rsidP="00FF139B">
      <w:pPr>
        <w:pStyle w:val="Bibliography"/>
        <w:rPr>
          <w:rFonts w:ascii="Calibri" w:hAnsi="Calibri" w:cs="Calibri"/>
        </w:rPr>
      </w:pPr>
      <w:r w:rsidRPr="00FF139B">
        <w:rPr>
          <w:rFonts w:ascii="Calibri" w:hAnsi="Calibri" w:cs="Calibri"/>
        </w:rPr>
        <w:lastRenderedPageBreak/>
        <w:t>59</w:t>
      </w:r>
      <w:r w:rsidRPr="00FF139B">
        <w:rPr>
          <w:rFonts w:ascii="Calibri" w:hAnsi="Calibri" w:cs="Calibri"/>
        </w:rPr>
        <w:tab/>
        <w:t>Murray C, Lopez A, Wang H. Mortality Estimation for National Populations: Methods and Applications. Seattle, WA, University of Washington Press.</w:t>
      </w:r>
    </w:p>
    <w:p w:rsidR="00FF139B" w:rsidRPr="00FF139B" w:rsidRDefault="00FF139B" w:rsidP="00FF139B">
      <w:pPr>
        <w:pStyle w:val="Bibliography"/>
        <w:rPr>
          <w:rFonts w:ascii="Calibri" w:hAnsi="Calibri" w:cs="Calibri"/>
        </w:rPr>
      </w:pPr>
      <w:r w:rsidRPr="00FF139B">
        <w:rPr>
          <w:rFonts w:ascii="Calibri" w:hAnsi="Calibri" w:cs="Calibri"/>
        </w:rPr>
        <w:t>60</w:t>
      </w:r>
      <w:r w:rsidRPr="00FF139B">
        <w:rPr>
          <w:rFonts w:ascii="Calibri" w:hAnsi="Calibri" w:cs="Calibri"/>
        </w:rPr>
        <w:tab/>
        <w:t xml:space="preserve">Gleditsch N, Wallensteen P, Eriksson M, Sollenberg M, Strand H. Armed Conflict 1946-2001: A New Dataset. </w:t>
      </w:r>
      <w:r w:rsidRPr="00FF139B">
        <w:rPr>
          <w:rFonts w:ascii="Calibri" w:hAnsi="Calibri" w:cs="Calibri"/>
          <w:i/>
          <w:iCs/>
        </w:rPr>
        <w:t>Journal of Peace Research</w:t>
      </w:r>
      <w:r w:rsidRPr="00FF139B">
        <w:rPr>
          <w:rFonts w:ascii="Calibri" w:hAnsi="Calibri" w:cs="Calibri"/>
        </w:rPr>
        <w:t xml:space="preserve"> 2002; : 615–37.</w:t>
      </w:r>
    </w:p>
    <w:p w:rsidR="00FF139B" w:rsidRPr="00FF139B" w:rsidRDefault="00FF139B" w:rsidP="00FF139B">
      <w:pPr>
        <w:pStyle w:val="Bibliography"/>
        <w:rPr>
          <w:rFonts w:ascii="Calibri" w:hAnsi="Calibri" w:cs="Calibri"/>
        </w:rPr>
      </w:pPr>
      <w:r w:rsidRPr="00FF139B">
        <w:rPr>
          <w:rFonts w:ascii="Calibri" w:hAnsi="Calibri" w:cs="Calibri"/>
        </w:rPr>
        <w:t>61</w:t>
      </w:r>
      <w:r w:rsidRPr="00FF139B">
        <w:rPr>
          <w:rFonts w:ascii="Calibri" w:hAnsi="Calibri" w:cs="Calibri"/>
        </w:rPr>
        <w:tab/>
        <w:t>EM-DAT: The OFDA/CRED International Disaster Database. Brussels, Belgium, Universite Catholique de Louvain.</w:t>
      </w:r>
    </w:p>
    <w:p w:rsidR="00FF139B" w:rsidRPr="00FF139B" w:rsidRDefault="00FF139B" w:rsidP="00FF139B">
      <w:pPr>
        <w:pStyle w:val="Bibliography"/>
        <w:rPr>
          <w:rFonts w:ascii="Calibri" w:hAnsi="Calibri" w:cs="Calibri"/>
        </w:rPr>
      </w:pPr>
      <w:r w:rsidRPr="00FF139B">
        <w:rPr>
          <w:rFonts w:ascii="Calibri" w:hAnsi="Calibri" w:cs="Calibri"/>
        </w:rPr>
        <w:t>62</w:t>
      </w:r>
      <w:r w:rsidRPr="00FF139B">
        <w:rPr>
          <w:rFonts w:ascii="Calibri" w:hAnsi="Calibri" w:cs="Calibri"/>
        </w:rPr>
        <w:tab/>
        <w:t>World Population Prospects The 2010 Revision. New York, United Nations, United Nations, Department of Economic and Social Affairs, Population Division, 2011.</w:t>
      </w:r>
    </w:p>
    <w:p w:rsidR="00FF139B" w:rsidRPr="00FF139B" w:rsidRDefault="00FF139B" w:rsidP="00FF139B">
      <w:pPr>
        <w:pStyle w:val="Bibliography"/>
        <w:rPr>
          <w:rFonts w:ascii="Calibri" w:hAnsi="Calibri" w:cs="Calibri"/>
        </w:rPr>
      </w:pPr>
      <w:r w:rsidRPr="00FF139B">
        <w:rPr>
          <w:rFonts w:ascii="Calibri" w:hAnsi="Calibri" w:cs="Calibri"/>
        </w:rPr>
        <w:t>63</w:t>
      </w:r>
      <w:r w:rsidRPr="00FF139B">
        <w:rPr>
          <w:rFonts w:ascii="Calibri" w:hAnsi="Calibri" w:cs="Calibri"/>
        </w:rPr>
        <w:tab/>
        <w:t>Ahmad OB, Boschi-Pinto C, Lopez AD, Murray CJ, Lozano R, Inoue M. AGE STANDARDIZATION OF RATES:  A NEW WHO STANDARD. , World Health Organization, 2001http://www.who.int/healthinfo/paper31.pdf.</w:t>
      </w:r>
    </w:p>
    <w:p w:rsidR="00FF139B" w:rsidRPr="00FF139B" w:rsidRDefault="00FF139B" w:rsidP="00FF139B">
      <w:pPr>
        <w:pStyle w:val="Bibliography"/>
        <w:rPr>
          <w:rFonts w:ascii="Calibri" w:hAnsi="Calibri" w:cs="Calibri"/>
        </w:rPr>
      </w:pPr>
      <w:r w:rsidRPr="00FF139B">
        <w:rPr>
          <w:rFonts w:ascii="Calibri" w:hAnsi="Calibri" w:cs="Calibri"/>
        </w:rPr>
        <w:t>64</w:t>
      </w:r>
      <w:r w:rsidRPr="00FF139B">
        <w:rPr>
          <w:rFonts w:ascii="Calibri" w:hAnsi="Calibri" w:cs="Calibri"/>
        </w:rPr>
        <w:tab/>
        <w:t xml:space="preserve">Logan WPD. Mortality in England and Wales from 1848 to 1947. </w:t>
      </w:r>
      <w:r w:rsidRPr="00FF139B">
        <w:rPr>
          <w:rFonts w:ascii="Calibri" w:hAnsi="Calibri" w:cs="Calibri"/>
          <w:i/>
          <w:iCs/>
        </w:rPr>
        <w:t>Population Studies</w:t>
      </w:r>
      <w:r w:rsidRPr="00FF139B">
        <w:rPr>
          <w:rFonts w:ascii="Calibri" w:hAnsi="Calibri" w:cs="Calibri"/>
        </w:rPr>
        <w:t xml:space="preserve"> 1950; </w:t>
      </w:r>
      <w:r w:rsidRPr="00FF139B">
        <w:rPr>
          <w:rFonts w:ascii="Calibri" w:hAnsi="Calibri" w:cs="Calibri"/>
          <w:b/>
          <w:bCs/>
        </w:rPr>
        <w:t>4</w:t>
      </w:r>
      <w:r w:rsidRPr="00FF139B">
        <w:rPr>
          <w:rFonts w:ascii="Calibri" w:hAnsi="Calibri" w:cs="Calibri"/>
        </w:rPr>
        <w:t>: 132–78.</w:t>
      </w:r>
    </w:p>
    <w:p w:rsidR="00FF139B" w:rsidRPr="00FF139B" w:rsidRDefault="00FF139B" w:rsidP="00FF139B">
      <w:pPr>
        <w:pStyle w:val="Bibliography"/>
        <w:rPr>
          <w:rFonts w:ascii="Calibri" w:hAnsi="Calibri" w:cs="Calibri"/>
        </w:rPr>
      </w:pPr>
      <w:r w:rsidRPr="00FF139B">
        <w:rPr>
          <w:rFonts w:ascii="Calibri" w:hAnsi="Calibri" w:cs="Calibri"/>
        </w:rPr>
        <w:t>65</w:t>
      </w:r>
      <w:r w:rsidRPr="00FF139B">
        <w:rPr>
          <w:rFonts w:ascii="Calibri" w:hAnsi="Calibri" w:cs="Calibri"/>
        </w:rPr>
        <w:tab/>
        <w:t>Marks G, Burney P. Diseases of the respiratory system. In: The Health of Adult Britain 1841-1994. , H.M. Stationery Office, 1997.</w:t>
      </w:r>
    </w:p>
    <w:p w:rsidR="00FF139B" w:rsidRPr="00FF139B" w:rsidRDefault="00FF139B" w:rsidP="00FF139B">
      <w:pPr>
        <w:pStyle w:val="Bibliography"/>
        <w:rPr>
          <w:rFonts w:ascii="Calibri" w:hAnsi="Calibri" w:cs="Calibri"/>
        </w:rPr>
      </w:pPr>
      <w:r w:rsidRPr="00FF139B">
        <w:rPr>
          <w:rFonts w:ascii="Calibri" w:hAnsi="Calibri" w:cs="Calibri"/>
        </w:rPr>
        <w:t>66</w:t>
      </w:r>
      <w:r w:rsidRPr="00FF139B">
        <w:rPr>
          <w:rFonts w:ascii="Calibri" w:hAnsi="Calibri" w:cs="Calibri"/>
        </w:rPr>
        <w:tab/>
        <w:t xml:space="preserve">Adair T, Damian H, Dettrick Z, Lopez AD. 100 Years of Chronic Obstructive Pulmonary Disease (COPD) Mortality in Australia: The Role of Tobacco Consumption. </w:t>
      </w:r>
      <w:r w:rsidRPr="00FF139B">
        <w:rPr>
          <w:rFonts w:ascii="Calibri" w:hAnsi="Calibri" w:cs="Calibri"/>
          <w:i/>
          <w:iCs/>
        </w:rPr>
        <w:t>Int J Tuberc Lung Dis</w:t>
      </w:r>
      <w:r w:rsidRPr="00FF139B">
        <w:rPr>
          <w:rFonts w:ascii="Calibri" w:hAnsi="Calibri" w:cs="Calibri"/>
        </w:rPr>
        <w:t xml:space="preserve"> (in press).</w:t>
      </w:r>
    </w:p>
    <w:p w:rsidR="00FF139B" w:rsidRPr="00FF139B" w:rsidRDefault="00FF139B" w:rsidP="00FF139B">
      <w:pPr>
        <w:pStyle w:val="Bibliography"/>
        <w:rPr>
          <w:rFonts w:ascii="Calibri" w:hAnsi="Calibri" w:cs="Calibri"/>
        </w:rPr>
      </w:pPr>
      <w:r w:rsidRPr="00FF139B">
        <w:rPr>
          <w:rFonts w:ascii="Calibri" w:hAnsi="Calibri" w:cs="Calibri"/>
        </w:rPr>
        <w:t>67</w:t>
      </w:r>
      <w:r w:rsidRPr="00FF139B">
        <w:rPr>
          <w:rFonts w:ascii="Calibri" w:hAnsi="Calibri" w:cs="Calibri"/>
        </w:rPr>
        <w:tab/>
        <w:t xml:space="preserve">Choprapawon C, Porapakkham Y, Sablon O, Panjajaru R, Jhantharatat B. Thailand’s national death registration reform: verifying the causes of death between July 1997 and December 1999. </w:t>
      </w:r>
      <w:r w:rsidRPr="00FF139B">
        <w:rPr>
          <w:rFonts w:ascii="Calibri" w:hAnsi="Calibri" w:cs="Calibri"/>
          <w:i/>
          <w:iCs/>
        </w:rPr>
        <w:t>Asia Pac J Public Health</w:t>
      </w:r>
      <w:r w:rsidRPr="00FF139B">
        <w:rPr>
          <w:rFonts w:ascii="Calibri" w:hAnsi="Calibri" w:cs="Calibri"/>
        </w:rPr>
        <w:t xml:space="preserve"> 2005; </w:t>
      </w:r>
      <w:r w:rsidRPr="00FF139B">
        <w:rPr>
          <w:rFonts w:ascii="Calibri" w:hAnsi="Calibri" w:cs="Calibri"/>
          <w:b/>
          <w:bCs/>
        </w:rPr>
        <w:t>17</w:t>
      </w:r>
      <w:r w:rsidRPr="00FF139B">
        <w:rPr>
          <w:rFonts w:ascii="Calibri" w:hAnsi="Calibri" w:cs="Calibri"/>
        </w:rPr>
        <w:t>: 110–6.</w:t>
      </w:r>
    </w:p>
    <w:p w:rsidR="00FF139B" w:rsidRPr="00FF139B" w:rsidRDefault="00FF139B" w:rsidP="00FF139B">
      <w:pPr>
        <w:pStyle w:val="Bibliography"/>
        <w:rPr>
          <w:rFonts w:ascii="Calibri" w:hAnsi="Calibri" w:cs="Calibri"/>
        </w:rPr>
      </w:pPr>
      <w:r w:rsidRPr="00FF139B">
        <w:rPr>
          <w:rFonts w:ascii="Calibri" w:hAnsi="Calibri" w:cs="Calibri"/>
        </w:rPr>
        <w:t>68</w:t>
      </w:r>
      <w:r w:rsidRPr="00FF139B">
        <w:rPr>
          <w:rFonts w:ascii="Calibri" w:hAnsi="Calibri" w:cs="Calibri"/>
        </w:rPr>
        <w:tab/>
        <w:t xml:space="preserve">Porapakkham Y, Rao C, Pattaraarchachai J, </w:t>
      </w:r>
      <w:r w:rsidRPr="00FF139B">
        <w:rPr>
          <w:rFonts w:ascii="Calibri" w:hAnsi="Calibri" w:cs="Calibri"/>
          <w:i/>
          <w:iCs/>
        </w:rPr>
        <w:t>et al.</w:t>
      </w:r>
      <w:r w:rsidRPr="00FF139B">
        <w:rPr>
          <w:rFonts w:ascii="Calibri" w:hAnsi="Calibri" w:cs="Calibri"/>
        </w:rPr>
        <w:t xml:space="preserve"> Estimated causes of death in Thailand, 2005: implications for health policy. </w:t>
      </w:r>
      <w:r w:rsidRPr="00FF139B">
        <w:rPr>
          <w:rFonts w:ascii="Calibri" w:hAnsi="Calibri" w:cs="Calibri"/>
          <w:i/>
          <w:iCs/>
        </w:rPr>
        <w:t>Popul Health Metr</w:t>
      </w:r>
      <w:r w:rsidRPr="00FF139B">
        <w:rPr>
          <w:rFonts w:ascii="Calibri" w:hAnsi="Calibri" w:cs="Calibri"/>
        </w:rPr>
        <w:t xml:space="preserve"> 2010; </w:t>
      </w:r>
      <w:r w:rsidRPr="00FF139B">
        <w:rPr>
          <w:rFonts w:ascii="Calibri" w:hAnsi="Calibri" w:cs="Calibri"/>
          <w:b/>
          <w:bCs/>
        </w:rPr>
        <w:t>8</w:t>
      </w:r>
      <w:r w:rsidRPr="00FF139B">
        <w:rPr>
          <w:rFonts w:ascii="Calibri" w:hAnsi="Calibri" w:cs="Calibri"/>
        </w:rPr>
        <w:t>: 14.</w:t>
      </w:r>
    </w:p>
    <w:p w:rsidR="00FF139B" w:rsidRPr="00FF139B" w:rsidRDefault="00FF139B" w:rsidP="00FF139B">
      <w:pPr>
        <w:pStyle w:val="Bibliography"/>
        <w:rPr>
          <w:rFonts w:ascii="Calibri" w:hAnsi="Calibri" w:cs="Calibri"/>
        </w:rPr>
      </w:pPr>
      <w:r w:rsidRPr="00FF139B">
        <w:rPr>
          <w:rFonts w:ascii="Calibri" w:hAnsi="Calibri" w:cs="Calibri"/>
        </w:rPr>
        <w:t>69</w:t>
      </w:r>
      <w:r w:rsidRPr="00FF139B">
        <w:rPr>
          <w:rFonts w:ascii="Calibri" w:hAnsi="Calibri" w:cs="Calibri"/>
        </w:rPr>
        <w:tab/>
        <w:t xml:space="preserve">Lozano R, Lopez AD, Atkinson C, </w:t>
      </w:r>
      <w:r w:rsidRPr="00FF139B">
        <w:rPr>
          <w:rFonts w:ascii="Calibri" w:hAnsi="Calibri" w:cs="Calibri"/>
          <w:i/>
          <w:iCs/>
        </w:rPr>
        <w:t>et al.</w:t>
      </w:r>
      <w:r w:rsidRPr="00FF139B">
        <w:rPr>
          <w:rFonts w:ascii="Calibri" w:hAnsi="Calibri" w:cs="Calibri"/>
        </w:rPr>
        <w:t xml:space="preserve"> Performance of physician-certified verbal autopsies: multisite validation study using clinical diagnostic gold standards. </w:t>
      </w:r>
      <w:r w:rsidRPr="00FF139B">
        <w:rPr>
          <w:rFonts w:ascii="Calibri" w:hAnsi="Calibri" w:cs="Calibri"/>
          <w:i/>
          <w:iCs/>
        </w:rPr>
        <w:t>Population Health Metrics</w:t>
      </w:r>
      <w:r w:rsidRPr="00FF139B">
        <w:rPr>
          <w:rFonts w:ascii="Calibri" w:hAnsi="Calibri" w:cs="Calibri"/>
        </w:rPr>
        <w:t xml:space="preserve"> 2011; </w:t>
      </w:r>
      <w:r w:rsidRPr="00FF139B">
        <w:rPr>
          <w:rFonts w:ascii="Calibri" w:hAnsi="Calibri" w:cs="Calibri"/>
          <w:b/>
          <w:bCs/>
        </w:rPr>
        <w:t>9</w:t>
      </w:r>
      <w:r w:rsidRPr="00FF139B">
        <w:rPr>
          <w:rFonts w:ascii="Calibri" w:hAnsi="Calibri" w:cs="Calibri"/>
        </w:rPr>
        <w:t>: 32.</w:t>
      </w:r>
    </w:p>
    <w:p w:rsidR="00FF139B" w:rsidRPr="00FF139B" w:rsidRDefault="00FF139B" w:rsidP="00FF139B">
      <w:pPr>
        <w:pStyle w:val="Bibliography"/>
        <w:rPr>
          <w:rFonts w:ascii="Calibri" w:hAnsi="Calibri" w:cs="Calibri"/>
        </w:rPr>
      </w:pPr>
      <w:r w:rsidRPr="00FF139B">
        <w:rPr>
          <w:rFonts w:ascii="Calibri" w:hAnsi="Calibri" w:cs="Calibri"/>
        </w:rPr>
        <w:t>70</w:t>
      </w:r>
      <w:r w:rsidRPr="00FF139B">
        <w:rPr>
          <w:rFonts w:ascii="Calibri" w:hAnsi="Calibri" w:cs="Calibri"/>
        </w:rPr>
        <w:tab/>
        <w:t xml:space="preserve">Bates M, O’Grady J, Mudenda V, Shibemba A, Zumla A. New global estimates of malaria deaths. </w:t>
      </w:r>
      <w:r w:rsidRPr="00FF139B">
        <w:rPr>
          <w:rFonts w:ascii="Calibri" w:hAnsi="Calibri" w:cs="Calibri"/>
          <w:i/>
          <w:iCs/>
        </w:rPr>
        <w:t>Lancet</w:t>
      </w:r>
      <w:r w:rsidRPr="00FF139B">
        <w:rPr>
          <w:rFonts w:ascii="Calibri" w:hAnsi="Calibri" w:cs="Calibri"/>
        </w:rPr>
        <w:t xml:space="preserve"> 2012; </w:t>
      </w:r>
      <w:r w:rsidRPr="00FF139B">
        <w:rPr>
          <w:rFonts w:ascii="Calibri" w:hAnsi="Calibri" w:cs="Calibri"/>
          <w:b/>
          <w:bCs/>
        </w:rPr>
        <w:t>380</w:t>
      </w:r>
      <w:r w:rsidRPr="00FF139B">
        <w:rPr>
          <w:rFonts w:ascii="Calibri" w:hAnsi="Calibri" w:cs="Calibri"/>
        </w:rPr>
        <w:t>: 560–1.</w:t>
      </w:r>
    </w:p>
    <w:p w:rsidR="00FF139B" w:rsidRPr="00FF139B" w:rsidRDefault="00FF139B" w:rsidP="00FF139B">
      <w:pPr>
        <w:pStyle w:val="Bibliography"/>
        <w:rPr>
          <w:rFonts w:ascii="Calibri" w:hAnsi="Calibri" w:cs="Calibri"/>
        </w:rPr>
      </w:pPr>
      <w:r w:rsidRPr="00FF139B">
        <w:rPr>
          <w:rFonts w:ascii="Calibri" w:hAnsi="Calibri" w:cs="Calibri"/>
        </w:rPr>
        <w:t>71</w:t>
      </w:r>
      <w:r w:rsidRPr="00FF139B">
        <w:rPr>
          <w:rFonts w:ascii="Calibri" w:hAnsi="Calibri" w:cs="Calibri"/>
        </w:rPr>
        <w:tab/>
        <w:t xml:space="preserve">Lynch M, Korenromp E, Eisele T, </w:t>
      </w:r>
      <w:r w:rsidRPr="00FF139B">
        <w:rPr>
          <w:rFonts w:ascii="Calibri" w:hAnsi="Calibri" w:cs="Calibri"/>
          <w:i/>
          <w:iCs/>
        </w:rPr>
        <w:t>et al.</w:t>
      </w:r>
      <w:r w:rsidRPr="00FF139B">
        <w:rPr>
          <w:rFonts w:ascii="Calibri" w:hAnsi="Calibri" w:cs="Calibri"/>
        </w:rPr>
        <w:t xml:space="preserve"> New global estimates of malaria deaths. </w:t>
      </w:r>
      <w:r w:rsidRPr="00FF139B">
        <w:rPr>
          <w:rFonts w:ascii="Calibri" w:hAnsi="Calibri" w:cs="Calibri"/>
          <w:i/>
          <w:iCs/>
        </w:rPr>
        <w:t>Lancet</w:t>
      </w:r>
      <w:r w:rsidRPr="00FF139B">
        <w:rPr>
          <w:rFonts w:ascii="Calibri" w:hAnsi="Calibri" w:cs="Calibri"/>
        </w:rPr>
        <w:t xml:space="preserve"> 2012; </w:t>
      </w:r>
      <w:r w:rsidRPr="00FF139B">
        <w:rPr>
          <w:rFonts w:ascii="Calibri" w:hAnsi="Calibri" w:cs="Calibri"/>
          <w:b/>
          <w:bCs/>
        </w:rPr>
        <w:t>380</w:t>
      </w:r>
      <w:r w:rsidRPr="00FF139B">
        <w:rPr>
          <w:rFonts w:ascii="Calibri" w:hAnsi="Calibri" w:cs="Calibri"/>
        </w:rPr>
        <w:t>: 559.</w:t>
      </w:r>
    </w:p>
    <w:p w:rsidR="00FF139B" w:rsidRPr="00FF139B" w:rsidRDefault="00FF139B" w:rsidP="00FF139B">
      <w:pPr>
        <w:pStyle w:val="Bibliography"/>
        <w:rPr>
          <w:rFonts w:ascii="Calibri" w:hAnsi="Calibri" w:cs="Calibri"/>
        </w:rPr>
      </w:pPr>
      <w:r w:rsidRPr="00FF139B">
        <w:rPr>
          <w:rFonts w:ascii="Calibri" w:hAnsi="Calibri" w:cs="Calibri"/>
        </w:rPr>
        <w:t>72</w:t>
      </w:r>
      <w:r w:rsidRPr="00FF139B">
        <w:rPr>
          <w:rFonts w:ascii="Calibri" w:hAnsi="Calibri" w:cs="Calibri"/>
        </w:rPr>
        <w:tab/>
        <w:t xml:space="preserve">Shah NK, Kumar A, Valecha N. New global estimates of malaria deaths. </w:t>
      </w:r>
      <w:r w:rsidRPr="00FF139B">
        <w:rPr>
          <w:rFonts w:ascii="Calibri" w:hAnsi="Calibri" w:cs="Calibri"/>
          <w:i/>
          <w:iCs/>
        </w:rPr>
        <w:t>Lancet</w:t>
      </w:r>
      <w:r w:rsidRPr="00FF139B">
        <w:rPr>
          <w:rFonts w:ascii="Calibri" w:hAnsi="Calibri" w:cs="Calibri"/>
        </w:rPr>
        <w:t xml:space="preserve"> 2012; </w:t>
      </w:r>
      <w:r w:rsidRPr="00FF139B">
        <w:rPr>
          <w:rFonts w:ascii="Calibri" w:hAnsi="Calibri" w:cs="Calibri"/>
          <w:b/>
          <w:bCs/>
        </w:rPr>
        <w:t>380</w:t>
      </w:r>
      <w:r w:rsidRPr="00FF139B">
        <w:rPr>
          <w:rFonts w:ascii="Calibri" w:hAnsi="Calibri" w:cs="Calibri"/>
        </w:rPr>
        <w:t>: 560.</w:t>
      </w:r>
    </w:p>
    <w:p w:rsidR="00FF139B" w:rsidRPr="00FF139B" w:rsidRDefault="00FF139B" w:rsidP="00FF139B">
      <w:pPr>
        <w:pStyle w:val="Bibliography"/>
        <w:rPr>
          <w:rFonts w:ascii="Calibri" w:hAnsi="Calibri" w:cs="Calibri"/>
        </w:rPr>
      </w:pPr>
      <w:r w:rsidRPr="00FF139B">
        <w:rPr>
          <w:rFonts w:ascii="Calibri" w:hAnsi="Calibri" w:cs="Calibri"/>
        </w:rPr>
        <w:t>73</w:t>
      </w:r>
      <w:r w:rsidRPr="00FF139B">
        <w:rPr>
          <w:rFonts w:ascii="Calibri" w:hAnsi="Calibri" w:cs="Calibri"/>
        </w:rPr>
        <w:tab/>
        <w:t xml:space="preserve">White NJ, Dondorp AM, Faiz A, Mishra S, Hien TT. New global estimates of malaria deaths. </w:t>
      </w:r>
      <w:r w:rsidRPr="00FF139B">
        <w:rPr>
          <w:rFonts w:ascii="Calibri" w:hAnsi="Calibri" w:cs="Calibri"/>
          <w:i/>
          <w:iCs/>
        </w:rPr>
        <w:t>Lancet</w:t>
      </w:r>
      <w:r w:rsidRPr="00FF139B">
        <w:rPr>
          <w:rFonts w:ascii="Calibri" w:hAnsi="Calibri" w:cs="Calibri"/>
        </w:rPr>
        <w:t xml:space="preserve"> 2012; </w:t>
      </w:r>
      <w:r w:rsidRPr="00FF139B">
        <w:rPr>
          <w:rFonts w:ascii="Calibri" w:hAnsi="Calibri" w:cs="Calibri"/>
          <w:b/>
          <w:bCs/>
        </w:rPr>
        <w:t>380</w:t>
      </w:r>
      <w:r w:rsidRPr="00FF139B">
        <w:rPr>
          <w:rFonts w:ascii="Calibri" w:hAnsi="Calibri" w:cs="Calibri"/>
        </w:rPr>
        <w:t>: 559–60.</w:t>
      </w:r>
    </w:p>
    <w:p w:rsidR="00FF139B" w:rsidRPr="00FF139B" w:rsidRDefault="00FF139B" w:rsidP="00FF139B">
      <w:pPr>
        <w:pStyle w:val="Bibliography"/>
        <w:rPr>
          <w:rFonts w:ascii="Calibri" w:hAnsi="Calibri" w:cs="Calibri"/>
        </w:rPr>
      </w:pPr>
      <w:r w:rsidRPr="00FF139B">
        <w:rPr>
          <w:rFonts w:ascii="Calibri" w:hAnsi="Calibri" w:cs="Calibri"/>
        </w:rPr>
        <w:t>74</w:t>
      </w:r>
      <w:r w:rsidRPr="00FF139B">
        <w:rPr>
          <w:rFonts w:ascii="Calibri" w:hAnsi="Calibri" w:cs="Calibri"/>
        </w:rPr>
        <w:tab/>
        <w:t>Project Description. Global Enterics Mutli-Center Study (GEMS): University of Maryland School of Medicine. http://medschool.umaryland.edu/GEMS/ (accessed 7 Jun2012).</w:t>
      </w:r>
    </w:p>
    <w:p w:rsidR="00FF139B" w:rsidRPr="00FF139B" w:rsidRDefault="00FF139B" w:rsidP="00FF139B">
      <w:pPr>
        <w:pStyle w:val="Bibliography"/>
        <w:rPr>
          <w:rFonts w:ascii="Calibri" w:hAnsi="Calibri" w:cs="Calibri"/>
        </w:rPr>
      </w:pPr>
      <w:r w:rsidRPr="00FF139B">
        <w:rPr>
          <w:rFonts w:ascii="Calibri" w:hAnsi="Calibri" w:cs="Calibri"/>
        </w:rPr>
        <w:t>75</w:t>
      </w:r>
      <w:r w:rsidRPr="00FF139B">
        <w:rPr>
          <w:rFonts w:ascii="Calibri" w:hAnsi="Calibri" w:cs="Calibri"/>
        </w:rPr>
        <w:tab/>
        <w:t xml:space="preserve">World Health Organization. Estimated rotavirus deaths for children under 5 years of age: 2008,  453 000. WHO. </w:t>
      </w:r>
      <w:r w:rsidRPr="00FF139B">
        <w:rPr>
          <w:rFonts w:ascii="Calibri" w:hAnsi="Calibri" w:cs="Calibri"/>
        </w:rPr>
        <w:lastRenderedPageBreak/>
        <w:t>http://www.who.int/immunization_monitoring/burden/rotavirus_estimates/en/index.html (accessed 6 Jul2012).</w:t>
      </w:r>
    </w:p>
    <w:p w:rsidR="00FF139B" w:rsidRPr="00FF139B" w:rsidRDefault="00FF139B" w:rsidP="00FF139B">
      <w:pPr>
        <w:pStyle w:val="Bibliography"/>
        <w:rPr>
          <w:rFonts w:ascii="Calibri" w:hAnsi="Calibri" w:cs="Calibri"/>
        </w:rPr>
      </w:pPr>
      <w:r w:rsidRPr="00FF139B">
        <w:rPr>
          <w:rFonts w:ascii="Calibri" w:hAnsi="Calibri" w:cs="Calibri"/>
        </w:rPr>
        <w:t>76</w:t>
      </w:r>
      <w:r w:rsidRPr="00FF139B">
        <w:rPr>
          <w:rFonts w:ascii="Calibri" w:hAnsi="Calibri" w:cs="Calibri"/>
        </w:rPr>
        <w:tab/>
        <w:t xml:space="preserve">Nair H, Nokes DJ, Gessner BD, </w:t>
      </w:r>
      <w:r w:rsidRPr="00FF139B">
        <w:rPr>
          <w:rFonts w:ascii="Calibri" w:hAnsi="Calibri" w:cs="Calibri"/>
          <w:i/>
          <w:iCs/>
        </w:rPr>
        <w:t>et al.</w:t>
      </w:r>
      <w:r w:rsidRPr="00FF139B">
        <w:rPr>
          <w:rFonts w:ascii="Calibri" w:hAnsi="Calibri" w:cs="Calibri"/>
        </w:rPr>
        <w:t xml:space="preserve"> Global burden of acute lower respiratory infections due to respiratory syncytial virus in young children: a systematic review and meta-analysis. </w:t>
      </w:r>
      <w:r w:rsidRPr="00FF139B">
        <w:rPr>
          <w:rFonts w:ascii="Calibri" w:hAnsi="Calibri" w:cs="Calibri"/>
          <w:i/>
          <w:iCs/>
        </w:rPr>
        <w:t>Lancet</w:t>
      </w:r>
      <w:r w:rsidRPr="00FF139B">
        <w:rPr>
          <w:rFonts w:ascii="Calibri" w:hAnsi="Calibri" w:cs="Calibri"/>
        </w:rPr>
        <w:t xml:space="preserve"> 2010; </w:t>
      </w:r>
      <w:r w:rsidRPr="00FF139B">
        <w:rPr>
          <w:rFonts w:ascii="Calibri" w:hAnsi="Calibri" w:cs="Calibri"/>
          <w:b/>
          <w:bCs/>
        </w:rPr>
        <w:t>375</w:t>
      </w:r>
      <w:r w:rsidRPr="00FF139B">
        <w:rPr>
          <w:rFonts w:ascii="Calibri" w:hAnsi="Calibri" w:cs="Calibri"/>
        </w:rPr>
        <w:t>: 1545–55.</w:t>
      </w:r>
    </w:p>
    <w:p w:rsidR="00FF139B" w:rsidRPr="00FF139B" w:rsidRDefault="00FF139B" w:rsidP="00FF139B">
      <w:pPr>
        <w:pStyle w:val="Bibliography"/>
        <w:rPr>
          <w:rFonts w:ascii="Calibri" w:hAnsi="Calibri" w:cs="Calibri"/>
        </w:rPr>
      </w:pPr>
      <w:r w:rsidRPr="00FF139B">
        <w:rPr>
          <w:rFonts w:ascii="Calibri" w:hAnsi="Calibri" w:cs="Calibri"/>
        </w:rPr>
        <w:t>77</w:t>
      </w:r>
      <w:r w:rsidRPr="00FF139B">
        <w:rPr>
          <w:rFonts w:ascii="Calibri" w:hAnsi="Calibri" w:cs="Calibri"/>
        </w:rPr>
        <w:tab/>
        <w:t xml:space="preserve">for the GEMPAC Study Group, Almirall J, Boixeda R, </w:t>
      </w:r>
      <w:r w:rsidRPr="00FF139B">
        <w:rPr>
          <w:rFonts w:ascii="Calibri" w:hAnsi="Calibri" w:cs="Calibri"/>
          <w:i/>
          <w:iCs/>
        </w:rPr>
        <w:t>et al.</w:t>
      </w:r>
      <w:r w:rsidRPr="00FF139B">
        <w:rPr>
          <w:rFonts w:ascii="Calibri" w:hAnsi="Calibri" w:cs="Calibri"/>
        </w:rPr>
        <w:t xml:space="preserve"> Differences in the etiology of community-acquired pneumonia according to site of care: A population-based study. </w:t>
      </w:r>
      <w:r w:rsidRPr="00FF139B">
        <w:rPr>
          <w:rFonts w:ascii="Calibri" w:hAnsi="Calibri" w:cs="Calibri"/>
          <w:i/>
          <w:iCs/>
        </w:rPr>
        <w:t>Respiratory Medicine</w:t>
      </w:r>
      <w:r w:rsidRPr="00FF139B">
        <w:rPr>
          <w:rFonts w:ascii="Calibri" w:hAnsi="Calibri" w:cs="Calibri"/>
        </w:rPr>
        <w:t xml:space="preserve"> 2007; </w:t>
      </w:r>
      <w:r w:rsidRPr="00FF139B">
        <w:rPr>
          <w:rFonts w:ascii="Calibri" w:hAnsi="Calibri" w:cs="Calibri"/>
          <w:b/>
          <w:bCs/>
        </w:rPr>
        <w:t>101</w:t>
      </w:r>
      <w:r w:rsidRPr="00FF139B">
        <w:rPr>
          <w:rFonts w:ascii="Calibri" w:hAnsi="Calibri" w:cs="Calibri"/>
        </w:rPr>
        <w:t>: 2168–75.</w:t>
      </w:r>
    </w:p>
    <w:p w:rsidR="00FF139B" w:rsidRPr="00FF139B" w:rsidRDefault="00FF139B" w:rsidP="00FF139B">
      <w:pPr>
        <w:pStyle w:val="Bibliography"/>
        <w:rPr>
          <w:rFonts w:ascii="Calibri" w:hAnsi="Calibri" w:cs="Calibri"/>
        </w:rPr>
      </w:pPr>
      <w:r w:rsidRPr="00FF139B">
        <w:rPr>
          <w:rFonts w:ascii="Calibri" w:hAnsi="Calibri" w:cs="Calibri"/>
        </w:rPr>
        <w:t>78</w:t>
      </w:r>
      <w:r w:rsidRPr="00FF139B">
        <w:rPr>
          <w:rFonts w:ascii="Calibri" w:hAnsi="Calibri" w:cs="Calibri"/>
        </w:rPr>
        <w:tab/>
        <w:t xml:space="preserve">Díaz A, Barria P, Niederman M, </w:t>
      </w:r>
      <w:r w:rsidRPr="00FF139B">
        <w:rPr>
          <w:rFonts w:ascii="Calibri" w:hAnsi="Calibri" w:cs="Calibri"/>
          <w:i/>
          <w:iCs/>
        </w:rPr>
        <w:t>et al.</w:t>
      </w:r>
      <w:r w:rsidRPr="00FF139B">
        <w:rPr>
          <w:rFonts w:ascii="Calibri" w:hAnsi="Calibri" w:cs="Calibri"/>
        </w:rPr>
        <w:t xml:space="preserve"> Etiology of community-acquired pneumonia in hospitalized patients in chile: the increasing prevalence of respiratory viruses among classic pathogens. </w:t>
      </w:r>
      <w:r w:rsidRPr="00FF139B">
        <w:rPr>
          <w:rFonts w:ascii="Calibri" w:hAnsi="Calibri" w:cs="Calibri"/>
          <w:i/>
          <w:iCs/>
        </w:rPr>
        <w:t>Chest</w:t>
      </w:r>
      <w:r w:rsidRPr="00FF139B">
        <w:rPr>
          <w:rFonts w:ascii="Calibri" w:hAnsi="Calibri" w:cs="Calibri"/>
        </w:rPr>
        <w:t xml:space="preserve"> 2007; </w:t>
      </w:r>
      <w:r w:rsidRPr="00FF139B">
        <w:rPr>
          <w:rFonts w:ascii="Calibri" w:hAnsi="Calibri" w:cs="Calibri"/>
          <w:b/>
          <w:bCs/>
        </w:rPr>
        <w:t>131</w:t>
      </w:r>
      <w:r w:rsidRPr="00FF139B">
        <w:rPr>
          <w:rFonts w:ascii="Calibri" w:hAnsi="Calibri" w:cs="Calibri"/>
        </w:rPr>
        <w:t>: 779–87.</w:t>
      </w:r>
    </w:p>
    <w:p w:rsidR="00FF139B" w:rsidRPr="00FF139B" w:rsidRDefault="00FF139B" w:rsidP="00FF139B">
      <w:pPr>
        <w:pStyle w:val="Bibliography"/>
        <w:rPr>
          <w:rFonts w:ascii="Calibri" w:hAnsi="Calibri" w:cs="Calibri"/>
        </w:rPr>
      </w:pPr>
      <w:r w:rsidRPr="00FF139B">
        <w:rPr>
          <w:rFonts w:ascii="Calibri" w:hAnsi="Calibri" w:cs="Calibri"/>
        </w:rPr>
        <w:t>79</w:t>
      </w:r>
      <w:r w:rsidRPr="00FF139B">
        <w:rPr>
          <w:rFonts w:ascii="Calibri" w:hAnsi="Calibri" w:cs="Calibri"/>
        </w:rPr>
        <w:tab/>
        <w:t xml:space="preserve">Elliot AJ, Fleming DM. Influenza and respiratory syncytial virus in the elderly. </w:t>
      </w:r>
      <w:r w:rsidRPr="00FF139B">
        <w:rPr>
          <w:rFonts w:ascii="Calibri" w:hAnsi="Calibri" w:cs="Calibri"/>
          <w:i/>
          <w:iCs/>
        </w:rPr>
        <w:t>Expert Rev Vaccines</w:t>
      </w:r>
      <w:r w:rsidRPr="00FF139B">
        <w:rPr>
          <w:rFonts w:ascii="Calibri" w:hAnsi="Calibri" w:cs="Calibri"/>
        </w:rPr>
        <w:t xml:space="preserve"> 2008; </w:t>
      </w:r>
      <w:r w:rsidRPr="00FF139B">
        <w:rPr>
          <w:rFonts w:ascii="Calibri" w:hAnsi="Calibri" w:cs="Calibri"/>
          <w:b/>
          <w:bCs/>
        </w:rPr>
        <w:t>7</w:t>
      </w:r>
      <w:r w:rsidRPr="00FF139B">
        <w:rPr>
          <w:rFonts w:ascii="Calibri" w:hAnsi="Calibri" w:cs="Calibri"/>
        </w:rPr>
        <w:t>: 249–58.</w:t>
      </w:r>
    </w:p>
    <w:p w:rsidR="00FF139B" w:rsidRPr="00BB7756" w:rsidRDefault="00FF139B" w:rsidP="00FF139B">
      <w:pPr>
        <w:pStyle w:val="Bibliography"/>
        <w:rPr>
          <w:rFonts w:ascii="Calibri" w:hAnsi="Calibri" w:cs="Calibri"/>
          <w:lang w:val="es-MX"/>
        </w:rPr>
      </w:pPr>
      <w:r w:rsidRPr="00FF139B">
        <w:rPr>
          <w:rFonts w:ascii="Calibri" w:hAnsi="Calibri" w:cs="Calibri"/>
        </w:rPr>
        <w:t>80</w:t>
      </w:r>
      <w:r w:rsidRPr="00FF139B">
        <w:rPr>
          <w:rFonts w:ascii="Calibri" w:hAnsi="Calibri" w:cs="Calibri"/>
        </w:rPr>
        <w:tab/>
        <w:t xml:space="preserve">Falsey AR, Hennessey PA, Formica MA, Cox C, Walsh EE. Respiratory syncytial virus infection in elderly and high-risk adults. </w:t>
      </w:r>
      <w:r w:rsidRPr="00BB7756">
        <w:rPr>
          <w:rFonts w:ascii="Calibri" w:hAnsi="Calibri" w:cs="Calibri"/>
          <w:i/>
          <w:iCs/>
          <w:lang w:val="es-MX"/>
        </w:rPr>
        <w:t>N Engl J Med</w:t>
      </w:r>
      <w:r w:rsidRPr="00BB7756">
        <w:rPr>
          <w:rFonts w:ascii="Calibri" w:hAnsi="Calibri" w:cs="Calibri"/>
          <w:lang w:val="es-MX"/>
        </w:rPr>
        <w:t xml:space="preserve"> 2005; </w:t>
      </w:r>
      <w:r w:rsidRPr="00BB7756">
        <w:rPr>
          <w:rFonts w:ascii="Calibri" w:hAnsi="Calibri" w:cs="Calibri"/>
          <w:b/>
          <w:bCs/>
          <w:lang w:val="es-MX"/>
        </w:rPr>
        <w:t>352</w:t>
      </w:r>
      <w:r w:rsidRPr="00BB7756">
        <w:rPr>
          <w:rFonts w:ascii="Calibri" w:hAnsi="Calibri" w:cs="Calibri"/>
          <w:lang w:val="es-MX"/>
        </w:rPr>
        <w:t>: 1749–59.</w:t>
      </w:r>
    </w:p>
    <w:p w:rsidR="00FF139B" w:rsidRPr="00FF139B" w:rsidRDefault="00FF139B" w:rsidP="00FF139B">
      <w:pPr>
        <w:pStyle w:val="Bibliography"/>
        <w:rPr>
          <w:rFonts w:ascii="Calibri" w:hAnsi="Calibri" w:cs="Calibri"/>
        </w:rPr>
      </w:pPr>
      <w:r w:rsidRPr="00BB7756">
        <w:rPr>
          <w:rFonts w:ascii="Calibri" w:hAnsi="Calibri" w:cs="Calibri"/>
          <w:lang w:val="es-MX"/>
        </w:rPr>
        <w:t>81</w:t>
      </w:r>
      <w:r w:rsidRPr="00BB7756">
        <w:rPr>
          <w:rFonts w:ascii="Calibri" w:hAnsi="Calibri" w:cs="Calibri"/>
          <w:lang w:val="es-MX"/>
        </w:rPr>
        <w:tab/>
        <w:t xml:space="preserve">Shibli F, Chazan B, Nitzan O, </w:t>
      </w:r>
      <w:r w:rsidRPr="00BB7756">
        <w:rPr>
          <w:rFonts w:ascii="Calibri" w:hAnsi="Calibri" w:cs="Calibri"/>
          <w:i/>
          <w:iCs/>
          <w:lang w:val="es-MX"/>
        </w:rPr>
        <w:t>et al.</w:t>
      </w:r>
      <w:r w:rsidRPr="00BB7756">
        <w:rPr>
          <w:rFonts w:ascii="Calibri" w:hAnsi="Calibri" w:cs="Calibri"/>
          <w:lang w:val="es-MX"/>
        </w:rPr>
        <w:t xml:space="preserve"> </w:t>
      </w:r>
      <w:r w:rsidRPr="00FF139B">
        <w:rPr>
          <w:rFonts w:ascii="Calibri" w:hAnsi="Calibri" w:cs="Calibri"/>
        </w:rPr>
        <w:t xml:space="preserve">Etiology of community-acquired pneumonia in hospitalized patients in northern Israel. </w:t>
      </w:r>
      <w:r w:rsidRPr="00FF139B">
        <w:rPr>
          <w:rFonts w:ascii="Calibri" w:hAnsi="Calibri" w:cs="Calibri"/>
          <w:i/>
          <w:iCs/>
        </w:rPr>
        <w:t>Isr Med Assoc J</w:t>
      </w:r>
      <w:r w:rsidRPr="00FF139B">
        <w:rPr>
          <w:rFonts w:ascii="Calibri" w:hAnsi="Calibri" w:cs="Calibri"/>
        </w:rPr>
        <w:t xml:space="preserve"> 2010; </w:t>
      </w:r>
      <w:r w:rsidRPr="00FF139B">
        <w:rPr>
          <w:rFonts w:ascii="Calibri" w:hAnsi="Calibri" w:cs="Calibri"/>
          <w:b/>
          <w:bCs/>
        </w:rPr>
        <w:t>12</w:t>
      </w:r>
      <w:r w:rsidRPr="00FF139B">
        <w:rPr>
          <w:rFonts w:ascii="Calibri" w:hAnsi="Calibri" w:cs="Calibri"/>
        </w:rPr>
        <w:t>: 477–82.</w:t>
      </w:r>
    </w:p>
    <w:p w:rsidR="00FF139B" w:rsidRPr="00FF139B" w:rsidRDefault="00FF139B" w:rsidP="00FF139B">
      <w:pPr>
        <w:pStyle w:val="Bibliography"/>
        <w:rPr>
          <w:rFonts w:ascii="Calibri" w:hAnsi="Calibri" w:cs="Calibri"/>
        </w:rPr>
      </w:pPr>
      <w:r w:rsidRPr="00FF139B">
        <w:rPr>
          <w:rFonts w:ascii="Calibri" w:hAnsi="Calibri" w:cs="Calibri"/>
        </w:rPr>
        <w:t>82</w:t>
      </w:r>
      <w:r w:rsidRPr="00FF139B">
        <w:rPr>
          <w:rFonts w:ascii="Calibri" w:hAnsi="Calibri" w:cs="Calibri"/>
        </w:rPr>
        <w:tab/>
        <w:t xml:space="preserve">Köksal I, Ozlü T, Bayraktar O, </w:t>
      </w:r>
      <w:r w:rsidRPr="00FF139B">
        <w:rPr>
          <w:rFonts w:ascii="Calibri" w:hAnsi="Calibri" w:cs="Calibri"/>
          <w:i/>
          <w:iCs/>
        </w:rPr>
        <w:t>et al.</w:t>
      </w:r>
      <w:r w:rsidRPr="00FF139B">
        <w:rPr>
          <w:rFonts w:ascii="Calibri" w:hAnsi="Calibri" w:cs="Calibri"/>
        </w:rPr>
        <w:t xml:space="preserve"> Etiological agents of community-acquired pneumonia in adult patients in Turkey; a multicentric, cross-sectional study. </w:t>
      </w:r>
      <w:r w:rsidRPr="00FF139B">
        <w:rPr>
          <w:rFonts w:ascii="Calibri" w:hAnsi="Calibri" w:cs="Calibri"/>
          <w:i/>
          <w:iCs/>
        </w:rPr>
        <w:t>Tuberk Toraks</w:t>
      </w:r>
      <w:r w:rsidRPr="00FF139B">
        <w:rPr>
          <w:rFonts w:ascii="Calibri" w:hAnsi="Calibri" w:cs="Calibri"/>
        </w:rPr>
        <w:t xml:space="preserve"> 2010; </w:t>
      </w:r>
      <w:r w:rsidRPr="00FF139B">
        <w:rPr>
          <w:rFonts w:ascii="Calibri" w:hAnsi="Calibri" w:cs="Calibri"/>
          <w:b/>
          <w:bCs/>
        </w:rPr>
        <w:t>58</w:t>
      </w:r>
      <w:r w:rsidRPr="00FF139B">
        <w:rPr>
          <w:rFonts w:ascii="Calibri" w:hAnsi="Calibri" w:cs="Calibri"/>
        </w:rPr>
        <w:t>: 119–27.</w:t>
      </w:r>
    </w:p>
    <w:p w:rsidR="00FF139B" w:rsidRPr="00FF139B" w:rsidRDefault="00FF139B" w:rsidP="00FF139B">
      <w:pPr>
        <w:pStyle w:val="Bibliography"/>
        <w:rPr>
          <w:rFonts w:ascii="Calibri" w:hAnsi="Calibri" w:cs="Calibri"/>
        </w:rPr>
      </w:pPr>
      <w:r w:rsidRPr="00FF139B">
        <w:rPr>
          <w:rFonts w:ascii="Calibri" w:hAnsi="Calibri" w:cs="Calibri"/>
        </w:rPr>
        <w:t>83</w:t>
      </w:r>
      <w:r w:rsidRPr="00FF139B">
        <w:rPr>
          <w:rFonts w:ascii="Calibri" w:hAnsi="Calibri" w:cs="Calibri"/>
        </w:rPr>
        <w:tab/>
        <w:t xml:space="preserve">Maruyama T, Niederman MS, Kobayashi T, </w:t>
      </w:r>
      <w:r w:rsidRPr="00FF139B">
        <w:rPr>
          <w:rFonts w:ascii="Calibri" w:hAnsi="Calibri" w:cs="Calibri"/>
          <w:i/>
          <w:iCs/>
        </w:rPr>
        <w:t>et al.</w:t>
      </w:r>
      <w:r w:rsidRPr="00FF139B">
        <w:rPr>
          <w:rFonts w:ascii="Calibri" w:hAnsi="Calibri" w:cs="Calibri"/>
        </w:rPr>
        <w:t xml:space="preserve"> A prospective comparison of nursing home-acquired pneumonia with hospital-acquired pneumonia in non-intubated elderly. </w:t>
      </w:r>
      <w:r w:rsidRPr="00FF139B">
        <w:rPr>
          <w:rFonts w:ascii="Calibri" w:hAnsi="Calibri" w:cs="Calibri"/>
          <w:i/>
          <w:iCs/>
        </w:rPr>
        <w:t>Respir Med</w:t>
      </w:r>
      <w:r w:rsidRPr="00FF139B">
        <w:rPr>
          <w:rFonts w:ascii="Calibri" w:hAnsi="Calibri" w:cs="Calibri"/>
        </w:rPr>
        <w:t xml:space="preserve"> 2008; </w:t>
      </w:r>
      <w:r w:rsidRPr="00FF139B">
        <w:rPr>
          <w:rFonts w:ascii="Calibri" w:hAnsi="Calibri" w:cs="Calibri"/>
          <w:b/>
          <w:bCs/>
        </w:rPr>
        <w:t>102</w:t>
      </w:r>
      <w:r w:rsidRPr="00FF139B">
        <w:rPr>
          <w:rFonts w:ascii="Calibri" w:hAnsi="Calibri" w:cs="Calibri"/>
        </w:rPr>
        <w:t>: 1287–95.</w:t>
      </w:r>
    </w:p>
    <w:p w:rsidR="00FF139B" w:rsidRPr="00BB7756" w:rsidRDefault="00FF139B" w:rsidP="00FF139B">
      <w:pPr>
        <w:pStyle w:val="Bibliography"/>
        <w:rPr>
          <w:rFonts w:ascii="Calibri" w:hAnsi="Calibri" w:cs="Calibri"/>
          <w:lang w:val="es-MX"/>
        </w:rPr>
      </w:pPr>
      <w:r w:rsidRPr="00FF139B">
        <w:rPr>
          <w:rFonts w:ascii="Calibri" w:hAnsi="Calibri" w:cs="Calibri"/>
        </w:rPr>
        <w:t>84</w:t>
      </w:r>
      <w:r w:rsidRPr="00FF139B">
        <w:rPr>
          <w:rFonts w:ascii="Calibri" w:hAnsi="Calibri" w:cs="Calibri"/>
        </w:rPr>
        <w:tab/>
        <w:t xml:space="preserve">Maruyama T, Gabazza EC, Morser J, </w:t>
      </w:r>
      <w:r w:rsidRPr="00FF139B">
        <w:rPr>
          <w:rFonts w:ascii="Calibri" w:hAnsi="Calibri" w:cs="Calibri"/>
          <w:i/>
          <w:iCs/>
        </w:rPr>
        <w:t>et al.</w:t>
      </w:r>
      <w:r w:rsidRPr="00FF139B">
        <w:rPr>
          <w:rFonts w:ascii="Calibri" w:hAnsi="Calibri" w:cs="Calibri"/>
        </w:rPr>
        <w:t xml:space="preserve"> Community-acquired pneumonia and nursing home-acquired pneumonia in the very elderly patients. </w:t>
      </w:r>
      <w:r w:rsidRPr="00BB7756">
        <w:rPr>
          <w:rFonts w:ascii="Calibri" w:hAnsi="Calibri" w:cs="Calibri"/>
          <w:i/>
          <w:iCs/>
          <w:lang w:val="es-MX"/>
        </w:rPr>
        <w:t>Respir Med</w:t>
      </w:r>
      <w:r w:rsidRPr="00BB7756">
        <w:rPr>
          <w:rFonts w:ascii="Calibri" w:hAnsi="Calibri" w:cs="Calibri"/>
          <w:lang w:val="es-MX"/>
        </w:rPr>
        <w:t xml:space="preserve"> 2010; </w:t>
      </w:r>
      <w:r w:rsidRPr="00BB7756">
        <w:rPr>
          <w:rFonts w:ascii="Calibri" w:hAnsi="Calibri" w:cs="Calibri"/>
          <w:b/>
          <w:bCs/>
          <w:lang w:val="es-MX"/>
        </w:rPr>
        <w:t>104</w:t>
      </w:r>
      <w:r w:rsidRPr="00BB7756">
        <w:rPr>
          <w:rFonts w:ascii="Calibri" w:hAnsi="Calibri" w:cs="Calibri"/>
          <w:lang w:val="es-MX"/>
        </w:rPr>
        <w:t>: 584–92.</w:t>
      </w:r>
    </w:p>
    <w:p w:rsidR="00FF139B" w:rsidRPr="00FF139B" w:rsidRDefault="00FF139B" w:rsidP="00FF139B">
      <w:pPr>
        <w:pStyle w:val="Bibliography"/>
        <w:rPr>
          <w:rFonts w:ascii="Calibri" w:hAnsi="Calibri" w:cs="Calibri"/>
        </w:rPr>
      </w:pPr>
      <w:r w:rsidRPr="00BB7756">
        <w:rPr>
          <w:rFonts w:ascii="Calibri" w:hAnsi="Calibri" w:cs="Calibri"/>
          <w:lang w:val="es-MX"/>
        </w:rPr>
        <w:t>85</w:t>
      </w:r>
      <w:r w:rsidRPr="00BB7756">
        <w:rPr>
          <w:rFonts w:ascii="Calibri" w:hAnsi="Calibri" w:cs="Calibri"/>
          <w:lang w:val="es-MX"/>
        </w:rPr>
        <w:tab/>
        <w:t xml:space="preserve">Levine OS, O’Brien KL, Deloria-Knoll M, </w:t>
      </w:r>
      <w:r w:rsidRPr="00BB7756">
        <w:rPr>
          <w:rFonts w:ascii="Calibri" w:hAnsi="Calibri" w:cs="Calibri"/>
          <w:i/>
          <w:iCs/>
          <w:lang w:val="es-MX"/>
        </w:rPr>
        <w:t>et al.</w:t>
      </w:r>
      <w:r w:rsidRPr="00BB7756">
        <w:rPr>
          <w:rFonts w:ascii="Calibri" w:hAnsi="Calibri" w:cs="Calibri"/>
          <w:lang w:val="es-MX"/>
        </w:rPr>
        <w:t xml:space="preserve"> </w:t>
      </w:r>
      <w:r w:rsidRPr="00FF139B">
        <w:rPr>
          <w:rFonts w:ascii="Calibri" w:hAnsi="Calibri" w:cs="Calibri"/>
        </w:rPr>
        <w:t xml:space="preserve">The Pneumonia Etiology Research for Child Health Project: A 21st Century Childhood Pneumonia Etiology Study. </w:t>
      </w:r>
      <w:r w:rsidRPr="00FF139B">
        <w:rPr>
          <w:rFonts w:ascii="Calibri" w:hAnsi="Calibri" w:cs="Calibri"/>
          <w:i/>
          <w:iCs/>
        </w:rPr>
        <w:t>Clin Infect Dis</w:t>
      </w:r>
      <w:r w:rsidRPr="00FF139B">
        <w:rPr>
          <w:rFonts w:ascii="Calibri" w:hAnsi="Calibri" w:cs="Calibri"/>
        </w:rPr>
        <w:t xml:space="preserve"> 2012; </w:t>
      </w:r>
      <w:r w:rsidRPr="00FF139B">
        <w:rPr>
          <w:rFonts w:ascii="Calibri" w:hAnsi="Calibri" w:cs="Calibri"/>
          <w:b/>
          <w:bCs/>
        </w:rPr>
        <w:t>54</w:t>
      </w:r>
      <w:r w:rsidRPr="00FF139B">
        <w:rPr>
          <w:rFonts w:ascii="Calibri" w:hAnsi="Calibri" w:cs="Calibri"/>
        </w:rPr>
        <w:t>: S93–S101.</w:t>
      </w:r>
    </w:p>
    <w:p w:rsidR="00FF139B" w:rsidRPr="00FF139B" w:rsidRDefault="00FF139B" w:rsidP="00FF139B">
      <w:pPr>
        <w:pStyle w:val="Bibliography"/>
        <w:rPr>
          <w:rFonts w:ascii="Calibri" w:hAnsi="Calibri" w:cs="Calibri"/>
        </w:rPr>
      </w:pPr>
      <w:r w:rsidRPr="00FF139B">
        <w:rPr>
          <w:rFonts w:ascii="Calibri" w:hAnsi="Calibri" w:cs="Calibri"/>
        </w:rPr>
        <w:t>86</w:t>
      </w:r>
      <w:r w:rsidRPr="00FF139B">
        <w:rPr>
          <w:rFonts w:ascii="Calibri" w:hAnsi="Calibri" w:cs="Calibri"/>
        </w:rPr>
        <w:tab/>
        <w:t xml:space="preserve">Ganyaglo GYK, Hill WC. A 6-year (2004-2009) review of maternal mortality at the Eastern Regional Hospital, Koforidua, Ghana. </w:t>
      </w:r>
      <w:r w:rsidRPr="00FF139B">
        <w:rPr>
          <w:rFonts w:ascii="Calibri" w:hAnsi="Calibri" w:cs="Calibri"/>
          <w:i/>
          <w:iCs/>
        </w:rPr>
        <w:t>Semin Perinatol</w:t>
      </w:r>
      <w:r w:rsidRPr="00FF139B">
        <w:rPr>
          <w:rFonts w:ascii="Calibri" w:hAnsi="Calibri" w:cs="Calibri"/>
        </w:rPr>
        <w:t xml:space="preserve"> 2012; </w:t>
      </w:r>
      <w:r w:rsidRPr="00FF139B">
        <w:rPr>
          <w:rFonts w:ascii="Calibri" w:hAnsi="Calibri" w:cs="Calibri"/>
          <w:b/>
          <w:bCs/>
        </w:rPr>
        <w:t>36</w:t>
      </w:r>
      <w:r w:rsidRPr="00FF139B">
        <w:rPr>
          <w:rFonts w:ascii="Calibri" w:hAnsi="Calibri" w:cs="Calibri"/>
        </w:rPr>
        <w:t>: 79–83.</w:t>
      </w:r>
    </w:p>
    <w:p w:rsidR="00FF139B" w:rsidRPr="00FF139B" w:rsidRDefault="00FF139B" w:rsidP="00FF139B">
      <w:pPr>
        <w:pStyle w:val="Bibliography"/>
        <w:rPr>
          <w:rFonts w:ascii="Calibri" w:hAnsi="Calibri" w:cs="Calibri"/>
        </w:rPr>
      </w:pPr>
      <w:r w:rsidRPr="00FF139B">
        <w:rPr>
          <w:rFonts w:ascii="Calibri" w:hAnsi="Calibri" w:cs="Calibri"/>
        </w:rPr>
        <w:t>87</w:t>
      </w:r>
      <w:r w:rsidRPr="00FF139B">
        <w:rPr>
          <w:rFonts w:ascii="Calibri" w:hAnsi="Calibri" w:cs="Calibri"/>
        </w:rPr>
        <w:tab/>
        <w:t xml:space="preserve">Almerie MQ, Matar HE, Almerie Y. A 20-year (1989–2008) audit of maternal mortality in Damascus, Syria. </w:t>
      </w:r>
      <w:r w:rsidRPr="00FF139B">
        <w:rPr>
          <w:rFonts w:ascii="Calibri" w:hAnsi="Calibri" w:cs="Calibri"/>
          <w:i/>
          <w:iCs/>
        </w:rPr>
        <w:t>International Journal of Gynecology &amp; Obstetrics</w:t>
      </w:r>
      <w:r w:rsidRPr="00FF139B">
        <w:rPr>
          <w:rFonts w:ascii="Calibri" w:hAnsi="Calibri" w:cs="Calibri"/>
        </w:rPr>
        <w:t xml:space="preserve"> 2011; </w:t>
      </w:r>
      <w:r w:rsidRPr="00FF139B">
        <w:rPr>
          <w:rFonts w:ascii="Calibri" w:hAnsi="Calibri" w:cs="Calibri"/>
          <w:b/>
          <w:bCs/>
        </w:rPr>
        <w:t>112</w:t>
      </w:r>
      <w:r w:rsidRPr="00FF139B">
        <w:rPr>
          <w:rFonts w:ascii="Calibri" w:hAnsi="Calibri" w:cs="Calibri"/>
        </w:rPr>
        <w:t>: 70–1.</w:t>
      </w:r>
    </w:p>
    <w:p w:rsidR="00FF139B" w:rsidRPr="00FF139B" w:rsidRDefault="00FF139B" w:rsidP="00FF139B">
      <w:pPr>
        <w:pStyle w:val="Bibliography"/>
        <w:rPr>
          <w:rFonts w:ascii="Calibri" w:hAnsi="Calibri" w:cs="Calibri"/>
        </w:rPr>
      </w:pPr>
      <w:r w:rsidRPr="00FF139B">
        <w:rPr>
          <w:rFonts w:ascii="Calibri" w:hAnsi="Calibri" w:cs="Calibri"/>
        </w:rPr>
        <w:t>88</w:t>
      </w:r>
      <w:r w:rsidRPr="00FF139B">
        <w:rPr>
          <w:rFonts w:ascii="Calibri" w:hAnsi="Calibri" w:cs="Calibri"/>
        </w:rPr>
        <w:tab/>
        <w:t>United Nations Millennium Development Goals. http://www.un.org/millenniumgoals/reports.shtml (accessed 29 Jun2012).</w:t>
      </w:r>
    </w:p>
    <w:p w:rsidR="00FF139B" w:rsidRPr="00FF139B" w:rsidRDefault="00FF139B" w:rsidP="00FF139B">
      <w:pPr>
        <w:pStyle w:val="Bibliography"/>
        <w:rPr>
          <w:rFonts w:ascii="Calibri" w:hAnsi="Calibri" w:cs="Calibri"/>
        </w:rPr>
      </w:pPr>
      <w:r w:rsidRPr="00FF139B">
        <w:rPr>
          <w:rFonts w:ascii="Calibri" w:hAnsi="Calibri" w:cs="Calibri"/>
        </w:rPr>
        <w:t>89</w:t>
      </w:r>
      <w:r w:rsidRPr="00FF139B">
        <w:rPr>
          <w:rFonts w:ascii="Calibri" w:hAnsi="Calibri" w:cs="Calibri"/>
        </w:rPr>
        <w:tab/>
        <w:t xml:space="preserve">Khan KS, Wojdyla D, Say L, Gülmezoglu AM, Van Look PF. WHO analysis of causes of maternal death: a systematic review. </w:t>
      </w:r>
      <w:r w:rsidRPr="00FF139B">
        <w:rPr>
          <w:rFonts w:ascii="Calibri" w:hAnsi="Calibri" w:cs="Calibri"/>
          <w:i/>
          <w:iCs/>
        </w:rPr>
        <w:t>The Lancet</w:t>
      </w:r>
      <w:r w:rsidRPr="00FF139B">
        <w:rPr>
          <w:rFonts w:ascii="Calibri" w:hAnsi="Calibri" w:cs="Calibri"/>
        </w:rPr>
        <w:t xml:space="preserve"> 1; </w:t>
      </w:r>
      <w:r w:rsidRPr="00FF139B">
        <w:rPr>
          <w:rFonts w:ascii="Calibri" w:hAnsi="Calibri" w:cs="Calibri"/>
          <w:b/>
          <w:bCs/>
        </w:rPr>
        <w:t>367</w:t>
      </w:r>
      <w:r w:rsidRPr="00FF139B">
        <w:rPr>
          <w:rFonts w:ascii="Calibri" w:hAnsi="Calibri" w:cs="Calibri"/>
        </w:rPr>
        <w:t>: 1066–74.</w:t>
      </w:r>
    </w:p>
    <w:p w:rsidR="00FF139B" w:rsidRPr="00FF139B" w:rsidRDefault="00FF139B" w:rsidP="00FF139B">
      <w:pPr>
        <w:pStyle w:val="Bibliography"/>
        <w:rPr>
          <w:rFonts w:ascii="Calibri" w:hAnsi="Calibri" w:cs="Calibri"/>
        </w:rPr>
      </w:pPr>
      <w:r w:rsidRPr="00FF139B">
        <w:rPr>
          <w:rFonts w:ascii="Calibri" w:hAnsi="Calibri" w:cs="Calibri"/>
        </w:rPr>
        <w:lastRenderedPageBreak/>
        <w:t>90</w:t>
      </w:r>
      <w:r w:rsidRPr="00FF139B">
        <w:rPr>
          <w:rFonts w:ascii="Calibri" w:hAnsi="Calibri" w:cs="Calibri"/>
        </w:rPr>
        <w:tab/>
        <w:t xml:space="preserve">Waage J, Banerji R, Campbell O, </w:t>
      </w:r>
      <w:r w:rsidRPr="00FF139B">
        <w:rPr>
          <w:rFonts w:ascii="Calibri" w:hAnsi="Calibri" w:cs="Calibri"/>
          <w:i/>
          <w:iCs/>
        </w:rPr>
        <w:t>et al.</w:t>
      </w:r>
      <w:r w:rsidRPr="00FF139B">
        <w:rPr>
          <w:rFonts w:ascii="Calibri" w:hAnsi="Calibri" w:cs="Calibri"/>
        </w:rPr>
        <w:t xml:space="preserve"> The Millennium Development Goals: a cross-sectoral analysis and principles for goal setting after 2015. </w:t>
      </w:r>
      <w:r w:rsidRPr="00FF139B">
        <w:rPr>
          <w:rFonts w:ascii="Calibri" w:hAnsi="Calibri" w:cs="Calibri"/>
          <w:i/>
          <w:iCs/>
        </w:rPr>
        <w:t>The Lancet</w:t>
      </w:r>
      <w:r w:rsidRPr="00FF139B">
        <w:rPr>
          <w:rFonts w:ascii="Calibri" w:hAnsi="Calibri" w:cs="Calibri"/>
        </w:rPr>
        <w:t xml:space="preserve"> 2010; </w:t>
      </w:r>
      <w:r w:rsidRPr="00FF139B">
        <w:rPr>
          <w:rFonts w:ascii="Calibri" w:hAnsi="Calibri" w:cs="Calibri"/>
          <w:b/>
          <w:bCs/>
        </w:rPr>
        <w:t>376</w:t>
      </w:r>
      <w:r w:rsidRPr="00FF139B">
        <w:rPr>
          <w:rFonts w:ascii="Calibri" w:hAnsi="Calibri" w:cs="Calibri"/>
        </w:rPr>
        <w:t>: 991–1023.</w:t>
      </w:r>
    </w:p>
    <w:p w:rsidR="00FF139B" w:rsidRPr="00FF139B" w:rsidRDefault="00FF139B" w:rsidP="00FF139B">
      <w:pPr>
        <w:pStyle w:val="Bibliography"/>
        <w:rPr>
          <w:rFonts w:ascii="Calibri" w:hAnsi="Calibri" w:cs="Calibri"/>
        </w:rPr>
      </w:pPr>
      <w:r w:rsidRPr="00FF139B">
        <w:rPr>
          <w:rFonts w:ascii="Calibri" w:hAnsi="Calibri" w:cs="Calibri"/>
        </w:rPr>
        <w:t>91</w:t>
      </w:r>
      <w:r w:rsidRPr="00FF139B">
        <w:rPr>
          <w:rFonts w:ascii="Calibri" w:hAnsi="Calibri" w:cs="Calibri"/>
        </w:rPr>
        <w:tab/>
        <w:t xml:space="preserve">Beaglehole R, Bonita R, Horton R, </w:t>
      </w:r>
      <w:r w:rsidRPr="00FF139B">
        <w:rPr>
          <w:rFonts w:ascii="Calibri" w:hAnsi="Calibri" w:cs="Calibri"/>
          <w:i/>
          <w:iCs/>
        </w:rPr>
        <w:t>et al.</w:t>
      </w:r>
      <w:r w:rsidRPr="00FF139B">
        <w:rPr>
          <w:rFonts w:ascii="Calibri" w:hAnsi="Calibri" w:cs="Calibri"/>
        </w:rPr>
        <w:t xml:space="preserve"> Priority actions for the non-communicable disease crisis. </w:t>
      </w:r>
      <w:r w:rsidRPr="00FF139B">
        <w:rPr>
          <w:rFonts w:ascii="Calibri" w:hAnsi="Calibri" w:cs="Calibri"/>
          <w:i/>
          <w:iCs/>
        </w:rPr>
        <w:t>Lancet</w:t>
      </w:r>
      <w:r w:rsidRPr="00FF139B">
        <w:rPr>
          <w:rFonts w:ascii="Calibri" w:hAnsi="Calibri" w:cs="Calibri"/>
        </w:rPr>
        <w:t xml:space="preserve"> 2011; </w:t>
      </w:r>
      <w:r w:rsidRPr="00FF139B">
        <w:rPr>
          <w:rFonts w:ascii="Calibri" w:hAnsi="Calibri" w:cs="Calibri"/>
          <w:b/>
          <w:bCs/>
        </w:rPr>
        <w:t>377</w:t>
      </w:r>
      <w:r w:rsidRPr="00FF139B">
        <w:rPr>
          <w:rFonts w:ascii="Calibri" w:hAnsi="Calibri" w:cs="Calibri"/>
        </w:rPr>
        <w:t>: 1438–47.</w:t>
      </w:r>
    </w:p>
    <w:p w:rsidR="00FF139B" w:rsidRPr="00FF139B" w:rsidRDefault="00FF139B" w:rsidP="00FF139B">
      <w:pPr>
        <w:pStyle w:val="Bibliography"/>
        <w:rPr>
          <w:rFonts w:ascii="Calibri" w:hAnsi="Calibri" w:cs="Calibri"/>
        </w:rPr>
      </w:pPr>
      <w:r w:rsidRPr="00FF139B">
        <w:rPr>
          <w:rFonts w:ascii="Calibri" w:hAnsi="Calibri" w:cs="Calibri"/>
        </w:rPr>
        <w:t>92</w:t>
      </w:r>
      <w:r w:rsidRPr="00FF139B">
        <w:rPr>
          <w:rFonts w:ascii="Calibri" w:hAnsi="Calibri" w:cs="Calibri"/>
        </w:rPr>
        <w:tab/>
        <w:t xml:space="preserve">Beaglehole R, Yach D. Globalisation and the prevention and control of non-communicable disease: the neglected chronic diseases of adults. </w:t>
      </w:r>
      <w:r w:rsidRPr="00FF139B">
        <w:rPr>
          <w:rFonts w:ascii="Calibri" w:hAnsi="Calibri" w:cs="Calibri"/>
          <w:i/>
          <w:iCs/>
        </w:rPr>
        <w:t>Lancet</w:t>
      </w:r>
      <w:r w:rsidRPr="00FF139B">
        <w:rPr>
          <w:rFonts w:ascii="Calibri" w:hAnsi="Calibri" w:cs="Calibri"/>
        </w:rPr>
        <w:t xml:space="preserve"> 2003; </w:t>
      </w:r>
      <w:r w:rsidRPr="00FF139B">
        <w:rPr>
          <w:rFonts w:ascii="Calibri" w:hAnsi="Calibri" w:cs="Calibri"/>
          <w:b/>
          <w:bCs/>
        </w:rPr>
        <w:t>362</w:t>
      </w:r>
      <w:r w:rsidRPr="00FF139B">
        <w:rPr>
          <w:rFonts w:ascii="Calibri" w:hAnsi="Calibri" w:cs="Calibri"/>
        </w:rPr>
        <w:t>: 903–8.</w:t>
      </w:r>
    </w:p>
    <w:p w:rsidR="00FF139B" w:rsidRPr="00FF139B" w:rsidRDefault="00FF139B" w:rsidP="00FF139B">
      <w:pPr>
        <w:pStyle w:val="Bibliography"/>
        <w:rPr>
          <w:rFonts w:ascii="Calibri" w:hAnsi="Calibri" w:cs="Calibri"/>
        </w:rPr>
      </w:pPr>
      <w:r w:rsidRPr="00FF139B">
        <w:rPr>
          <w:rFonts w:ascii="Calibri" w:hAnsi="Calibri" w:cs="Calibri"/>
        </w:rPr>
        <w:t>93</w:t>
      </w:r>
      <w:r w:rsidRPr="00FF139B">
        <w:rPr>
          <w:rFonts w:ascii="Calibri" w:hAnsi="Calibri" w:cs="Calibri"/>
        </w:rPr>
        <w:tab/>
        <w:t xml:space="preserve">Daar AS, Singer PA, Persad DL, </w:t>
      </w:r>
      <w:r w:rsidRPr="00FF139B">
        <w:rPr>
          <w:rFonts w:ascii="Calibri" w:hAnsi="Calibri" w:cs="Calibri"/>
          <w:i/>
          <w:iCs/>
        </w:rPr>
        <w:t>et al.</w:t>
      </w:r>
      <w:r w:rsidRPr="00FF139B">
        <w:rPr>
          <w:rFonts w:ascii="Calibri" w:hAnsi="Calibri" w:cs="Calibri"/>
        </w:rPr>
        <w:t xml:space="preserve"> Grand challenges in chronic non-communicable diseases. </w:t>
      </w:r>
      <w:r w:rsidRPr="00FF139B">
        <w:rPr>
          <w:rFonts w:ascii="Calibri" w:hAnsi="Calibri" w:cs="Calibri"/>
          <w:i/>
          <w:iCs/>
        </w:rPr>
        <w:t>Nature</w:t>
      </w:r>
      <w:r w:rsidRPr="00FF139B">
        <w:rPr>
          <w:rFonts w:ascii="Calibri" w:hAnsi="Calibri" w:cs="Calibri"/>
        </w:rPr>
        <w:t xml:space="preserve"> 2007; </w:t>
      </w:r>
      <w:r w:rsidRPr="00FF139B">
        <w:rPr>
          <w:rFonts w:ascii="Calibri" w:hAnsi="Calibri" w:cs="Calibri"/>
          <w:b/>
          <w:bCs/>
        </w:rPr>
        <w:t>450</w:t>
      </w:r>
      <w:r w:rsidRPr="00FF139B">
        <w:rPr>
          <w:rFonts w:ascii="Calibri" w:hAnsi="Calibri" w:cs="Calibri"/>
        </w:rPr>
        <w:t>: 494–6.</w:t>
      </w:r>
    </w:p>
    <w:p w:rsidR="00FF139B" w:rsidRPr="00FF139B" w:rsidRDefault="00FF139B" w:rsidP="00FF139B">
      <w:pPr>
        <w:pStyle w:val="Bibliography"/>
        <w:rPr>
          <w:rFonts w:ascii="Calibri" w:hAnsi="Calibri" w:cs="Calibri"/>
        </w:rPr>
      </w:pPr>
      <w:r w:rsidRPr="00FF139B">
        <w:rPr>
          <w:rFonts w:ascii="Calibri" w:hAnsi="Calibri" w:cs="Calibri"/>
        </w:rPr>
        <w:t>94</w:t>
      </w:r>
      <w:r w:rsidRPr="00FF139B">
        <w:rPr>
          <w:rFonts w:ascii="Calibri" w:hAnsi="Calibri" w:cs="Calibri"/>
        </w:rPr>
        <w:tab/>
        <w:t xml:space="preserve">Nugent RA, Yach D, Feigl AB. Non-communicable diseases and the Paris Declaration. </w:t>
      </w:r>
      <w:r w:rsidRPr="00FF139B">
        <w:rPr>
          <w:rFonts w:ascii="Calibri" w:hAnsi="Calibri" w:cs="Calibri"/>
          <w:i/>
          <w:iCs/>
        </w:rPr>
        <w:t>Lancet</w:t>
      </w:r>
      <w:r w:rsidRPr="00FF139B">
        <w:rPr>
          <w:rFonts w:ascii="Calibri" w:hAnsi="Calibri" w:cs="Calibri"/>
        </w:rPr>
        <w:t xml:space="preserve"> 2009; </w:t>
      </w:r>
      <w:r w:rsidRPr="00FF139B">
        <w:rPr>
          <w:rFonts w:ascii="Calibri" w:hAnsi="Calibri" w:cs="Calibri"/>
          <w:b/>
          <w:bCs/>
        </w:rPr>
        <w:t>374</w:t>
      </w:r>
      <w:r w:rsidRPr="00FF139B">
        <w:rPr>
          <w:rFonts w:ascii="Calibri" w:hAnsi="Calibri" w:cs="Calibri"/>
        </w:rPr>
        <w:t>: 784–5.</w:t>
      </w:r>
    </w:p>
    <w:p w:rsidR="00FF139B" w:rsidRPr="00FF139B" w:rsidRDefault="00FF139B" w:rsidP="00FF139B">
      <w:pPr>
        <w:pStyle w:val="Bibliography"/>
        <w:rPr>
          <w:rFonts w:ascii="Calibri" w:hAnsi="Calibri" w:cs="Calibri"/>
        </w:rPr>
      </w:pPr>
      <w:r w:rsidRPr="00FF139B">
        <w:rPr>
          <w:rFonts w:ascii="Calibri" w:hAnsi="Calibri" w:cs="Calibri"/>
        </w:rPr>
        <w:t>95</w:t>
      </w:r>
      <w:r w:rsidRPr="00FF139B">
        <w:rPr>
          <w:rFonts w:ascii="Calibri" w:hAnsi="Calibri" w:cs="Calibri"/>
        </w:rPr>
        <w:tab/>
        <w:t xml:space="preserve">Yach D. Nutritional change is not a simple answer to non-communicable diseases. </w:t>
      </w:r>
      <w:r w:rsidRPr="00FF139B">
        <w:rPr>
          <w:rFonts w:ascii="Calibri" w:hAnsi="Calibri" w:cs="Calibri"/>
          <w:i/>
          <w:iCs/>
        </w:rPr>
        <w:t>BMJ</w:t>
      </w:r>
      <w:r w:rsidRPr="00FF139B">
        <w:rPr>
          <w:rFonts w:ascii="Calibri" w:hAnsi="Calibri" w:cs="Calibri"/>
        </w:rPr>
        <w:t xml:space="preserve"> 2011; </w:t>
      </w:r>
      <w:r w:rsidRPr="00FF139B">
        <w:rPr>
          <w:rFonts w:ascii="Calibri" w:hAnsi="Calibri" w:cs="Calibri"/>
          <w:b/>
          <w:bCs/>
        </w:rPr>
        <w:t>343</w:t>
      </w:r>
      <w:r w:rsidRPr="00FF139B">
        <w:rPr>
          <w:rFonts w:ascii="Calibri" w:hAnsi="Calibri" w:cs="Calibri"/>
        </w:rPr>
        <w:t>. doi:10.1136/bmj.d5097.</w:t>
      </w:r>
    </w:p>
    <w:p w:rsidR="00FF139B" w:rsidRPr="00FF139B" w:rsidRDefault="00FF139B" w:rsidP="00FF139B">
      <w:pPr>
        <w:pStyle w:val="Bibliography"/>
        <w:rPr>
          <w:rFonts w:ascii="Calibri" w:hAnsi="Calibri" w:cs="Calibri"/>
        </w:rPr>
      </w:pPr>
      <w:r w:rsidRPr="00FF139B">
        <w:rPr>
          <w:rFonts w:ascii="Calibri" w:hAnsi="Calibri" w:cs="Calibri"/>
        </w:rPr>
        <w:t>96</w:t>
      </w:r>
      <w:r w:rsidRPr="00FF139B">
        <w:rPr>
          <w:rFonts w:ascii="Calibri" w:hAnsi="Calibri" w:cs="Calibri"/>
        </w:rPr>
        <w:tab/>
        <w:t xml:space="preserve">Geneau R, Stuckler D, Stachenko S, </w:t>
      </w:r>
      <w:r w:rsidRPr="00FF139B">
        <w:rPr>
          <w:rFonts w:ascii="Calibri" w:hAnsi="Calibri" w:cs="Calibri"/>
          <w:i/>
          <w:iCs/>
        </w:rPr>
        <w:t>et al.</w:t>
      </w:r>
      <w:r w:rsidRPr="00FF139B">
        <w:rPr>
          <w:rFonts w:ascii="Calibri" w:hAnsi="Calibri" w:cs="Calibri"/>
        </w:rPr>
        <w:t xml:space="preserve"> Raising the priority of preventing chronic diseases: a political process. </w:t>
      </w:r>
      <w:r w:rsidRPr="00FF139B">
        <w:rPr>
          <w:rFonts w:ascii="Calibri" w:hAnsi="Calibri" w:cs="Calibri"/>
          <w:i/>
          <w:iCs/>
        </w:rPr>
        <w:t>Lancet</w:t>
      </w:r>
      <w:r w:rsidRPr="00FF139B">
        <w:rPr>
          <w:rFonts w:ascii="Calibri" w:hAnsi="Calibri" w:cs="Calibri"/>
        </w:rPr>
        <w:t xml:space="preserve"> 2010; </w:t>
      </w:r>
      <w:r w:rsidRPr="00FF139B">
        <w:rPr>
          <w:rFonts w:ascii="Calibri" w:hAnsi="Calibri" w:cs="Calibri"/>
          <w:b/>
          <w:bCs/>
        </w:rPr>
        <w:t>376</w:t>
      </w:r>
      <w:r w:rsidRPr="00FF139B">
        <w:rPr>
          <w:rFonts w:ascii="Calibri" w:hAnsi="Calibri" w:cs="Calibri"/>
        </w:rPr>
        <w:t>: 1689–98.</w:t>
      </w:r>
    </w:p>
    <w:p w:rsidR="00FF139B" w:rsidRPr="00FF139B" w:rsidRDefault="00FF139B" w:rsidP="00FF139B">
      <w:pPr>
        <w:pStyle w:val="Bibliography"/>
        <w:rPr>
          <w:rFonts w:ascii="Calibri" w:hAnsi="Calibri" w:cs="Calibri"/>
        </w:rPr>
      </w:pPr>
      <w:r w:rsidRPr="00FF139B">
        <w:rPr>
          <w:rFonts w:ascii="Calibri" w:hAnsi="Calibri" w:cs="Calibri"/>
        </w:rPr>
        <w:t>97</w:t>
      </w:r>
      <w:r w:rsidRPr="00FF139B">
        <w:rPr>
          <w:rFonts w:ascii="Calibri" w:hAnsi="Calibri" w:cs="Calibri"/>
        </w:rPr>
        <w:tab/>
        <w:t xml:space="preserve">Mock C, Joshipura M, Arreola-Risa C, Quansah R. An estimate of the number of lives that could be saved through improvements in trauma care globally. </w:t>
      </w:r>
      <w:r w:rsidRPr="00FF139B">
        <w:rPr>
          <w:rFonts w:ascii="Calibri" w:hAnsi="Calibri" w:cs="Calibri"/>
          <w:i/>
          <w:iCs/>
        </w:rPr>
        <w:t>World J Surg</w:t>
      </w:r>
      <w:r w:rsidRPr="00FF139B">
        <w:rPr>
          <w:rFonts w:ascii="Calibri" w:hAnsi="Calibri" w:cs="Calibri"/>
        </w:rPr>
        <w:t xml:space="preserve"> 2012; </w:t>
      </w:r>
      <w:r w:rsidRPr="00FF139B">
        <w:rPr>
          <w:rFonts w:ascii="Calibri" w:hAnsi="Calibri" w:cs="Calibri"/>
          <w:b/>
          <w:bCs/>
        </w:rPr>
        <w:t>36</w:t>
      </w:r>
      <w:r w:rsidRPr="00FF139B">
        <w:rPr>
          <w:rFonts w:ascii="Calibri" w:hAnsi="Calibri" w:cs="Calibri"/>
        </w:rPr>
        <w:t>: 959–63.</w:t>
      </w:r>
    </w:p>
    <w:p w:rsidR="00FF139B" w:rsidRPr="00FF139B" w:rsidRDefault="00FF139B" w:rsidP="00FF139B">
      <w:pPr>
        <w:pStyle w:val="Bibliography"/>
        <w:rPr>
          <w:rFonts w:ascii="Calibri" w:hAnsi="Calibri" w:cs="Calibri"/>
        </w:rPr>
      </w:pPr>
      <w:r w:rsidRPr="00FF139B">
        <w:rPr>
          <w:rFonts w:ascii="Calibri" w:hAnsi="Calibri" w:cs="Calibri"/>
        </w:rPr>
        <w:t>98</w:t>
      </w:r>
      <w:r w:rsidRPr="00FF139B">
        <w:rPr>
          <w:rFonts w:ascii="Calibri" w:hAnsi="Calibri" w:cs="Calibri"/>
        </w:rPr>
        <w:tab/>
        <w:t xml:space="preserve">Go AS, Chertow GM, Fan D, McCulloch CE, Hsu C. Chronic kidney disease and the risks of death, cardiovascular events, and hospitalization. </w:t>
      </w:r>
      <w:r w:rsidRPr="00FF139B">
        <w:rPr>
          <w:rFonts w:ascii="Calibri" w:hAnsi="Calibri" w:cs="Calibri"/>
          <w:i/>
          <w:iCs/>
        </w:rPr>
        <w:t>N Engl J Med</w:t>
      </w:r>
      <w:r w:rsidRPr="00FF139B">
        <w:rPr>
          <w:rFonts w:ascii="Calibri" w:hAnsi="Calibri" w:cs="Calibri"/>
        </w:rPr>
        <w:t xml:space="preserve"> 2004; </w:t>
      </w:r>
      <w:r w:rsidRPr="00FF139B">
        <w:rPr>
          <w:rFonts w:ascii="Calibri" w:hAnsi="Calibri" w:cs="Calibri"/>
          <w:b/>
          <w:bCs/>
        </w:rPr>
        <w:t>351</w:t>
      </w:r>
      <w:r w:rsidRPr="00FF139B">
        <w:rPr>
          <w:rFonts w:ascii="Calibri" w:hAnsi="Calibri" w:cs="Calibri"/>
        </w:rPr>
        <w:t>: 1296–305.</w:t>
      </w:r>
    </w:p>
    <w:p w:rsidR="00FF139B" w:rsidRPr="00FF139B" w:rsidRDefault="00FF139B" w:rsidP="00FF139B">
      <w:pPr>
        <w:pStyle w:val="Bibliography"/>
        <w:rPr>
          <w:rFonts w:ascii="Calibri" w:hAnsi="Calibri" w:cs="Calibri"/>
        </w:rPr>
      </w:pPr>
      <w:r w:rsidRPr="00FF139B">
        <w:rPr>
          <w:rFonts w:ascii="Calibri" w:hAnsi="Calibri" w:cs="Calibri"/>
        </w:rPr>
        <w:t>99</w:t>
      </w:r>
      <w:r w:rsidRPr="00FF139B">
        <w:rPr>
          <w:rFonts w:ascii="Calibri" w:hAnsi="Calibri" w:cs="Calibri"/>
        </w:rPr>
        <w:tab/>
        <w:t xml:space="preserve">Lim S, Murray CJ, Lopez A, </w:t>
      </w:r>
      <w:r w:rsidRPr="00FF139B">
        <w:rPr>
          <w:rFonts w:ascii="Calibri" w:hAnsi="Calibri" w:cs="Calibri"/>
          <w:i/>
          <w:iCs/>
        </w:rPr>
        <w:t>et al.</w:t>
      </w:r>
      <w:r w:rsidRPr="00FF139B">
        <w:rPr>
          <w:rFonts w:ascii="Calibri" w:hAnsi="Calibri" w:cs="Calibri"/>
        </w:rPr>
        <w:t xml:space="preserve"> The Burden of Disease and Injury Attributable to 66 Risk Factors in 21 Regions 1990-2010: A Systematic Analysis. In preparation.</w:t>
      </w:r>
    </w:p>
    <w:p w:rsidR="00FF139B" w:rsidRPr="00FF139B" w:rsidRDefault="00FF139B" w:rsidP="00FF139B">
      <w:pPr>
        <w:pStyle w:val="Bibliography"/>
        <w:rPr>
          <w:rFonts w:ascii="Calibri" w:hAnsi="Calibri" w:cs="Calibri"/>
        </w:rPr>
      </w:pPr>
      <w:r w:rsidRPr="00FF139B">
        <w:rPr>
          <w:rFonts w:ascii="Calibri" w:hAnsi="Calibri" w:cs="Calibri"/>
        </w:rPr>
        <w:t>100</w:t>
      </w:r>
      <w:r w:rsidRPr="00FF139B">
        <w:rPr>
          <w:rFonts w:ascii="Calibri" w:hAnsi="Calibri" w:cs="Calibri"/>
        </w:rPr>
        <w:tab/>
        <w:t xml:space="preserve">Murray CJL, King G, Lopez AD, Tomijima N, Krug EG. Armed conflict as a public health problem. </w:t>
      </w:r>
      <w:r w:rsidRPr="00FF139B">
        <w:rPr>
          <w:rFonts w:ascii="Calibri" w:hAnsi="Calibri" w:cs="Calibri"/>
          <w:i/>
          <w:iCs/>
        </w:rPr>
        <w:t>BMJ</w:t>
      </w:r>
      <w:r w:rsidRPr="00FF139B">
        <w:rPr>
          <w:rFonts w:ascii="Calibri" w:hAnsi="Calibri" w:cs="Calibri"/>
        </w:rPr>
        <w:t xml:space="preserve"> 2002; </w:t>
      </w:r>
      <w:r w:rsidRPr="00FF139B">
        <w:rPr>
          <w:rFonts w:ascii="Calibri" w:hAnsi="Calibri" w:cs="Calibri"/>
          <w:b/>
          <w:bCs/>
        </w:rPr>
        <w:t>324</w:t>
      </w:r>
      <w:r w:rsidRPr="00FF139B">
        <w:rPr>
          <w:rFonts w:ascii="Calibri" w:hAnsi="Calibri" w:cs="Calibri"/>
        </w:rPr>
        <w:t>: 346–9.</w:t>
      </w:r>
    </w:p>
    <w:p w:rsidR="00FF139B" w:rsidRPr="00FF139B" w:rsidRDefault="00FF139B" w:rsidP="00FF139B">
      <w:pPr>
        <w:pStyle w:val="Bibliography"/>
        <w:rPr>
          <w:rFonts w:ascii="Calibri" w:hAnsi="Calibri" w:cs="Calibri"/>
        </w:rPr>
      </w:pPr>
      <w:r w:rsidRPr="00FF139B">
        <w:rPr>
          <w:rFonts w:ascii="Calibri" w:hAnsi="Calibri" w:cs="Calibri"/>
        </w:rPr>
        <w:t>101</w:t>
      </w:r>
      <w:r w:rsidRPr="00FF139B">
        <w:rPr>
          <w:rFonts w:ascii="Calibri" w:hAnsi="Calibri" w:cs="Calibri"/>
        </w:rPr>
        <w:tab/>
        <w:t xml:space="preserve">Frank C, Mohamed MK, Strickland GT, </w:t>
      </w:r>
      <w:r w:rsidRPr="00FF139B">
        <w:rPr>
          <w:rFonts w:ascii="Calibri" w:hAnsi="Calibri" w:cs="Calibri"/>
          <w:i/>
          <w:iCs/>
        </w:rPr>
        <w:t>et al.</w:t>
      </w:r>
      <w:r w:rsidRPr="00FF139B">
        <w:rPr>
          <w:rFonts w:ascii="Calibri" w:hAnsi="Calibri" w:cs="Calibri"/>
        </w:rPr>
        <w:t xml:space="preserve"> The role of parenteral antischistosomal therapy in the spread of hepatitis C virus in Egypt. </w:t>
      </w:r>
      <w:r w:rsidRPr="00FF139B">
        <w:rPr>
          <w:rFonts w:ascii="Calibri" w:hAnsi="Calibri" w:cs="Calibri"/>
          <w:i/>
          <w:iCs/>
        </w:rPr>
        <w:t>Lancet</w:t>
      </w:r>
      <w:r w:rsidRPr="00FF139B">
        <w:rPr>
          <w:rFonts w:ascii="Calibri" w:hAnsi="Calibri" w:cs="Calibri"/>
        </w:rPr>
        <w:t xml:space="preserve"> 2000; </w:t>
      </w:r>
      <w:r w:rsidRPr="00FF139B">
        <w:rPr>
          <w:rFonts w:ascii="Calibri" w:hAnsi="Calibri" w:cs="Calibri"/>
          <w:b/>
          <w:bCs/>
        </w:rPr>
        <w:t>355</w:t>
      </w:r>
      <w:r w:rsidRPr="00FF139B">
        <w:rPr>
          <w:rFonts w:ascii="Calibri" w:hAnsi="Calibri" w:cs="Calibri"/>
        </w:rPr>
        <w:t>: 887–91.</w:t>
      </w:r>
    </w:p>
    <w:p w:rsidR="00FF139B" w:rsidRPr="00FF139B" w:rsidRDefault="00FF139B" w:rsidP="00FF139B">
      <w:pPr>
        <w:pStyle w:val="Bibliography"/>
        <w:rPr>
          <w:rFonts w:ascii="Calibri" w:hAnsi="Calibri" w:cs="Calibri"/>
        </w:rPr>
      </w:pPr>
      <w:r w:rsidRPr="00FF139B">
        <w:rPr>
          <w:rFonts w:ascii="Calibri" w:hAnsi="Calibri" w:cs="Calibri"/>
        </w:rPr>
        <w:t>102</w:t>
      </w:r>
      <w:r w:rsidRPr="00FF139B">
        <w:rPr>
          <w:rFonts w:ascii="Calibri" w:hAnsi="Calibri" w:cs="Calibri"/>
        </w:rPr>
        <w:tab/>
        <w:t xml:space="preserve">Zatoński WA, Sulkowska U, Mańczuk M, </w:t>
      </w:r>
      <w:r w:rsidRPr="00FF139B">
        <w:rPr>
          <w:rFonts w:ascii="Calibri" w:hAnsi="Calibri" w:cs="Calibri"/>
          <w:i/>
          <w:iCs/>
        </w:rPr>
        <w:t>et al.</w:t>
      </w:r>
      <w:r w:rsidRPr="00FF139B">
        <w:rPr>
          <w:rFonts w:ascii="Calibri" w:hAnsi="Calibri" w:cs="Calibri"/>
        </w:rPr>
        <w:t xml:space="preserve"> Liver cirrhosis mortality in Europe, with special attention to Central and Eastern Europe. </w:t>
      </w:r>
      <w:r w:rsidRPr="00FF139B">
        <w:rPr>
          <w:rFonts w:ascii="Calibri" w:hAnsi="Calibri" w:cs="Calibri"/>
          <w:i/>
          <w:iCs/>
        </w:rPr>
        <w:t>Eur Addict Res</w:t>
      </w:r>
      <w:r w:rsidRPr="00FF139B">
        <w:rPr>
          <w:rFonts w:ascii="Calibri" w:hAnsi="Calibri" w:cs="Calibri"/>
        </w:rPr>
        <w:t xml:space="preserve"> 2010; </w:t>
      </w:r>
      <w:r w:rsidRPr="00FF139B">
        <w:rPr>
          <w:rFonts w:ascii="Calibri" w:hAnsi="Calibri" w:cs="Calibri"/>
          <w:b/>
          <w:bCs/>
        </w:rPr>
        <w:t>16</w:t>
      </w:r>
      <w:r w:rsidRPr="00FF139B">
        <w:rPr>
          <w:rFonts w:ascii="Calibri" w:hAnsi="Calibri" w:cs="Calibri"/>
        </w:rPr>
        <w:t>: 193–201.</w:t>
      </w:r>
    </w:p>
    <w:p w:rsidR="00FF139B" w:rsidRPr="00FF139B" w:rsidRDefault="00FF139B" w:rsidP="00FF139B">
      <w:pPr>
        <w:pStyle w:val="Bibliography"/>
        <w:rPr>
          <w:rFonts w:ascii="Calibri" w:hAnsi="Calibri" w:cs="Calibri"/>
        </w:rPr>
      </w:pPr>
      <w:r w:rsidRPr="00FF139B">
        <w:rPr>
          <w:rFonts w:ascii="Calibri" w:hAnsi="Calibri" w:cs="Calibri"/>
        </w:rPr>
        <w:t>103</w:t>
      </w:r>
      <w:r w:rsidRPr="00FF139B">
        <w:rPr>
          <w:rFonts w:ascii="Calibri" w:hAnsi="Calibri" w:cs="Calibri"/>
        </w:rPr>
        <w:tab/>
        <w:t>World Health Organization. Global Health Observatory Data Repository | Mortality, Road traffic deaths. 2007.http://apps.who.int/ghodata/?vid=51210# (accessed 5 Jul2012).</w:t>
      </w:r>
    </w:p>
    <w:p w:rsidR="00FF139B" w:rsidRPr="00FF139B" w:rsidRDefault="00FF139B" w:rsidP="00FF139B">
      <w:pPr>
        <w:pStyle w:val="Bibliography"/>
        <w:rPr>
          <w:rFonts w:ascii="Calibri" w:hAnsi="Calibri" w:cs="Calibri"/>
        </w:rPr>
      </w:pPr>
      <w:r w:rsidRPr="00FF139B">
        <w:rPr>
          <w:rFonts w:ascii="Calibri" w:hAnsi="Calibri" w:cs="Calibri"/>
        </w:rPr>
        <w:t>104</w:t>
      </w:r>
      <w:r w:rsidRPr="00FF139B">
        <w:rPr>
          <w:rFonts w:ascii="Calibri" w:hAnsi="Calibri" w:cs="Calibri"/>
        </w:rPr>
        <w:tab/>
        <w:t xml:space="preserve">Roulson J, Benbow EW, Hasleton PS. Discrepancies between clinical and autopsy diagnosis and the value of post mortem histology; a meta-analysis and review. </w:t>
      </w:r>
      <w:r w:rsidRPr="00FF139B">
        <w:rPr>
          <w:rFonts w:ascii="Calibri" w:hAnsi="Calibri" w:cs="Calibri"/>
          <w:i/>
          <w:iCs/>
        </w:rPr>
        <w:t>Histopathology</w:t>
      </w:r>
      <w:r w:rsidRPr="00FF139B">
        <w:rPr>
          <w:rFonts w:ascii="Calibri" w:hAnsi="Calibri" w:cs="Calibri"/>
        </w:rPr>
        <w:t xml:space="preserve"> 2005; </w:t>
      </w:r>
      <w:r w:rsidRPr="00FF139B">
        <w:rPr>
          <w:rFonts w:ascii="Calibri" w:hAnsi="Calibri" w:cs="Calibri"/>
          <w:b/>
          <w:bCs/>
        </w:rPr>
        <w:t>47</w:t>
      </w:r>
      <w:r w:rsidRPr="00FF139B">
        <w:rPr>
          <w:rFonts w:ascii="Calibri" w:hAnsi="Calibri" w:cs="Calibri"/>
        </w:rPr>
        <w:t>: 551–9.</w:t>
      </w:r>
    </w:p>
    <w:p w:rsidR="00FF139B" w:rsidRPr="00FF139B" w:rsidRDefault="00FF139B" w:rsidP="00FF139B">
      <w:pPr>
        <w:pStyle w:val="Bibliography"/>
        <w:rPr>
          <w:rFonts w:ascii="Calibri" w:hAnsi="Calibri" w:cs="Calibri"/>
        </w:rPr>
      </w:pPr>
      <w:r w:rsidRPr="00FF139B">
        <w:rPr>
          <w:rFonts w:ascii="Calibri" w:hAnsi="Calibri" w:cs="Calibri"/>
        </w:rPr>
        <w:t>105</w:t>
      </w:r>
      <w:r w:rsidRPr="00FF139B">
        <w:rPr>
          <w:rFonts w:ascii="Calibri" w:hAnsi="Calibri" w:cs="Calibri"/>
        </w:rPr>
        <w:tab/>
        <w:t xml:space="preserve">Sonderegger-Iseli K, Burger S, Muntwyler J. Diagnostic errors in three medical eras: a necropsy study. </w:t>
      </w:r>
      <w:r w:rsidRPr="00FF139B">
        <w:rPr>
          <w:rFonts w:ascii="Calibri" w:hAnsi="Calibri" w:cs="Calibri"/>
          <w:i/>
          <w:iCs/>
        </w:rPr>
        <w:t>Lancet</w:t>
      </w:r>
      <w:r w:rsidRPr="00FF139B">
        <w:rPr>
          <w:rFonts w:ascii="Calibri" w:hAnsi="Calibri" w:cs="Calibri"/>
        </w:rPr>
        <w:t xml:space="preserve"> 2000; </w:t>
      </w:r>
      <w:r w:rsidRPr="00FF139B">
        <w:rPr>
          <w:rFonts w:ascii="Calibri" w:hAnsi="Calibri" w:cs="Calibri"/>
          <w:b/>
          <w:bCs/>
        </w:rPr>
        <w:t>355</w:t>
      </w:r>
      <w:r w:rsidRPr="00FF139B">
        <w:rPr>
          <w:rFonts w:ascii="Calibri" w:hAnsi="Calibri" w:cs="Calibri"/>
        </w:rPr>
        <w:t>.</w:t>
      </w:r>
    </w:p>
    <w:p w:rsidR="00FF139B" w:rsidRPr="00FF139B" w:rsidRDefault="00FF139B" w:rsidP="00FF139B">
      <w:pPr>
        <w:pStyle w:val="Bibliography"/>
        <w:rPr>
          <w:rFonts w:ascii="Calibri" w:hAnsi="Calibri" w:cs="Calibri"/>
        </w:rPr>
      </w:pPr>
      <w:r w:rsidRPr="00FF139B">
        <w:rPr>
          <w:rFonts w:ascii="Calibri" w:hAnsi="Calibri" w:cs="Calibri"/>
        </w:rPr>
        <w:lastRenderedPageBreak/>
        <w:t>106</w:t>
      </w:r>
      <w:r w:rsidRPr="00FF139B">
        <w:rPr>
          <w:rFonts w:ascii="Calibri" w:hAnsi="Calibri" w:cs="Calibri"/>
        </w:rPr>
        <w:tab/>
        <w:t>Autopsy as an Outcome and Performance Measure: Summary - AHRQ Evidence Report Summaries - NCBI Bookshelf. http://www.ncbi.nlm.nih.gov/books/NBK11951/ (accessed 18 Sep2012).</w:t>
      </w:r>
    </w:p>
    <w:p w:rsidR="00FF139B" w:rsidRPr="00FF139B" w:rsidRDefault="00FF139B" w:rsidP="00FF139B">
      <w:pPr>
        <w:pStyle w:val="Bibliography"/>
        <w:rPr>
          <w:rFonts w:ascii="Calibri" w:hAnsi="Calibri" w:cs="Calibri"/>
        </w:rPr>
      </w:pPr>
      <w:r w:rsidRPr="00FF139B">
        <w:rPr>
          <w:rFonts w:ascii="Calibri" w:hAnsi="Calibri" w:cs="Calibri"/>
        </w:rPr>
        <w:t>107</w:t>
      </w:r>
      <w:r w:rsidRPr="00FF139B">
        <w:rPr>
          <w:rFonts w:ascii="Calibri" w:hAnsi="Calibri" w:cs="Calibri"/>
        </w:rPr>
        <w:tab/>
        <w:t xml:space="preserve">Verbal autopsy: innovations, applications, opportunities - Improving cause of death measurement. </w:t>
      </w:r>
      <w:r w:rsidRPr="00FF139B">
        <w:rPr>
          <w:rFonts w:ascii="Calibri" w:hAnsi="Calibri" w:cs="Calibri"/>
          <w:i/>
          <w:iCs/>
        </w:rPr>
        <w:t>Population Health Metrics</w:t>
      </w:r>
      <w:r w:rsidRPr="00FF139B">
        <w:rPr>
          <w:rFonts w:ascii="Calibri" w:hAnsi="Calibri" w:cs="Calibri"/>
        </w:rPr>
        <w:t xml:space="preserve"> 2011; </w:t>
      </w:r>
      <w:r w:rsidRPr="00FF139B">
        <w:rPr>
          <w:rFonts w:ascii="Calibri" w:hAnsi="Calibri" w:cs="Calibri"/>
          <w:b/>
          <w:bCs/>
        </w:rPr>
        <w:t>9</w:t>
      </w:r>
      <w:r w:rsidRPr="00FF139B">
        <w:rPr>
          <w:rFonts w:ascii="Calibri" w:hAnsi="Calibri" w:cs="Calibri"/>
        </w:rPr>
        <w:t>.http://www.pophealthmetrics.com/series/verbal_autopsy.</w:t>
      </w:r>
    </w:p>
    <w:p w:rsidR="00FF139B" w:rsidRPr="00FF139B" w:rsidRDefault="00FF139B" w:rsidP="00FF139B">
      <w:pPr>
        <w:pStyle w:val="Bibliography"/>
        <w:rPr>
          <w:rFonts w:ascii="Calibri" w:hAnsi="Calibri" w:cs="Calibri"/>
        </w:rPr>
      </w:pPr>
      <w:r w:rsidRPr="00FF139B">
        <w:rPr>
          <w:rFonts w:ascii="Calibri" w:hAnsi="Calibri" w:cs="Calibri"/>
        </w:rPr>
        <w:t>108</w:t>
      </w:r>
      <w:r w:rsidRPr="00FF139B">
        <w:rPr>
          <w:rFonts w:ascii="Calibri" w:hAnsi="Calibri" w:cs="Calibri"/>
        </w:rPr>
        <w:tab/>
        <w:t xml:space="preserve">Flaxman AD, Vahdatpour A, Green S, James SL, Murray CJ. Random forests for verbal autopsy analysis: multisite validation study using clinical diagnostic gold standards. </w:t>
      </w:r>
      <w:r w:rsidRPr="00FF139B">
        <w:rPr>
          <w:rFonts w:ascii="Calibri" w:hAnsi="Calibri" w:cs="Calibri"/>
          <w:i/>
          <w:iCs/>
        </w:rPr>
        <w:t>Popul Health Metr</w:t>
      </w:r>
      <w:r w:rsidRPr="00FF139B">
        <w:rPr>
          <w:rFonts w:ascii="Calibri" w:hAnsi="Calibri" w:cs="Calibri"/>
        </w:rPr>
        <w:t xml:space="preserve"> 2011; </w:t>
      </w:r>
      <w:r w:rsidRPr="00FF139B">
        <w:rPr>
          <w:rFonts w:ascii="Calibri" w:hAnsi="Calibri" w:cs="Calibri"/>
          <w:b/>
          <w:bCs/>
        </w:rPr>
        <w:t>9</w:t>
      </w:r>
      <w:r w:rsidRPr="00FF139B">
        <w:rPr>
          <w:rFonts w:ascii="Calibri" w:hAnsi="Calibri" w:cs="Calibri"/>
        </w:rPr>
        <w:t>: 29.</w:t>
      </w:r>
    </w:p>
    <w:p w:rsidR="00FF139B" w:rsidRPr="00FF139B" w:rsidRDefault="00FF139B" w:rsidP="00FF139B">
      <w:pPr>
        <w:pStyle w:val="Bibliography"/>
        <w:rPr>
          <w:rFonts w:ascii="Calibri" w:hAnsi="Calibri" w:cs="Calibri"/>
        </w:rPr>
      </w:pPr>
      <w:r w:rsidRPr="00FF139B">
        <w:rPr>
          <w:rFonts w:ascii="Calibri" w:hAnsi="Calibri" w:cs="Calibri"/>
        </w:rPr>
        <w:t>109</w:t>
      </w:r>
      <w:r w:rsidRPr="00FF139B">
        <w:rPr>
          <w:rFonts w:ascii="Calibri" w:hAnsi="Calibri" w:cs="Calibri"/>
        </w:rPr>
        <w:tab/>
        <w:t xml:space="preserve">Murray CJ, James SL, Birnbaum JK, Freeman MK, Lozano R, Lopez AD. Simplified Symptom Pattern Method for verbal autopsy analysis: multisite validation study using clinical diagnostic gold standards. </w:t>
      </w:r>
      <w:r w:rsidRPr="00FF139B">
        <w:rPr>
          <w:rFonts w:ascii="Calibri" w:hAnsi="Calibri" w:cs="Calibri"/>
          <w:i/>
          <w:iCs/>
        </w:rPr>
        <w:t>Popul Health Metr</w:t>
      </w:r>
      <w:r w:rsidRPr="00FF139B">
        <w:rPr>
          <w:rFonts w:ascii="Calibri" w:hAnsi="Calibri" w:cs="Calibri"/>
        </w:rPr>
        <w:t xml:space="preserve"> 2011; </w:t>
      </w:r>
      <w:r w:rsidRPr="00FF139B">
        <w:rPr>
          <w:rFonts w:ascii="Calibri" w:hAnsi="Calibri" w:cs="Calibri"/>
          <w:b/>
          <w:bCs/>
        </w:rPr>
        <w:t>9</w:t>
      </w:r>
      <w:r w:rsidRPr="00FF139B">
        <w:rPr>
          <w:rFonts w:ascii="Calibri" w:hAnsi="Calibri" w:cs="Calibri"/>
        </w:rPr>
        <w:t>: 30.</w:t>
      </w:r>
    </w:p>
    <w:p w:rsidR="00FF139B" w:rsidRPr="00FF139B" w:rsidRDefault="00FF139B" w:rsidP="00FF139B">
      <w:pPr>
        <w:pStyle w:val="Bibliography"/>
        <w:rPr>
          <w:rFonts w:ascii="Calibri" w:hAnsi="Calibri" w:cs="Calibri"/>
        </w:rPr>
      </w:pPr>
      <w:r w:rsidRPr="00FF139B">
        <w:rPr>
          <w:rFonts w:ascii="Calibri" w:hAnsi="Calibri" w:cs="Calibri"/>
        </w:rPr>
        <w:t>110</w:t>
      </w:r>
      <w:r w:rsidRPr="00FF139B">
        <w:rPr>
          <w:rFonts w:ascii="Calibri" w:hAnsi="Calibri" w:cs="Calibri"/>
        </w:rPr>
        <w:tab/>
        <w:t xml:space="preserve">James SL, Flaxman AD, Murray CJ. Performance of the Tariff Method: validation of a simple additive algorithm for analysis of verbal autopsies. </w:t>
      </w:r>
      <w:r w:rsidRPr="00FF139B">
        <w:rPr>
          <w:rFonts w:ascii="Calibri" w:hAnsi="Calibri" w:cs="Calibri"/>
          <w:i/>
          <w:iCs/>
        </w:rPr>
        <w:t>Popul Health Metr</w:t>
      </w:r>
      <w:r w:rsidRPr="00FF139B">
        <w:rPr>
          <w:rFonts w:ascii="Calibri" w:hAnsi="Calibri" w:cs="Calibri"/>
        </w:rPr>
        <w:t xml:space="preserve"> 2011; </w:t>
      </w:r>
      <w:r w:rsidRPr="00FF139B">
        <w:rPr>
          <w:rFonts w:ascii="Calibri" w:hAnsi="Calibri" w:cs="Calibri"/>
          <w:b/>
          <w:bCs/>
        </w:rPr>
        <w:t>9</w:t>
      </w:r>
      <w:r w:rsidRPr="00FF139B">
        <w:rPr>
          <w:rFonts w:ascii="Calibri" w:hAnsi="Calibri" w:cs="Calibri"/>
        </w:rPr>
        <w:t>: 31.</w:t>
      </w:r>
    </w:p>
    <w:p w:rsidR="00FF139B" w:rsidRPr="00FF139B" w:rsidRDefault="00FF139B" w:rsidP="00FF139B">
      <w:pPr>
        <w:pStyle w:val="Bibliography"/>
        <w:rPr>
          <w:rFonts w:ascii="Calibri" w:hAnsi="Calibri" w:cs="Calibri"/>
        </w:rPr>
      </w:pPr>
      <w:r w:rsidRPr="00FF139B">
        <w:rPr>
          <w:rFonts w:ascii="Calibri" w:hAnsi="Calibri" w:cs="Calibri"/>
        </w:rPr>
        <w:t>111</w:t>
      </w:r>
      <w:r w:rsidRPr="00FF139B">
        <w:rPr>
          <w:rFonts w:ascii="Calibri" w:hAnsi="Calibri" w:cs="Calibri"/>
        </w:rPr>
        <w:tab/>
        <w:t xml:space="preserve">Murray CJ, Lopez AD, Black R, </w:t>
      </w:r>
      <w:r w:rsidRPr="00FF139B">
        <w:rPr>
          <w:rFonts w:ascii="Calibri" w:hAnsi="Calibri" w:cs="Calibri"/>
          <w:i/>
          <w:iCs/>
        </w:rPr>
        <w:t>et al.</w:t>
      </w:r>
      <w:r w:rsidRPr="00FF139B">
        <w:rPr>
          <w:rFonts w:ascii="Calibri" w:hAnsi="Calibri" w:cs="Calibri"/>
        </w:rPr>
        <w:t xml:space="preserve"> Population Health Metrics Research Consortium gold standard verbal autopsy validation study: design, implementation, and development of analysis datasets. </w:t>
      </w:r>
      <w:r w:rsidRPr="00FF139B">
        <w:rPr>
          <w:rFonts w:ascii="Calibri" w:hAnsi="Calibri" w:cs="Calibri"/>
          <w:i/>
          <w:iCs/>
        </w:rPr>
        <w:t>Popul Health Metr</w:t>
      </w:r>
      <w:r w:rsidRPr="00FF139B">
        <w:rPr>
          <w:rFonts w:ascii="Calibri" w:hAnsi="Calibri" w:cs="Calibri"/>
        </w:rPr>
        <w:t xml:space="preserve"> 2011; </w:t>
      </w:r>
      <w:r w:rsidRPr="00FF139B">
        <w:rPr>
          <w:rFonts w:ascii="Calibri" w:hAnsi="Calibri" w:cs="Calibri"/>
          <w:b/>
          <w:bCs/>
        </w:rPr>
        <w:t>9</w:t>
      </w:r>
      <w:r w:rsidRPr="00FF139B">
        <w:rPr>
          <w:rFonts w:ascii="Calibri" w:hAnsi="Calibri" w:cs="Calibri"/>
        </w:rPr>
        <w:t>: 27.</w:t>
      </w:r>
    </w:p>
    <w:p w:rsidR="00FF139B" w:rsidRPr="00FF139B" w:rsidRDefault="00FF139B" w:rsidP="00FF139B">
      <w:pPr>
        <w:pStyle w:val="Bibliography"/>
        <w:rPr>
          <w:rFonts w:ascii="Calibri" w:hAnsi="Calibri" w:cs="Calibri"/>
        </w:rPr>
      </w:pPr>
      <w:r w:rsidRPr="00FF139B">
        <w:rPr>
          <w:rFonts w:ascii="Calibri" w:hAnsi="Calibri" w:cs="Calibri"/>
        </w:rPr>
        <w:t>112</w:t>
      </w:r>
      <w:r w:rsidRPr="00FF139B">
        <w:rPr>
          <w:rFonts w:ascii="Calibri" w:hAnsi="Calibri" w:cs="Calibri"/>
        </w:rPr>
        <w:tab/>
        <w:t>WHO | Health Metrics Network (HMN). WHO. http://www.who.int/healthmetrics/en/ (accessed 10 Jul2012).</w:t>
      </w:r>
    </w:p>
    <w:p w:rsidR="00DB1AC7" w:rsidRPr="0083408D" w:rsidRDefault="00FF139B" w:rsidP="00B57AFC">
      <w:pPr>
        <w:rPr>
          <w:rFonts w:cstheme="minorHAnsi"/>
        </w:rPr>
      </w:pPr>
      <w:r>
        <w:rPr>
          <w:rFonts w:cstheme="minorHAnsi"/>
        </w:rPr>
        <w:fldChar w:fldCharType="end"/>
      </w:r>
    </w:p>
    <w:sectPr w:rsidR="00DB1AC7" w:rsidRPr="0083408D" w:rsidSect="00EA5C3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BF4" w:rsidRDefault="00245BF4" w:rsidP="00170FCF">
      <w:pPr>
        <w:spacing w:after="0" w:line="240" w:lineRule="auto"/>
      </w:pPr>
      <w:r>
        <w:separator/>
      </w:r>
    </w:p>
  </w:endnote>
  <w:endnote w:type="continuationSeparator" w:id="0">
    <w:p w:rsidR="00245BF4" w:rsidRDefault="00245BF4" w:rsidP="00170FCF">
      <w:pPr>
        <w:spacing w:after="0" w:line="240" w:lineRule="auto"/>
      </w:pPr>
      <w:r>
        <w:continuationSeparator/>
      </w:r>
    </w:p>
  </w:endnote>
  <w:endnote w:type="continuationNotice" w:id="1">
    <w:p w:rsidR="00245BF4" w:rsidRDefault="00245B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09000"/>
      <w:docPartObj>
        <w:docPartGallery w:val="Page Numbers (Bottom of Page)"/>
        <w:docPartUnique/>
      </w:docPartObj>
    </w:sdtPr>
    <w:sdtEndPr>
      <w:rPr>
        <w:noProof/>
      </w:rPr>
    </w:sdtEndPr>
    <w:sdtContent>
      <w:p w:rsidR="00245BF4" w:rsidRDefault="00245BF4">
        <w:pPr>
          <w:pStyle w:val="Footer"/>
          <w:jc w:val="right"/>
        </w:pPr>
        <w:r>
          <w:fldChar w:fldCharType="begin"/>
        </w:r>
        <w:r>
          <w:instrText xml:space="preserve"> PAGE   \* MERGEFORMAT </w:instrText>
        </w:r>
        <w:r>
          <w:fldChar w:fldCharType="separate"/>
        </w:r>
        <w:r w:rsidR="00713510">
          <w:rPr>
            <w:noProof/>
          </w:rPr>
          <w:t>33</w:t>
        </w:r>
        <w:r>
          <w:rPr>
            <w:noProof/>
          </w:rPr>
          <w:fldChar w:fldCharType="end"/>
        </w:r>
      </w:p>
    </w:sdtContent>
  </w:sdt>
  <w:p w:rsidR="00245BF4" w:rsidRDefault="00245B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BF4" w:rsidRDefault="00245BF4" w:rsidP="00170FCF">
      <w:pPr>
        <w:spacing w:after="0" w:line="240" w:lineRule="auto"/>
      </w:pPr>
      <w:r>
        <w:separator/>
      </w:r>
    </w:p>
  </w:footnote>
  <w:footnote w:type="continuationSeparator" w:id="0">
    <w:p w:rsidR="00245BF4" w:rsidRDefault="00245BF4" w:rsidP="00170FCF">
      <w:pPr>
        <w:spacing w:after="0" w:line="240" w:lineRule="auto"/>
      </w:pPr>
      <w:r>
        <w:continuationSeparator/>
      </w:r>
    </w:p>
  </w:footnote>
  <w:footnote w:type="continuationNotice" w:id="1">
    <w:p w:rsidR="00245BF4" w:rsidRDefault="00245BF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3C75"/>
    <w:multiLevelType w:val="hybridMultilevel"/>
    <w:tmpl w:val="4BFC90A8"/>
    <w:lvl w:ilvl="0" w:tplc="7BD645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B46A1F"/>
    <w:multiLevelType w:val="hybridMultilevel"/>
    <w:tmpl w:val="874253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EED28BF"/>
    <w:multiLevelType w:val="hybridMultilevel"/>
    <w:tmpl w:val="62806574"/>
    <w:lvl w:ilvl="0" w:tplc="7F6CD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832471"/>
    <w:multiLevelType w:val="hybridMultilevel"/>
    <w:tmpl w:val="758A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2608F5"/>
    <w:multiLevelType w:val="hybridMultilevel"/>
    <w:tmpl w:val="F0CC41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386F08"/>
    <w:multiLevelType w:val="hybridMultilevel"/>
    <w:tmpl w:val="8E9C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A941AB"/>
    <w:multiLevelType w:val="hybridMultilevel"/>
    <w:tmpl w:val="8488FB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6F75A47"/>
    <w:multiLevelType w:val="hybridMultilevel"/>
    <w:tmpl w:val="BF90ACCE"/>
    <w:lvl w:ilvl="0" w:tplc="790EAE9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4A0660"/>
    <w:multiLevelType w:val="hybridMultilevel"/>
    <w:tmpl w:val="781E8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14371"/>
    <w:multiLevelType w:val="hybridMultilevel"/>
    <w:tmpl w:val="8488FB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CD966B1"/>
    <w:multiLevelType w:val="hybridMultilevel"/>
    <w:tmpl w:val="DCF658EE"/>
    <w:lvl w:ilvl="0" w:tplc="577A71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B30E03"/>
    <w:multiLevelType w:val="hybridMultilevel"/>
    <w:tmpl w:val="06DEB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16C75"/>
    <w:multiLevelType w:val="hybridMultilevel"/>
    <w:tmpl w:val="6F6C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127CFE"/>
    <w:multiLevelType w:val="hybridMultilevel"/>
    <w:tmpl w:val="CB365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DA4172"/>
    <w:multiLevelType w:val="hybridMultilevel"/>
    <w:tmpl w:val="4D60E91A"/>
    <w:lvl w:ilvl="0" w:tplc="1E504F26">
      <w:start w:val="1"/>
      <w:numFmt w:val="decimal"/>
      <w:lvlText w:val="%1."/>
      <w:lvlJc w:val="left"/>
      <w:pPr>
        <w:tabs>
          <w:tab w:val="num" w:pos="450"/>
        </w:tabs>
        <w:ind w:left="450" w:hanging="360"/>
      </w:pPr>
      <w:rPr>
        <w:rFonts w:hint="default"/>
        <w:i w:val="0"/>
        <w:sz w:val="22"/>
      </w:rPr>
    </w:lvl>
    <w:lvl w:ilvl="1" w:tplc="0C0A0019" w:tentative="1">
      <w:start w:val="1"/>
      <w:numFmt w:val="lowerLetter"/>
      <w:lvlText w:val="%2."/>
      <w:lvlJc w:val="left"/>
      <w:pPr>
        <w:tabs>
          <w:tab w:val="num" w:pos="1056"/>
        </w:tabs>
        <w:ind w:left="1056" w:hanging="360"/>
      </w:pPr>
    </w:lvl>
    <w:lvl w:ilvl="2" w:tplc="0C0A001B" w:tentative="1">
      <w:start w:val="1"/>
      <w:numFmt w:val="lowerRoman"/>
      <w:lvlText w:val="%3."/>
      <w:lvlJc w:val="right"/>
      <w:pPr>
        <w:tabs>
          <w:tab w:val="num" w:pos="1776"/>
        </w:tabs>
        <w:ind w:left="1776" w:hanging="180"/>
      </w:pPr>
    </w:lvl>
    <w:lvl w:ilvl="3" w:tplc="0C0A000F" w:tentative="1">
      <w:start w:val="1"/>
      <w:numFmt w:val="decimal"/>
      <w:lvlText w:val="%4."/>
      <w:lvlJc w:val="left"/>
      <w:pPr>
        <w:tabs>
          <w:tab w:val="num" w:pos="2496"/>
        </w:tabs>
        <w:ind w:left="2496" w:hanging="360"/>
      </w:pPr>
    </w:lvl>
    <w:lvl w:ilvl="4" w:tplc="0C0A0019" w:tentative="1">
      <w:start w:val="1"/>
      <w:numFmt w:val="lowerLetter"/>
      <w:lvlText w:val="%5."/>
      <w:lvlJc w:val="left"/>
      <w:pPr>
        <w:tabs>
          <w:tab w:val="num" w:pos="3216"/>
        </w:tabs>
        <w:ind w:left="3216" w:hanging="360"/>
      </w:pPr>
    </w:lvl>
    <w:lvl w:ilvl="5" w:tplc="0C0A001B" w:tentative="1">
      <w:start w:val="1"/>
      <w:numFmt w:val="lowerRoman"/>
      <w:lvlText w:val="%6."/>
      <w:lvlJc w:val="right"/>
      <w:pPr>
        <w:tabs>
          <w:tab w:val="num" w:pos="3936"/>
        </w:tabs>
        <w:ind w:left="3936" w:hanging="180"/>
      </w:pPr>
    </w:lvl>
    <w:lvl w:ilvl="6" w:tplc="0C0A000F" w:tentative="1">
      <w:start w:val="1"/>
      <w:numFmt w:val="decimal"/>
      <w:lvlText w:val="%7."/>
      <w:lvlJc w:val="left"/>
      <w:pPr>
        <w:tabs>
          <w:tab w:val="num" w:pos="4656"/>
        </w:tabs>
        <w:ind w:left="4656" w:hanging="360"/>
      </w:pPr>
    </w:lvl>
    <w:lvl w:ilvl="7" w:tplc="0C0A0019" w:tentative="1">
      <w:start w:val="1"/>
      <w:numFmt w:val="lowerLetter"/>
      <w:lvlText w:val="%8."/>
      <w:lvlJc w:val="left"/>
      <w:pPr>
        <w:tabs>
          <w:tab w:val="num" w:pos="5376"/>
        </w:tabs>
        <w:ind w:left="5376" w:hanging="360"/>
      </w:pPr>
    </w:lvl>
    <w:lvl w:ilvl="8" w:tplc="0C0A001B" w:tentative="1">
      <w:start w:val="1"/>
      <w:numFmt w:val="lowerRoman"/>
      <w:lvlText w:val="%9."/>
      <w:lvlJc w:val="right"/>
      <w:pPr>
        <w:tabs>
          <w:tab w:val="num" w:pos="6096"/>
        </w:tabs>
        <w:ind w:left="6096" w:hanging="180"/>
      </w:pPr>
    </w:lvl>
  </w:abstractNum>
  <w:num w:numId="1">
    <w:abstractNumId w:val="4"/>
  </w:num>
  <w:num w:numId="2">
    <w:abstractNumId w:val="3"/>
  </w:num>
  <w:num w:numId="3">
    <w:abstractNumId w:val="12"/>
  </w:num>
  <w:num w:numId="4">
    <w:abstractNumId w:val="0"/>
  </w:num>
  <w:num w:numId="5">
    <w:abstractNumId w:val="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8"/>
  </w:num>
  <w:num w:numId="10">
    <w:abstractNumId w:val="14"/>
  </w:num>
  <w:num w:numId="11">
    <w:abstractNumId w:val="11"/>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3D4"/>
    <w:rsid w:val="000008E1"/>
    <w:rsid w:val="00000C02"/>
    <w:rsid w:val="000010C2"/>
    <w:rsid w:val="0000182C"/>
    <w:rsid w:val="000020E8"/>
    <w:rsid w:val="00002B5C"/>
    <w:rsid w:val="000034B7"/>
    <w:rsid w:val="00005548"/>
    <w:rsid w:val="00005BDA"/>
    <w:rsid w:val="00007D0F"/>
    <w:rsid w:val="000126E2"/>
    <w:rsid w:val="00012D0C"/>
    <w:rsid w:val="00013DBB"/>
    <w:rsid w:val="000142FB"/>
    <w:rsid w:val="00014E63"/>
    <w:rsid w:val="0001613A"/>
    <w:rsid w:val="00016B08"/>
    <w:rsid w:val="00020C5F"/>
    <w:rsid w:val="00020EA8"/>
    <w:rsid w:val="00021B74"/>
    <w:rsid w:val="00025140"/>
    <w:rsid w:val="000259C3"/>
    <w:rsid w:val="00025CF0"/>
    <w:rsid w:val="000269D9"/>
    <w:rsid w:val="00027D03"/>
    <w:rsid w:val="00040100"/>
    <w:rsid w:val="00040DD9"/>
    <w:rsid w:val="00041DFD"/>
    <w:rsid w:val="00041F0F"/>
    <w:rsid w:val="00044E66"/>
    <w:rsid w:val="00045EE5"/>
    <w:rsid w:val="0004653A"/>
    <w:rsid w:val="00047675"/>
    <w:rsid w:val="00051E81"/>
    <w:rsid w:val="00051E8D"/>
    <w:rsid w:val="00053015"/>
    <w:rsid w:val="0006135A"/>
    <w:rsid w:val="00061A77"/>
    <w:rsid w:val="00061DF2"/>
    <w:rsid w:val="0006288F"/>
    <w:rsid w:val="00063090"/>
    <w:rsid w:val="000637DB"/>
    <w:rsid w:val="000666D6"/>
    <w:rsid w:val="000668F9"/>
    <w:rsid w:val="00066EB9"/>
    <w:rsid w:val="0006707D"/>
    <w:rsid w:val="0006746E"/>
    <w:rsid w:val="00072C4C"/>
    <w:rsid w:val="00073728"/>
    <w:rsid w:val="00075B9F"/>
    <w:rsid w:val="00076759"/>
    <w:rsid w:val="00077258"/>
    <w:rsid w:val="00077646"/>
    <w:rsid w:val="000776D5"/>
    <w:rsid w:val="00080449"/>
    <w:rsid w:val="0008164F"/>
    <w:rsid w:val="00082A94"/>
    <w:rsid w:val="00082FFE"/>
    <w:rsid w:val="00085C82"/>
    <w:rsid w:val="000862E6"/>
    <w:rsid w:val="00086C77"/>
    <w:rsid w:val="000918D8"/>
    <w:rsid w:val="00095FC2"/>
    <w:rsid w:val="000969C9"/>
    <w:rsid w:val="00097042"/>
    <w:rsid w:val="000972C0"/>
    <w:rsid w:val="000A0144"/>
    <w:rsid w:val="000A18CD"/>
    <w:rsid w:val="000A21AE"/>
    <w:rsid w:val="000A26EE"/>
    <w:rsid w:val="000A3330"/>
    <w:rsid w:val="000A5851"/>
    <w:rsid w:val="000B1014"/>
    <w:rsid w:val="000B1617"/>
    <w:rsid w:val="000B41D8"/>
    <w:rsid w:val="000C0D67"/>
    <w:rsid w:val="000C2C9A"/>
    <w:rsid w:val="000C4319"/>
    <w:rsid w:val="000C47BC"/>
    <w:rsid w:val="000C4E5C"/>
    <w:rsid w:val="000C5996"/>
    <w:rsid w:val="000D3E23"/>
    <w:rsid w:val="000D5009"/>
    <w:rsid w:val="000D5265"/>
    <w:rsid w:val="000D5BB4"/>
    <w:rsid w:val="000D6D95"/>
    <w:rsid w:val="000E15F6"/>
    <w:rsid w:val="000E1772"/>
    <w:rsid w:val="000E2A68"/>
    <w:rsid w:val="000E2DC9"/>
    <w:rsid w:val="000E7B66"/>
    <w:rsid w:val="000F4294"/>
    <w:rsid w:val="000F473D"/>
    <w:rsid w:val="000F6105"/>
    <w:rsid w:val="000F64AB"/>
    <w:rsid w:val="000F6ECB"/>
    <w:rsid w:val="000F7D47"/>
    <w:rsid w:val="00101A79"/>
    <w:rsid w:val="00101BD5"/>
    <w:rsid w:val="001035F5"/>
    <w:rsid w:val="0010544F"/>
    <w:rsid w:val="00110B72"/>
    <w:rsid w:val="00110F25"/>
    <w:rsid w:val="00111169"/>
    <w:rsid w:val="00111B98"/>
    <w:rsid w:val="0011241D"/>
    <w:rsid w:val="0011406F"/>
    <w:rsid w:val="0011448A"/>
    <w:rsid w:val="001156DC"/>
    <w:rsid w:val="0011651A"/>
    <w:rsid w:val="0011740B"/>
    <w:rsid w:val="0011785C"/>
    <w:rsid w:val="00122CDF"/>
    <w:rsid w:val="00123B98"/>
    <w:rsid w:val="00124FB9"/>
    <w:rsid w:val="001251DA"/>
    <w:rsid w:val="00126EF0"/>
    <w:rsid w:val="00126F32"/>
    <w:rsid w:val="001317AB"/>
    <w:rsid w:val="001323C8"/>
    <w:rsid w:val="00133BBC"/>
    <w:rsid w:val="001346B4"/>
    <w:rsid w:val="001409E9"/>
    <w:rsid w:val="00140ACF"/>
    <w:rsid w:val="00141A4C"/>
    <w:rsid w:val="00141EC4"/>
    <w:rsid w:val="00142654"/>
    <w:rsid w:val="00144583"/>
    <w:rsid w:val="001456DB"/>
    <w:rsid w:val="00145806"/>
    <w:rsid w:val="0014792D"/>
    <w:rsid w:val="00151ABE"/>
    <w:rsid w:val="00152B3A"/>
    <w:rsid w:val="00160742"/>
    <w:rsid w:val="0016184D"/>
    <w:rsid w:val="001621F6"/>
    <w:rsid w:val="00162D14"/>
    <w:rsid w:val="00162D5B"/>
    <w:rsid w:val="00165073"/>
    <w:rsid w:val="00165DF0"/>
    <w:rsid w:val="001665F7"/>
    <w:rsid w:val="00167FC6"/>
    <w:rsid w:val="00170FCF"/>
    <w:rsid w:val="00172A05"/>
    <w:rsid w:val="00173133"/>
    <w:rsid w:val="00175E46"/>
    <w:rsid w:val="00176214"/>
    <w:rsid w:val="00177BDA"/>
    <w:rsid w:val="001806AD"/>
    <w:rsid w:val="001813F9"/>
    <w:rsid w:val="001814D0"/>
    <w:rsid w:val="00182EB8"/>
    <w:rsid w:val="0018496A"/>
    <w:rsid w:val="00187BBD"/>
    <w:rsid w:val="00190D2C"/>
    <w:rsid w:val="00191A74"/>
    <w:rsid w:val="001938A9"/>
    <w:rsid w:val="00194A61"/>
    <w:rsid w:val="00194D5B"/>
    <w:rsid w:val="0019776A"/>
    <w:rsid w:val="001A3FD4"/>
    <w:rsid w:val="001A53F2"/>
    <w:rsid w:val="001A6735"/>
    <w:rsid w:val="001A7150"/>
    <w:rsid w:val="001B33FE"/>
    <w:rsid w:val="001B3A39"/>
    <w:rsid w:val="001B4047"/>
    <w:rsid w:val="001B4401"/>
    <w:rsid w:val="001B4524"/>
    <w:rsid w:val="001C0B83"/>
    <w:rsid w:val="001C0BB7"/>
    <w:rsid w:val="001C1D6B"/>
    <w:rsid w:val="001C1E85"/>
    <w:rsid w:val="001C3A49"/>
    <w:rsid w:val="001C4E3E"/>
    <w:rsid w:val="001C5748"/>
    <w:rsid w:val="001C6BA8"/>
    <w:rsid w:val="001C762D"/>
    <w:rsid w:val="001C7D55"/>
    <w:rsid w:val="001D091B"/>
    <w:rsid w:val="001D31C1"/>
    <w:rsid w:val="001D417B"/>
    <w:rsid w:val="001D59EB"/>
    <w:rsid w:val="001D6271"/>
    <w:rsid w:val="001E26B5"/>
    <w:rsid w:val="001E28A5"/>
    <w:rsid w:val="001E36ED"/>
    <w:rsid w:val="001E4EF2"/>
    <w:rsid w:val="001E7479"/>
    <w:rsid w:val="001F0165"/>
    <w:rsid w:val="001F01DE"/>
    <w:rsid w:val="001F039D"/>
    <w:rsid w:val="001F1076"/>
    <w:rsid w:val="001F4E21"/>
    <w:rsid w:val="001F6EE5"/>
    <w:rsid w:val="001F6F26"/>
    <w:rsid w:val="001F7E61"/>
    <w:rsid w:val="0020000B"/>
    <w:rsid w:val="00201296"/>
    <w:rsid w:val="00201C66"/>
    <w:rsid w:val="002032EF"/>
    <w:rsid w:val="00203329"/>
    <w:rsid w:val="002039DA"/>
    <w:rsid w:val="00204592"/>
    <w:rsid w:val="00204B46"/>
    <w:rsid w:val="00204C9D"/>
    <w:rsid w:val="00205A11"/>
    <w:rsid w:val="00207BED"/>
    <w:rsid w:val="00210B4A"/>
    <w:rsid w:val="0021297A"/>
    <w:rsid w:val="002133B9"/>
    <w:rsid w:val="0021367B"/>
    <w:rsid w:val="00214037"/>
    <w:rsid w:val="002147A7"/>
    <w:rsid w:val="00214AFD"/>
    <w:rsid w:val="00216628"/>
    <w:rsid w:val="00217200"/>
    <w:rsid w:val="00217624"/>
    <w:rsid w:val="00220163"/>
    <w:rsid w:val="00223BF0"/>
    <w:rsid w:val="00225A2F"/>
    <w:rsid w:val="0023007C"/>
    <w:rsid w:val="00232AE2"/>
    <w:rsid w:val="00233F73"/>
    <w:rsid w:val="002349D6"/>
    <w:rsid w:val="002373D5"/>
    <w:rsid w:val="00240F43"/>
    <w:rsid w:val="00242B8E"/>
    <w:rsid w:val="002442FC"/>
    <w:rsid w:val="0024487F"/>
    <w:rsid w:val="00244E7A"/>
    <w:rsid w:val="00245BA0"/>
    <w:rsid w:val="00245BF4"/>
    <w:rsid w:val="00246E9F"/>
    <w:rsid w:val="00250A30"/>
    <w:rsid w:val="00250DCF"/>
    <w:rsid w:val="00250F40"/>
    <w:rsid w:val="0025119C"/>
    <w:rsid w:val="00251E06"/>
    <w:rsid w:val="0025260B"/>
    <w:rsid w:val="002538CE"/>
    <w:rsid w:val="0025442C"/>
    <w:rsid w:val="002549E9"/>
    <w:rsid w:val="00256BD5"/>
    <w:rsid w:val="002576E7"/>
    <w:rsid w:val="00260945"/>
    <w:rsid w:val="00262A5D"/>
    <w:rsid w:val="002638B5"/>
    <w:rsid w:val="00264F9F"/>
    <w:rsid w:val="002658A8"/>
    <w:rsid w:val="002661AC"/>
    <w:rsid w:val="00266F6C"/>
    <w:rsid w:val="00267081"/>
    <w:rsid w:val="002762CB"/>
    <w:rsid w:val="0027742E"/>
    <w:rsid w:val="00277E87"/>
    <w:rsid w:val="00283570"/>
    <w:rsid w:val="002836FD"/>
    <w:rsid w:val="002873B8"/>
    <w:rsid w:val="0029037A"/>
    <w:rsid w:val="00290643"/>
    <w:rsid w:val="002907B0"/>
    <w:rsid w:val="0029098C"/>
    <w:rsid w:val="00291904"/>
    <w:rsid w:val="0029315F"/>
    <w:rsid w:val="002936AC"/>
    <w:rsid w:val="002941A5"/>
    <w:rsid w:val="00295B28"/>
    <w:rsid w:val="002968EC"/>
    <w:rsid w:val="00296B29"/>
    <w:rsid w:val="00296BC5"/>
    <w:rsid w:val="0029769B"/>
    <w:rsid w:val="002A06BA"/>
    <w:rsid w:val="002A21AF"/>
    <w:rsid w:val="002A3257"/>
    <w:rsid w:val="002A4EBA"/>
    <w:rsid w:val="002A6B3C"/>
    <w:rsid w:val="002B2561"/>
    <w:rsid w:val="002B354D"/>
    <w:rsid w:val="002B4869"/>
    <w:rsid w:val="002B513A"/>
    <w:rsid w:val="002B559F"/>
    <w:rsid w:val="002C004C"/>
    <w:rsid w:val="002C3595"/>
    <w:rsid w:val="002C5BB7"/>
    <w:rsid w:val="002C6354"/>
    <w:rsid w:val="002C63EC"/>
    <w:rsid w:val="002C6BE8"/>
    <w:rsid w:val="002C6D08"/>
    <w:rsid w:val="002C7224"/>
    <w:rsid w:val="002C74E1"/>
    <w:rsid w:val="002C7E4B"/>
    <w:rsid w:val="002D0822"/>
    <w:rsid w:val="002D2E3C"/>
    <w:rsid w:val="002D3690"/>
    <w:rsid w:val="002D64AE"/>
    <w:rsid w:val="002D64E6"/>
    <w:rsid w:val="002E06DF"/>
    <w:rsid w:val="002E1D60"/>
    <w:rsid w:val="002E3453"/>
    <w:rsid w:val="002E3871"/>
    <w:rsid w:val="002E3A5C"/>
    <w:rsid w:val="002E4BAA"/>
    <w:rsid w:val="002E5103"/>
    <w:rsid w:val="002E7C98"/>
    <w:rsid w:val="002F08D8"/>
    <w:rsid w:val="002F0CCB"/>
    <w:rsid w:val="002F0FBB"/>
    <w:rsid w:val="002F191F"/>
    <w:rsid w:val="002F1F13"/>
    <w:rsid w:val="002F29C3"/>
    <w:rsid w:val="002F35CD"/>
    <w:rsid w:val="002F5B30"/>
    <w:rsid w:val="002F6AD8"/>
    <w:rsid w:val="00300752"/>
    <w:rsid w:val="00300C67"/>
    <w:rsid w:val="00301199"/>
    <w:rsid w:val="003017A5"/>
    <w:rsid w:val="003019CD"/>
    <w:rsid w:val="00301AAA"/>
    <w:rsid w:val="003030EB"/>
    <w:rsid w:val="0030328F"/>
    <w:rsid w:val="00303D0A"/>
    <w:rsid w:val="00303FA6"/>
    <w:rsid w:val="00305518"/>
    <w:rsid w:val="0030638B"/>
    <w:rsid w:val="00306AF6"/>
    <w:rsid w:val="00313B37"/>
    <w:rsid w:val="00313DDA"/>
    <w:rsid w:val="00314D49"/>
    <w:rsid w:val="00315AA6"/>
    <w:rsid w:val="00317786"/>
    <w:rsid w:val="0032050D"/>
    <w:rsid w:val="00321357"/>
    <w:rsid w:val="00321D28"/>
    <w:rsid w:val="003226BF"/>
    <w:rsid w:val="00325AB3"/>
    <w:rsid w:val="003279DD"/>
    <w:rsid w:val="003309B6"/>
    <w:rsid w:val="0033129C"/>
    <w:rsid w:val="00332C6F"/>
    <w:rsid w:val="00333507"/>
    <w:rsid w:val="0033543C"/>
    <w:rsid w:val="00336ED4"/>
    <w:rsid w:val="003400FD"/>
    <w:rsid w:val="0034127D"/>
    <w:rsid w:val="00345C6B"/>
    <w:rsid w:val="003470B6"/>
    <w:rsid w:val="00347517"/>
    <w:rsid w:val="00350545"/>
    <w:rsid w:val="00351881"/>
    <w:rsid w:val="00354335"/>
    <w:rsid w:val="00354913"/>
    <w:rsid w:val="003551B0"/>
    <w:rsid w:val="00355799"/>
    <w:rsid w:val="0036194A"/>
    <w:rsid w:val="003623A5"/>
    <w:rsid w:val="00363065"/>
    <w:rsid w:val="00363F1B"/>
    <w:rsid w:val="0036480C"/>
    <w:rsid w:val="003649C7"/>
    <w:rsid w:val="00364F55"/>
    <w:rsid w:val="0037768E"/>
    <w:rsid w:val="00382983"/>
    <w:rsid w:val="003842A3"/>
    <w:rsid w:val="0038434F"/>
    <w:rsid w:val="003851CC"/>
    <w:rsid w:val="00385530"/>
    <w:rsid w:val="00385BA6"/>
    <w:rsid w:val="00386245"/>
    <w:rsid w:val="00386844"/>
    <w:rsid w:val="00386DCB"/>
    <w:rsid w:val="00387732"/>
    <w:rsid w:val="003877E9"/>
    <w:rsid w:val="003902C5"/>
    <w:rsid w:val="00392C8F"/>
    <w:rsid w:val="00393165"/>
    <w:rsid w:val="0039349D"/>
    <w:rsid w:val="00393D1C"/>
    <w:rsid w:val="00393EA9"/>
    <w:rsid w:val="003943D3"/>
    <w:rsid w:val="00394448"/>
    <w:rsid w:val="00394498"/>
    <w:rsid w:val="00395C7C"/>
    <w:rsid w:val="003A0C4B"/>
    <w:rsid w:val="003A11CA"/>
    <w:rsid w:val="003A154F"/>
    <w:rsid w:val="003A15A8"/>
    <w:rsid w:val="003A23F7"/>
    <w:rsid w:val="003A268F"/>
    <w:rsid w:val="003A3599"/>
    <w:rsid w:val="003A3946"/>
    <w:rsid w:val="003A41B9"/>
    <w:rsid w:val="003A44AA"/>
    <w:rsid w:val="003A6B46"/>
    <w:rsid w:val="003A6EE3"/>
    <w:rsid w:val="003A78BF"/>
    <w:rsid w:val="003B17E6"/>
    <w:rsid w:val="003B30E2"/>
    <w:rsid w:val="003B45C0"/>
    <w:rsid w:val="003B4A9F"/>
    <w:rsid w:val="003B54E2"/>
    <w:rsid w:val="003B5617"/>
    <w:rsid w:val="003B67A7"/>
    <w:rsid w:val="003B72EA"/>
    <w:rsid w:val="003B7691"/>
    <w:rsid w:val="003B77B2"/>
    <w:rsid w:val="003C0146"/>
    <w:rsid w:val="003C1A6F"/>
    <w:rsid w:val="003C317A"/>
    <w:rsid w:val="003C3247"/>
    <w:rsid w:val="003C376F"/>
    <w:rsid w:val="003C3835"/>
    <w:rsid w:val="003C4772"/>
    <w:rsid w:val="003C5649"/>
    <w:rsid w:val="003C5D7B"/>
    <w:rsid w:val="003D065E"/>
    <w:rsid w:val="003D0AC7"/>
    <w:rsid w:val="003D27CD"/>
    <w:rsid w:val="003D3796"/>
    <w:rsid w:val="003D3DA4"/>
    <w:rsid w:val="003D4A86"/>
    <w:rsid w:val="003D4DF3"/>
    <w:rsid w:val="003E01D4"/>
    <w:rsid w:val="003E0287"/>
    <w:rsid w:val="003E11A6"/>
    <w:rsid w:val="003E1F0D"/>
    <w:rsid w:val="003E53D6"/>
    <w:rsid w:val="003E5887"/>
    <w:rsid w:val="003E65E4"/>
    <w:rsid w:val="003E66BC"/>
    <w:rsid w:val="003F4B57"/>
    <w:rsid w:val="00404559"/>
    <w:rsid w:val="00406C17"/>
    <w:rsid w:val="00406E10"/>
    <w:rsid w:val="0040704D"/>
    <w:rsid w:val="00407DD5"/>
    <w:rsid w:val="00407F01"/>
    <w:rsid w:val="004108A7"/>
    <w:rsid w:val="00411C99"/>
    <w:rsid w:val="00412835"/>
    <w:rsid w:val="00413386"/>
    <w:rsid w:val="004137EB"/>
    <w:rsid w:val="00413A06"/>
    <w:rsid w:val="004212AD"/>
    <w:rsid w:val="00423F34"/>
    <w:rsid w:val="00424487"/>
    <w:rsid w:val="004245AF"/>
    <w:rsid w:val="00426753"/>
    <w:rsid w:val="0042757F"/>
    <w:rsid w:val="004279D9"/>
    <w:rsid w:val="004302D6"/>
    <w:rsid w:val="00432219"/>
    <w:rsid w:val="004344FD"/>
    <w:rsid w:val="00435745"/>
    <w:rsid w:val="00437F59"/>
    <w:rsid w:val="00440015"/>
    <w:rsid w:val="004416FC"/>
    <w:rsid w:val="004421C0"/>
    <w:rsid w:val="004426A2"/>
    <w:rsid w:val="004457FE"/>
    <w:rsid w:val="00446B43"/>
    <w:rsid w:val="00446C91"/>
    <w:rsid w:val="00447020"/>
    <w:rsid w:val="00447272"/>
    <w:rsid w:val="004479AD"/>
    <w:rsid w:val="00447F09"/>
    <w:rsid w:val="004503A0"/>
    <w:rsid w:val="004509AC"/>
    <w:rsid w:val="00453A91"/>
    <w:rsid w:val="00460FC9"/>
    <w:rsid w:val="0046208F"/>
    <w:rsid w:val="0046246B"/>
    <w:rsid w:val="0046413E"/>
    <w:rsid w:val="00465D26"/>
    <w:rsid w:val="0046777D"/>
    <w:rsid w:val="00467AE0"/>
    <w:rsid w:val="00467D48"/>
    <w:rsid w:val="00470B4E"/>
    <w:rsid w:val="00470FAD"/>
    <w:rsid w:val="00471D3C"/>
    <w:rsid w:val="00472D5E"/>
    <w:rsid w:val="00473F9E"/>
    <w:rsid w:val="004742EB"/>
    <w:rsid w:val="00475342"/>
    <w:rsid w:val="00475CA5"/>
    <w:rsid w:val="00476CAE"/>
    <w:rsid w:val="00476DC9"/>
    <w:rsid w:val="00482590"/>
    <w:rsid w:val="004826A6"/>
    <w:rsid w:val="004834AE"/>
    <w:rsid w:val="00483982"/>
    <w:rsid w:val="0048407A"/>
    <w:rsid w:val="00484E68"/>
    <w:rsid w:val="00486B68"/>
    <w:rsid w:val="004870B2"/>
    <w:rsid w:val="004903B4"/>
    <w:rsid w:val="004913C8"/>
    <w:rsid w:val="0049206F"/>
    <w:rsid w:val="00494916"/>
    <w:rsid w:val="00495A17"/>
    <w:rsid w:val="0049683A"/>
    <w:rsid w:val="00496AAD"/>
    <w:rsid w:val="004A2B77"/>
    <w:rsid w:val="004A441E"/>
    <w:rsid w:val="004A4F06"/>
    <w:rsid w:val="004A4FEF"/>
    <w:rsid w:val="004A6DCB"/>
    <w:rsid w:val="004A72F4"/>
    <w:rsid w:val="004A774E"/>
    <w:rsid w:val="004B3AF8"/>
    <w:rsid w:val="004B4117"/>
    <w:rsid w:val="004B4C0D"/>
    <w:rsid w:val="004B54AD"/>
    <w:rsid w:val="004B6005"/>
    <w:rsid w:val="004C4020"/>
    <w:rsid w:val="004C45B1"/>
    <w:rsid w:val="004C7215"/>
    <w:rsid w:val="004D036F"/>
    <w:rsid w:val="004D13E8"/>
    <w:rsid w:val="004D393F"/>
    <w:rsid w:val="004D4A88"/>
    <w:rsid w:val="004D5F3B"/>
    <w:rsid w:val="004D6309"/>
    <w:rsid w:val="004D69BF"/>
    <w:rsid w:val="004E1D67"/>
    <w:rsid w:val="004E2B30"/>
    <w:rsid w:val="004E30BB"/>
    <w:rsid w:val="004E3769"/>
    <w:rsid w:val="004E56E3"/>
    <w:rsid w:val="004E66A8"/>
    <w:rsid w:val="004F1718"/>
    <w:rsid w:val="004F1A5E"/>
    <w:rsid w:val="004F5121"/>
    <w:rsid w:val="004F6917"/>
    <w:rsid w:val="004F6918"/>
    <w:rsid w:val="005038B4"/>
    <w:rsid w:val="00506837"/>
    <w:rsid w:val="00506888"/>
    <w:rsid w:val="00506D0C"/>
    <w:rsid w:val="0051233C"/>
    <w:rsid w:val="0051352B"/>
    <w:rsid w:val="00513D35"/>
    <w:rsid w:val="005146A7"/>
    <w:rsid w:val="00516420"/>
    <w:rsid w:val="00516A4E"/>
    <w:rsid w:val="005171EE"/>
    <w:rsid w:val="0052095A"/>
    <w:rsid w:val="00520D5F"/>
    <w:rsid w:val="0052110D"/>
    <w:rsid w:val="00522E25"/>
    <w:rsid w:val="00523AE3"/>
    <w:rsid w:val="0052404C"/>
    <w:rsid w:val="0052489C"/>
    <w:rsid w:val="00525268"/>
    <w:rsid w:val="0052766E"/>
    <w:rsid w:val="00527856"/>
    <w:rsid w:val="00530B47"/>
    <w:rsid w:val="00530CE7"/>
    <w:rsid w:val="00532720"/>
    <w:rsid w:val="005327BA"/>
    <w:rsid w:val="005366F7"/>
    <w:rsid w:val="005377DD"/>
    <w:rsid w:val="005407EF"/>
    <w:rsid w:val="00541D2E"/>
    <w:rsid w:val="00542040"/>
    <w:rsid w:val="005424B6"/>
    <w:rsid w:val="00542EE4"/>
    <w:rsid w:val="00544ED4"/>
    <w:rsid w:val="005458F9"/>
    <w:rsid w:val="005479AE"/>
    <w:rsid w:val="00547B6D"/>
    <w:rsid w:val="0055343A"/>
    <w:rsid w:val="00555016"/>
    <w:rsid w:val="005551D7"/>
    <w:rsid w:val="00556F28"/>
    <w:rsid w:val="00557D62"/>
    <w:rsid w:val="00562F25"/>
    <w:rsid w:val="005651E0"/>
    <w:rsid w:val="00566E40"/>
    <w:rsid w:val="005672E9"/>
    <w:rsid w:val="005706D2"/>
    <w:rsid w:val="0057094D"/>
    <w:rsid w:val="00570B1B"/>
    <w:rsid w:val="00570C2E"/>
    <w:rsid w:val="0057138D"/>
    <w:rsid w:val="00574FA1"/>
    <w:rsid w:val="005763EB"/>
    <w:rsid w:val="00577029"/>
    <w:rsid w:val="005770EB"/>
    <w:rsid w:val="00577A1F"/>
    <w:rsid w:val="00577E82"/>
    <w:rsid w:val="005802D6"/>
    <w:rsid w:val="005815CD"/>
    <w:rsid w:val="00581C0C"/>
    <w:rsid w:val="0058287F"/>
    <w:rsid w:val="005850BA"/>
    <w:rsid w:val="00586DB5"/>
    <w:rsid w:val="005906DB"/>
    <w:rsid w:val="00596CC8"/>
    <w:rsid w:val="00597E8A"/>
    <w:rsid w:val="005A13EC"/>
    <w:rsid w:val="005A310D"/>
    <w:rsid w:val="005A3BC4"/>
    <w:rsid w:val="005A5C65"/>
    <w:rsid w:val="005A79B3"/>
    <w:rsid w:val="005A7A70"/>
    <w:rsid w:val="005A7DE4"/>
    <w:rsid w:val="005B024B"/>
    <w:rsid w:val="005B0268"/>
    <w:rsid w:val="005B3A5E"/>
    <w:rsid w:val="005B41C3"/>
    <w:rsid w:val="005B5686"/>
    <w:rsid w:val="005B6464"/>
    <w:rsid w:val="005B6A6F"/>
    <w:rsid w:val="005C01B8"/>
    <w:rsid w:val="005C3089"/>
    <w:rsid w:val="005C47C3"/>
    <w:rsid w:val="005C5712"/>
    <w:rsid w:val="005D131A"/>
    <w:rsid w:val="005D250B"/>
    <w:rsid w:val="005D541A"/>
    <w:rsid w:val="005D5DA5"/>
    <w:rsid w:val="005E0AFB"/>
    <w:rsid w:val="005E1834"/>
    <w:rsid w:val="005E25F9"/>
    <w:rsid w:val="005E3795"/>
    <w:rsid w:val="005E5D5E"/>
    <w:rsid w:val="005E71F4"/>
    <w:rsid w:val="005F0B8F"/>
    <w:rsid w:val="005F21CE"/>
    <w:rsid w:val="005F2726"/>
    <w:rsid w:val="005F3247"/>
    <w:rsid w:val="005F3287"/>
    <w:rsid w:val="005F4053"/>
    <w:rsid w:val="005F520C"/>
    <w:rsid w:val="005F7565"/>
    <w:rsid w:val="006002F7"/>
    <w:rsid w:val="00600D07"/>
    <w:rsid w:val="00601E83"/>
    <w:rsid w:val="00603200"/>
    <w:rsid w:val="0060491B"/>
    <w:rsid w:val="00606E0F"/>
    <w:rsid w:val="0060742F"/>
    <w:rsid w:val="00607E7C"/>
    <w:rsid w:val="00607FCE"/>
    <w:rsid w:val="0061142E"/>
    <w:rsid w:val="0061418A"/>
    <w:rsid w:val="00615356"/>
    <w:rsid w:val="00615CB4"/>
    <w:rsid w:val="00615CEA"/>
    <w:rsid w:val="0061707E"/>
    <w:rsid w:val="00622495"/>
    <w:rsid w:val="0062362B"/>
    <w:rsid w:val="00623759"/>
    <w:rsid w:val="00624561"/>
    <w:rsid w:val="00626957"/>
    <w:rsid w:val="00631789"/>
    <w:rsid w:val="006318DF"/>
    <w:rsid w:val="006327D4"/>
    <w:rsid w:val="0063515D"/>
    <w:rsid w:val="0063570E"/>
    <w:rsid w:val="00640F9B"/>
    <w:rsid w:val="00640FF7"/>
    <w:rsid w:val="006432B8"/>
    <w:rsid w:val="00644DE1"/>
    <w:rsid w:val="00644EF8"/>
    <w:rsid w:val="00645D3C"/>
    <w:rsid w:val="00645DB7"/>
    <w:rsid w:val="00646889"/>
    <w:rsid w:val="00647905"/>
    <w:rsid w:val="00647A41"/>
    <w:rsid w:val="00650D4F"/>
    <w:rsid w:val="006511A8"/>
    <w:rsid w:val="00652010"/>
    <w:rsid w:val="00652448"/>
    <w:rsid w:val="00652E29"/>
    <w:rsid w:val="006537A0"/>
    <w:rsid w:val="00654102"/>
    <w:rsid w:val="00666AA7"/>
    <w:rsid w:val="00667A1D"/>
    <w:rsid w:val="00670007"/>
    <w:rsid w:val="006735E7"/>
    <w:rsid w:val="00673D29"/>
    <w:rsid w:val="00674E15"/>
    <w:rsid w:val="0067551D"/>
    <w:rsid w:val="00677468"/>
    <w:rsid w:val="00680A37"/>
    <w:rsid w:val="0068104A"/>
    <w:rsid w:val="0068119D"/>
    <w:rsid w:val="00681CA6"/>
    <w:rsid w:val="0068207D"/>
    <w:rsid w:val="006822F5"/>
    <w:rsid w:val="00682463"/>
    <w:rsid w:val="00684431"/>
    <w:rsid w:val="00684A3A"/>
    <w:rsid w:val="00684E04"/>
    <w:rsid w:val="00684E91"/>
    <w:rsid w:val="00685E0B"/>
    <w:rsid w:val="0068675B"/>
    <w:rsid w:val="00687913"/>
    <w:rsid w:val="00690A69"/>
    <w:rsid w:val="00691189"/>
    <w:rsid w:val="00693388"/>
    <w:rsid w:val="006955E6"/>
    <w:rsid w:val="0069752B"/>
    <w:rsid w:val="00697678"/>
    <w:rsid w:val="006976E8"/>
    <w:rsid w:val="00697C85"/>
    <w:rsid w:val="006A1D55"/>
    <w:rsid w:val="006A506F"/>
    <w:rsid w:val="006A65DC"/>
    <w:rsid w:val="006A7E5E"/>
    <w:rsid w:val="006B01F7"/>
    <w:rsid w:val="006B1A11"/>
    <w:rsid w:val="006B1B84"/>
    <w:rsid w:val="006B3158"/>
    <w:rsid w:val="006B3C52"/>
    <w:rsid w:val="006B4222"/>
    <w:rsid w:val="006B4DF9"/>
    <w:rsid w:val="006B5D0E"/>
    <w:rsid w:val="006B602F"/>
    <w:rsid w:val="006B75C4"/>
    <w:rsid w:val="006B7995"/>
    <w:rsid w:val="006B7AD5"/>
    <w:rsid w:val="006B7D64"/>
    <w:rsid w:val="006C05D2"/>
    <w:rsid w:val="006C0DCB"/>
    <w:rsid w:val="006C1BFC"/>
    <w:rsid w:val="006C2177"/>
    <w:rsid w:val="006C4365"/>
    <w:rsid w:val="006C6941"/>
    <w:rsid w:val="006C744C"/>
    <w:rsid w:val="006D032C"/>
    <w:rsid w:val="006D4FEF"/>
    <w:rsid w:val="006D5295"/>
    <w:rsid w:val="006D78CC"/>
    <w:rsid w:val="006E071F"/>
    <w:rsid w:val="006E111A"/>
    <w:rsid w:val="006E17E1"/>
    <w:rsid w:val="006E5680"/>
    <w:rsid w:val="006E5AAB"/>
    <w:rsid w:val="006E623E"/>
    <w:rsid w:val="006E7183"/>
    <w:rsid w:val="006F04E1"/>
    <w:rsid w:val="006F0B20"/>
    <w:rsid w:val="006F0C05"/>
    <w:rsid w:val="006F127C"/>
    <w:rsid w:val="006F16EA"/>
    <w:rsid w:val="006F1BC7"/>
    <w:rsid w:val="006F3A70"/>
    <w:rsid w:val="006F6AA1"/>
    <w:rsid w:val="006F6BE6"/>
    <w:rsid w:val="006F6E7C"/>
    <w:rsid w:val="006F78EA"/>
    <w:rsid w:val="0070376C"/>
    <w:rsid w:val="0070443F"/>
    <w:rsid w:val="00704560"/>
    <w:rsid w:val="00706AD4"/>
    <w:rsid w:val="00711EEC"/>
    <w:rsid w:val="0071281B"/>
    <w:rsid w:val="00712F07"/>
    <w:rsid w:val="00713510"/>
    <w:rsid w:val="0071380D"/>
    <w:rsid w:val="007152E8"/>
    <w:rsid w:val="0072420C"/>
    <w:rsid w:val="00724D2F"/>
    <w:rsid w:val="00727D8F"/>
    <w:rsid w:val="007320CF"/>
    <w:rsid w:val="00733A73"/>
    <w:rsid w:val="00734EFA"/>
    <w:rsid w:val="007356E4"/>
    <w:rsid w:val="00735708"/>
    <w:rsid w:val="0073762B"/>
    <w:rsid w:val="007410A8"/>
    <w:rsid w:val="00741CF8"/>
    <w:rsid w:val="00742D10"/>
    <w:rsid w:val="00744740"/>
    <w:rsid w:val="0074521A"/>
    <w:rsid w:val="00745A55"/>
    <w:rsid w:val="00745CC3"/>
    <w:rsid w:val="007462D2"/>
    <w:rsid w:val="00751D42"/>
    <w:rsid w:val="00751E0E"/>
    <w:rsid w:val="00753AFF"/>
    <w:rsid w:val="007561AE"/>
    <w:rsid w:val="00760369"/>
    <w:rsid w:val="0076147B"/>
    <w:rsid w:val="00764D1F"/>
    <w:rsid w:val="00764EED"/>
    <w:rsid w:val="00770941"/>
    <w:rsid w:val="00772C51"/>
    <w:rsid w:val="00774A3F"/>
    <w:rsid w:val="00776DE4"/>
    <w:rsid w:val="0077706B"/>
    <w:rsid w:val="0078003E"/>
    <w:rsid w:val="007814DD"/>
    <w:rsid w:val="00782CF8"/>
    <w:rsid w:val="00782ED8"/>
    <w:rsid w:val="00785A3E"/>
    <w:rsid w:val="00786796"/>
    <w:rsid w:val="0078741F"/>
    <w:rsid w:val="00790031"/>
    <w:rsid w:val="00790400"/>
    <w:rsid w:val="00790DA8"/>
    <w:rsid w:val="00791846"/>
    <w:rsid w:val="00791A8F"/>
    <w:rsid w:val="007923AF"/>
    <w:rsid w:val="007932D2"/>
    <w:rsid w:val="007A08C8"/>
    <w:rsid w:val="007A0C79"/>
    <w:rsid w:val="007A1EC9"/>
    <w:rsid w:val="007A20E4"/>
    <w:rsid w:val="007A23C4"/>
    <w:rsid w:val="007A3DC9"/>
    <w:rsid w:val="007B01F2"/>
    <w:rsid w:val="007B5D58"/>
    <w:rsid w:val="007C50E3"/>
    <w:rsid w:val="007C6FC6"/>
    <w:rsid w:val="007C7A2A"/>
    <w:rsid w:val="007D0322"/>
    <w:rsid w:val="007D07ED"/>
    <w:rsid w:val="007D4805"/>
    <w:rsid w:val="007D4B43"/>
    <w:rsid w:val="007D5987"/>
    <w:rsid w:val="007D5F20"/>
    <w:rsid w:val="007D60B0"/>
    <w:rsid w:val="007D62D7"/>
    <w:rsid w:val="007D7D0A"/>
    <w:rsid w:val="007E0724"/>
    <w:rsid w:val="007E21A3"/>
    <w:rsid w:val="007E244F"/>
    <w:rsid w:val="007E25C5"/>
    <w:rsid w:val="007E3AA2"/>
    <w:rsid w:val="007E4D18"/>
    <w:rsid w:val="007E5AC2"/>
    <w:rsid w:val="007E6083"/>
    <w:rsid w:val="007F185D"/>
    <w:rsid w:val="007F25DA"/>
    <w:rsid w:val="007F2B6F"/>
    <w:rsid w:val="007F3D10"/>
    <w:rsid w:val="007F57CA"/>
    <w:rsid w:val="007F5DA6"/>
    <w:rsid w:val="007F699B"/>
    <w:rsid w:val="007F78C7"/>
    <w:rsid w:val="007F794F"/>
    <w:rsid w:val="00801451"/>
    <w:rsid w:val="0080286F"/>
    <w:rsid w:val="008033C2"/>
    <w:rsid w:val="008103C5"/>
    <w:rsid w:val="008106FE"/>
    <w:rsid w:val="00811361"/>
    <w:rsid w:val="0081397B"/>
    <w:rsid w:val="0081702C"/>
    <w:rsid w:val="00822082"/>
    <w:rsid w:val="00824155"/>
    <w:rsid w:val="00825C83"/>
    <w:rsid w:val="00826F88"/>
    <w:rsid w:val="008329F2"/>
    <w:rsid w:val="0083391C"/>
    <w:rsid w:val="0083408D"/>
    <w:rsid w:val="00834C0F"/>
    <w:rsid w:val="00835A9E"/>
    <w:rsid w:val="008417B6"/>
    <w:rsid w:val="008444D5"/>
    <w:rsid w:val="00845DAA"/>
    <w:rsid w:val="00846036"/>
    <w:rsid w:val="00847755"/>
    <w:rsid w:val="0085111F"/>
    <w:rsid w:val="008531A4"/>
    <w:rsid w:val="0085354F"/>
    <w:rsid w:val="0085368B"/>
    <w:rsid w:val="00853B93"/>
    <w:rsid w:val="0085490F"/>
    <w:rsid w:val="00854F17"/>
    <w:rsid w:val="00855C79"/>
    <w:rsid w:val="0085787A"/>
    <w:rsid w:val="00861118"/>
    <w:rsid w:val="008634E9"/>
    <w:rsid w:val="00867E4A"/>
    <w:rsid w:val="00867EDA"/>
    <w:rsid w:val="00870CD3"/>
    <w:rsid w:val="00874073"/>
    <w:rsid w:val="00874A4C"/>
    <w:rsid w:val="00875162"/>
    <w:rsid w:val="00876535"/>
    <w:rsid w:val="008774F1"/>
    <w:rsid w:val="00882C06"/>
    <w:rsid w:val="00882D60"/>
    <w:rsid w:val="0088376E"/>
    <w:rsid w:val="00884382"/>
    <w:rsid w:val="00884D59"/>
    <w:rsid w:val="00884F2F"/>
    <w:rsid w:val="008850DE"/>
    <w:rsid w:val="008858C2"/>
    <w:rsid w:val="00887F94"/>
    <w:rsid w:val="00890A6F"/>
    <w:rsid w:val="00891100"/>
    <w:rsid w:val="0089198D"/>
    <w:rsid w:val="00895D5A"/>
    <w:rsid w:val="00897129"/>
    <w:rsid w:val="00897CE6"/>
    <w:rsid w:val="008A083B"/>
    <w:rsid w:val="008A195A"/>
    <w:rsid w:val="008A3C12"/>
    <w:rsid w:val="008B05F0"/>
    <w:rsid w:val="008B0CB3"/>
    <w:rsid w:val="008B406B"/>
    <w:rsid w:val="008B46B8"/>
    <w:rsid w:val="008B6E5B"/>
    <w:rsid w:val="008C06CE"/>
    <w:rsid w:val="008C38A7"/>
    <w:rsid w:val="008C3A2F"/>
    <w:rsid w:val="008C68B7"/>
    <w:rsid w:val="008C6D2A"/>
    <w:rsid w:val="008D2342"/>
    <w:rsid w:val="008D2846"/>
    <w:rsid w:val="008D31CA"/>
    <w:rsid w:val="008D52AC"/>
    <w:rsid w:val="008D5CE1"/>
    <w:rsid w:val="008D6698"/>
    <w:rsid w:val="008D6EEF"/>
    <w:rsid w:val="008E044E"/>
    <w:rsid w:val="008E51A4"/>
    <w:rsid w:val="008E5383"/>
    <w:rsid w:val="008E55C1"/>
    <w:rsid w:val="008E5A3F"/>
    <w:rsid w:val="008E7650"/>
    <w:rsid w:val="008F105F"/>
    <w:rsid w:val="008F31DC"/>
    <w:rsid w:val="008F39D5"/>
    <w:rsid w:val="008F47DE"/>
    <w:rsid w:val="008F722D"/>
    <w:rsid w:val="008F7525"/>
    <w:rsid w:val="008F7775"/>
    <w:rsid w:val="008F79E6"/>
    <w:rsid w:val="0090280C"/>
    <w:rsid w:val="009054CB"/>
    <w:rsid w:val="0090744E"/>
    <w:rsid w:val="00907EFF"/>
    <w:rsid w:val="00911518"/>
    <w:rsid w:val="00911CBA"/>
    <w:rsid w:val="00920A69"/>
    <w:rsid w:val="00921539"/>
    <w:rsid w:val="00922731"/>
    <w:rsid w:val="00922E7A"/>
    <w:rsid w:val="0092340F"/>
    <w:rsid w:val="00923472"/>
    <w:rsid w:val="00925D17"/>
    <w:rsid w:val="00927592"/>
    <w:rsid w:val="00942245"/>
    <w:rsid w:val="0094367C"/>
    <w:rsid w:val="009446CB"/>
    <w:rsid w:val="00944FEF"/>
    <w:rsid w:val="00947F6A"/>
    <w:rsid w:val="00950340"/>
    <w:rsid w:val="009507D0"/>
    <w:rsid w:val="009516F4"/>
    <w:rsid w:val="00953E54"/>
    <w:rsid w:val="009541B2"/>
    <w:rsid w:val="00955BDA"/>
    <w:rsid w:val="009572A6"/>
    <w:rsid w:val="009615E6"/>
    <w:rsid w:val="00962561"/>
    <w:rsid w:val="00962BC9"/>
    <w:rsid w:val="00964527"/>
    <w:rsid w:val="009652FE"/>
    <w:rsid w:val="00967AD2"/>
    <w:rsid w:val="00967ED0"/>
    <w:rsid w:val="00970E68"/>
    <w:rsid w:val="00973DA9"/>
    <w:rsid w:val="00974E62"/>
    <w:rsid w:val="00974F68"/>
    <w:rsid w:val="009754CD"/>
    <w:rsid w:val="00975E17"/>
    <w:rsid w:val="00977522"/>
    <w:rsid w:val="009775E0"/>
    <w:rsid w:val="00977E15"/>
    <w:rsid w:val="00981E4A"/>
    <w:rsid w:val="00982CE6"/>
    <w:rsid w:val="0098325B"/>
    <w:rsid w:val="00984689"/>
    <w:rsid w:val="00984AD5"/>
    <w:rsid w:val="00985E5C"/>
    <w:rsid w:val="00986CA6"/>
    <w:rsid w:val="00987764"/>
    <w:rsid w:val="0098783A"/>
    <w:rsid w:val="009920C4"/>
    <w:rsid w:val="009933B1"/>
    <w:rsid w:val="009938C9"/>
    <w:rsid w:val="009938E8"/>
    <w:rsid w:val="009943E0"/>
    <w:rsid w:val="00994C2C"/>
    <w:rsid w:val="009A07B3"/>
    <w:rsid w:val="009A0B97"/>
    <w:rsid w:val="009A0D0D"/>
    <w:rsid w:val="009A3A46"/>
    <w:rsid w:val="009A3B45"/>
    <w:rsid w:val="009A6813"/>
    <w:rsid w:val="009A709A"/>
    <w:rsid w:val="009A73C9"/>
    <w:rsid w:val="009A7820"/>
    <w:rsid w:val="009A7868"/>
    <w:rsid w:val="009B0256"/>
    <w:rsid w:val="009B07F0"/>
    <w:rsid w:val="009B40E4"/>
    <w:rsid w:val="009B5363"/>
    <w:rsid w:val="009B5366"/>
    <w:rsid w:val="009B53B9"/>
    <w:rsid w:val="009B5B51"/>
    <w:rsid w:val="009B6175"/>
    <w:rsid w:val="009C000A"/>
    <w:rsid w:val="009C0946"/>
    <w:rsid w:val="009C167D"/>
    <w:rsid w:val="009C2253"/>
    <w:rsid w:val="009C3F50"/>
    <w:rsid w:val="009C494F"/>
    <w:rsid w:val="009C6033"/>
    <w:rsid w:val="009C664F"/>
    <w:rsid w:val="009C6E10"/>
    <w:rsid w:val="009C6F83"/>
    <w:rsid w:val="009C704F"/>
    <w:rsid w:val="009C7ACD"/>
    <w:rsid w:val="009D1BE0"/>
    <w:rsid w:val="009D2BA4"/>
    <w:rsid w:val="009D3417"/>
    <w:rsid w:val="009D442A"/>
    <w:rsid w:val="009D6586"/>
    <w:rsid w:val="009D7362"/>
    <w:rsid w:val="009D7C19"/>
    <w:rsid w:val="009D7C2C"/>
    <w:rsid w:val="009E235C"/>
    <w:rsid w:val="009E427C"/>
    <w:rsid w:val="009E4585"/>
    <w:rsid w:val="009F0067"/>
    <w:rsid w:val="009F03E5"/>
    <w:rsid w:val="009F1A19"/>
    <w:rsid w:val="009F61C9"/>
    <w:rsid w:val="009F7006"/>
    <w:rsid w:val="009F7054"/>
    <w:rsid w:val="009F753A"/>
    <w:rsid w:val="00A00A2C"/>
    <w:rsid w:val="00A01BBD"/>
    <w:rsid w:val="00A0304F"/>
    <w:rsid w:val="00A03337"/>
    <w:rsid w:val="00A03AE6"/>
    <w:rsid w:val="00A03B7E"/>
    <w:rsid w:val="00A0447E"/>
    <w:rsid w:val="00A04AA4"/>
    <w:rsid w:val="00A06755"/>
    <w:rsid w:val="00A07814"/>
    <w:rsid w:val="00A10085"/>
    <w:rsid w:val="00A102DE"/>
    <w:rsid w:val="00A11A83"/>
    <w:rsid w:val="00A11B72"/>
    <w:rsid w:val="00A12226"/>
    <w:rsid w:val="00A15107"/>
    <w:rsid w:val="00A1534F"/>
    <w:rsid w:val="00A157C8"/>
    <w:rsid w:val="00A241EC"/>
    <w:rsid w:val="00A242AA"/>
    <w:rsid w:val="00A2500E"/>
    <w:rsid w:val="00A255FE"/>
    <w:rsid w:val="00A30158"/>
    <w:rsid w:val="00A308D2"/>
    <w:rsid w:val="00A332CF"/>
    <w:rsid w:val="00A334DA"/>
    <w:rsid w:val="00A3549B"/>
    <w:rsid w:val="00A35F9B"/>
    <w:rsid w:val="00A36337"/>
    <w:rsid w:val="00A3664F"/>
    <w:rsid w:val="00A370F2"/>
    <w:rsid w:val="00A40593"/>
    <w:rsid w:val="00A41B28"/>
    <w:rsid w:val="00A430BA"/>
    <w:rsid w:val="00A463E5"/>
    <w:rsid w:val="00A465F5"/>
    <w:rsid w:val="00A5263C"/>
    <w:rsid w:val="00A52D01"/>
    <w:rsid w:val="00A533E4"/>
    <w:rsid w:val="00A57A81"/>
    <w:rsid w:val="00A63A0B"/>
    <w:rsid w:val="00A64C30"/>
    <w:rsid w:val="00A653F5"/>
    <w:rsid w:val="00A65DE7"/>
    <w:rsid w:val="00A67B1B"/>
    <w:rsid w:val="00A732A5"/>
    <w:rsid w:val="00A74223"/>
    <w:rsid w:val="00A74BB3"/>
    <w:rsid w:val="00A74C8E"/>
    <w:rsid w:val="00A75E92"/>
    <w:rsid w:val="00A776A8"/>
    <w:rsid w:val="00A80C07"/>
    <w:rsid w:val="00A8240E"/>
    <w:rsid w:val="00A8292A"/>
    <w:rsid w:val="00A82C82"/>
    <w:rsid w:val="00A83C64"/>
    <w:rsid w:val="00A845B3"/>
    <w:rsid w:val="00A859D2"/>
    <w:rsid w:val="00A86C74"/>
    <w:rsid w:val="00A878B7"/>
    <w:rsid w:val="00A87995"/>
    <w:rsid w:val="00A9005E"/>
    <w:rsid w:val="00A9172D"/>
    <w:rsid w:val="00A91A07"/>
    <w:rsid w:val="00A91AB9"/>
    <w:rsid w:val="00A92E6E"/>
    <w:rsid w:val="00A951E5"/>
    <w:rsid w:val="00A95906"/>
    <w:rsid w:val="00A95F3A"/>
    <w:rsid w:val="00A97489"/>
    <w:rsid w:val="00AA001F"/>
    <w:rsid w:val="00AA14FE"/>
    <w:rsid w:val="00AA6E9D"/>
    <w:rsid w:val="00AB1B62"/>
    <w:rsid w:val="00AB4560"/>
    <w:rsid w:val="00AB58A3"/>
    <w:rsid w:val="00AB6FE9"/>
    <w:rsid w:val="00AB7718"/>
    <w:rsid w:val="00AC1A83"/>
    <w:rsid w:val="00AC1D22"/>
    <w:rsid w:val="00AC26C6"/>
    <w:rsid w:val="00AC476B"/>
    <w:rsid w:val="00AC4F28"/>
    <w:rsid w:val="00AC6E7F"/>
    <w:rsid w:val="00AD5FBF"/>
    <w:rsid w:val="00AD645C"/>
    <w:rsid w:val="00AD6867"/>
    <w:rsid w:val="00AD6E3A"/>
    <w:rsid w:val="00AD6E90"/>
    <w:rsid w:val="00AE134A"/>
    <w:rsid w:val="00AE2424"/>
    <w:rsid w:val="00AE2888"/>
    <w:rsid w:val="00AE4AAE"/>
    <w:rsid w:val="00AE5562"/>
    <w:rsid w:val="00AE6050"/>
    <w:rsid w:val="00AE6416"/>
    <w:rsid w:val="00AE6C51"/>
    <w:rsid w:val="00AF1D10"/>
    <w:rsid w:val="00AF3558"/>
    <w:rsid w:val="00AF5FFE"/>
    <w:rsid w:val="00AF607D"/>
    <w:rsid w:val="00AF6186"/>
    <w:rsid w:val="00AF6CDE"/>
    <w:rsid w:val="00AF7143"/>
    <w:rsid w:val="00B0189C"/>
    <w:rsid w:val="00B03273"/>
    <w:rsid w:val="00B06430"/>
    <w:rsid w:val="00B0688E"/>
    <w:rsid w:val="00B06F39"/>
    <w:rsid w:val="00B10398"/>
    <w:rsid w:val="00B111A3"/>
    <w:rsid w:val="00B138CE"/>
    <w:rsid w:val="00B16C19"/>
    <w:rsid w:val="00B1744D"/>
    <w:rsid w:val="00B176C5"/>
    <w:rsid w:val="00B21160"/>
    <w:rsid w:val="00B22DCA"/>
    <w:rsid w:val="00B24A75"/>
    <w:rsid w:val="00B25D4A"/>
    <w:rsid w:val="00B26025"/>
    <w:rsid w:val="00B26336"/>
    <w:rsid w:val="00B26C3C"/>
    <w:rsid w:val="00B3023B"/>
    <w:rsid w:val="00B30FB5"/>
    <w:rsid w:val="00B316C7"/>
    <w:rsid w:val="00B33411"/>
    <w:rsid w:val="00B369EC"/>
    <w:rsid w:val="00B41A26"/>
    <w:rsid w:val="00B42C98"/>
    <w:rsid w:val="00B444FE"/>
    <w:rsid w:val="00B45B26"/>
    <w:rsid w:val="00B45C60"/>
    <w:rsid w:val="00B46358"/>
    <w:rsid w:val="00B465D6"/>
    <w:rsid w:val="00B4660E"/>
    <w:rsid w:val="00B529A8"/>
    <w:rsid w:val="00B530E7"/>
    <w:rsid w:val="00B53D4F"/>
    <w:rsid w:val="00B55B24"/>
    <w:rsid w:val="00B55C7A"/>
    <w:rsid w:val="00B575BA"/>
    <w:rsid w:val="00B57AFC"/>
    <w:rsid w:val="00B57D7A"/>
    <w:rsid w:val="00B6357D"/>
    <w:rsid w:val="00B648A3"/>
    <w:rsid w:val="00B674CB"/>
    <w:rsid w:val="00B7057D"/>
    <w:rsid w:val="00B70E98"/>
    <w:rsid w:val="00B71571"/>
    <w:rsid w:val="00B719D7"/>
    <w:rsid w:val="00B732FE"/>
    <w:rsid w:val="00B73890"/>
    <w:rsid w:val="00B7498F"/>
    <w:rsid w:val="00B7581F"/>
    <w:rsid w:val="00B760E2"/>
    <w:rsid w:val="00B760F4"/>
    <w:rsid w:val="00B76F59"/>
    <w:rsid w:val="00B80775"/>
    <w:rsid w:val="00B80846"/>
    <w:rsid w:val="00B80878"/>
    <w:rsid w:val="00B810CE"/>
    <w:rsid w:val="00B81D34"/>
    <w:rsid w:val="00B82465"/>
    <w:rsid w:val="00B844CF"/>
    <w:rsid w:val="00B85640"/>
    <w:rsid w:val="00B85C38"/>
    <w:rsid w:val="00B868AF"/>
    <w:rsid w:val="00B868B6"/>
    <w:rsid w:val="00B87003"/>
    <w:rsid w:val="00B87FDE"/>
    <w:rsid w:val="00B918EA"/>
    <w:rsid w:val="00B922D5"/>
    <w:rsid w:val="00B92E0C"/>
    <w:rsid w:val="00B95B69"/>
    <w:rsid w:val="00B95B6F"/>
    <w:rsid w:val="00B978F9"/>
    <w:rsid w:val="00BA33CE"/>
    <w:rsid w:val="00BA3EBD"/>
    <w:rsid w:val="00BA3F98"/>
    <w:rsid w:val="00BA42BC"/>
    <w:rsid w:val="00BA4CAB"/>
    <w:rsid w:val="00BA5E2A"/>
    <w:rsid w:val="00BB03D1"/>
    <w:rsid w:val="00BB0A4E"/>
    <w:rsid w:val="00BB2532"/>
    <w:rsid w:val="00BB2C4C"/>
    <w:rsid w:val="00BB4048"/>
    <w:rsid w:val="00BB5BBC"/>
    <w:rsid w:val="00BB6C7F"/>
    <w:rsid w:val="00BB6D2B"/>
    <w:rsid w:val="00BB7756"/>
    <w:rsid w:val="00BB78EE"/>
    <w:rsid w:val="00BC1D69"/>
    <w:rsid w:val="00BC4C0B"/>
    <w:rsid w:val="00BC60F1"/>
    <w:rsid w:val="00BC6F5C"/>
    <w:rsid w:val="00BC78B2"/>
    <w:rsid w:val="00BD019F"/>
    <w:rsid w:val="00BD0311"/>
    <w:rsid w:val="00BD1FCA"/>
    <w:rsid w:val="00BD2872"/>
    <w:rsid w:val="00BD2C60"/>
    <w:rsid w:val="00BD4DA0"/>
    <w:rsid w:val="00BD64E7"/>
    <w:rsid w:val="00BE7A8C"/>
    <w:rsid w:val="00BF0526"/>
    <w:rsid w:val="00BF20A3"/>
    <w:rsid w:val="00BF226D"/>
    <w:rsid w:val="00BF23A1"/>
    <w:rsid w:val="00BF300C"/>
    <w:rsid w:val="00BF34E2"/>
    <w:rsid w:val="00BF3C3A"/>
    <w:rsid w:val="00BF5142"/>
    <w:rsid w:val="00BF5822"/>
    <w:rsid w:val="00BF5B48"/>
    <w:rsid w:val="00BF7E82"/>
    <w:rsid w:val="00C026C1"/>
    <w:rsid w:val="00C0297D"/>
    <w:rsid w:val="00C0310B"/>
    <w:rsid w:val="00C10E9A"/>
    <w:rsid w:val="00C123E9"/>
    <w:rsid w:val="00C14D30"/>
    <w:rsid w:val="00C169F1"/>
    <w:rsid w:val="00C16D56"/>
    <w:rsid w:val="00C227E6"/>
    <w:rsid w:val="00C24EA6"/>
    <w:rsid w:val="00C26446"/>
    <w:rsid w:val="00C26B65"/>
    <w:rsid w:val="00C303A2"/>
    <w:rsid w:val="00C31B19"/>
    <w:rsid w:val="00C31CC0"/>
    <w:rsid w:val="00C32E81"/>
    <w:rsid w:val="00C33500"/>
    <w:rsid w:val="00C33631"/>
    <w:rsid w:val="00C34A5C"/>
    <w:rsid w:val="00C37BF3"/>
    <w:rsid w:val="00C4069E"/>
    <w:rsid w:val="00C40802"/>
    <w:rsid w:val="00C40A21"/>
    <w:rsid w:val="00C41A91"/>
    <w:rsid w:val="00C4225B"/>
    <w:rsid w:val="00C4275C"/>
    <w:rsid w:val="00C463B0"/>
    <w:rsid w:val="00C466CA"/>
    <w:rsid w:val="00C47B5C"/>
    <w:rsid w:val="00C50E83"/>
    <w:rsid w:val="00C50F6E"/>
    <w:rsid w:val="00C51470"/>
    <w:rsid w:val="00C53423"/>
    <w:rsid w:val="00C5381D"/>
    <w:rsid w:val="00C53CE5"/>
    <w:rsid w:val="00C53F0A"/>
    <w:rsid w:val="00C54461"/>
    <w:rsid w:val="00C5531D"/>
    <w:rsid w:val="00C55A94"/>
    <w:rsid w:val="00C61925"/>
    <w:rsid w:val="00C61BCC"/>
    <w:rsid w:val="00C62196"/>
    <w:rsid w:val="00C62C45"/>
    <w:rsid w:val="00C63DBF"/>
    <w:rsid w:val="00C64F41"/>
    <w:rsid w:val="00C65E1E"/>
    <w:rsid w:val="00C65EEC"/>
    <w:rsid w:val="00C67F94"/>
    <w:rsid w:val="00C706BE"/>
    <w:rsid w:val="00C7764A"/>
    <w:rsid w:val="00C82314"/>
    <w:rsid w:val="00C82D20"/>
    <w:rsid w:val="00C832B5"/>
    <w:rsid w:val="00C83A70"/>
    <w:rsid w:val="00C87F76"/>
    <w:rsid w:val="00C913D0"/>
    <w:rsid w:val="00C92249"/>
    <w:rsid w:val="00C93309"/>
    <w:rsid w:val="00C93321"/>
    <w:rsid w:val="00C93565"/>
    <w:rsid w:val="00C944AB"/>
    <w:rsid w:val="00C950C8"/>
    <w:rsid w:val="00C955EE"/>
    <w:rsid w:val="00C965A5"/>
    <w:rsid w:val="00C97C85"/>
    <w:rsid w:val="00CA1C2D"/>
    <w:rsid w:val="00CA1D24"/>
    <w:rsid w:val="00CA357C"/>
    <w:rsid w:val="00CA3710"/>
    <w:rsid w:val="00CA4FEC"/>
    <w:rsid w:val="00CA6809"/>
    <w:rsid w:val="00CA68ED"/>
    <w:rsid w:val="00CB065F"/>
    <w:rsid w:val="00CB243A"/>
    <w:rsid w:val="00CB3A3A"/>
    <w:rsid w:val="00CB450D"/>
    <w:rsid w:val="00CB5426"/>
    <w:rsid w:val="00CB6715"/>
    <w:rsid w:val="00CB7F3A"/>
    <w:rsid w:val="00CC21B9"/>
    <w:rsid w:val="00CC2ADF"/>
    <w:rsid w:val="00CC4FDF"/>
    <w:rsid w:val="00CC55C9"/>
    <w:rsid w:val="00CC61EF"/>
    <w:rsid w:val="00CC6B4F"/>
    <w:rsid w:val="00CC6BB7"/>
    <w:rsid w:val="00CC7531"/>
    <w:rsid w:val="00CD02A5"/>
    <w:rsid w:val="00CD0BD1"/>
    <w:rsid w:val="00CD22E9"/>
    <w:rsid w:val="00CD2AC1"/>
    <w:rsid w:val="00CD426E"/>
    <w:rsid w:val="00CD4CAF"/>
    <w:rsid w:val="00CD7930"/>
    <w:rsid w:val="00CE0416"/>
    <w:rsid w:val="00CE0911"/>
    <w:rsid w:val="00CE0B62"/>
    <w:rsid w:val="00CE2356"/>
    <w:rsid w:val="00CE3923"/>
    <w:rsid w:val="00CE3E87"/>
    <w:rsid w:val="00CF2536"/>
    <w:rsid w:val="00CF2ABC"/>
    <w:rsid w:val="00CF2BA5"/>
    <w:rsid w:val="00CF3575"/>
    <w:rsid w:val="00CF4747"/>
    <w:rsid w:val="00CF5B64"/>
    <w:rsid w:val="00CF6E00"/>
    <w:rsid w:val="00D004CD"/>
    <w:rsid w:val="00D011F9"/>
    <w:rsid w:val="00D026EF"/>
    <w:rsid w:val="00D0272E"/>
    <w:rsid w:val="00D03833"/>
    <w:rsid w:val="00D040C2"/>
    <w:rsid w:val="00D05A99"/>
    <w:rsid w:val="00D05EE0"/>
    <w:rsid w:val="00D10C6C"/>
    <w:rsid w:val="00D11DA0"/>
    <w:rsid w:val="00D123C8"/>
    <w:rsid w:val="00D148DF"/>
    <w:rsid w:val="00D149FF"/>
    <w:rsid w:val="00D14A02"/>
    <w:rsid w:val="00D15395"/>
    <w:rsid w:val="00D1726F"/>
    <w:rsid w:val="00D1731A"/>
    <w:rsid w:val="00D20205"/>
    <w:rsid w:val="00D20B0B"/>
    <w:rsid w:val="00D215B2"/>
    <w:rsid w:val="00D22B33"/>
    <w:rsid w:val="00D2316A"/>
    <w:rsid w:val="00D23B30"/>
    <w:rsid w:val="00D24471"/>
    <w:rsid w:val="00D275F8"/>
    <w:rsid w:val="00D27952"/>
    <w:rsid w:val="00D30616"/>
    <w:rsid w:val="00D3348F"/>
    <w:rsid w:val="00D3581B"/>
    <w:rsid w:val="00D36743"/>
    <w:rsid w:val="00D36AA8"/>
    <w:rsid w:val="00D41578"/>
    <w:rsid w:val="00D43E0A"/>
    <w:rsid w:val="00D45192"/>
    <w:rsid w:val="00D50968"/>
    <w:rsid w:val="00D51155"/>
    <w:rsid w:val="00D51E11"/>
    <w:rsid w:val="00D52830"/>
    <w:rsid w:val="00D551E7"/>
    <w:rsid w:val="00D55204"/>
    <w:rsid w:val="00D564AC"/>
    <w:rsid w:val="00D6023A"/>
    <w:rsid w:val="00D61826"/>
    <w:rsid w:val="00D628F4"/>
    <w:rsid w:val="00D62C4A"/>
    <w:rsid w:val="00D63280"/>
    <w:rsid w:val="00D647BA"/>
    <w:rsid w:val="00D66020"/>
    <w:rsid w:val="00D66984"/>
    <w:rsid w:val="00D67C2C"/>
    <w:rsid w:val="00D70B53"/>
    <w:rsid w:val="00D70C02"/>
    <w:rsid w:val="00D7303D"/>
    <w:rsid w:val="00D74198"/>
    <w:rsid w:val="00D76EC0"/>
    <w:rsid w:val="00D8019B"/>
    <w:rsid w:val="00D80D13"/>
    <w:rsid w:val="00D83C8F"/>
    <w:rsid w:val="00D84E0F"/>
    <w:rsid w:val="00D8656F"/>
    <w:rsid w:val="00D87257"/>
    <w:rsid w:val="00D969BF"/>
    <w:rsid w:val="00D96D1C"/>
    <w:rsid w:val="00DA0156"/>
    <w:rsid w:val="00DA08D6"/>
    <w:rsid w:val="00DA0ABF"/>
    <w:rsid w:val="00DA60A8"/>
    <w:rsid w:val="00DB0CA9"/>
    <w:rsid w:val="00DB19A1"/>
    <w:rsid w:val="00DB1AC7"/>
    <w:rsid w:val="00DB1BE6"/>
    <w:rsid w:val="00DB29A1"/>
    <w:rsid w:val="00DB312A"/>
    <w:rsid w:val="00DB36BF"/>
    <w:rsid w:val="00DB4168"/>
    <w:rsid w:val="00DC6E41"/>
    <w:rsid w:val="00DC7E5D"/>
    <w:rsid w:val="00DD01C0"/>
    <w:rsid w:val="00DD17FA"/>
    <w:rsid w:val="00DD1E54"/>
    <w:rsid w:val="00DD2BC0"/>
    <w:rsid w:val="00DD2D21"/>
    <w:rsid w:val="00DD3F97"/>
    <w:rsid w:val="00DD471D"/>
    <w:rsid w:val="00DD5EC0"/>
    <w:rsid w:val="00DD6AD1"/>
    <w:rsid w:val="00DD78A3"/>
    <w:rsid w:val="00DD78C6"/>
    <w:rsid w:val="00DE3A28"/>
    <w:rsid w:val="00DE431D"/>
    <w:rsid w:val="00DE45A0"/>
    <w:rsid w:val="00DE7C17"/>
    <w:rsid w:val="00DF0BBD"/>
    <w:rsid w:val="00DF18F2"/>
    <w:rsid w:val="00DF209A"/>
    <w:rsid w:val="00DF6B30"/>
    <w:rsid w:val="00DF6F30"/>
    <w:rsid w:val="00DF7989"/>
    <w:rsid w:val="00E020B2"/>
    <w:rsid w:val="00E0430F"/>
    <w:rsid w:val="00E047AD"/>
    <w:rsid w:val="00E05630"/>
    <w:rsid w:val="00E06152"/>
    <w:rsid w:val="00E07A88"/>
    <w:rsid w:val="00E07BDC"/>
    <w:rsid w:val="00E07BFA"/>
    <w:rsid w:val="00E10CA6"/>
    <w:rsid w:val="00E114D5"/>
    <w:rsid w:val="00E115CE"/>
    <w:rsid w:val="00E12E88"/>
    <w:rsid w:val="00E12FF4"/>
    <w:rsid w:val="00E153D4"/>
    <w:rsid w:val="00E166A0"/>
    <w:rsid w:val="00E17FA3"/>
    <w:rsid w:val="00E2093E"/>
    <w:rsid w:val="00E20FC1"/>
    <w:rsid w:val="00E23977"/>
    <w:rsid w:val="00E23EFE"/>
    <w:rsid w:val="00E24854"/>
    <w:rsid w:val="00E304FA"/>
    <w:rsid w:val="00E30F26"/>
    <w:rsid w:val="00E31B33"/>
    <w:rsid w:val="00E32A92"/>
    <w:rsid w:val="00E32CC0"/>
    <w:rsid w:val="00E336DB"/>
    <w:rsid w:val="00E33905"/>
    <w:rsid w:val="00E34AC8"/>
    <w:rsid w:val="00E35518"/>
    <w:rsid w:val="00E37A7F"/>
    <w:rsid w:val="00E409A2"/>
    <w:rsid w:val="00E43758"/>
    <w:rsid w:val="00E44D50"/>
    <w:rsid w:val="00E4584A"/>
    <w:rsid w:val="00E459A7"/>
    <w:rsid w:val="00E45EBE"/>
    <w:rsid w:val="00E47FAC"/>
    <w:rsid w:val="00E5561C"/>
    <w:rsid w:val="00E5666C"/>
    <w:rsid w:val="00E57DD4"/>
    <w:rsid w:val="00E60506"/>
    <w:rsid w:val="00E6077F"/>
    <w:rsid w:val="00E6368C"/>
    <w:rsid w:val="00E643BD"/>
    <w:rsid w:val="00E7104A"/>
    <w:rsid w:val="00E7139D"/>
    <w:rsid w:val="00E734BD"/>
    <w:rsid w:val="00E7412E"/>
    <w:rsid w:val="00E743C1"/>
    <w:rsid w:val="00E74682"/>
    <w:rsid w:val="00E75809"/>
    <w:rsid w:val="00E759A2"/>
    <w:rsid w:val="00E7644C"/>
    <w:rsid w:val="00E7783C"/>
    <w:rsid w:val="00E81602"/>
    <w:rsid w:val="00E8265A"/>
    <w:rsid w:val="00E839D4"/>
    <w:rsid w:val="00E85634"/>
    <w:rsid w:val="00E87323"/>
    <w:rsid w:val="00E87B2D"/>
    <w:rsid w:val="00E907C4"/>
    <w:rsid w:val="00E93709"/>
    <w:rsid w:val="00E94AE5"/>
    <w:rsid w:val="00E97B0E"/>
    <w:rsid w:val="00EA04AC"/>
    <w:rsid w:val="00EA1672"/>
    <w:rsid w:val="00EA1C25"/>
    <w:rsid w:val="00EA2C6C"/>
    <w:rsid w:val="00EA4F66"/>
    <w:rsid w:val="00EA5C35"/>
    <w:rsid w:val="00EA6CF6"/>
    <w:rsid w:val="00EA7A56"/>
    <w:rsid w:val="00EB0659"/>
    <w:rsid w:val="00EB1B3D"/>
    <w:rsid w:val="00EB357F"/>
    <w:rsid w:val="00EB6671"/>
    <w:rsid w:val="00EB6F36"/>
    <w:rsid w:val="00EC0C5A"/>
    <w:rsid w:val="00EC5D8B"/>
    <w:rsid w:val="00ED0DEE"/>
    <w:rsid w:val="00ED205C"/>
    <w:rsid w:val="00ED27D1"/>
    <w:rsid w:val="00ED45C3"/>
    <w:rsid w:val="00ED4AB1"/>
    <w:rsid w:val="00ED75FB"/>
    <w:rsid w:val="00ED77FB"/>
    <w:rsid w:val="00ED79F7"/>
    <w:rsid w:val="00EE47B2"/>
    <w:rsid w:val="00EE4E10"/>
    <w:rsid w:val="00EE53D5"/>
    <w:rsid w:val="00EE7106"/>
    <w:rsid w:val="00EF005B"/>
    <w:rsid w:val="00EF0A39"/>
    <w:rsid w:val="00EF27C3"/>
    <w:rsid w:val="00EF2BD7"/>
    <w:rsid w:val="00F0059A"/>
    <w:rsid w:val="00F01409"/>
    <w:rsid w:val="00F04615"/>
    <w:rsid w:val="00F055B6"/>
    <w:rsid w:val="00F0572C"/>
    <w:rsid w:val="00F0738A"/>
    <w:rsid w:val="00F10F84"/>
    <w:rsid w:val="00F1195E"/>
    <w:rsid w:val="00F11C9B"/>
    <w:rsid w:val="00F134ED"/>
    <w:rsid w:val="00F1505D"/>
    <w:rsid w:val="00F15735"/>
    <w:rsid w:val="00F171FA"/>
    <w:rsid w:val="00F20312"/>
    <w:rsid w:val="00F21020"/>
    <w:rsid w:val="00F218B0"/>
    <w:rsid w:val="00F235A6"/>
    <w:rsid w:val="00F26D2F"/>
    <w:rsid w:val="00F27C19"/>
    <w:rsid w:val="00F30C8A"/>
    <w:rsid w:val="00F330CC"/>
    <w:rsid w:val="00F336EC"/>
    <w:rsid w:val="00F35793"/>
    <w:rsid w:val="00F36AA1"/>
    <w:rsid w:val="00F3723E"/>
    <w:rsid w:val="00F41448"/>
    <w:rsid w:val="00F417FD"/>
    <w:rsid w:val="00F4185B"/>
    <w:rsid w:val="00F42472"/>
    <w:rsid w:val="00F457B7"/>
    <w:rsid w:val="00F45D28"/>
    <w:rsid w:val="00F46D3B"/>
    <w:rsid w:val="00F5025D"/>
    <w:rsid w:val="00F512BD"/>
    <w:rsid w:val="00F5237A"/>
    <w:rsid w:val="00F5325D"/>
    <w:rsid w:val="00F53516"/>
    <w:rsid w:val="00F53C80"/>
    <w:rsid w:val="00F540DB"/>
    <w:rsid w:val="00F541B7"/>
    <w:rsid w:val="00F54AC9"/>
    <w:rsid w:val="00F552F8"/>
    <w:rsid w:val="00F55FDD"/>
    <w:rsid w:val="00F63712"/>
    <w:rsid w:val="00F654FD"/>
    <w:rsid w:val="00F6751C"/>
    <w:rsid w:val="00F67639"/>
    <w:rsid w:val="00F67721"/>
    <w:rsid w:val="00F715D6"/>
    <w:rsid w:val="00F7202B"/>
    <w:rsid w:val="00F72E51"/>
    <w:rsid w:val="00F73ECF"/>
    <w:rsid w:val="00F74438"/>
    <w:rsid w:val="00F74739"/>
    <w:rsid w:val="00F7628B"/>
    <w:rsid w:val="00F77114"/>
    <w:rsid w:val="00F801FF"/>
    <w:rsid w:val="00F80F51"/>
    <w:rsid w:val="00F8115C"/>
    <w:rsid w:val="00F81D01"/>
    <w:rsid w:val="00F81E31"/>
    <w:rsid w:val="00F82097"/>
    <w:rsid w:val="00F82962"/>
    <w:rsid w:val="00F82EB3"/>
    <w:rsid w:val="00F82F3D"/>
    <w:rsid w:val="00F849FB"/>
    <w:rsid w:val="00F84D00"/>
    <w:rsid w:val="00F84D0C"/>
    <w:rsid w:val="00F85828"/>
    <w:rsid w:val="00F85A84"/>
    <w:rsid w:val="00F864BA"/>
    <w:rsid w:val="00F875BD"/>
    <w:rsid w:val="00F91E74"/>
    <w:rsid w:val="00F92BD3"/>
    <w:rsid w:val="00F9407D"/>
    <w:rsid w:val="00F954C7"/>
    <w:rsid w:val="00F96E74"/>
    <w:rsid w:val="00F97844"/>
    <w:rsid w:val="00F97C6F"/>
    <w:rsid w:val="00FA03EF"/>
    <w:rsid w:val="00FA046B"/>
    <w:rsid w:val="00FA1530"/>
    <w:rsid w:val="00FA2B3B"/>
    <w:rsid w:val="00FA2C50"/>
    <w:rsid w:val="00FA3461"/>
    <w:rsid w:val="00FA4701"/>
    <w:rsid w:val="00FA59B2"/>
    <w:rsid w:val="00FA734B"/>
    <w:rsid w:val="00FA737B"/>
    <w:rsid w:val="00FB00AD"/>
    <w:rsid w:val="00FB0102"/>
    <w:rsid w:val="00FB010E"/>
    <w:rsid w:val="00FB06BA"/>
    <w:rsid w:val="00FB1514"/>
    <w:rsid w:val="00FB2955"/>
    <w:rsid w:val="00FB29C2"/>
    <w:rsid w:val="00FB5B62"/>
    <w:rsid w:val="00FB693E"/>
    <w:rsid w:val="00FB7A95"/>
    <w:rsid w:val="00FC0C29"/>
    <w:rsid w:val="00FC2D55"/>
    <w:rsid w:val="00FC6882"/>
    <w:rsid w:val="00FD143E"/>
    <w:rsid w:val="00FD14CD"/>
    <w:rsid w:val="00FD1E19"/>
    <w:rsid w:val="00FD1E9D"/>
    <w:rsid w:val="00FD2266"/>
    <w:rsid w:val="00FD2684"/>
    <w:rsid w:val="00FD2A6F"/>
    <w:rsid w:val="00FD3D4F"/>
    <w:rsid w:val="00FD3D98"/>
    <w:rsid w:val="00FD69C9"/>
    <w:rsid w:val="00FF0C0B"/>
    <w:rsid w:val="00FF139B"/>
    <w:rsid w:val="00FF1DDE"/>
    <w:rsid w:val="00FF56CD"/>
    <w:rsid w:val="00FF709B"/>
    <w:rsid w:val="00FF75F3"/>
    <w:rsid w:val="00FF75F9"/>
    <w:rsid w:val="00FF7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5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03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F03E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3D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F03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F03E5"/>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8B406B"/>
    <w:rPr>
      <w:sz w:val="16"/>
      <w:szCs w:val="16"/>
    </w:rPr>
  </w:style>
  <w:style w:type="paragraph" w:styleId="CommentText">
    <w:name w:val="annotation text"/>
    <w:basedOn w:val="Normal"/>
    <w:link w:val="CommentTextChar"/>
    <w:uiPriority w:val="99"/>
    <w:unhideWhenUsed/>
    <w:rsid w:val="008B406B"/>
    <w:pPr>
      <w:spacing w:line="240" w:lineRule="auto"/>
    </w:pPr>
    <w:rPr>
      <w:sz w:val="20"/>
      <w:szCs w:val="20"/>
    </w:rPr>
  </w:style>
  <w:style w:type="character" w:customStyle="1" w:styleId="CommentTextChar">
    <w:name w:val="Comment Text Char"/>
    <w:basedOn w:val="DefaultParagraphFont"/>
    <w:link w:val="CommentText"/>
    <w:uiPriority w:val="99"/>
    <w:rsid w:val="008B406B"/>
    <w:rPr>
      <w:sz w:val="20"/>
      <w:szCs w:val="20"/>
    </w:rPr>
  </w:style>
  <w:style w:type="paragraph" w:styleId="CommentSubject">
    <w:name w:val="annotation subject"/>
    <w:basedOn w:val="CommentText"/>
    <w:next w:val="CommentText"/>
    <w:link w:val="CommentSubjectChar"/>
    <w:uiPriority w:val="99"/>
    <w:semiHidden/>
    <w:unhideWhenUsed/>
    <w:rsid w:val="008B406B"/>
    <w:rPr>
      <w:b/>
      <w:bCs/>
    </w:rPr>
  </w:style>
  <w:style w:type="character" w:customStyle="1" w:styleId="CommentSubjectChar">
    <w:name w:val="Comment Subject Char"/>
    <w:basedOn w:val="CommentTextChar"/>
    <w:link w:val="CommentSubject"/>
    <w:uiPriority w:val="99"/>
    <w:semiHidden/>
    <w:rsid w:val="008B406B"/>
    <w:rPr>
      <w:b/>
      <w:bCs/>
      <w:sz w:val="20"/>
      <w:szCs w:val="20"/>
    </w:rPr>
  </w:style>
  <w:style w:type="paragraph" w:styleId="BalloonText">
    <w:name w:val="Balloon Text"/>
    <w:basedOn w:val="Normal"/>
    <w:link w:val="BalloonTextChar"/>
    <w:uiPriority w:val="99"/>
    <w:semiHidden/>
    <w:unhideWhenUsed/>
    <w:rsid w:val="008B4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06B"/>
    <w:rPr>
      <w:rFonts w:ascii="Tahoma" w:hAnsi="Tahoma" w:cs="Tahoma"/>
      <w:sz w:val="16"/>
      <w:szCs w:val="16"/>
    </w:rPr>
  </w:style>
  <w:style w:type="paragraph" w:styleId="Header">
    <w:name w:val="header"/>
    <w:basedOn w:val="Normal"/>
    <w:link w:val="HeaderChar"/>
    <w:uiPriority w:val="99"/>
    <w:unhideWhenUsed/>
    <w:rsid w:val="00170F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FCF"/>
  </w:style>
  <w:style w:type="paragraph" w:styleId="Footer">
    <w:name w:val="footer"/>
    <w:basedOn w:val="Normal"/>
    <w:link w:val="FooterChar"/>
    <w:uiPriority w:val="99"/>
    <w:unhideWhenUsed/>
    <w:rsid w:val="00170F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FCF"/>
  </w:style>
  <w:style w:type="paragraph" w:styleId="Revision">
    <w:name w:val="Revision"/>
    <w:hidden/>
    <w:uiPriority w:val="99"/>
    <w:semiHidden/>
    <w:rsid w:val="00482590"/>
    <w:pPr>
      <w:spacing w:after="0" w:line="240" w:lineRule="auto"/>
    </w:pPr>
  </w:style>
  <w:style w:type="character" w:styleId="Hyperlink">
    <w:name w:val="Hyperlink"/>
    <w:basedOn w:val="DefaultParagraphFont"/>
    <w:uiPriority w:val="99"/>
    <w:semiHidden/>
    <w:unhideWhenUsed/>
    <w:rsid w:val="0052110D"/>
    <w:rPr>
      <w:color w:val="0000FF"/>
      <w:u w:val="single"/>
    </w:rPr>
  </w:style>
  <w:style w:type="paragraph" w:styleId="NoSpacing">
    <w:name w:val="No Spacing"/>
    <w:uiPriority w:val="1"/>
    <w:qFormat/>
    <w:rsid w:val="000F6105"/>
    <w:pPr>
      <w:spacing w:after="0" w:line="240" w:lineRule="auto"/>
    </w:pPr>
  </w:style>
  <w:style w:type="character" w:styleId="FollowedHyperlink">
    <w:name w:val="FollowedHyperlink"/>
    <w:basedOn w:val="DefaultParagraphFont"/>
    <w:uiPriority w:val="99"/>
    <w:semiHidden/>
    <w:unhideWhenUsed/>
    <w:rsid w:val="00BB5BBC"/>
    <w:rPr>
      <w:color w:val="800080" w:themeColor="followedHyperlink"/>
      <w:u w:val="single"/>
    </w:rPr>
  </w:style>
  <w:style w:type="paragraph" w:styleId="Bibliography">
    <w:name w:val="Bibliography"/>
    <w:basedOn w:val="Normal"/>
    <w:next w:val="Normal"/>
    <w:uiPriority w:val="37"/>
    <w:unhideWhenUsed/>
    <w:rsid w:val="00DB1AC7"/>
    <w:pPr>
      <w:tabs>
        <w:tab w:val="left" w:pos="264"/>
      </w:tabs>
      <w:spacing w:after="240" w:line="240" w:lineRule="auto"/>
      <w:ind w:left="264" w:hanging="264"/>
    </w:pPr>
  </w:style>
  <w:style w:type="paragraph" w:styleId="ListParagraph">
    <w:name w:val="List Paragraph"/>
    <w:basedOn w:val="Normal"/>
    <w:uiPriority w:val="34"/>
    <w:qFormat/>
    <w:rsid w:val="00A80C07"/>
    <w:pPr>
      <w:ind w:left="720"/>
      <w:contextualSpacing/>
    </w:pPr>
  </w:style>
  <w:style w:type="paragraph" w:customStyle="1" w:styleId="desc">
    <w:name w:val="desc"/>
    <w:basedOn w:val="Normal"/>
    <w:rsid w:val="006224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6224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5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03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F03E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3D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F03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F03E5"/>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8B406B"/>
    <w:rPr>
      <w:sz w:val="16"/>
      <w:szCs w:val="16"/>
    </w:rPr>
  </w:style>
  <w:style w:type="paragraph" w:styleId="CommentText">
    <w:name w:val="annotation text"/>
    <w:basedOn w:val="Normal"/>
    <w:link w:val="CommentTextChar"/>
    <w:uiPriority w:val="99"/>
    <w:unhideWhenUsed/>
    <w:rsid w:val="008B406B"/>
    <w:pPr>
      <w:spacing w:line="240" w:lineRule="auto"/>
    </w:pPr>
    <w:rPr>
      <w:sz w:val="20"/>
      <w:szCs w:val="20"/>
    </w:rPr>
  </w:style>
  <w:style w:type="character" w:customStyle="1" w:styleId="CommentTextChar">
    <w:name w:val="Comment Text Char"/>
    <w:basedOn w:val="DefaultParagraphFont"/>
    <w:link w:val="CommentText"/>
    <w:uiPriority w:val="99"/>
    <w:rsid w:val="008B406B"/>
    <w:rPr>
      <w:sz w:val="20"/>
      <w:szCs w:val="20"/>
    </w:rPr>
  </w:style>
  <w:style w:type="paragraph" w:styleId="CommentSubject">
    <w:name w:val="annotation subject"/>
    <w:basedOn w:val="CommentText"/>
    <w:next w:val="CommentText"/>
    <w:link w:val="CommentSubjectChar"/>
    <w:uiPriority w:val="99"/>
    <w:semiHidden/>
    <w:unhideWhenUsed/>
    <w:rsid w:val="008B406B"/>
    <w:rPr>
      <w:b/>
      <w:bCs/>
    </w:rPr>
  </w:style>
  <w:style w:type="character" w:customStyle="1" w:styleId="CommentSubjectChar">
    <w:name w:val="Comment Subject Char"/>
    <w:basedOn w:val="CommentTextChar"/>
    <w:link w:val="CommentSubject"/>
    <w:uiPriority w:val="99"/>
    <w:semiHidden/>
    <w:rsid w:val="008B406B"/>
    <w:rPr>
      <w:b/>
      <w:bCs/>
      <w:sz w:val="20"/>
      <w:szCs w:val="20"/>
    </w:rPr>
  </w:style>
  <w:style w:type="paragraph" w:styleId="BalloonText">
    <w:name w:val="Balloon Text"/>
    <w:basedOn w:val="Normal"/>
    <w:link w:val="BalloonTextChar"/>
    <w:uiPriority w:val="99"/>
    <w:semiHidden/>
    <w:unhideWhenUsed/>
    <w:rsid w:val="008B4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06B"/>
    <w:rPr>
      <w:rFonts w:ascii="Tahoma" w:hAnsi="Tahoma" w:cs="Tahoma"/>
      <w:sz w:val="16"/>
      <w:szCs w:val="16"/>
    </w:rPr>
  </w:style>
  <w:style w:type="paragraph" w:styleId="Header">
    <w:name w:val="header"/>
    <w:basedOn w:val="Normal"/>
    <w:link w:val="HeaderChar"/>
    <w:uiPriority w:val="99"/>
    <w:unhideWhenUsed/>
    <w:rsid w:val="00170F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FCF"/>
  </w:style>
  <w:style w:type="paragraph" w:styleId="Footer">
    <w:name w:val="footer"/>
    <w:basedOn w:val="Normal"/>
    <w:link w:val="FooterChar"/>
    <w:uiPriority w:val="99"/>
    <w:unhideWhenUsed/>
    <w:rsid w:val="00170F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FCF"/>
  </w:style>
  <w:style w:type="paragraph" w:styleId="Revision">
    <w:name w:val="Revision"/>
    <w:hidden/>
    <w:uiPriority w:val="99"/>
    <w:semiHidden/>
    <w:rsid w:val="00482590"/>
    <w:pPr>
      <w:spacing w:after="0" w:line="240" w:lineRule="auto"/>
    </w:pPr>
  </w:style>
  <w:style w:type="character" w:styleId="Hyperlink">
    <w:name w:val="Hyperlink"/>
    <w:basedOn w:val="DefaultParagraphFont"/>
    <w:uiPriority w:val="99"/>
    <w:semiHidden/>
    <w:unhideWhenUsed/>
    <w:rsid w:val="0052110D"/>
    <w:rPr>
      <w:color w:val="0000FF"/>
      <w:u w:val="single"/>
    </w:rPr>
  </w:style>
  <w:style w:type="paragraph" w:styleId="NoSpacing">
    <w:name w:val="No Spacing"/>
    <w:uiPriority w:val="1"/>
    <w:qFormat/>
    <w:rsid w:val="000F6105"/>
    <w:pPr>
      <w:spacing w:after="0" w:line="240" w:lineRule="auto"/>
    </w:pPr>
  </w:style>
  <w:style w:type="character" w:styleId="FollowedHyperlink">
    <w:name w:val="FollowedHyperlink"/>
    <w:basedOn w:val="DefaultParagraphFont"/>
    <w:uiPriority w:val="99"/>
    <w:semiHidden/>
    <w:unhideWhenUsed/>
    <w:rsid w:val="00BB5BBC"/>
    <w:rPr>
      <w:color w:val="800080" w:themeColor="followedHyperlink"/>
      <w:u w:val="single"/>
    </w:rPr>
  </w:style>
  <w:style w:type="paragraph" w:styleId="Bibliography">
    <w:name w:val="Bibliography"/>
    <w:basedOn w:val="Normal"/>
    <w:next w:val="Normal"/>
    <w:uiPriority w:val="37"/>
    <w:unhideWhenUsed/>
    <w:rsid w:val="00DB1AC7"/>
    <w:pPr>
      <w:tabs>
        <w:tab w:val="left" w:pos="264"/>
      </w:tabs>
      <w:spacing w:after="240" w:line="240" w:lineRule="auto"/>
      <w:ind w:left="264" w:hanging="264"/>
    </w:pPr>
  </w:style>
  <w:style w:type="paragraph" w:styleId="ListParagraph">
    <w:name w:val="List Paragraph"/>
    <w:basedOn w:val="Normal"/>
    <w:uiPriority w:val="34"/>
    <w:qFormat/>
    <w:rsid w:val="00A80C07"/>
    <w:pPr>
      <w:ind w:left="720"/>
      <w:contextualSpacing/>
    </w:pPr>
  </w:style>
  <w:style w:type="paragraph" w:customStyle="1" w:styleId="desc">
    <w:name w:val="desc"/>
    <w:basedOn w:val="Normal"/>
    <w:rsid w:val="006224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622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6857">
      <w:bodyDiv w:val="1"/>
      <w:marLeft w:val="0"/>
      <w:marRight w:val="0"/>
      <w:marTop w:val="0"/>
      <w:marBottom w:val="0"/>
      <w:divBdr>
        <w:top w:val="none" w:sz="0" w:space="0" w:color="auto"/>
        <w:left w:val="none" w:sz="0" w:space="0" w:color="auto"/>
        <w:bottom w:val="none" w:sz="0" w:space="0" w:color="auto"/>
        <w:right w:val="none" w:sz="0" w:space="0" w:color="auto"/>
      </w:divBdr>
      <w:divsChild>
        <w:div w:id="1980568407">
          <w:marLeft w:val="0"/>
          <w:marRight w:val="0"/>
          <w:marTop w:val="0"/>
          <w:marBottom w:val="0"/>
          <w:divBdr>
            <w:top w:val="none" w:sz="0" w:space="0" w:color="auto"/>
            <w:left w:val="none" w:sz="0" w:space="0" w:color="auto"/>
            <w:bottom w:val="none" w:sz="0" w:space="0" w:color="auto"/>
            <w:right w:val="none" w:sz="0" w:space="0" w:color="auto"/>
          </w:divBdr>
          <w:divsChild>
            <w:div w:id="393236258">
              <w:marLeft w:val="0"/>
              <w:marRight w:val="0"/>
              <w:marTop w:val="0"/>
              <w:marBottom w:val="0"/>
              <w:divBdr>
                <w:top w:val="none" w:sz="0" w:space="0" w:color="auto"/>
                <w:left w:val="none" w:sz="0" w:space="0" w:color="auto"/>
                <w:bottom w:val="none" w:sz="0" w:space="0" w:color="auto"/>
                <w:right w:val="none" w:sz="0" w:space="0" w:color="auto"/>
              </w:divBdr>
              <w:divsChild>
                <w:div w:id="1495293575">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37046664">
      <w:bodyDiv w:val="1"/>
      <w:marLeft w:val="0"/>
      <w:marRight w:val="0"/>
      <w:marTop w:val="0"/>
      <w:marBottom w:val="0"/>
      <w:divBdr>
        <w:top w:val="none" w:sz="0" w:space="0" w:color="auto"/>
        <w:left w:val="none" w:sz="0" w:space="0" w:color="auto"/>
        <w:bottom w:val="none" w:sz="0" w:space="0" w:color="auto"/>
        <w:right w:val="none" w:sz="0" w:space="0" w:color="auto"/>
      </w:divBdr>
      <w:divsChild>
        <w:div w:id="824012628">
          <w:marLeft w:val="0"/>
          <w:marRight w:val="0"/>
          <w:marTop w:val="0"/>
          <w:marBottom w:val="0"/>
          <w:divBdr>
            <w:top w:val="none" w:sz="0" w:space="0" w:color="auto"/>
            <w:left w:val="none" w:sz="0" w:space="0" w:color="auto"/>
            <w:bottom w:val="none" w:sz="0" w:space="0" w:color="auto"/>
            <w:right w:val="none" w:sz="0" w:space="0" w:color="auto"/>
          </w:divBdr>
          <w:divsChild>
            <w:div w:id="1887569194">
              <w:marLeft w:val="0"/>
              <w:marRight w:val="0"/>
              <w:marTop w:val="0"/>
              <w:marBottom w:val="0"/>
              <w:divBdr>
                <w:top w:val="none" w:sz="0" w:space="0" w:color="auto"/>
                <w:left w:val="none" w:sz="0" w:space="0" w:color="auto"/>
                <w:bottom w:val="none" w:sz="0" w:space="0" w:color="auto"/>
                <w:right w:val="none" w:sz="0" w:space="0" w:color="auto"/>
              </w:divBdr>
              <w:divsChild>
                <w:div w:id="165860527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2843981">
      <w:bodyDiv w:val="1"/>
      <w:marLeft w:val="0"/>
      <w:marRight w:val="0"/>
      <w:marTop w:val="0"/>
      <w:marBottom w:val="0"/>
      <w:divBdr>
        <w:top w:val="none" w:sz="0" w:space="0" w:color="auto"/>
        <w:left w:val="none" w:sz="0" w:space="0" w:color="auto"/>
        <w:bottom w:val="none" w:sz="0" w:space="0" w:color="auto"/>
        <w:right w:val="none" w:sz="0" w:space="0" w:color="auto"/>
      </w:divBdr>
      <w:divsChild>
        <w:div w:id="1322461213">
          <w:marLeft w:val="0"/>
          <w:marRight w:val="0"/>
          <w:marTop w:val="0"/>
          <w:marBottom w:val="0"/>
          <w:divBdr>
            <w:top w:val="none" w:sz="0" w:space="0" w:color="auto"/>
            <w:left w:val="none" w:sz="0" w:space="0" w:color="auto"/>
            <w:bottom w:val="none" w:sz="0" w:space="0" w:color="auto"/>
            <w:right w:val="none" w:sz="0" w:space="0" w:color="auto"/>
          </w:divBdr>
          <w:divsChild>
            <w:div w:id="1761097524">
              <w:marLeft w:val="0"/>
              <w:marRight w:val="0"/>
              <w:marTop w:val="0"/>
              <w:marBottom w:val="0"/>
              <w:divBdr>
                <w:top w:val="none" w:sz="0" w:space="0" w:color="auto"/>
                <w:left w:val="none" w:sz="0" w:space="0" w:color="auto"/>
                <w:bottom w:val="none" w:sz="0" w:space="0" w:color="auto"/>
                <w:right w:val="none" w:sz="0" w:space="0" w:color="auto"/>
              </w:divBdr>
              <w:divsChild>
                <w:div w:id="42981751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2202386">
      <w:bodyDiv w:val="1"/>
      <w:marLeft w:val="0"/>
      <w:marRight w:val="0"/>
      <w:marTop w:val="0"/>
      <w:marBottom w:val="0"/>
      <w:divBdr>
        <w:top w:val="none" w:sz="0" w:space="0" w:color="auto"/>
        <w:left w:val="none" w:sz="0" w:space="0" w:color="auto"/>
        <w:bottom w:val="none" w:sz="0" w:space="0" w:color="auto"/>
        <w:right w:val="none" w:sz="0" w:space="0" w:color="auto"/>
      </w:divBdr>
    </w:div>
    <w:div w:id="255478178">
      <w:bodyDiv w:val="1"/>
      <w:marLeft w:val="0"/>
      <w:marRight w:val="0"/>
      <w:marTop w:val="0"/>
      <w:marBottom w:val="0"/>
      <w:divBdr>
        <w:top w:val="none" w:sz="0" w:space="0" w:color="auto"/>
        <w:left w:val="none" w:sz="0" w:space="0" w:color="auto"/>
        <w:bottom w:val="none" w:sz="0" w:space="0" w:color="auto"/>
        <w:right w:val="none" w:sz="0" w:space="0" w:color="auto"/>
      </w:divBdr>
      <w:divsChild>
        <w:div w:id="973368314">
          <w:marLeft w:val="0"/>
          <w:marRight w:val="0"/>
          <w:marTop w:val="0"/>
          <w:marBottom w:val="0"/>
          <w:divBdr>
            <w:top w:val="none" w:sz="0" w:space="0" w:color="auto"/>
            <w:left w:val="none" w:sz="0" w:space="0" w:color="auto"/>
            <w:bottom w:val="none" w:sz="0" w:space="0" w:color="auto"/>
            <w:right w:val="none" w:sz="0" w:space="0" w:color="auto"/>
          </w:divBdr>
          <w:divsChild>
            <w:div w:id="1807383145">
              <w:marLeft w:val="0"/>
              <w:marRight w:val="0"/>
              <w:marTop w:val="0"/>
              <w:marBottom w:val="0"/>
              <w:divBdr>
                <w:top w:val="none" w:sz="0" w:space="0" w:color="auto"/>
                <w:left w:val="none" w:sz="0" w:space="0" w:color="auto"/>
                <w:bottom w:val="none" w:sz="0" w:space="0" w:color="auto"/>
                <w:right w:val="none" w:sz="0" w:space="0" w:color="auto"/>
              </w:divBdr>
              <w:divsChild>
                <w:div w:id="189885578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82880732">
      <w:bodyDiv w:val="1"/>
      <w:marLeft w:val="0"/>
      <w:marRight w:val="0"/>
      <w:marTop w:val="0"/>
      <w:marBottom w:val="0"/>
      <w:divBdr>
        <w:top w:val="none" w:sz="0" w:space="0" w:color="auto"/>
        <w:left w:val="none" w:sz="0" w:space="0" w:color="auto"/>
        <w:bottom w:val="none" w:sz="0" w:space="0" w:color="auto"/>
        <w:right w:val="none" w:sz="0" w:space="0" w:color="auto"/>
      </w:divBdr>
      <w:divsChild>
        <w:div w:id="142043020">
          <w:marLeft w:val="0"/>
          <w:marRight w:val="0"/>
          <w:marTop w:val="0"/>
          <w:marBottom w:val="0"/>
          <w:divBdr>
            <w:top w:val="none" w:sz="0" w:space="0" w:color="auto"/>
            <w:left w:val="none" w:sz="0" w:space="0" w:color="auto"/>
            <w:bottom w:val="none" w:sz="0" w:space="0" w:color="auto"/>
            <w:right w:val="none" w:sz="0" w:space="0" w:color="auto"/>
          </w:divBdr>
          <w:divsChild>
            <w:div w:id="1955556737">
              <w:marLeft w:val="0"/>
              <w:marRight w:val="0"/>
              <w:marTop w:val="0"/>
              <w:marBottom w:val="0"/>
              <w:divBdr>
                <w:top w:val="none" w:sz="0" w:space="0" w:color="auto"/>
                <w:left w:val="none" w:sz="0" w:space="0" w:color="auto"/>
                <w:bottom w:val="none" w:sz="0" w:space="0" w:color="auto"/>
                <w:right w:val="none" w:sz="0" w:space="0" w:color="auto"/>
              </w:divBdr>
              <w:divsChild>
                <w:div w:id="201564488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87443168">
      <w:bodyDiv w:val="1"/>
      <w:marLeft w:val="0"/>
      <w:marRight w:val="0"/>
      <w:marTop w:val="0"/>
      <w:marBottom w:val="0"/>
      <w:divBdr>
        <w:top w:val="none" w:sz="0" w:space="0" w:color="auto"/>
        <w:left w:val="none" w:sz="0" w:space="0" w:color="auto"/>
        <w:bottom w:val="none" w:sz="0" w:space="0" w:color="auto"/>
        <w:right w:val="none" w:sz="0" w:space="0" w:color="auto"/>
      </w:divBdr>
      <w:divsChild>
        <w:div w:id="913314544">
          <w:marLeft w:val="0"/>
          <w:marRight w:val="0"/>
          <w:marTop w:val="0"/>
          <w:marBottom w:val="0"/>
          <w:divBdr>
            <w:top w:val="none" w:sz="0" w:space="0" w:color="auto"/>
            <w:left w:val="none" w:sz="0" w:space="0" w:color="auto"/>
            <w:bottom w:val="none" w:sz="0" w:space="0" w:color="auto"/>
            <w:right w:val="none" w:sz="0" w:space="0" w:color="auto"/>
          </w:divBdr>
          <w:divsChild>
            <w:div w:id="1024132808">
              <w:marLeft w:val="0"/>
              <w:marRight w:val="0"/>
              <w:marTop w:val="0"/>
              <w:marBottom w:val="0"/>
              <w:divBdr>
                <w:top w:val="none" w:sz="0" w:space="0" w:color="auto"/>
                <w:left w:val="none" w:sz="0" w:space="0" w:color="auto"/>
                <w:bottom w:val="none" w:sz="0" w:space="0" w:color="auto"/>
                <w:right w:val="none" w:sz="0" w:space="0" w:color="auto"/>
              </w:divBdr>
              <w:divsChild>
                <w:div w:id="146558745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336923936">
      <w:bodyDiv w:val="1"/>
      <w:marLeft w:val="0"/>
      <w:marRight w:val="0"/>
      <w:marTop w:val="0"/>
      <w:marBottom w:val="0"/>
      <w:divBdr>
        <w:top w:val="none" w:sz="0" w:space="0" w:color="auto"/>
        <w:left w:val="none" w:sz="0" w:space="0" w:color="auto"/>
        <w:bottom w:val="none" w:sz="0" w:space="0" w:color="auto"/>
        <w:right w:val="none" w:sz="0" w:space="0" w:color="auto"/>
      </w:divBdr>
    </w:div>
    <w:div w:id="356734450">
      <w:bodyDiv w:val="1"/>
      <w:marLeft w:val="0"/>
      <w:marRight w:val="0"/>
      <w:marTop w:val="0"/>
      <w:marBottom w:val="0"/>
      <w:divBdr>
        <w:top w:val="none" w:sz="0" w:space="0" w:color="auto"/>
        <w:left w:val="none" w:sz="0" w:space="0" w:color="auto"/>
        <w:bottom w:val="none" w:sz="0" w:space="0" w:color="auto"/>
        <w:right w:val="none" w:sz="0" w:space="0" w:color="auto"/>
      </w:divBdr>
      <w:divsChild>
        <w:div w:id="812016844">
          <w:marLeft w:val="0"/>
          <w:marRight w:val="0"/>
          <w:marTop w:val="0"/>
          <w:marBottom w:val="0"/>
          <w:divBdr>
            <w:top w:val="none" w:sz="0" w:space="0" w:color="auto"/>
            <w:left w:val="none" w:sz="0" w:space="0" w:color="auto"/>
            <w:bottom w:val="none" w:sz="0" w:space="0" w:color="auto"/>
            <w:right w:val="none" w:sz="0" w:space="0" w:color="auto"/>
          </w:divBdr>
          <w:divsChild>
            <w:div w:id="1745640432">
              <w:marLeft w:val="0"/>
              <w:marRight w:val="0"/>
              <w:marTop w:val="0"/>
              <w:marBottom w:val="0"/>
              <w:divBdr>
                <w:top w:val="none" w:sz="0" w:space="0" w:color="auto"/>
                <w:left w:val="none" w:sz="0" w:space="0" w:color="auto"/>
                <w:bottom w:val="none" w:sz="0" w:space="0" w:color="auto"/>
                <w:right w:val="none" w:sz="0" w:space="0" w:color="auto"/>
              </w:divBdr>
              <w:divsChild>
                <w:div w:id="1186216957">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375395540">
      <w:bodyDiv w:val="1"/>
      <w:marLeft w:val="0"/>
      <w:marRight w:val="0"/>
      <w:marTop w:val="0"/>
      <w:marBottom w:val="0"/>
      <w:divBdr>
        <w:top w:val="none" w:sz="0" w:space="0" w:color="auto"/>
        <w:left w:val="none" w:sz="0" w:space="0" w:color="auto"/>
        <w:bottom w:val="none" w:sz="0" w:space="0" w:color="auto"/>
        <w:right w:val="none" w:sz="0" w:space="0" w:color="auto"/>
      </w:divBdr>
      <w:divsChild>
        <w:div w:id="2146971845">
          <w:marLeft w:val="0"/>
          <w:marRight w:val="0"/>
          <w:marTop w:val="0"/>
          <w:marBottom w:val="0"/>
          <w:divBdr>
            <w:top w:val="none" w:sz="0" w:space="0" w:color="auto"/>
            <w:left w:val="none" w:sz="0" w:space="0" w:color="auto"/>
            <w:bottom w:val="none" w:sz="0" w:space="0" w:color="auto"/>
            <w:right w:val="none" w:sz="0" w:space="0" w:color="auto"/>
          </w:divBdr>
          <w:divsChild>
            <w:div w:id="1710648808">
              <w:marLeft w:val="0"/>
              <w:marRight w:val="0"/>
              <w:marTop w:val="0"/>
              <w:marBottom w:val="0"/>
              <w:divBdr>
                <w:top w:val="none" w:sz="0" w:space="0" w:color="auto"/>
                <w:left w:val="none" w:sz="0" w:space="0" w:color="auto"/>
                <w:bottom w:val="none" w:sz="0" w:space="0" w:color="auto"/>
                <w:right w:val="none" w:sz="0" w:space="0" w:color="auto"/>
              </w:divBdr>
              <w:divsChild>
                <w:div w:id="1629165055">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382364315">
      <w:bodyDiv w:val="1"/>
      <w:marLeft w:val="0"/>
      <w:marRight w:val="0"/>
      <w:marTop w:val="0"/>
      <w:marBottom w:val="0"/>
      <w:divBdr>
        <w:top w:val="none" w:sz="0" w:space="0" w:color="auto"/>
        <w:left w:val="none" w:sz="0" w:space="0" w:color="auto"/>
        <w:bottom w:val="none" w:sz="0" w:space="0" w:color="auto"/>
        <w:right w:val="none" w:sz="0" w:space="0" w:color="auto"/>
      </w:divBdr>
      <w:divsChild>
        <w:div w:id="521675909">
          <w:marLeft w:val="0"/>
          <w:marRight w:val="0"/>
          <w:marTop w:val="0"/>
          <w:marBottom w:val="0"/>
          <w:divBdr>
            <w:top w:val="none" w:sz="0" w:space="0" w:color="auto"/>
            <w:left w:val="none" w:sz="0" w:space="0" w:color="auto"/>
            <w:bottom w:val="none" w:sz="0" w:space="0" w:color="auto"/>
            <w:right w:val="none" w:sz="0" w:space="0" w:color="auto"/>
          </w:divBdr>
          <w:divsChild>
            <w:div w:id="49351661">
              <w:marLeft w:val="0"/>
              <w:marRight w:val="0"/>
              <w:marTop w:val="0"/>
              <w:marBottom w:val="0"/>
              <w:divBdr>
                <w:top w:val="none" w:sz="0" w:space="0" w:color="auto"/>
                <w:left w:val="none" w:sz="0" w:space="0" w:color="auto"/>
                <w:bottom w:val="none" w:sz="0" w:space="0" w:color="auto"/>
                <w:right w:val="none" w:sz="0" w:space="0" w:color="auto"/>
              </w:divBdr>
              <w:divsChild>
                <w:div w:id="139245828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404761474">
      <w:bodyDiv w:val="1"/>
      <w:marLeft w:val="0"/>
      <w:marRight w:val="0"/>
      <w:marTop w:val="0"/>
      <w:marBottom w:val="0"/>
      <w:divBdr>
        <w:top w:val="none" w:sz="0" w:space="0" w:color="auto"/>
        <w:left w:val="none" w:sz="0" w:space="0" w:color="auto"/>
        <w:bottom w:val="none" w:sz="0" w:space="0" w:color="auto"/>
        <w:right w:val="none" w:sz="0" w:space="0" w:color="auto"/>
      </w:divBdr>
    </w:div>
    <w:div w:id="411632964">
      <w:bodyDiv w:val="1"/>
      <w:marLeft w:val="0"/>
      <w:marRight w:val="0"/>
      <w:marTop w:val="0"/>
      <w:marBottom w:val="0"/>
      <w:divBdr>
        <w:top w:val="none" w:sz="0" w:space="0" w:color="auto"/>
        <w:left w:val="none" w:sz="0" w:space="0" w:color="auto"/>
        <w:bottom w:val="none" w:sz="0" w:space="0" w:color="auto"/>
        <w:right w:val="none" w:sz="0" w:space="0" w:color="auto"/>
      </w:divBdr>
      <w:divsChild>
        <w:div w:id="943417432">
          <w:marLeft w:val="0"/>
          <w:marRight w:val="0"/>
          <w:marTop w:val="0"/>
          <w:marBottom w:val="0"/>
          <w:divBdr>
            <w:top w:val="none" w:sz="0" w:space="0" w:color="auto"/>
            <w:left w:val="none" w:sz="0" w:space="0" w:color="auto"/>
            <w:bottom w:val="none" w:sz="0" w:space="0" w:color="auto"/>
            <w:right w:val="none" w:sz="0" w:space="0" w:color="auto"/>
          </w:divBdr>
          <w:divsChild>
            <w:div w:id="776414475">
              <w:marLeft w:val="0"/>
              <w:marRight w:val="0"/>
              <w:marTop w:val="0"/>
              <w:marBottom w:val="0"/>
              <w:divBdr>
                <w:top w:val="none" w:sz="0" w:space="0" w:color="auto"/>
                <w:left w:val="none" w:sz="0" w:space="0" w:color="auto"/>
                <w:bottom w:val="none" w:sz="0" w:space="0" w:color="auto"/>
                <w:right w:val="none" w:sz="0" w:space="0" w:color="auto"/>
              </w:divBdr>
              <w:divsChild>
                <w:div w:id="90147711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413094960">
      <w:bodyDiv w:val="1"/>
      <w:marLeft w:val="0"/>
      <w:marRight w:val="0"/>
      <w:marTop w:val="0"/>
      <w:marBottom w:val="0"/>
      <w:divBdr>
        <w:top w:val="none" w:sz="0" w:space="0" w:color="auto"/>
        <w:left w:val="none" w:sz="0" w:space="0" w:color="auto"/>
        <w:bottom w:val="none" w:sz="0" w:space="0" w:color="auto"/>
        <w:right w:val="none" w:sz="0" w:space="0" w:color="auto"/>
      </w:divBdr>
      <w:divsChild>
        <w:div w:id="345250702">
          <w:marLeft w:val="0"/>
          <w:marRight w:val="0"/>
          <w:marTop w:val="0"/>
          <w:marBottom w:val="0"/>
          <w:divBdr>
            <w:top w:val="none" w:sz="0" w:space="0" w:color="auto"/>
            <w:left w:val="none" w:sz="0" w:space="0" w:color="auto"/>
            <w:bottom w:val="none" w:sz="0" w:space="0" w:color="auto"/>
            <w:right w:val="none" w:sz="0" w:space="0" w:color="auto"/>
          </w:divBdr>
          <w:divsChild>
            <w:div w:id="1077289586">
              <w:marLeft w:val="0"/>
              <w:marRight w:val="0"/>
              <w:marTop w:val="0"/>
              <w:marBottom w:val="0"/>
              <w:divBdr>
                <w:top w:val="none" w:sz="0" w:space="0" w:color="auto"/>
                <w:left w:val="none" w:sz="0" w:space="0" w:color="auto"/>
                <w:bottom w:val="none" w:sz="0" w:space="0" w:color="auto"/>
                <w:right w:val="none" w:sz="0" w:space="0" w:color="auto"/>
              </w:divBdr>
              <w:divsChild>
                <w:div w:id="1053694716">
                  <w:marLeft w:val="360"/>
                  <w:marRight w:val="96"/>
                  <w:marTop w:val="0"/>
                  <w:marBottom w:val="0"/>
                  <w:divBdr>
                    <w:top w:val="none" w:sz="0" w:space="0" w:color="auto"/>
                    <w:left w:val="none" w:sz="0" w:space="0" w:color="auto"/>
                    <w:bottom w:val="none" w:sz="0" w:space="0" w:color="auto"/>
                    <w:right w:val="none" w:sz="0" w:space="0" w:color="auto"/>
                  </w:divBdr>
                </w:div>
              </w:divsChild>
            </w:div>
            <w:div w:id="2026859145">
              <w:marLeft w:val="0"/>
              <w:marRight w:val="0"/>
              <w:marTop w:val="0"/>
              <w:marBottom w:val="240"/>
              <w:divBdr>
                <w:top w:val="none" w:sz="0" w:space="0" w:color="auto"/>
                <w:left w:val="none" w:sz="0" w:space="0" w:color="auto"/>
                <w:bottom w:val="none" w:sz="0" w:space="0" w:color="auto"/>
                <w:right w:val="none" w:sz="0" w:space="0" w:color="auto"/>
              </w:divBdr>
              <w:divsChild>
                <w:div w:id="138576047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418403863">
      <w:bodyDiv w:val="1"/>
      <w:marLeft w:val="0"/>
      <w:marRight w:val="0"/>
      <w:marTop w:val="0"/>
      <w:marBottom w:val="0"/>
      <w:divBdr>
        <w:top w:val="none" w:sz="0" w:space="0" w:color="auto"/>
        <w:left w:val="none" w:sz="0" w:space="0" w:color="auto"/>
        <w:bottom w:val="none" w:sz="0" w:space="0" w:color="auto"/>
        <w:right w:val="none" w:sz="0" w:space="0" w:color="auto"/>
      </w:divBdr>
    </w:div>
    <w:div w:id="425199040">
      <w:bodyDiv w:val="1"/>
      <w:marLeft w:val="0"/>
      <w:marRight w:val="0"/>
      <w:marTop w:val="0"/>
      <w:marBottom w:val="0"/>
      <w:divBdr>
        <w:top w:val="none" w:sz="0" w:space="0" w:color="auto"/>
        <w:left w:val="none" w:sz="0" w:space="0" w:color="auto"/>
        <w:bottom w:val="none" w:sz="0" w:space="0" w:color="auto"/>
        <w:right w:val="none" w:sz="0" w:space="0" w:color="auto"/>
      </w:divBdr>
    </w:div>
    <w:div w:id="472214740">
      <w:bodyDiv w:val="1"/>
      <w:marLeft w:val="0"/>
      <w:marRight w:val="0"/>
      <w:marTop w:val="0"/>
      <w:marBottom w:val="0"/>
      <w:divBdr>
        <w:top w:val="none" w:sz="0" w:space="0" w:color="auto"/>
        <w:left w:val="none" w:sz="0" w:space="0" w:color="auto"/>
        <w:bottom w:val="none" w:sz="0" w:space="0" w:color="auto"/>
        <w:right w:val="none" w:sz="0" w:space="0" w:color="auto"/>
      </w:divBdr>
      <w:divsChild>
        <w:div w:id="1534683704">
          <w:marLeft w:val="0"/>
          <w:marRight w:val="0"/>
          <w:marTop w:val="0"/>
          <w:marBottom w:val="0"/>
          <w:divBdr>
            <w:top w:val="none" w:sz="0" w:space="0" w:color="auto"/>
            <w:left w:val="none" w:sz="0" w:space="0" w:color="auto"/>
            <w:bottom w:val="none" w:sz="0" w:space="0" w:color="auto"/>
            <w:right w:val="none" w:sz="0" w:space="0" w:color="auto"/>
          </w:divBdr>
          <w:divsChild>
            <w:div w:id="1331830715">
              <w:marLeft w:val="0"/>
              <w:marRight w:val="0"/>
              <w:marTop w:val="0"/>
              <w:marBottom w:val="0"/>
              <w:divBdr>
                <w:top w:val="none" w:sz="0" w:space="0" w:color="auto"/>
                <w:left w:val="none" w:sz="0" w:space="0" w:color="auto"/>
                <w:bottom w:val="none" w:sz="0" w:space="0" w:color="auto"/>
                <w:right w:val="none" w:sz="0" w:space="0" w:color="auto"/>
              </w:divBdr>
              <w:divsChild>
                <w:div w:id="12073043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477461923">
      <w:bodyDiv w:val="1"/>
      <w:marLeft w:val="0"/>
      <w:marRight w:val="0"/>
      <w:marTop w:val="0"/>
      <w:marBottom w:val="0"/>
      <w:divBdr>
        <w:top w:val="none" w:sz="0" w:space="0" w:color="auto"/>
        <w:left w:val="none" w:sz="0" w:space="0" w:color="auto"/>
        <w:bottom w:val="none" w:sz="0" w:space="0" w:color="auto"/>
        <w:right w:val="none" w:sz="0" w:space="0" w:color="auto"/>
      </w:divBdr>
      <w:divsChild>
        <w:div w:id="1398897560">
          <w:marLeft w:val="0"/>
          <w:marRight w:val="0"/>
          <w:marTop w:val="0"/>
          <w:marBottom w:val="0"/>
          <w:divBdr>
            <w:top w:val="none" w:sz="0" w:space="0" w:color="auto"/>
            <w:left w:val="none" w:sz="0" w:space="0" w:color="auto"/>
            <w:bottom w:val="none" w:sz="0" w:space="0" w:color="auto"/>
            <w:right w:val="none" w:sz="0" w:space="0" w:color="auto"/>
          </w:divBdr>
          <w:divsChild>
            <w:div w:id="362560301">
              <w:marLeft w:val="0"/>
              <w:marRight w:val="0"/>
              <w:marTop w:val="0"/>
              <w:marBottom w:val="0"/>
              <w:divBdr>
                <w:top w:val="none" w:sz="0" w:space="0" w:color="auto"/>
                <w:left w:val="none" w:sz="0" w:space="0" w:color="auto"/>
                <w:bottom w:val="none" w:sz="0" w:space="0" w:color="auto"/>
                <w:right w:val="none" w:sz="0" w:space="0" w:color="auto"/>
              </w:divBdr>
              <w:divsChild>
                <w:div w:id="19177054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505706343">
      <w:bodyDiv w:val="1"/>
      <w:marLeft w:val="0"/>
      <w:marRight w:val="0"/>
      <w:marTop w:val="0"/>
      <w:marBottom w:val="0"/>
      <w:divBdr>
        <w:top w:val="none" w:sz="0" w:space="0" w:color="auto"/>
        <w:left w:val="none" w:sz="0" w:space="0" w:color="auto"/>
        <w:bottom w:val="none" w:sz="0" w:space="0" w:color="auto"/>
        <w:right w:val="none" w:sz="0" w:space="0" w:color="auto"/>
      </w:divBdr>
    </w:div>
    <w:div w:id="508910863">
      <w:bodyDiv w:val="1"/>
      <w:marLeft w:val="0"/>
      <w:marRight w:val="0"/>
      <w:marTop w:val="0"/>
      <w:marBottom w:val="0"/>
      <w:divBdr>
        <w:top w:val="none" w:sz="0" w:space="0" w:color="auto"/>
        <w:left w:val="none" w:sz="0" w:space="0" w:color="auto"/>
        <w:bottom w:val="none" w:sz="0" w:space="0" w:color="auto"/>
        <w:right w:val="none" w:sz="0" w:space="0" w:color="auto"/>
      </w:divBdr>
    </w:div>
    <w:div w:id="521556890">
      <w:bodyDiv w:val="1"/>
      <w:marLeft w:val="0"/>
      <w:marRight w:val="0"/>
      <w:marTop w:val="0"/>
      <w:marBottom w:val="0"/>
      <w:divBdr>
        <w:top w:val="none" w:sz="0" w:space="0" w:color="auto"/>
        <w:left w:val="none" w:sz="0" w:space="0" w:color="auto"/>
        <w:bottom w:val="none" w:sz="0" w:space="0" w:color="auto"/>
        <w:right w:val="none" w:sz="0" w:space="0" w:color="auto"/>
      </w:divBdr>
      <w:divsChild>
        <w:div w:id="379793255">
          <w:marLeft w:val="0"/>
          <w:marRight w:val="0"/>
          <w:marTop w:val="0"/>
          <w:marBottom w:val="0"/>
          <w:divBdr>
            <w:top w:val="none" w:sz="0" w:space="0" w:color="auto"/>
            <w:left w:val="none" w:sz="0" w:space="0" w:color="auto"/>
            <w:bottom w:val="none" w:sz="0" w:space="0" w:color="auto"/>
            <w:right w:val="none" w:sz="0" w:space="0" w:color="auto"/>
          </w:divBdr>
          <w:divsChild>
            <w:div w:id="1495024505">
              <w:marLeft w:val="0"/>
              <w:marRight w:val="0"/>
              <w:marTop w:val="0"/>
              <w:marBottom w:val="0"/>
              <w:divBdr>
                <w:top w:val="none" w:sz="0" w:space="0" w:color="auto"/>
                <w:left w:val="none" w:sz="0" w:space="0" w:color="auto"/>
                <w:bottom w:val="none" w:sz="0" w:space="0" w:color="auto"/>
                <w:right w:val="none" w:sz="0" w:space="0" w:color="auto"/>
              </w:divBdr>
              <w:divsChild>
                <w:div w:id="1789546167">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571350952">
      <w:bodyDiv w:val="1"/>
      <w:marLeft w:val="0"/>
      <w:marRight w:val="0"/>
      <w:marTop w:val="0"/>
      <w:marBottom w:val="0"/>
      <w:divBdr>
        <w:top w:val="none" w:sz="0" w:space="0" w:color="auto"/>
        <w:left w:val="none" w:sz="0" w:space="0" w:color="auto"/>
        <w:bottom w:val="none" w:sz="0" w:space="0" w:color="auto"/>
        <w:right w:val="none" w:sz="0" w:space="0" w:color="auto"/>
      </w:divBdr>
      <w:divsChild>
        <w:div w:id="1654750815">
          <w:marLeft w:val="0"/>
          <w:marRight w:val="0"/>
          <w:marTop w:val="0"/>
          <w:marBottom w:val="0"/>
          <w:divBdr>
            <w:top w:val="none" w:sz="0" w:space="0" w:color="auto"/>
            <w:left w:val="none" w:sz="0" w:space="0" w:color="auto"/>
            <w:bottom w:val="none" w:sz="0" w:space="0" w:color="auto"/>
            <w:right w:val="none" w:sz="0" w:space="0" w:color="auto"/>
          </w:divBdr>
          <w:divsChild>
            <w:div w:id="366805999">
              <w:marLeft w:val="0"/>
              <w:marRight w:val="0"/>
              <w:marTop w:val="0"/>
              <w:marBottom w:val="0"/>
              <w:divBdr>
                <w:top w:val="none" w:sz="0" w:space="0" w:color="auto"/>
                <w:left w:val="none" w:sz="0" w:space="0" w:color="auto"/>
                <w:bottom w:val="none" w:sz="0" w:space="0" w:color="auto"/>
                <w:right w:val="none" w:sz="0" w:space="0" w:color="auto"/>
              </w:divBdr>
              <w:divsChild>
                <w:div w:id="83966193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632099155">
      <w:bodyDiv w:val="1"/>
      <w:marLeft w:val="0"/>
      <w:marRight w:val="0"/>
      <w:marTop w:val="0"/>
      <w:marBottom w:val="0"/>
      <w:divBdr>
        <w:top w:val="none" w:sz="0" w:space="0" w:color="auto"/>
        <w:left w:val="none" w:sz="0" w:space="0" w:color="auto"/>
        <w:bottom w:val="none" w:sz="0" w:space="0" w:color="auto"/>
        <w:right w:val="none" w:sz="0" w:space="0" w:color="auto"/>
      </w:divBdr>
    </w:div>
    <w:div w:id="637536905">
      <w:bodyDiv w:val="1"/>
      <w:marLeft w:val="0"/>
      <w:marRight w:val="0"/>
      <w:marTop w:val="0"/>
      <w:marBottom w:val="0"/>
      <w:divBdr>
        <w:top w:val="none" w:sz="0" w:space="0" w:color="auto"/>
        <w:left w:val="none" w:sz="0" w:space="0" w:color="auto"/>
        <w:bottom w:val="none" w:sz="0" w:space="0" w:color="auto"/>
        <w:right w:val="none" w:sz="0" w:space="0" w:color="auto"/>
      </w:divBdr>
      <w:divsChild>
        <w:div w:id="188493475">
          <w:marLeft w:val="0"/>
          <w:marRight w:val="0"/>
          <w:marTop w:val="0"/>
          <w:marBottom w:val="0"/>
          <w:divBdr>
            <w:top w:val="none" w:sz="0" w:space="0" w:color="auto"/>
            <w:left w:val="none" w:sz="0" w:space="0" w:color="auto"/>
            <w:bottom w:val="none" w:sz="0" w:space="0" w:color="auto"/>
            <w:right w:val="none" w:sz="0" w:space="0" w:color="auto"/>
          </w:divBdr>
          <w:divsChild>
            <w:div w:id="1661428223">
              <w:marLeft w:val="0"/>
              <w:marRight w:val="0"/>
              <w:marTop w:val="0"/>
              <w:marBottom w:val="0"/>
              <w:divBdr>
                <w:top w:val="none" w:sz="0" w:space="0" w:color="auto"/>
                <w:left w:val="none" w:sz="0" w:space="0" w:color="auto"/>
                <w:bottom w:val="none" w:sz="0" w:space="0" w:color="auto"/>
                <w:right w:val="none" w:sz="0" w:space="0" w:color="auto"/>
              </w:divBdr>
              <w:divsChild>
                <w:div w:id="183352492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646013031">
      <w:bodyDiv w:val="1"/>
      <w:marLeft w:val="0"/>
      <w:marRight w:val="0"/>
      <w:marTop w:val="0"/>
      <w:marBottom w:val="0"/>
      <w:divBdr>
        <w:top w:val="none" w:sz="0" w:space="0" w:color="auto"/>
        <w:left w:val="none" w:sz="0" w:space="0" w:color="auto"/>
        <w:bottom w:val="none" w:sz="0" w:space="0" w:color="auto"/>
        <w:right w:val="none" w:sz="0" w:space="0" w:color="auto"/>
      </w:divBdr>
    </w:div>
    <w:div w:id="648284311">
      <w:bodyDiv w:val="1"/>
      <w:marLeft w:val="0"/>
      <w:marRight w:val="0"/>
      <w:marTop w:val="0"/>
      <w:marBottom w:val="0"/>
      <w:divBdr>
        <w:top w:val="none" w:sz="0" w:space="0" w:color="auto"/>
        <w:left w:val="none" w:sz="0" w:space="0" w:color="auto"/>
        <w:bottom w:val="none" w:sz="0" w:space="0" w:color="auto"/>
        <w:right w:val="none" w:sz="0" w:space="0" w:color="auto"/>
      </w:divBdr>
    </w:div>
    <w:div w:id="686442602">
      <w:bodyDiv w:val="1"/>
      <w:marLeft w:val="0"/>
      <w:marRight w:val="0"/>
      <w:marTop w:val="0"/>
      <w:marBottom w:val="0"/>
      <w:divBdr>
        <w:top w:val="none" w:sz="0" w:space="0" w:color="auto"/>
        <w:left w:val="none" w:sz="0" w:space="0" w:color="auto"/>
        <w:bottom w:val="none" w:sz="0" w:space="0" w:color="auto"/>
        <w:right w:val="none" w:sz="0" w:space="0" w:color="auto"/>
      </w:divBdr>
      <w:divsChild>
        <w:div w:id="2066634239">
          <w:marLeft w:val="0"/>
          <w:marRight w:val="0"/>
          <w:marTop w:val="0"/>
          <w:marBottom w:val="0"/>
          <w:divBdr>
            <w:top w:val="none" w:sz="0" w:space="0" w:color="auto"/>
            <w:left w:val="none" w:sz="0" w:space="0" w:color="auto"/>
            <w:bottom w:val="none" w:sz="0" w:space="0" w:color="auto"/>
            <w:right w:val="none" w:sz="0" w:space="0" w:color="auto"/>
          </w:divBdr>
          <w:divsChild>
            <w:div w:id="694621635">
              <w:marLeft w:val="0"/>
              <w:marRight w:val="0"/>
              <w:marTop w:val="0"/>
              <w:marBottom w:val="0"/>
              <w:divBdr>
                <w:top w:val="none" w:sz="0" w:space="0" w:color="auto"/>
                <w:left w:val="none" w:sz="0" w:space="0" w:color="auto"/>
                <w:bottom w:val="none" w:sz="0" w:space="0" w:color="auto"/>
                <w:right w:val="none" w:sz="0" w:space="0" w:color="auto"/>
              </w:divBdr>
              <w:divsChild>
                <w:div w:id="205607931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702246435">
      <w:bodyDiv w:val="1"/>
      <w:marLeft w:val="0"/>
      <w:marRight w:val="0"/>
      <w:marTop w:val="0"/>
      <w:marBottom w:val="0"/>
      <w:divBdr>
        <w:top w:val="none" w:sz="0" w:space="0" w:color="auto"/>
        <w:left w:val="none" w:sz="0" w:space="0" w:color="auto"/>
        <w:bottom w:val="none" w:sz="0" w:space="0" w:color="auto"/>
        <w:right w:val="none" w:sz="0" w:space="0" w:color="auto"/>
      </w:divBdr>
      <w:divsChild>
        <w:div w:id="671643027">
          <w:marLeft w:val="0"/>
          <w:marRight w:val="0"/>
          <w:marTop w:val="0"/>
          <w:marBottom w:val="0"/>
          <w:divBdr>
            <w:top w:val="none" w:sz="0" w:space="0" w:color="auto"/>
            <w:left w:val="none" w:sz="0" w:space="0" w:color="auto"/>
            <w:bottom w:val="none" w:sz="0" w:space="0" w:color="auto"/>
            <w:right w:val="none" w:sz="0" w:space="0" w:color="auto"/>
          </w:divBdr>
          <w:divsChild>
            <w:div w:id="1477337316">
              <w:marLeft w:val="0"/>
              <w:marRight w:val="0"/>
              <w:marTop w:val="0"/>
              <w:marBottom w:val="0"/>
              <w:divBdr>
                <w:top w:val="none" w:sz="0" w:space="0" w:color="auto"/>
                <w:left w:val="none" w:sz="0" w:space="0" w:color="auto"/>
                <w:bottom w:val="none" w:sz="0" w:space="0" w:color="auto"/>
                <w:right w:val="none" w:sz="0" w:space="0" w:color="auto"/>
              </w:divBdr>
              <w:divsChild>
                <w:div w:id="1567034047">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760756108">
      <w:bodyDiv w:val="1"/>
      <w:marLeft w:val="0"/>
      <w:marRight w:val="0"/>
      <w:marTop w:val="0"/>
      <w:marBottom w:val="0"/>
      <w:divBdr>
        <w:top w:val="none" w:sz="0" w:space="0" w:color="auto"/>
        <w:left w:val="none" w:sz="0" w:space="0" w:color="auto"/>
        <w:bottom w:val="none" w:sz="0" w:space="0" w:color="auto"/>
        <w:right w:val="none" w:sz="0" w:space="0" w:color="auto"/>
      </w:divBdr>
      <w:divsChild>
        <w:div w:id="925067676">
          <w:marLeft w:val="0"/>
          <w:marRight w:val="0"/>
          <w:marTop w:val="0"/>
          <w:marBottom w:val="0"/>
          <w:divBdr>
            <w:top w:val="none" w:sz="0" w:space="0" w:color="auto"/>
            <w:left w:val="none" w:sz="0" w:space="0" w:color="auto"/>
            <w:bottom w:val="none" w:sz="0" w:space="0" w:color="auto"/>
            <w:right w:val="none" w:sz="0" w:space="0" w:color="auto"/>
          </w:divBdr>
          <w:divsChild>
            <w:div w:id="1724790142">
              <w:marLeft w:val="0"/>
              <w:marRight w:val="0"/>
              <w:marTop w:val="0"/>
              <w:marBottom w:val="0"/>
              <w:divBdr>
                <w:top w:val="none" w:sz="0" w:space="0" w:color="auto"/>
                <w:left w:val="none" w:sz="0" w:space="0" w:color="auto"/>
                <w:bottom w:val="none" w:sz="0" w:space="0" w:color="auto"/>
                <w:right w:val="none" w:sz="0" w:space="0" w:color="auto"/>
              </w:divBdr>
              <w:divsChild>
                <w:div w:id="60273613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786236359">
      <w:bodyDiv w:val="1"/>
      <w:marLeft w:val="0"/>
      <w:marRight w:val="0"/>
      <w:marTop w:val="0"/>
      <w:marBottom w:val="0"/>
      <w:divBdr>
        <w:top w:val="none" w:sz="0" w:space="0" w:color="auto"/>
        <w:left w:val="none" w:sz="0" w:space="0" w:color="auto"/>
        <w:bottom w:val="none" w:sz="0" w:space="0" w:color="auto"/>
        <w:right w:val="none" w:sz="0" w:space="0" w:color="auto"/>
      </w:divBdr>
      <w:divsChild>
        <w:div w:id="1921400497">
          <w:marLeft w:val="0"/>
          <w:marRight w:val="0"/>
          <w:marTop w:val="0"/>
          <w:marBottom w:val="0"/>
          <w:divBdr>
            <w:top w:val="none" w:sz="0" w:space="0" w:color="auto"/>
            <w:left w:val="none" w:sz="0" w:space="0" w:color="auto"/>
            <w:bottom w:val="none" w:sz="0" w:space="0" w:color="auto"/>
            <w:right w:val="none" w:sz="0" w:space="0" w:color="auto"/>
          </w:divBdr>
          <w:divsChild>
            <w:div w:id="86586465">
              <w:marLeft w:val="0"/>
              <w:marRight w:val="0"/>
              <w:marTop w:val="0"/>
              <w:marBottom w:val="0"/>
              <w:divBdr>
                <w:top w:val="none" w:sz="0" w:space="0" w:color="auto"/>
                <w:left w:val="none" w:sz="0" w:space="0" w:color="auto"/>
                <w:bottom w:val="none" w:sz="0" w:space="0" w:color="auto"/>
                <w:right w:val="none" w:sz="0" w:space="0" w:color="auto"/>
              </w:divBdr>
              <w:divsChild>
                <w:div w:id="68343443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810951235">
      <w:bodyDiv w:val="1"/>
      <w:marLeft w:val="0"/>
      <w:marRight w:val="0"/>
      <w:marTop w:val="0"/>
      <w:marBottom w:val="0"/>
      <w:divBdr>
        <w:top w:val="none" w:sz="0" w:space="0" w:color="auto"/>
        <w:left w:val="none" w:sz="0" w:space="0" w:color="auto"/>
        <w:bottom w:val="none" w:sz="0" w:space="0" w:color="auto"/>
        <w:right w:val="none" w:sz="0" w:space="0" w:color="auto"/>
      </w:divBdr>
      <w:divsChild>
        <w:div w:id="1569999191">
          <w:marLeft w:val="0"/>
          <w:marRight w:val="0"/>
          <w:marTop w:val="0"/>
          <w:marBottom w:val="0"/>
          <w:divBdr>
            <w:top w:val="none" w:sz="0" w:space="0" w:color="auto"/>
            <w:left w:val="none" w:sz="0" w:space="0" w:color="auto"/>
            <w:bottom w:val="none" w:sz="0" w:space="0" w:color="auto"/>
            <w:right w:val="none" w:sz="0" w:space="0" w:color="auto"/>
          </w:divBdr>
          <w:divsChild>
            <w:div w:id="1260454451">
              <w:marLeft w:val="0"/>
              <w:marRight w:val="0"/>
              <w:marTop w:val="0"/>
              <w:marBottom w:val="0"/>
              <w:divBdr>
                <w:top w:val="none" w:sz="0" w:space="0" w:color="auto"/>
                <w:left w:val="none" w:sz="0" w:space="0" w:color="auto"/>
                <w:bottom w:val="none" w:sz="0" w:space="0" w:color="auto"/>
                <w:right w:val="none" w:sz="0" w:space="0" w:color="auto"/>
              </w:divBdr>
              <w:divsChild>
                <w:div w:id="51977887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854030579">
      <w:bodyDiv w:val="1"/>
      <w:marLeft w:val="0"/>
      <w:marRight w:val="0"/>
      <w:marTop w:val="0"/>
      <w:marBottom w:val="0"/>
      <w:divBdr>
        <w:top w:val="none" w:sz="0" w:space="0" w:color="auto"/>
        <w:left w:val="none" w:sz="0" w:space="0" w:color="auto"/>
        <w:bottom w:val="none" w:sz="0" w:space="0" w:color="auto"/>
        <w:right w:val="none" w:sz="0" w:space="0" w:color="auto"/>
      </w:divBdr>
    </w:div>
    <w:div w:id="885482248">
      <w:bodyDiv w:val="1"/>
      <w:marLeft w:val="0"/>
      <w:marRight w:val="0"/>
      <w:marTop w:val="0"/>
      <w:marBottom w:val="0"/>
      <w:divBdr>
        <w:top w:val="none" w:sz="0" w:space="0" w:color="auto"/>
        <w:left w:val="none" w:sz="0" w:space="0" w:color="auto"/>
        <w:bottom w:val="none" w:sz="0" w:space="0" w:color="auto"/>
        <w:right w:val="none" w:sz="0" w:space="0" w:color="auto"/>
      </w:divBdr>
      <w:divsChild>
        <w:div w:id="683701601">
          <w:marLeft w:val="0"/>
          <w:marRight w:val="0"/>
          <w:marTop w:val="0"/>
          <w:marBottom w:val="0"/>
          <w:divBdr>
            <w:top w:val="none" w:sz="0" w:space="0" w:color="auto"/>
            <w:left w:val="none" w:sz="0" w:space="0" w:color="auto"/>
            <w:bottom w:val="none" w:sz="0" w:space="0" w:color="auto"/>
            <w:right w:val="none" w:sz="0" w:space="0" w:color="auto"/>
          </w:divBdr>
          <w:divsChild>
            <w:div w:id="179900021">
              <w:marLeft w:val="0"/>
              <w:marRight w:val="0"/>
              <w:marTop w:val="0"/>
              <w:marBottom w:val="0"/>
              <w:divBdr>
                <w:top w:val="none" w:sz="0" w:space="0" w:color="auto"/>
                <w:left w:val="none" w:sz="0" w:space="0" w:color="auto"/>
                <w:bottom w:val="none" w:sz="0" w:space="0" w:color="auto"/>
                <w:right w:val="none" w:sz="0" w:space="0" w:color="auto"/>
              </w:divBdr>
              <w:divsChild>
                <w:div w:id="137319510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925383861">
      <w:bodyDiv w:val="1"/>
      <w:marLeft w:val="0"/>
      <w:marRight w:val="0"/>
      <w:marTop w:val="0"/>
      <w:marBottom w:val="0"/>
      <w:divBdr>
        <w:top w:val="none" w:sz="0" w:space="0" w:color="auto"/>
        <w:left w:val="none" w:sz="0" w:space="0" w:color="auto"/>
        <w:bottom w:val="none" w:sz="0" w:space="0" w:color="auto"/>
        <w:right w:val="none" w:sz="0" w:space="0" w:color="auto"/>
      </w:divBdr>
    </w:div>
    <w:div w:id="952397143">
      <w:bodyDiv w:val="1"/>
      <w:marLeft w:val="0"/>
      <w:marRight w:val="0"/>
      <w:marTop w:val="0"/>
      <w:marBottom w:val="0"/>
      <w:divBdr>
        <w:top w:val="none" w:sz="0" w:space="0" w:color="auto"/>
        <w:left w:val="none" w:sz="0" w:space="0" w:color="auto"/>
        <w:bottom w:val="none" w:sz="0" w:space="0" w:color="auto"/>
        <w:right w:val="none" w:sz="0" w:space="0" w:color="auto"/>
      </w:divBdr>
      <w:divsChild>
        <w:div w:id="399904617">
          <w:marLeft w:val="0"/>
          <w:marRight w:val="0"/>
          <w:marTop w:val="0"/>
          <w:marBottom w:val="0"/>
          <w:divBdr>
            <w:top w:val="none" w:sz="0" w:space="0" w:color="auto"/>
            <w:left w:val="none" w:sz="0" w:space="0" w:color="auto"/>
            <w:bottom w:val="none" w:sz="0" w:space="0" w:color="auto"/>
            <w:right w:val="none" w:sz="0" w:space="0" w:color="auto"/>
          </w:divBdr>
          <w:divsChild>
            <w:div w:id="1165975309">
              <w:marLeft w:val="0"/>
              <w:marRight w:val="0"/>
              <w:marTop w:val="0"/>
              <w:marBottom w:val="0"/>
              <w:divBdr>
                <w:top w:val="none" w:sz="0" w:space="0" w:color="auto"/>
                <w:left w:val="none" w:sz="0" w:space="0" w:color="auto"/>
                <w:bottom w:val="none" w:sz="0" w:space="0" w:color="auto"/>
                <w:right w:val="none" w:sz="0" w:space="0" w:color="auto"/>
              </w:divBdr>
              <w:divsChild>
                <w:div w:id="143741008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973871891">
      <w:bodyDiv w:val="1"/>
      <w:marLeft w:val="0"/>
      <w:marRight w:val="0"/>
      <w:marTop w:val="0"/>
      <w:marBottom w:val="0"/>
      <w:divBdr>
        <w:top w:val="none" w:sz="0" w:space="0" w:color="auto"/>
        <w:left w:val="none" w:sz="0" w:space="0" w:color="auto"/>
        <w:bottom w:val="none" w:sz="0" w:space="0" w:color="auto"/>
        <w:right w:val="none" w:sz="0" w:space="0" w:color="auto"/>
      </w:divBdr>
      <w:divsChild>
        <w:div w:id="780304124">
          <w:marLeft w:val="0"/>
          <w:marRight w:val="0"/>
          <w:marTop w:val="0"/>
          <w:marBottom w:val="0"/>
          <w:divBdr>
            <w:top w:val="none" w:sz="0" w:space="0" w:color="auto"/>
            <w:left w:val="none" w:sz="0" w:space="0" w:color="auto"/>
            <w:bottom w:val="none" w:sz="0" w:space="0" w:color="auto"/>
            <w:right w:val="none" w:sz="0" w:space="0" w:color="auto"/>
          </w:divBdr>
          <w:divsChild>
            <w:div w:id="1477991435">
              <w:marLeft w:val="0"/>
              <w:marRight w:val="0"/>
              <w:marTop w:val="0"/>
              <w:marBottom w:val="0"/>
              <w:divBdr>
                <w:top w:val="none" w:sz="0" w:space="0" w:color="auto"/>
                <w:left w:val="none" w:sz="0" w:space="0" w:color="auto"/>
                <w:bottom w:val="none" w:sz="0" w:space="0" w:color="auto"/>
                <w:right w:val="none" w:sz="0" w:space="0" w:color="auto"/>
              </w:divBdr>
              <w:divsChild>
                <w:div w:id="10330736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995039035">
      <w:bodyDiv w:val="1"/>
      <w:marLeft w:val="0"/>
      <w:marRight w:val="0"/>
      <w:marTop w:val="0"/>
      <w:marBottom w:val="0"/>
      <w:divBdr>
        <w:top w:val="none" w:sz="0" w:space="0" w:color="auto"/>
        <w:left w:val="none" w:sz="0" w:space="0" w:color="auto"/>
        <w:bottom w:val="none" w:sz="0" w:space="0" w:color="auto"/>
        <w:right w:val="none" w:sz="0" w:space="0" w:color="auto"/>
      </w:divBdr>
    </w:div>
    <w:div w:id="995499760">
      <w:bodyDiv w:val="1"/>
      <w:marLeft w:val="0"/>
      <w:marRight w:val="0"/>
      <w:marTop w:val="0"/>
      <w:marBottom w:val="0"/>
      <w:divBdr>
        <w:top w:val="none" w:sz="0" w:space="0" w:color="auto"/>
        <w:left w:val="none" w:sz="0" w:space="0" w:color="auto"/>
        <w:bottom w:val="none" w:sz="0" w:space="0" w:color="auto"/>
        <w:right w:val="none" w:sz="0" w:space="0" w:color="auto"/>
      </w:divBdr>
      <w:divsChild>
        <w:div w:id="2083017178">
          <w:marLeft w:val="0"/>
          <w:marRight w:val="0"/>
          <w:marTop w:val="0"/>
          <w:marBottom w:val="0"/>
          <w:divBdr>
            <w:top w:val="none" w:sz="0" w:space="0" w:color="auto"/>
            <w:left w:val="none" w:sz="0" w:space="0" w:color="auto"/>
            <w:bottom w:val="none" w:sz="0" w:space="0" w:color="auto"/>
            <w:right w:val="none" w:sz="0" w:space="0" w:color="auto"/>
          </w:divBdr>
          <w:divsChild>
            <w:div w:id="1628465443">
              <w:marLeft w:val="0"/>
              <w:marRight w:val="0"/>
              <w:marTop w:val="0"/>
              <w:marBottom w:val="0"/>
              <w:divBdr>
                <w:top w:val="none" w:sz="0" w:space="0" w:color="auto"/>
                <w:left w:val="none" w:sz="0" w:space="0" w:color="auto"/>
                <w:bottom w:val="none" w:sz="0" w:space="0" w:color="auto"/>
                <w:right w:val="none" w:sz="0" w:space="0" w:color="auto"/>
              </w:divBdr>
              <w:divsChild>
                <w:div w:id="49318519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020617967">
      <w:bodyDiv w:val="1"/>
      <w:marLeft w:val="0"/>
      <w:marRight w:val="0"/>
      <w:marTop w:val="0"/>
      <w:marBottom w:val="0"/>
      <w:divBdr>
        <w:top w:val="none" w:sz="0" w:space="0" w:color="auto"/>
        <w:left w:val="none" w:sz="0" w:space="0" w:color="auto"/>
        <w:bottom w:val="none" w:sz="0" w:space="0" w:color="auto"/>
        <w:right w:val="none" w:sz="0" w:space="0" w:color="auto"/>
      </w:divBdr>
      <w:divsChild>
        <w:div w:id="1356539381">
          <w:marLeft w:val="0"/>
          <w:marRight w:val="0"/>
          <w:marTop w:val="0"/>
          <w:marBottom w:val="0"/>
          <w:divBdr>
            <w:top w:val="none" w:sz="0" w:space="0" w:color="auto"/>
            <w:left w:val="none" w:sz="0" w:space="0" w:color="auto"/>
            <w:bottom w:val="none" w:sz="0" w:space="0" w:color="auto"/>
            <w:right w:val="none" w:sz="0" w:space="0" w:color="auto"/>
          </w:divBdr>
          <w:divsChild>
            <w:div w:id="1081218348">
              <w:marLeft w:val="0"/>
              <w:marRight w:val="0"/>
              <w:marTop w:val="0"/>
              <w:marBottom w:val="0"/>
              <w:divBdr>
                <w:top w:val="none" w:sz="0" w:space="0" w:color="auto"/>
                <w:left w:val="none" w:sz="0" w:space="0" w:color="auto"/>
                <w:bottom w:val="none" w:sz="0" w:space="0" w:color="auto"/>
                <w:right w:val="none" w:sz="0" w:space="0" w:color="auto"/>
              </w:divBdr>
              <w:divsChild>
                <w:div w:id="116165738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026372497">
      <w:bodyDiv w:val="1"/>
      <w:marLeft w:val="0"/>
      <w:marRight w:val="0"/>
      <w:marTop w:val="0"/>
      <w:marBottom w:val="0"/>
      <w:divBdr>
        <w:top w:val="none" w:sz="0" w:space="0" w:color="auto"/>
        <w:left w:val="none" w:sz="0" w:space="0" w:color="auto"/>
        <w:bottom w:val="none" w:sz="0" w:space="0" w:color="auto"/>
        <w:right w:val="none" w:sz="0" w:space="0" w:color="auto"/>
      </w:divBdr>
    </w:div>
    <w:div w:id="1076560460">
      <w:bodyDiv w:val="1"/>
      <w:marLeft w:val="0"/>
      <w:marRight w:val="0"/>
      <w:marTop w:val="0"/>
      <w:marBottom w:val="0"/>
      <w:divBdr>
        <w:top w:val="none" w:sz="0" w:space="0" w:color="auto"/>
        <w:left w:val="none" w:sz="0" w:space="0" w:color="auto"/>
        <w:bottom w:val="none" w:sz="0" w:space="0" w:color="auto"/>
        <w:right w:val="none" w:sz="0" w:space="0" w:color="auto"/>
      </w:divBdr>
      <w:divsChild>
        <w:div w:id="1114012736">
          <w:marLeft w:val="0"/>
          <w:marRight w:val="0"/>
          <w:marTop w:val="0"/>
          <w:marBottom w:val="0"/>
          <w:divBdr>
            <w:top w:val="none" w:sz="0" w:space="0" w:color="auto"/>
            <w:left w:val="none" w:sz="0" w:space="0" w:color="auto"/>
            <w:bottom w:val="none" w:sz="0" w:space="0" w:color="auto"/>
            <w:right w:val="none" w:sz="0" w:space="0" w:color="auto"/>
          </w:divBdr>
          <w:divsChild>
            <w:div w:id="1759593668">
              <w:marLeft w:val="0"/>
              <w:marRight w:val="0"/>
              <w:marTop w:val="0"/>
              <w:marBottom w:val="0"/>
              <w:divBdr>
                <w:top w:val="none" w:sz="0" w:space="0" w:color="auto"/>
                <w:left w:val="none" w:sz="0" w:space="0" w:color="auto"/>
                <w:bottom w:val="none" w:sz="0" w:space="0" w:color="auto"/>
                <w:right w:val="none" w:sz="0" w:space="0" w:color="auto"/>
              </w:divBdr>
              <w:divsChild>
                <w:div w:id="112847065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079400362">
      <w:bodyDiv w:val="1"/>
      <w:marLeft w:val="0"/>
      <w:marRight w:val="0"/>
      <w:marTop w:val="0"/>
      <w:marBottom w:val="0"/>
      <w:divBdr>
        <w:top w:val="none" w:sz="0" w:space="0" w:color="auto"/>
        <w:left w:val="none" w:sz="0" w:space="0" w:color="auto"/>
        <w:bottom w:val="none" w:sz="0" w:space="0" w:color="auto"/>
        <w:right w:val="none" w:sz="0" w:space="0" w:color="auto"/>
      </w:divBdr>
    </w:div>
    <w:div w:id="1083724471">
      <w:bodyDiv w:val="1"/>
      <w:marLeft w:val="0"/>
      <w:marRight w:val="0"/>
      <w:marTop w:val="0"/>
      <w:marBottom w:val="0"/>
      <w:divBdr>
        <w:top w:val="none" w:sz="0" w:space="0" w:color="auto"/>
        <w:left w:val="none" w:sz="0" w:space="0" w:color="auto"/>
        <w:bottom w:val="none" w:sz="0" w:space="0" w:color="auto"/>
        <w:right w:val="none" w:sz="0" w:space="0" w:color="auto"/>
      </w:divBdr>
      <w:divsChild>
        <w:div w:id="28183631">
          <w:marLeft w:val="0"/>
          <w:marRight w:val="0"/>
          <w:marTop w:val="0"/>
          <w:marBottom w:val="0"/>
          <w:divBdr>
            <w:top w:val="none" w:sz="0" w:space="0" w:color="auto"/>
            <w:left w:val="none" w:sz="0" w:space="0" w:color="auto"/>
            <w:bottom w:val="none" w:sz="0" w:space="0" w:color="auto"/>
            <w:right w:val="none" w:sz="0" w:space="0" w:color="auto"/>
          </w:divBdr>
          <w:divsChild>
            <w:div w:id="1998067140">
              <w:marLeft w:val="0"/>
              <w:marRight w:val="0"/>
              <w:marTop w:val="0"/>
              <w:marBottom w:val="0"/>
              <w:divBdr>
                <w:top w:val="none" w:sz="0" w:space="0" w:color="auto"/>
                <w:left w:val="none" w:sz="0" w:space="0" w:color="auto"/>
                <w:bottom w:val="none" w:sz="0" w:space="0" w:color="auto"/>
                <w:right w:val="none" w:sz="0" w:space="0" w:color="auto"/>
              </w:divBdr>
              <w:divsChild>
                <w:div w:id="41563426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084448061">
      <w:bodyDiv w:val="1"/>
      <w:marLeft w:val="0"/>
      <w:marRight w:val="0"/>
      <w:marTop w:val="0"/>
      <w:marBottom w:val="0"/>
      <w:divBdr>
        <w:top w:val="none" w:sz="0" w:space="0" w:color="auto"/>
        <w:left w:val="none" w:sz="0" w:space="0" w:color="auto"/>
        <w:bottom w:val="none" w:sz="0" w:space="0" w:color="auto"/>
        <w:right w:val="none" w:sz="0" w:space="0" w:color="auto"/>
      </w:divBdr>
    </w:div>
    <w:div w:id="1110052947">
      <w:bodyDiv w:val="1"/>
      <w:marLeft w:val="0"/>
      <w:marRight w:val="0"/>
      <w:marTop w:val="0"/>
      <w:marBottom w:val="0"/>
      <w:divBdr>
        <w:top w:val="none" w:sz="0" w:space="0" w:color="auto"/>
        <w:left w:val="none" w:sz="0" w:space="0" w:color="auto"/>
        <w:bottom w:val="none" w:sz="0" w:space="0" w:color="auto"/>
        <w:right w:val="none" w:sz="0" w:space="0" w:color="auto"/>
      </w:divBdr>
      <w:divsChild>
        <w:div w:id="81072271">
          <w:marLeft w:val="0"/>
          <w:marRight w:val="0"/>
          <w:marTop w:val="0"/>
          <w:marBottom w:val="0"/>
          <w:divBdr>
            <w:top w:val="none" w:sz="0" w:space="0" w:color="auto"/>
            <w:left w:val="none" w:sz="0" w:space="0" w:color="auto"/>
            <w:bottom w:val="none" w:sz="0" w:space="0" w:color="auto"/>
            <w:right w:val="none" w:sz="0" w:space="0" w:color="auto"/>
          </w:divBdr>
          <w:divsChild>
            <w:div w:id="772549495">
              <w:marLeft w:val="0"/>
              <w:marRight w:val="0"/>
              <w:marTop w:val="0"/>
              <w:marBottom w:val="0"/>
              <w:divBdr>
                <w:top w:val="none" w:sz="0" w:space="0" w:color="auto"/>
                <w:left w:val="none" w:sz="0" w:space="0" w:color="auto"/>
                <w:bottom w:val="none" w:sz="0" w:space="0" w:color="auto"/>
                <w:right w:val="none" w:sz="0" w:space="0" w:color="auto"/>
              </w:divBdr>
              <w:divsChild>
                <w:div w:id="581061235">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144008425">
      <w:bodyDiv w:val="1"/>
      <w:marLeft w:val="0"/>
      <w:marRight w:val="0"/>
      <w:marTop w:val="0"/>
      <w:marBottom w:val="0"/>
      <w:divBdr>
        <w:top w:val="none" w:sz="0" w:space="0" w:color="auto"/>
        <w:left w:val="none" w:sz="0" w:space="0" w:color="auto"/>
        <w:bottom w:val="none" w:sz="0" w:space="0" w:color="auto"/>
        <w:right w:val="none" w:sz="0" w:space="0" w:color="auto"/>
      </w:divBdr>
      <w:divsChild>
        <w:div w:id="1167285560">
          <w:marLeft w:val="0"/>
          <w:marRight w:val="0"/>
          <w:marTop w:val="0"/>
          <w:marBottom w:val="0"/>
          <w:divBdr>
            <w:top w:val="none" w:sz="0" w:space="0" w:color="auto"/>
            <w:left w:val="none" w:sz="0" w:space="0" w:color="auto"/>
            <w:bottom w:val="none" w:sz="0" w:space="0" w:color="auto"/>
            <w:right w:val="none" w:sz="0" w:space="0" w:color="auto"/>
          </w:divBdr>
          <w:divsChild>
            <w:div w:id="1167943686">
              <w:marLeft w:val="0"/>
              <w:marRight w:val="0"/>
              <w:marTop w:val="0"/>
              <w:marBottom w:val="0"/>
              <w:divBdr>
                <w:top w:val="none" w:sz="0" w:space="0" w:color="auto"/>
                <w:left w:val="none" w:sz="0" w:space="0" w:color="auto"/>
                <w:bottom w:val="none" w:sz="0" w:space="0" w:color="auto"/>
                <w:right w:val="none" w:sz="0" w:space="0" w:color="auto"/>
              </w:divBdr>
              <w:divsChild>
                <w:div w:id="11510685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199855689">
      <w:bodyDiv w:val="1"/>
      <w:marLeft w:val="0"/>
      <w:marRight w:val="0"/>
      <w:marTop w:val="0"/>
      <w:marBottom w:val="0"/>
      <w:divBdr>
        <w:top w:val="none" w:sz="0" w:space="0" w:color="auto"/>
        <w:left w:val="none" w:sz="0" w:space="0" w:color="auto"/>
        <w:bottom w:val="none" w:sz="0" w:space="0" w:color="auto"/>
        <w:right w:val="none" w:sz="0" w:space="0" w:color="auto"/>
      </w:divBdr>
    </w:div>
    <w:div w:id="1236865785">
      <w:bodyDiv w:val="1"/>
      <w:marLeft w:val="0"/>
      <w:marRight w:val="0"/>
      <w:marTop w:val="0"/>
      <w:marBottom w:val="0"/>
      <w:divBdr>
        <w:top w:val="none" w:sz="0" w:space="0" w:color="auto"/>
        <w:left w:val="none" w:sz="0" w:space="0" w:color="auto"/>
        <w:bottom w:val="none" w:sz="0" w:space="0" w:color="auto"/>
        <w:right w:val="none" w:sz="0" w:space="0" w:color="auto"/>
      </w:divBdr>
      <w:divsChild>
        <w:div w:id="1426997358">
          <w:marLeft w:val="0"/>
          <w:marRight w:val="0"/>
          <w:marTop w:val="0"/>
          <w:marBottom w:val="0"/>
          <w:divBdr>
            <w:top w:val="none" w:sz="0" w:space="0" w:color="auto"/>
            <w:left w:val="none" w:sz="0" w:space="0" w:color="auto"/>
            <w:bottom w:val="none" w:sz="0" w:space="0" w:color="auto"/>
            <w:right w:val="none" w:sz="0" w:space="0" w:color="auto"/>
          </w:divBdr>
          <w:divsChild>
            <w:div w:id="1121919338">
              <w:marLeft w:val="0"/>
              <w:marRight w:val="0"/>
              <w:marTop w:val="0"/>
              <w:marBottom w:val="240"/>
              <w:divBdr>
                <w:top w:val="none" w:sz="0" w:space="0" w:color="auto"/>
                <w:left w:val="none" w:sz="0" w:space="0" w:color="auto"/>
                <w:bottom w:val="none" w:sz="0" w:space="0" w:color="auto"/>
                <w:right w:val="none" w:sz="0" w:space="0" w:color="auto"/>
              </w:divBdr>
              <w:divsChild>
                <w:div w:id="1225293257">
                  <w:marLeft w:val="360"/>
                  <w:marRight w:val="96"/>
                  <w:marTop w:val="0"/>
                  <w:marBottom w:val="0"/>
                  <w:divBdr>
                    <w:top w:val="none" w:sz="0" w:space="0" w:color="auto"/>
                    <w:left w:val="none" w:sz="0" w:space="0" w:color="auto"/>
                    <w:bottom w:val="none" w:sz="0" w:space="0" w:color="auto"/>
                    <w:right w:val="none" w:sz="0" w:space="0" w:color="auto"/>
                  </w:divBdr>
                </w:div>
              </w:divsChild>
            </w:div>
            <w:div w:id="1634561160">
              <w:marLeft w:val="0"/>
              <w:marRight w:val="0"/>
              <w:marTop w:val="0"/>
              <w:marBottom w:val="0"/>
              <w:divBdr>
                <w:top w:val="none" w:sz="0" w:space="0" w:color="auto"/>
                <w:left w:val="none" w:sz="0" w:space="0" w:color="auto"/>
                <w:bottom w:val="none" w:sz="0" w:space="0" w:color="auto"/>
                <w:right w:val="none" w:sz="0" w:space="0" w:color="auto"/>
              </w:divBdr>
              <w:divsChild>
                <w:div w:id="199826244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39823944">
      <w:bodyDiv w:val="1"/>
      <w:marLeft w:val="0"/>
      <w:marRight w:val="0"/>
      <w:marTop w:val="0"/>
      <w:marBottom w:val="0"/>
      <w:divBdr>
        <w:top w:val="none" w:sz="0" w:space="0" w:color="auto"/>
        <w:left w:val="none" w:sz="0" w:space="0" w:color="auto"/>
        <w:bottom w:val="none" w:sz="0" w:space="0" w:color="auto"/>
        <w:right w:val="none" w:sz="0" w:space="0" w:color="auto"/>
      </w:divBdr>
      <w:divsChild>
        <w:div w:id="835917831">
          <w:marLeft w:val="0"/>
          <w:marRight w:val="0"/>
          <w:marTop w:val="0"/>
          <w:marBottom w:val="0"/>
          <w:divBdr>
            <w:top w:val="none" w:sz="0" w:space="0" w:color="auto"/>
            <w:left w:val="none" w:sz="0" w:space="0" w:color="auto"/>
            <w:bottom w:val="none" w:sz="0" w:space="0" w:color="auto"/>
            <w:right w:val="none" w:sz="0" w:space="0" w:color="auto"/>
          </w:divBdr>
          <w:divsChild>
            <w:div w:id="2042591705">
              <w:marLeft w:val="0"/>
              <w:marRight w:val="0"/>
              <w:marTop w:val="0"/>
              <w:marBottom w:val="0"/>
              <w:divBdr>
                <w:top w:val="none" w:sz="0" w:space="0" w:color="auto"/>
                <w:left w:val="none" w:sz="0" w:space="0" w:color="auto"/>
                <w:bottom w:val="none" w:sz="0" w:space="0" w:color="auto"/>
                <w:right w:val="none" w:sz="0" w:space="0" w:color="auto"/>
              </w:divBdr>
              <w:divsChild>
                <w:div w:id="40908695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50694024">
      <w:bodyDiv w:val="1"/>
      <w:marLeft w:val="0"/>
      <w:marRight w:val="0"/>
      <w:marTop w:val="0"/>
      <w:marBottom w:val="0"/>
      <w:divBdr>
        <w:top w:val="none" w:sz="0" w:space="0" w:color="auto"/>
        <w:left w:val="none" w:sz="0" w:space="0" w:color="auto"/>
        <w:bottom w:val="none" w:sz="0" w:space="0" w:color="auto"/>
        <w:right w:val="none" w:sz="0" w:space="0" w:color="auto"/>
      </w:divBdr>
      <w:divsChild>
        <w:div w:id="2053723507">
          <w:marLeft w:val="0"/>
          <w:marRight w:val="0"/>
          <w:marTop w:val="0"/>
          <w:marBottom w:val="0"/>
          <w:divBdr>
            <w:top w:val="none" w:sz="0" w:space="0" w:color="auto"/>
            <w:left w:val="none" w:sz="0" w:space="0" w:color="auto"/>
            <w:bottom w:val="none" w:sz="0" w:space="0" w:color="auto"/>
            <w:right w:val="none" w:sz="0" w:space="0" w:color="auto"/>
          </w:divBdr>
          <w:divsChild>
            <w:div w:id="658777701">
              <w:marLeft w:val="0"/>
              <w:marRight w:val="0"/>
              <w:marTop w:val="0"/>
              <w:marBottom w:val="0"/>
              <w:divBdr>
                <w:top w:val="none" w:sz="0" w:space="0" w:color="auto"/>
                <w:left w:val="none" w:sz="0" w:space="0" w:color="auto"/>
                <w:bottom w:val="none" w:sz="0" w:space="0" w:color="auto"/>
                <w:right w:val="none" w:sz="0" w:space="0" w:color="auto"/>
              </w:divBdr>
              <w:divsChild>
                <w:div w:id="25640845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57055091">
      <w:bodyDiv w:val="1"/>
      <w:marLeft w:val="0"/>
      <w:marRight w:val="0"/>
      <w:marTop w:val="0"/>
      <w:marBottom w:val="0"/>
      <w:divBdr>
        <w:top w:val="none" w:sz="0" w:space="0" w:color="auto"/>
        <w:left w:val="none" w:sz="0" w:space="0" w:color="auto"/>
        <w:bottom w:val="none" w:sz="0" w:space="0" w:color="auto"/>
        <w:right w:val="none" w:sz="0" w:space="0" w:color="auto"/>
      </w:divBdr>
      <w:divsChild>
        <w:div w:id="1906574011">
          <w:marLeft w:val="0"/>
          <w:marRight w:val="0"/>
          <w:marTop w:val="0"/>
          <w:marBottom w:val="0"/>
          <w:divBdr>
            <w:top w:val="none" w:sz="0" w:space="0" w:color="auto"/>
            <w:left w:val="none" w:sz="0" w:space="0" w:color="auto"/>
            <w:bottom w:val="none" w:sz="0" w:space="0" w:color="auto"/>
            <w:right w:val="none" w:sz="0" w:space="0" w:color="auto"/>
          </w:divBdr>
          <w:divsChild>
            <w:div w:id="1983850965">
              <w:marLeft w:val="0"/>
              <w:marRight w:val="0"/>
              <w:marTop w:val="0"/>
              <w:marBottom w:val="0"/>
              <w:divBdr>
                <w:top w:val="none" w:sz="0" w:space="0" w:color="auto"/>
                <w:left w:val="none" w:sz="0" w:space="0" w:color="auto"/>
                <w:bottom w:val="none" w:sz="0" w:space="0" w:color="auto"/>
                <w:right w:val="none" w:sz="0" w:space="0" w:color="auto"/>
              </w:divBdr>
              <w:divsChild>
                <w:div w:id="66467390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77833544">
      <w:bodyDiv w:val="1"/>
      <w:marLeft w:val="0"/>
      <w:marRight w:val="0"/>
      <w:marTop w:val="0"/>
      <w:marBottom w:val="0"/>
      <w:divBdr>
        <w:top w:val="none" w:sz="0" w:space="0" w:color="auto"/>
        <w:left w:val="none" w:sz="0" w:space="0" w:color="auto"/>
        <w:bottom w:val="none" w:sz="0" w:space="0" w:color="auto"/>
        <w:right w:val="none" w:sz="0" w:space="0" w:color="auto"/>
      </w:divBdr>
    </w:div>
    <w:div w:id="1295142224">
      <w:bodyDiv w:val="1"/>
      <w:marLeft w:val="0"/>
      <w:marRight w:val="0"/>
      <w:marTop w:val="0"/>
      <w:marBottom w:val="0"/>
      <w:divBdr>
        <w:top w:val="none" w:sz="0" w:space="0" w:color="auto"/>
        <w:left w:val="none" w:sz="0" w:space="0" w:color="auto"/>
        <w:bottom w:val="none" w:sz="0" w:space="0" w:color="auto"/>
        <w:right w:val="none" w:sz="0" w:space="0" w:color="auto"/>
      </w:divBdr>
      <w:divsChild>
        <w:div w:id="246116605">
          <w:marLeft w:val="0"/>
          <w:marRight w:val="0"/>
          <w:marTop w:val="0"/>
          <w:marBottom w:val="0"/>
          <w:divBdr>
            <w:top w:val="none" w:sz="0" w:space="0" w:color="auto"/>
            <w:left w:val="none" w:sz="0" w:space="0" w:color="auto"/>
            <w:bottom w:val="none" w:sz="0" w:space="0" w:color="auto"/>
            <w:right w:val="none" w:sz="0" w:space="0" w:color="auto"/>
          </w:divBdr>
          <w:divsChild>
            <w:div w:id="1096174180">
              <w:marLeft w:val="0"/>
              <w:marRight w:val="0"/>
              <w:marTop w:val="0"/>
              <w:marBottom w:val="0"/>
              <w:divBdr>
                <w:top w:val="none" w:sz="0" w:space="0" w:color="auto"/>
                <w:left w:val="none" w:sz="0" w:space="0" w:color="auto"/>
                <w:bottom w:val="none" w:sz="0" w:space="0" w:color="auto"/>
                <w:right w:val="none" w:sz="0" w:space="0" w:color="auto"/>
              </w:divBdr>
              <w:divsChild>
                <w:div w:id="112376988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07508988">
      <w:bodyDiv w:val="1"/>
      <w:marLeft w:val="0"/>
      <w:marRight w:val="0"/>
      <w:marTop w:val="0"/>
      <w:marBottom w:val="0"/>
      <w:divBdr>
        <w:top w:val="none" w:sz="0" w:space="0" w:color="auto"/>
        <w:left w:val="none" w:sz="0" w:space="0" w:color="auto"/>
        <w:bottom w:val="none" w:sz="0" w:space="0" w:color="auto"/>
        <w:right w:val="none" w:sz="0" w:space="0" w:color="auto"/>
      </w:divBdr>
      <w:divsChild>
        <w:div w:id="1655177622">
          <w:marLeft w:val="0"/>
          <w:marRight w:val="0"/>
          <w:marTop w:val="0"/>
          <w:marBottom w:val="0"/>
          <w:divBdr>
            <w:top w:val="none" w:sz="0" w:space="0" w:color="auto"/>
            <w:left w:val="none" w:sz="0" w:space="0" w:color="auto"/>
            <w:bottom w:val="none" w:sz="0" w:space="0" w:color="auto"/>
            <w:right w:val="none" w:sz="0" w:space="0" w:color="auto"/>
          </w:divBdr>
          <w:divsChild>
            <w:div w:id="1932935085">
              <w:marLeft w:val="0"/>
              <w:marRight w:val="0"/>
              <w:marTop w:val="0"/>
              <w:marBottom w:val="0"/>
              <w:divBdr>
                <w:top w:val="none" w:sz="0" w:space="0" w:color="auto"/>
                <w:left w:val="none" w:sz="0" w:space="0" w:color="auto"/>
                <w:bottom w:val="none" w:sz="0" w:space="0" w:color="auto"/>
                <w:right w:val="none" w:sz="0" w:space="0" w:color="auto"/>
              </w:divBdr>
              <w:divsChild>
                <w:div w:id="185495461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50109120">
      <w:bodyDiv w:val="1"/>
      <w:marLeft w:val="0"/>
      <w:marRight w:val="0"/>
      <w:marTop w:val="0"/>
      <w:marBottom w:val="0"/>
      <w:divBdr>
        <w:top w:val="none" w:sz="0" w:space="0" w:color="auto"/>
        <w:left w:val="none" w:sz="0" w:space="0" w:color="auto"/>
        <w:bottom w:val="none" w:sz="0" w:space="0" w:color="auto"/>
        <w:right w:val="none" w:sz="0" w:space="0" w:color="auto"/>
      </w:divBdr>
      <w:divsChild>
        <w:div w:id="1080710812">
          <w:marLeft w:val="0"/>
          <w:marRight w:val="0"/>
          <w:marTop w:val="0"/>
          <w:marBottom w:val="0"/>
          <w:divBdr>
            <w:top w:val="none" w:sz="0" w:space="0" w:color="auto"/>
            <w:left w:val="none" w:sz="0" w:space="0" w:color="auto"/>
            <w:bottom w:val="none" w:sz="0" w:space="0" w:color="auto"/>
            <w:right w:val="none" w:sz="0" w:space="0" w:color="auto"/>
          </w:divBdr>
          <w:divsChild>
            <w:div w:id="77293205">
              <w:marLeft w:val="0"/>
              <w:marRight w:val="0"/>
              <w:marTop w:val="0"/>
              <w:marBottom w:val="240"/>
              <w:divBdr>
                <w:top w:val="none" w:sz="0" w:space="0" w:color="auto"/>
                <w:left w:val="none" w:sz="0" w:space="0" w:color="auto"/>
                <w:bottom w:val="none" w:sz="0" w:space="0" w:color="auto"/>
                <w:right w:val="none" w:sz="0" w:space="0" w:color="auto"/>
              </w:divBdr>
              <w:divsChild>
                <w:div w:id="1282304554">
                  <w:marLeft w:val="360"/>
                  <w:marRight w:val="96"/>
                  <w:marTop w:val="0"/>
                  <w:marBottom w:val="0"/>
                  <w:divBdr>
                    <w:top w:val="none" w:sz="0" w:space="0" w:color="auto"/>
                    <w:left w:val="none" w:sz="0" w:space="0" w:color="auto"/>
                    <w:bottom w:val="none" w:sz="0" w:space="0" w:color="auto"/>
                    <w:right w:val="none" w:sz="0" w:space="0" w:color="auto"/>
                  </w:divBdr>
                </w:div>
              </w:divsChild>
            </w:div>
            <w:div w:id="867714972">
              <w:marLeft w:val="0"/>
              <w:marRight w:val="0"/>
              <w:marTop w:val="0"/>
              <w:marBottom w:val="0"/>
              <w:divBdr>
                <w:top w:val="none" w:sz="0" w:space="0" w:color="auto"/>
                <w:left w:val="none" w:sz="0" w:space="0" w:color="auto"/>
                <w:bottom w:val="none" w:sz="0" w:space="0" w:color="auto"/>
                <w:right w:val="none" w:sz="0" w:space="0" w:color="auto"/>
              </w:divBdr>
              <w:divsChild>
                <w:div w:id="298653148">
                  <w:marLeft w:val="360"/>
                  <w:marRight w:val="96"/>
                  <w:marTop w:val="0"/>
                  <w:marBottom w:val="0"/>
                  <w:divBdr>
                    <w:top w:val="none" w:sz="0" w:space="0" w:color="auto"/>
                    <w:left w:val="none" w:sz="0" w:space="0" w:color="auto"/>
                    <w:bottom w:val="none" w:sz="0" w:space="0" w:color="auto"/>
                    <w:right w:val="none" w:sz="0" w:space="0" w:color="auto"/>
                  </w:divBdr>
                </w:div>
              </w:divsChild>
            </w:div>
            <w:div w:id="986057099">
              <w:marLeft w:val="0"/>
              <w:marRight w:val="0"/>
              <w:marTop w:val="0"/>
              <w:marBottom w:val="240"/>
              <w:divBdr>
                <w:top w:val="none" w:sz="0" w:space="0" w:color="auto"/>
                <w:left w:val="none" w:sz="0" w:space="0" w:color="auto"/>
                <w:bottom w:val="none" w:sz="0" w:space="0" w:color="auto"/>
                <w:right w:val="none" w:sz="0" w:space="0" w:color="auto"/>
              </w:divBdr>
              <w:divsChild>
                <w:div w:id="314996275">
                  <w:marLeft w:val="360"/>
                  <w:marRight w:val="96"/>
                  <w:marTop w:val="0"/>
                  <w:marBottom w:val="0"/>
                  <w:divBdr>
                    <w:top w:val="none" w:sz="0" w:space="0" w:color="auto"/>
                    <w:left w:val="none" w:sz="0" w:space="0" w:color="auto"/>
                    <w:bottom w:val="none" w:sz="0" w:space="0" w:color="auto"/>
                    <w:right w:val="none" w:sz="0" w:space="0" w:color="auto"/>
                  </w:divBdr>
                </w:div>
              </w:divsChild>
            </w:div>
            <w:div w:id="1135412198">
              <w:marLeft w:val="0"/>
              <w:marRight w:val="0"/>
              <w:marTop w:val="0"/>
              <w:marBottom w:val="240"/>
              <w:divBdr>
                <w:top w:val="none" w:sz="0" w:space="0" w:color="auto"/>
                <w:left w:val="none" w:sz="0" w:space="0" w:color="auto"/>
                <w:bottom w:val="none" w:sz="0" w:space="0" w:color="auto"/>
                <w:right w:val="none" w:sz="0" w:space="0" w:color="auto"/>
              </w:divBdr>
              <w:divsChild>
                <w:div w:id="37581242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61591798">
      <w:bodyDiv w:val="1"/>
      <w:marLeft w:val="0"/>
      <w:marRight w:val="0"/>
      <w:marTop w:val="0"/>
      <w:marBottom w:val="0"/>
      <w:divBdr>
        <w:top w:val="none" w:sz="0" w:space="0" w:color="auto"/>
        <w:left w:val="none" w:sz="0" w:space="0" w:color="auto"/>
        <w:bottom w:val="none" w:sz="0" w:space="0" w:color="auto"/>
        <w:right w:val="none" w:sz="0" w:space="0" w:color="auto"/>
      </w:divBdr>
      <w:divsChild>
        <w:div w:id="25062873">
          <w:marLeft w:val="0"/>
          <w:marRight w:val="0"/>
          <w:marTop w:val="0"/>
          <w:marBottom w:val="0"/>
          <w:divBdr>
            <w:top w:val="none" w:sz="0" w:space="0" w:color="auto"/>
            <w:left w:val="none" w:sz="0" w:space="0" w:color="auto"/>
            <w:bottom w:val="none" w:sz="0" w:space="0" w:color="auto"/>
            <w:right w:val="none" w:sz="0" w:space="0" w:color="auto"/>
          </w:divBdr>
          <w:divsChild>
            <w:div w:id="2051804171">
              <w:marLeft w:val="0"/>
              <w:marRight w:val="0"/>
              <w:marTop w:val="0"/>
              <w:marBottom w:val="0"/>
              <w:divBdr>
                <w:top w:val="none" w:sz="0" w:space="0" w:color="auto"/>
                <w:left w:val="none" w:sz="0" w:space="0" w:color="auto"/>
                <w:bottom w:val="none" w:sz="0" w:space="0" w:color="auto"/>
                <w:right w:val="none" w:sz="0" w:space="0" w:color="auto"/>
              </w:divBdr>
              <w:divsChild>
                <w:div w:id="139200211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86682355">
      <w:bodyDiv w:val="1"/>
      <w:marLeft w:val="0"/>
      <w:marRight w:val="0"/>
      <w:marTop w:val="0"/>
      <w:marBottom w:val="0"/>
      <w:divBdr>
        <w:top w:val="none" w:sz="0" w:space="0" w:color="auto"/>
        <w:left w:val="none" w:sz="0" w:space="0" w:color="auto"/>
        <w:bottom w:val="none" w:sz="0" w:space="0" w:color="auto"/>
        <w:right w:val="none" w:sz="0" w:space="0" w:color="auto"/>
      </w:divBdr>
      <w:divsChild>
        <w:div w:id="289363065">
          <w:marLeft w:val="0"/>
          <w:marRight w:val="0"/>
          <w:marTop w:val="0"/>
          <w:marBottom w:val="0"/>
          <w:divBdr>
            <w:top w:val="none" w:sz="0" w:space="0" w:color="auto"/>
            <w:left w:val="none" w:sz="0" w:space="0" w:color="auto"/>
            <w:bottom w:val="none" w:sz="0" w:space="0" w:color="auto"/>
            <w:right w:val="none" w:sz="0" w:space="0" w:color="auto"/>
          </w:divBdr>
          <w:divsChild>
            <w:div w:id="293027911">
              <w:marLeft w:val="0"/>
              <w:marRight w:val="0"/>
              <w:marTop w:val="0"/>
              <w:marBottom w:val="0"/>
              <w:divBdr>
                <w:top w:val="none" w:sz="0" w:space="0" w:color="auto"/>
                <w:left w:val="none" w:sz="0" w:space="0" w:color="auto"/>
                <w:bottom w:val="none" w:sz="0" w:space="0" w:color="auto"/>
                <w:right w:val="none" w:sz="0" w:space="0" w:color="auto"/>
              </w:divBdr>
              <w:divsChild>
                <w:div w:id="42318397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94043856">
      <w:bodyDiv w:val="1"/>
      <w:marLeft w:val="0"/>
      <w:marRight w:val="0"/>
      <w:marTop w:val="0"/>
      <w:marBottom w:val="0"/>
      <w:divBdr>
        <w:top w:val="none" w:sz="0" w:space="0" w:color="auto"/>
        <w:left w:val="none" w:sz="0" w:space="0" w:color="auto"/>
        <w:bottom w:val="none" w:sz="0" w:space="0" w:color="auto"/>
        <w:right w:val="none" w:sz="0" w:space="0" w:color="auto"/>
      </w:divBdr>
      <w:divsChild>
        <w:div w:id="588005779">
          <w:marLeft w:val="0"/>
          <w:marRight w:val="0"/>
          <w:marTop w:val="0"/>
          <w:marBottom w:val="0"/>
          <w:divBdr>
            <w:top w:val="none" w:sz="0" w:space="0" w:color="auto"/>
            <w:left w:val="none" w:sz="0" w:space="0" w:color="auto"/>
            <w:bottom w:val="none" w:sz="0" w:space="0" w:color="auto"/>
            <w:right w:val="none" w:sz="0" w:space="0" w:color="auto"/>
          </w:divBdr>
          <w:divsChild>
            <w:div w:id="2009481815">
              <w:marLeft w:val="0"/>
              <w:marRight w:val="0"/>
              <w:marTop w:val="0"/>
              <w:marBottom w:val="0"/>
              <w:divBdr>
                <w:top w:val="none" w:sz="0" w:space="0" w:color="auto"/>
                <w:left w:val="none" w:sz="0" w:space="0" w:color="auto"/>
                <w:bottom w:val="none" w:sz="0" w:space="0" w:color="auto"/>
                <w:right w:val="none" w:sz="0" w:space="0" w:color="auto"/>
              </w:divBdr>
              <w:divsChild>
                <w:div w:id="176517896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414548934">
      <w:bodyDiv w:val="1"/>
      <w:marLeft w:val="0"/>
      <w:marRight w:val="0"/>
      <w:marTop w:val="0"/>
      <w:marBottom w:val="0"/>
      <w:divBdr>
        <w:top w:val="none" w:sz="0" w:space="0" w:color="auto"/>
        <w:left w:val="none" w:sz="0" w:space="0" w:color="auto"/>
        <w:bottom w:val="none" w:sz="0" w:space="0" w:color="auto"/>
        <w:right w:val="none" w:sz="0" w:space="0" w:color="auto"/>
      </w:divBdr>
      <w:divsChild>
        <w:div w:id="1364473995">
          <w:marLeft w:val="0"/>
          <w:marRight w:val="0"/>
          <w:marTop w:val="0"/>
          <w:marBottom w:val="0"/>
          <w:divBdr>
            <w:top w:val="none" w:sz="0" w:space="0" w:color="auto"/>
            <w:left w:val="none" w:sz="0" w:space="0" w:color="auto"/>
            <w:bottom w:val="none" w:sz="0" w:space="0" w:color="auto"/>
            <w:right w:val="none" w:sz="0" w:space="0" w:color="auto"/>
          </w:divBdr>
          <w:divsChild>
            <w:div w:id="1338270652">
              <w:marLeft w:val="0"/>
              <w:marRight w:val="0"/>
              <w:marTop w:val="0"/>
              <w:marBottom w:val="0"/>
              <w:divBdr>
                <w:top w:val="none" w:sz="0" w:space="0" w:color="auto"/>
                <w:left w:val="none" w:sz="0" w:space="0" w:color="auto"/>
                <w:bottom w:val="none" w:sz="0" w:space="0" w:color="auto"/>
                <w:right w:val="none" w:sz="0" w:space="0" w:color="auto"/>
              </w:divBdr>
              <w:divsChild>
                <w:div w:id="153230468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459103668">
      <w:bodyDiv w:val="1"/>
      <w:marLeft w:val="0"/>
      <w:marRight w:val="0"/>
      <w:marTop w:val="0"/>
      <w:marBottom w:val="0"/>
      <w:divBdr>
        <w:top w:val="none" w:sz="0" w:space="0" w:color="auto"/>
        <w:left w:val="none" w:sz="0" w:space="0" w:color="auto"/>
        <w:bottom w:val="none" w:sz="0" w:space="0" w:color="auto"/>
        <w:right w:val="none" w:sz="0" w:space="0" w:color="auto"/>
      </w:divBdr>
      <w:divsChild>
        <w:div w:id="1945725938">
          <w:marLeft w:val="0"/>
          <w:marRight w:val="0"/>
          <w:marTop w:val="0"/>
          <w:marBottom w:val="0"/>
          <w:divBdr>
            <w:top w:val="none" w:sz="0" w:space="0" w:color="auto"/>
            <w:left w:val="none" w:sz="0" w:space="0" w:color="auto"/>
            <w:bottom w:val="none" w:sz="0" w:space="0" w:color="auto"/>
            <w:right w:val="none" w:sz="0" w:space="0" w:color="auto"/>
          </w:divBdr>
          <w:divsChild>
            <w:div w:id="540292343">
              <w:marLeft w:val="0"/>
              <w:marRight w:val="0"/>
              <w:marTop w:val="0"/>
              <w:marBottom w:val="0"/>
              <w:divBdr>
                <w:top w:val="none" w:sz="0" w:space="0" w:color="auto"/>
                <w:left w:val="none" w:sz="0" w:space="0" w:color="auto"/>
                <w:bottom w:val="none" w:sz="0" w:space="0" w:color="auto"/>
                <w:right w:val="none" w:sz="0" w:space="0" w:color="auto"/>
              </w:divBdr>
              <w:divsChild>
                <w:div w:id="330567335">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488210507">
      <w:bodyDiv w:val="1"/>
      <w:marLeft w:val="0"/>
      <w:marRight w:val="0"/>
      <w:marTop w:val="0"/>
      <w:marBottom w:val="0"/>
      <w:divBdr>
        <w:top w:val="none" w:sz="0" w:space="0" w:color="auto"/>
        <w:left w:val="none" w:sz="0" w:space="0" w:color="auto"/>
        <w:bottom w:val="none" w:sz="0" w:space="0" w:color="auto"/>
        <w:right w:val="none" w:sz="0" w:space="0" w:color="auto"/>
      </w:divBdr>
      <w:divsChild>
        <w:div w:id="559829337">
          <w:marLeft w:val="0"/>
          <w:marRight w:val="0"/>
          <w:marTop w:val="0"/>
          <w:marBottom w:val="0"/>
          <w:divBdr>
            <w:top w:val="none" w:sz="0" w:space="0" w:color="auto"/>
            <w:left w:val="none" w:sz="0" w:space="0" w:color="auto"/>
            <w:bottom w:val="none" w:sz="0" w:space="0" w:color="auto"/>
            <w:right w:val="none" w:sz="0" w:space="0" w:color="auto"/>
          </w:divBdr>
          <w:divsChild>
            <w:div w:id="543296881">
              <w:marLeft w:val="0"/>
              <w:marRight w:val="0"/>
              <w:marTop w:val="0"/>
              <w:marBottom w:val="0"/>
              <w:divBdr>
                <w:top w:val="none" w:sz="0" w:space="0" w:color="auto"/>
                <w:left w:val="none" w:sz="0" w:space="0" w:color="auto"/>
                <w:bottom w:val="none" w:sz="0" w:space="0" w:color="auto"/>
                <w:right w:val="none" w:sz="0" w:space="0" w:color="auto"/>
              </w:divBdr>
              <w:divsChild>
                <w:div w:id="58453192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18807405">
      <w:bodyDiv w:val="1"/>
      <w:marLeft w:val="0"/>
      <w:marRight w:val="0"/>
      <w:marTop w:val="0"/>
      <w:marBottom w:val="0"/>
      <w:divBdr>
        <w:top w:val="none" w:sz="0" w:space="0" w:color="auto"/>
        <w:left w:val="none" w:sz="0" w:space="0" w:color="auto"/>
        <w:bottom w:val="none" w:sz="0" w:space="0" w:color="auto"/>
        <w:right w:val="none" w:sz="0" w:space="0" w:color="auto"/>
      </w:divBdr>
      <w:divsChild>
        <w:div w:id="1470125895">
          <w:marLeft w:val="0"/>
          <w:marRight w:val="0"/>
          <w:marTop w:val="0"/>
          <w:marBottom w:val="0"/>
          <w:divBdr>
            <w:top w:val="none" w:sz="0" w:space="0" w:color="auto"/>
            <w:left w:val="none" w:sz="0" w:space="0" w:color="auto"/>
            <w:bottom w:val="none" w:sz="0" w:space="0" w:color="auto"/>
            <w:right w:val="none" w:sz="0" w:space="0" w:color="auto"/>
          </w:divBdr>
          <w:divsChild>
            <w:div w:id="1338652401">
              <w:marLeft w:val="0"/>
              <w:marRight w:val="0"/>
              <w:marTop w:val="0"/>
              <w:marBottom w:val="0"/>
              <w:divBdr>
                <w:top w:val="none" w:sz="0" w:space="0" w:color="auto"/>
                <w:left w:val="none" w:sz="0" w:space="0" w:color="auto"/>
                <w:bottom w:val="none" w:sz="0" w:space="0" w:color="auto"/>
                <w:right w:val="none" w:sz="0" w:space="0" w:color="auto"/>
              </w:divBdr>
              <w:divsChild>
                <w:div w:id="60773315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23786599">
      <w:bodyDiv w:val="1"/>
      <w:marLeft w:val="0"/>
      <w:marRight w:val="0"/>
      <w:marTop w:val="0"/>
      <w:marBottom w:val="0"/>
      <w:divBdr>
        <w:top w:val="none" w:sz="0" w:space="0" w:color="auto"/>
        <w:left w:val="none" w:sz="0" w:space="0" w:color="auto"/>
        <w:bottom w:val="none" w:sz="0" w:space="0" w:color="auto"/>
        <w:right w:val="none" w:sz="0" w:space="0" w:color="auto"/>
      </w:divBdr>
    </w:div>
    <w:div w:id="1524707757">
      <w:bodyDiv w:val="1"/>
      <w:marLeft w:val="0"/>
      <w:marRight w:val="0"/>
      <w:marTop w:val="0"/>
      <w:marBottom w:val="0"/>
      <w:divBdr>
        <w:top w:val="none" w:sz="0" w:space="0" w:color="auto"/>
        <w:left w:val="none" w:sz="0" w:space="0" w:color="auto"/>
        <w:bottom w:val="none" w:sz="0" w:space="0" w:color="auto"/>
        <w:right w:val="none" w:sz="0" w:space="0" w:color="auto"/>
      </w:divBdr>
      <w:divsChild>
        <w:div w:id="1229144818">
          <w:marLeft w:val="0"/>
          <w:marRight w:val="0"/>
          <w:marTop w:val="0"/>
          <w:marBottom w:val="0"/>
          <w:divBdr>
            <w:top w:val="none" w:sz="0" w:space="0" w:color="auto"/>
            <w:left w:val="none" w:sz="0" w:space="0" w:color="auto"/>
            <w:bottom w:val="none" w:sz="0" w:space="0" w:color="auto"/>
            <w:right w:val="none" w:sz="0" w:space="0" w:color="auto"/>
          </w:divBdr>
          <w:divsChild>
            <w:div w:id="462428143">
              <w:marLeft w:val="0"/>
              <w:marRight w:val="0"/>
              <w:marTop w:val="0"/>
              <w:marBottom w:val="0"/>
              <w:divBdr>
                <w:top w:val="none" w:sz="0" w:space="0" w:color="auto"/>
                <w:left w:val="none" w:sz="0" w:space="0" w:color="auto"/>
                <w:bottom w:val="none" w:sz="0" w:space="0" w:color="auto"/>
                <w:right w:val="none" w:sz="0" w:space="0" w:color="auto"/>
              </w:divBdr>
              <w:divsChild>
                <w:div w:id="7058550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68683595">
      <w:bodyDiv w:val="1"/>
      <w:marLeft w:val="0"/>
      <w:marRight w:val="0"/>
      <w:marTop w:val="0"/>
      <w:marBottom w:val="0"/>
      <w:divBdr>
        <w:top w:val="none" w:sz="0" w:space="0" w:color="auto"/>
        <w:left w:val="none" w:sz="0" w:space="0" w:color="auto"/>
        <w:bottom w:val="none" w:sz="0" w:space="0" w:color="auto"/>
        <w:right w:val="none" w:sz="0" w:space="0" w:color="auto"/>
      </w:divBdr>
      <w:divsChild>
        <w:div w:id="60063118">
          <w:marLeft w:val="0"/>
          <w:marRight w:val="0"/>
          <w:marTop w:val="0"/>
          <w:marBottom w:val="0"/>
          <w:divBdr>
            <w:top w:val="none" w:sz="0" w:space="0" w:color="auto"/>
            <w:left w:val="none" w:sz="0" w:space="0" w:color="auto"/>
            <w:bottom w:val="none" w:sz="0" w:space="0" w:color="auto"/>
            <w:right w:val="none" w:sz="0" w:space="0" w:color="auto"/>
          </w:divBdr>
          <w:divsChild>
            <w:div w:id="1893225755">
              <w:marLeft w:val="0"/>
              <w:marRight w:val="0"/>
              <w:marTop w:val="0"/>
              <w:marBottom w:val="0"/>
              <w:divBdr>
                <w:top w:val="none" w:sz="0" w:space="0" w:color="auto"/>
                <w:left w:val="none" w:sz="0" w:space="0" w:color="auto"/>
                <w:bottom w:val="none" w:sz="0" w:space="0" w:color="auto"/>
                <w:right w:val="none" w:sz="0" w:space="0" w:color="auto"/>
              </w:divBdr>
              <w:divsChild>
                <w:div w:id="1946693555">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95170068">
      <w:bodyDiv w:val="1"/>
      <w:marLeft w:val="0"/>
      <w:marRight w:val="0"/>
      <w:marTop w:val="0"/>
      <w:marBottom w:val="0"/>
      <w:divBdr>
        <w:top w:val="none" w:sz="0" w:space="0" w:color="auto"/>
        <w:left w:val="none" w:sz="0" w:space="0" w:color="auto"/>
        <w:bottom w:val="none" w:sz="0" w:space="0" w:color="auto"/>
        <w:right w:val="none" w:sz="0" w:space="0" w:color="auto"/>
      </w:divBdr>
      <w:divsChild>
        <w:div w:id="1705867829">
          <w:marLeft w:val="0"/>
          <w:marRight w:val="0"/>
          <w:marTop w:val="0"/>
          <w:marBottom w:val="0"/>
          <w:divBdr>
            <w:top w:val="none" w:sz="0" w:space="0" w:color="auto"/>
            <w:left w:val="none" w:sz="0" w:space="0" w:color="auto"/>
            <w:bottom w:val="none" w:sz="0" w:space="0" w:color="auto"/>
            <w:right w:val="none" w:sz="0" w:space="0" w:color="auto"/>
          </w:divBdr>
          <w:divsChild>
            <w:div w:id="210532279">
              <w:marLeft w:val="0"/>
              <w:marRight w:val="0"/>
              <w:marTop w:val="0"/>
              <w:marBottom w:val="0"/>
              <w:divBdr>
                <w:top w:val="none" w:sz="0" w:space="0" w:color="auto"/>
                <w:left w:val="none" w:sz="0" w:space="0" w:color="auto"/>
                <w:bottom w:val="none" w:sz="0" w:space="0" w:color="auto"/>
                <w:right w:val="none" w:sz="0" w:space="0" w:color="auto"/>
              </w:divBdr>
              <w:divsChild>
                <w:div w:id="153553915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23685050">
      <w:bodyDiv w:val="1"/>
      <w:marLeft w:val="0"/>
      <w:marRight w:val="0"/>
      <w:marTop w:val="0"/>
      <w:marBottom w:val="0"/>
      <w:divBdr>
        <w:top w:val="none" w:sz="0" w:space="0" w:color="auto"/>
        <w:left w:val="none" w:sz="0" w:space="0" w:color="auto"/>
        <w:bottom w:val="none" w:sz="0" w:space="0" w:color="auto"/>
        <w:right w:val="none" w:sz="0" w:space="0" w:color="auto"/>
      </w:divBdr>
    </w:div>
    <w:div w:id="1629975211">
      <w:bodyDiv w:val="1"/>
      <w:marLeft w:val="0"/>
      <w:marRight w:val="0"/>
      <w:marTop w:val="0"/>
      <w:marBottom w:val="0"/>
      <w:divBdr>
        <w:top w:val="none" w:sz="0" w:space="0" w:color="auto"/>
        <w:left w:val="none" w:sz="0" w:space="0" w:color="auto"/>
        <w:bottom w:val="none" w:sz="0" w:space="0" w:color="auto"/>
        <w:right w:val="none" w:sz="0" w:space="0" w:color="auto"/>
      </w:divBdr>
    </w:div>
    <w:div w:id="1631010489">
      <w:bodyDiv w:val="1"/>
      <w:marLeft w:val="0"/>
      <w:marRight w:val="0"/>
      <w:marTop w:val="0"/>
      <w:marBottom w:val="0"/>
      <w:divBdr>
        <w:top w:val="none" w:sz="0" w:space="0" w:color="auto"/>
        <w:left w:val="none" w:sz="0" w:space="0" w:color="auto"/>
        <w:bottom w:val="none" w:sz="0" w:space="0" w:color="auto"/>
        <w:right w:val="none" w:sz="0" w:space="0" w:color="auto"/>
      </w:divBdr>
      <w:divsChild>
        <w:div w:id="2048873564">
          <w:marLeft w:val="0"/>
          <w:marRight w:val="0"/>
          <w:marTop w:val="0"/>
          <w:marBottom w:val="0"/>
          <w:divBdr>
            <w:top w:val="none" w:sz="0" w:space="0" w:color="auto"/>
            <w:left w:val="none" w:sz="0" w:space="0" w:color="auto"/>
            <w:bottom w:val="none" w:sz="0" w:space="0" w:color="auto"/>
            <w:right w:val="none" w:sz="0" w:space="0" w:color="auto"/>
          </w:divBdr>
          <w:divsChild>
            <w:div w:id="563879624">
              <w:marLeft w:val="0"/>
              <w:marRight w:val="0"/>
              <w:marTop w:val="0"/>
              <w:marBottom w:val="0"/>
              <w:divBdr>
                <w:top w:val="none" w:sz="0" w:space="0" w:color="auto"/>
                <w:left w:val="none" w:sz="0" w:space="0" w:color="auto"/>
                <w:bottom w:val="none" w:sz="0" w:space="0" w:color="auto"/>
                <w:right w:val="none" w:sz="0" w:space="0" w:color="auto"/>
              </w:divBdr>
              <w:divsChild>
                <w:div w:id="59536013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37687170">
      <w:bodyDiv w:val="1"/>
      <w:marLeft w:val="0"/>
      <w:marRight w:val="0"/>
      <w:marTop w:val="0"/>
      <w:marBottom w:val="0"/>
      <w:divBdr>
        <w:top w:val="none" w:sz="0" w:space="0" w:color="auto"/>
        <w:left w:val="none" w:sz="0" w:space="0" w:color="auto"/>
        <w:bottom w:val="none" w:sz="0" w:space="0" w:color="auto"/>
        <w:right w:val="none" w:sz="0" w:space="0" w:color="auto"/>
      </w:divBdr>
      <w:divsChild>
        <w:div w:id="1214389042">
          <w:marLeft w:val="0"/>
          <w:marRight w:val="0"/>
          <w:marTop w:val="0"/>
          <w:marBottom w:val="0"/>
          <w:divBdr>
            <w:top w:val="none" w:sz="0" w:space="0" w:color="auto"/>
            <w:left w:val="none" w:sz="0" w:space="0" w:color="auto"/>
            <w:bottom w:val="none" w:sz="0" w:space="0" w:color="auto"/>
            <w:right w:val="none" w:sz="0" w:space="0" w:color="auto"/>
          </w:divBdr>
          <w:divsChild>
            <w:div w:id="1255091021">
              <w:marLeft w:val="0"/>
              <w:marRight w:val="0"/>
              <w:marTop w:val="0"/>
              <w:marBottom w:val="0"/>
              <w:divBdr>
                <w:top w:val="none" w:sz="0" w:space="0" w:color="auto"/>
                <w:left w:val="none" w:sz="0" w:space="0" w:color="auto"/>
                <w:bottom w:val="none" w:sz="0" w:space="0" w:color="auto"/>
                <w:right w:val="none" w:sz="0" w:space="0" w:color="auto"/>
              </w:divBdr>
              <w:divsChild>
                <w:div w:id="179228674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43537162">
      <w:bodyDiv w:val="1"/>
      <w:marLeft w:val="0"/>
      <w:marRight w:val="0"/>
      <w:marTop w:val="0"/>
      <w:marBottom w:val="0"/>
      <w:divBdr>
        <w:top w:val="none" w:sz="0" w:space="0" w:color="auto"/>
        <w:left w:val="none" w:sz="0" w:space="0" w:color="auto"/>
        <w:bottom w:val="none" w:sz="0" w:space="0" w:color="auto"/>
        <w:right w:val="none" w:sz="0" w:space="0" w:color="auto"/>
      </w:divBdr>
      <w:divsChild>
        <w:div w:id="1124422754">
          <w:marLeft w:val="0"/>
          <w:marRight w:val="0"/>
          <w:marTop w:val="0"/>
          <w:marBottom w:val="0"/>
          <w:divBdr>
            <w:top w:val="none" w:sz="0" w:space="0" w:color="auto"/>
            <w:left w:val="none" w:sz="0" w:space="0" w:color="auto"/>
            <w:bottom w:val="none" w:sz="0" w:space="0" w:color="auto"/>
            <w:right w:val="none" w:sz="0" w:space="0" w:color="auto"/>
          </w:divBdr>
          <w:divsChild>
            <w:div w:id="373621311">
              <w:marLeft w:val="0"/>
              <w:marRight w:val="0"/>
              <w:marTop w:val="0"/>
              <w:marBottom w:val="0"/>
              <w:divBdr>
                <w:top w:val="none" w:sz="0" w:space="0" w:color="auto"/>
                <w:left w:val="none" w:sz="0" w:space="0" w:color="auto"/>
                <w:bottom w:val="none" w:sz="0" w:space="0" w:color="auto"/>
                <w:right w:val="none" w:sz="0" w:space="0" w:color="auto"/>
              </w:divBdr>
              <w:divsChild>
                <w:div w:id="160684429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74188292">
      <w:bodyDiv w:val="1"/>
      <w:marLeft w:val="0"/>
      <w:marRight w:val="0"/>
      <w:marTop w:val="0"/>
      <w:marBottom w:val="0"/>
      <w:divBdr>
        <w:top w:val="none" w:sz="0" w:space="0" w:color="auto"/>
        <w:left w:val="none" w:sz="0" w:space="0" w:color="auto"/>
        <w:bottom w:val="none" w:sz="0" w:space="0" w:color="auto"/>
        <w:right w:val="none" w:sz="0" w:space="0" w:color="auto"/>
      </w:divBdr>
      <w:divsChild>
        <w:div w:id="1608467780">
          <w:marLeft w:val="0"/>
          <w:marRight w:val="0"/>
          <w:marTop w:val="0"/>
          <w:marBottom w:val="0"/>
          <w:divBdr>
            <w:top w:val="none" w:sz="0" w:space="0" w:color="auto"/>
            <w:left w:val="none" w:sz="0" w:space="0" w:color="auto"/>
            <w:bottom w:val="none" w:sz="0" w:space="0" w:color="auto"/>
            <w:right w:val="none" w:sz="0" w:space="0" w:color="auto"/>
          </w:divBdr>
          <w:divsChild>
            <w:div w:id="362285649">
              <w:marLeft w:val="0"/>
              <w:marRight w:val="0"/>
              <w:marTop w:val="0"/>
              <w:marBottom w:val="0"/>
              <w:divBdr>
                <w:top w:val="none" w:sz="0" w:space="0" w:color="auto"/>
                <w:left w:val="none" w:sz="0" w:space="0" w:color="auto"/>
                <w:bottom w:val="none" w:sz="0" w:space="0" w:color="auto"/>
                <w:right w:val="none" w:sz="0" w:space="0" w:color="auto"/>
              </w:divBdr>
              <w:divsChild>
                <w:div w:id="160715741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04401820">
      <w:bodyDiv w:val="1"/>
      <w:marLeft w:val="0"/>
      <w:marRight w:val="0"/>
      <w:marTop w:val="0"/>
      <w:marBottom w:val="0"/>
      <w:divBdr>
        <w:top w:val="none" w:sz="0" w:space="0" w:color="auto"/>
        <w:left w:val="none" w:sz="0" w:space="0" w:color="auto"/>
        <w:bottom w:val="none" w:sz="0" w:space="0" w:color="auto"/>
        <w:right w:val="none" w:sz="0" w:space="0" w:color="auto"/>
      </w:divBdr>
      <w:divsChild>
        <w:div w:id="639726092">
          <w:marLeft w:val="0"/>
          <w:marRight w:val="0"/>
          <w:marTop w:val="0"/>
          <w:marBottom w:val="0"/>
          <w:divBdr>
            <w:top w:val="none" w:sz="0" w:space="0" w:color="auto"/>
            <w:left w:val="none" w:sz="0" w:space="0" w:color="auto"/>
            <w:bottom w:val="none" w:sz="0" w:space="0" w:color="auto"/>
            <w:right w:val="none" w:sz="0" w:space="0" w:color="auto"/>
          </w:divBdr>
          <w:divsChild>
            <w:div w:id="2032947890">
              <w:marLeft w:val="0"/>
              <w:marRight w:val="0"/>
              <w:marTop w:val="0"/>
              <w:marBottom w:val="0"/>
              <w:divBdr>
                <w:top w:val="none" w:sz="0" w:space="0" w:color="auto"/>
                <w:left w:val="none" w:sz="0" w:space="0" w:color="auto"/>
                <w:bottom w:val="none" w:sz="0" w:space="0" w:color="auto"/>
                <w:right w:val="none" w:sz="0" w:space="0" w:color="auto"/>
              </w:divBdr>
              <w:divsChild>
                <w:div w:id="183594035">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10689728">
      <w:bodyDiv w:val="1"/>
      <w:marLeft w:val="0"/>
      <w:marRight w:val="0"/>
      <w:marTop w:val="0"/>
      <w:marBottom w:val="0"/>
      <w:divBdr>
        <w:top w:val="none" w:sz="0" w:space="0" w:color="auto"/>
        <w:left w:val="none" w:sz="0" w:space="0" w:color="auto"/>
        <w:bottom w:val="none" w:sz="0" w:space="0" w:color="auto"/>
        <w:right w:val="none" w:sz="0" w:space="0" w:color="auto"/>
      </w:divBdr>
    </w:div>
    <w:div w:id="1712340622">
      <w:bodyDiv w:val="1"/>
      <w:marLeft w:val="0"/>
      <w:marRight w:val="0"/>
      <w:marTop w:val="0"/>
      <w:marBottom w:val="0"/>
      <w:divBdr>
        <w:top w:val="none" w:sz="0" w:space="0" w:color="auto"/>
        <w:left w:val="none" w:sz="0" w:space="0" w:color="auto"/>
        <w:bottom w:val="none" w:sz="0" w:space="0" w:color="auto"/>
        <w:right w:val="none" w:sz="0" w:space="0" w:color="auto"/>
      </w:divBdr>
    </w:div>
    <w:div w:id="1712414570">
      <w:bodyDiv w:val="1"/>
      <w:marLeft w:val="0"/>
      <w:marRight w:val="0"/>
      <w:marTop w:val="0"/>
      <w:marBottom w:val="0"/>
      <w:divBdr>
        <w:top w:val="none" w:sz="0" w:space="0" w:color="auto"/>
        <w:left w:val="none" w:sz="0" w:space="0" w:color="auto"/>
        <w:bottom w:val="none" w:sz="0" w:space="0" w:color="auto"/>
        <w:right w:val="none" w:sz="0" w:space="0" w:color="auto"/>
      </w:divBdr>
      <w:divsChild>
        <w:div w:id="2071422739">
          <w:marLeft w:val="0"/>
          <w:marRight w:val="0"/>
          <w:marTop w:val="0"/>
          <w:marBottom w:val="0"/>
          <w:divBdr>
            <w:top w:val="none" w:sz="0" w:space="0" w:color="auto"/>
            <w:left w:val="none" w:sz="0" w:space="0" w:color="auto"/>
            <w:bottom w:val="none" w:sz="0" w:space="0" w:color="auto"/>
            <w:right w:val="none" w:sz="0" w:space="0" w:color="auto"/>
          </w:divBdr>
          <w:divsChild>
            <w:div w:id="1490174904">
              <w:marLeft w:val="0"/>
              <w:marRight w:val="0"/>
              <w:marTop w:val="0"/>
              <w:marBottom w:val="0"/>
              <w:divBdr>
                <w:top w:val="none" w:sz="0" w:space="0" w:color="auto"/>
                <w:left w:val="none" w:sz="0" w:space="0" w:color="auto"/>
                <w:bottom w:val="none" w:sz="0" w:space="0" w:color="auto"/>
                <w:right w:val="none" w:sz="0" w:space="0" w:color="auto"/>
              </w:divBdr>
              <w:divsChild>
                <w:div w:id="1930238947">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54627253">
      <w:bodyDiv w:val="1"/>
      <w:marLeft w:val="0"/>
      <w:marRight w:val="0"/>
      <w:marTop w:val="0"/>
      <w:marBottom w:val="0"/>
      <w:divBdr>
        <w:top w:val="none" w:sz="0" w:space="0" w:color="auto"/>
        <w:left w:val="none" w:sz="0" w:space="0" w:color="auto"/>
        <w:bottom w:val="none" w:sz="0" w:space="0" w:color="auto"/>
        <w:right w:val="none" w:sz="0" w:space="0" w:color="auto"/>
      </w:divBdr>
      <w:divsChild>
        <w:div w:id="1898130941">
          <w:marLeft w:val="0"/>
          <w:marRight w:val="0"/>
          <w:marTop w:val="0"/>
          <w:marBottom w:val="0"/>
          <w:divBdr>
            <w:top w:val="none" w:sz="0" w:space="0" w:color="auto"/>
            <w:left w:val="none" w:sz="0" w:space="0" w:color="auto"/>
            <w:bottom w:val="none" w:sz="0" w:space="0" w:color="auto"/>
            <w:right w:val="none" w:sz="0" w:space="0" w:color="auto"/>
          </w:divBdr>
          <w:divsChild>
            <w:div w:id="1343238960">
              <w:marLeft w:val="0"/>
              <w:marRight w:val="0"/>
              <w:marTop w:val="0"/>
              <w:marBottom w:val="240"/>
              <w:divBdr>
                <w:top w:val="none" w:sz="0" w:space="0" w:color="auto"/>
                <w:left w:val="none" w:sz="0" w:space="0" w:color="auto"/>
                <w:bottom w:val="none" w:sz="0" w:space="0" w:color="auto"/>
                <w:right w:val="none" w:sz="0" w:space="0" w:color="auto"/>
              </w:divBdr>
              <w:divsChild>
                <w:div w:id="715079743">
                  <w:marLeft w:val="360"/>
                  <w:marRight w:val="96"/>
                  <w:marTop w:val="0"/>
                  <w:marBottom w:val="0"/>
                  <w:divBdr>
                    <w:top w:val="none" w:sz="0" w:space="0" w:color="auto"/>
                    <w:left w:val="none" w:sz="0" w:space="0" w:color="auto"/>
                    <w:bottom w:val="none" w:sz="0" w:space="0" w:color="auto"/>
                    <w:right w:val="none" w:sz="0" w:space="0" w:color="auto"/>
                  </w:divBdr>
                </w:div>
              </w:divsChild>
            </w:div>
            <w:div w:id="1535313913">
              <w:marLeft w:val="0"/>
              <w:marRight w:val="0"/>
              <w:marTop w:val="0"/>
              <w:marBottom w:val="0"/>
              <w:divBdr>
                <w:top w:val="none" w:sz="0" w:space="0" w:color="auto"/>
                <w:left w:val="none" w:sz="0" w:space="0" w:color="auto"/>
                <w:bottom w:val="none" w:sz="0" w:space="0" w:color="auto"/>
                <w:right w:val="none" w:sz="0" w:space="0" w:color="auto"/>
              </w:divBdr>
              <w:divsChild>
                <w:div w:id="1025864414">
                  <w:marLeft w:val="360"/>
                  <w:marRight w:val="96"/>
                  <w:marTop w:val="0"/>
                  <w:marBottom w:val="0"/>
                  <w:divBdr>
                    <w:top w:val="none" w:sz="0" w:space="0" w:color="auto"/>
                    <w:left w:val="none" w:sz="0" w:space="0" w:color="auto"/>
                    <w:bottom w:val="none" w:sz="0" w:space="0" w:color="auto"/>
                    <w:right w:val="none" w:sz="0" w:space="0" w:color="auto"/>
                  </w:divBdr>
                </w:div>
              </w:divsChild>
            </w:div>
            <w:div w:id="1647775933">
              <w:marLeft w:val="0"/>
              <w:marRight w:val="0"/>
              <w:marTop w:val="0"/>
              <w:marBottom w:val="240"/>
              <w:divBdr>
                <w:top w:val="none" w:sz="0" w:space="0" w:color="auto"/>
                <w:left w:val="none" w:sz="0" w:space="0" w:color="auto"/>
                <w:bottom w:val="none" w:sz="0" w:space="0" w:color="auto"/>
                <w:right w:val="none" w:sz="0" w:space="0" w:color="auto"/>
              </w:divBdr>
              <w:divsChild>
                <w:div w:id="179359869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90127184">
      <w:bodyDiv w:val="1"/>
      <w:marLeft w:val="0"/>
      <w:marRight w:val="0"/>
      <w:marTop w:val="0"/>
      <w:marBottom w:val="0"/>
      <w:divBdr>
        <w:top w:val="none" w:sz="0" w:space="0" w:color="auto"/>
        <w:left w:val="none" w:sz="0" w:space="0" w:color="auto"/>
        <w:bottom w:val="none" w:sz="0" w:space="0" w:color="auto"/>
        <w:right w:val="none" w:sz="0" w:space="0" w:color="auto"/>
      </w:divBdr>
      <w:divsChild>
        <w:div w:id="1747264627">
          <w:marLeft w:val="0"/>
          <w:marRight w:val="0"/>
          <w:marTop w:val="0"/>
          <w:marBottom w:val="0"/>
          <w:divBdr>
            <w:top w:val="none" w:sz="0" w:space="0" w:color="auto"/>
            <w:left w:val="none" w:sz="0" w:space="0" w:color="auto"/>
            <w:bottom w:val="none" w:sz="0" w:space="0" w:color="auto"/>
            <w:right w:val="none" w:sz="0" w:space="0" w:color="auto"/>
          </w:divBdr>
          <w:divsChild>
            <w:div w:id="1805731757">
              <w:marLeft w:val="0"/>
              <w:marRight w:val="0"/>
              <w:marTop w:val="0"/>
              <w:marBottom w:val="0"/>
              <w:divBdr>
                <w:top w:val="none" w:sz="0" w:space="0" w:color="auto"/>
                <w:left w:val="none" w:sz="0" w:space="0" w:color="auto"/>
                <w:bottom w:val="none" w:sz="0" w:space="0" w:color="auto"/>
                <w:right w:val="none" w:sz="0" w:space="0" w:color="auto"/>
              </w:divBdr>
              <w:divsChild>
                <w:div w:id="178854720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96020358">
      <w:bodyDiv w:val="1"/>
      <w:marLeft w:val="0"/>
      <w:marRight w:val="0"/>
      <w:marTop w:val="0"/>
      <w:marBottom w:val="0"/>
      <w:divBdr>
        <w:top w:val="none" w:sz="0" w:space="0" w:color="auto"/>
        <w:left w:val="none" w:sz="0" w:space="0" w:color="auto"/>
        <w:bottom w:val="none" w:sz="0" w:space="0" w:color="auto"/>
        <w:right w:val="none" w:sz="0" w:space="0" w:color="auto"/>
      </w:divBdr>
      <w:divsChild>
        <w:div w:id="366102619">
          <w:marLeft w:val="0"/>
          <w:marRight w:val="0"/>
          <w:marTop w:val="0"/>
          <w:marBottom w:val="0"/>
          <w:divBdr>
            <w:top w:val="none" w:sz="0" w:space="0" w:color="auto"/>
            <w:left w:val="none" w:sz="0" w:space="0" w:color="auto"/>
            <w:bottom w:val="none" w:sz="0" w:space="0" w:color="auto"/>
            <w:right w:val="none" w:sz="0" w:space="0" w:color="auto"/>
          </w:divBdr>
          <w:divsChild>
            <w:div w:id="575826391">
              <w:marLeft w:val="0"/>
              <w:marRight w:val="0"/>
              <w:marTop w:val="0"/>
              <w:marBottom w:val="0"/>
              <w:divBdr>
                <w:top w:val="none" w:sz="0" w:space="0" w:color="auto"/>
                <w:left w:val="none" w:sz="0" w:space="0" w:color="auto"/>
                <w:bottom w:val="none" w:sz="0" w:space="0" w:color="auto"/>
                <w:right w:val="none" w:sz="0" w:space="0" w:color="auto"/>
              </w:divBdr>
              <w:divsChild>
                <w:div w:id="117718937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823616032">
      <w:bodyDiv w:val="1"/>
      <w:marLeft w:val="0"/>
      <w:marRight w:val="0"/>
      <w:marTop w:val="0"/>
      <w:marBottom w:val="0"/>
      <w:divBdr>
        <w:top w:val="none" w:sz="0" w:space="0" w:color="auto"/>
        <w:left w:val="none" w:sz="0" w:space="0" w:color="auto"/>
        <w:bottom w:val="none" w:sz="0" w:space="0" w:color="auto"/>
        <w:right w:val="none" w:sz="0" w:space="0" w:color="auto"/>
      </w:divBdr>
      <w:divsChild>
        <w:div w:id="1320036965">
          <w:marLeft w:val="0"/>
          <w:marRight w:val="0"/>
          <w:marTop w:val="0"/>
          <w:marBottom w:val="0"/>
          <w:divBdr>
            <w:top w:val="none" w:sz="0" w:space="0" w:color="auto"/>
            <w:left w:val="none" w:sz="0" w:space="0" w:color="auto"/>
            <w:bottom w:val="none" w:sz="0" w:space="0" w:color="auto"/>
            <w:right w:val="none" w:sz="0" w:space="0" w:color="auto"/>
          </w:divBdr>
          <w:divsChild>
            <w:div w:id="1485047126">
              <w:marLeft w:val="0"/>
              <w:marRight w:val="0"/>
              <w:marTop w:val="0"/>
              <w:marBottom w:val="0"/>
              <w:divBdr>
                <w:top w:val="none" w:sz="0" w:space="0" w:color="auto"/>
                <w:left w:val="none" w:sz="0" w:space="0" w:color="auto"/>
                <w:bottom w:val="none" w:sz="0" w:space="0" w:color="auto"/>
                <w:right w:val="none" w:sz="0" w:space="0" w:color="auto"/>
              </w:divBdr>
              <w:divsChild>
                <w:div w:id="145116439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850826723">
      <w:bodyDiv w:val="1"/>
      <w:marLeft w:val="0"/>
      <w:marRight w:val="0"/>
      <w:marTop w:val="0"/>
      <w:marBottom w:val="0"/>
      <w:divBdr>
        <w:top w:val="none" w:sz="0" w:space="0" w:color="auto"/>
        <w:left w:val="none" w:sz="0" w:space="0" w:color="auto"/>
        <w:bottom w:val="none" w:sz="0" w:space="0" w:color="auto"/>
        <w:right w:val="none" w:sz="0" w:space="0" w:color="auto"/>
      </w:divBdr>
      <w:divsChild>
        <w:div w:id="458379693">
          <w:marLeft w:val="0"/>
          <w:marRight w:val="0"/>
          <w:marTop w:val="0"/>
          <w:marBottom w:val="0"/>
          <w:divBdr>
            <w:top w:val="none" w:sz="0" w:space="0" w:color="auto"/>
            <w:left w:val="none" w:sz="0" w:space="0" w:color="auto"/>
            <w:bottom w:val="none" w:sz="0" w:space="0" w:color="auto"/>
            <w:right w:val="none" w:sz="0" w:space="0" w:color="auto"/>
          </w:divBdr>
          <w:divsChild>
            <w:div w:id="1982728970">
              <w:marLeft w:val="0"/>
              <w:marRight w:val="0"/>
              <w:marTop w:val="0"/>
              <w:marBottom w:val="0"/>
              <w:divBdr>
                <w:top w:val="none" w:sz="0" w:space="0" w:color="auto"/>
                <w:left w:val="none" w:sz="0" w:space="0" w:color="auto"/>
                <w:bottom w:val="none" w:sz="0" w:space="0" w:color="auto"/>
                <w:right w:val="none" w:sz="0" w:space="0" w:color="auto"/>
              </w:divBdr>
              <w:divsChild>
                <w:div w:id="152694075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856262592">
      <w:bodyDiv w:val="1"/>
      <w:marLeft w:val="0"/>
      <w:marRight w:val="0"/>
      <w:marTop w:val="0"/>
      <w:marBottom w:val="0"/>
      <w:divBdr>
        <w:top w:val="none" w:sz="0" w:space="0" w:color="auto"/>
        <w:left w:val="none" w:sz="0" w:space="0" w:color="auto"/>
        <w:bottom w:val="none" w:sz="0" w:space="0" w:color="auto"/>
        <w:right w:val="none" w:sz="0" w:space="0" w:color="auto"/>
      </w:divBdr>
      <w:divsChild>
        <w:div w:id="1080099940">
          <w:marLeft w:val="0"/>
          <w:marRight w:val="0"/>
          <w:marTop w:val="0"/>
          <w:marBottom w:val="0"/>
          <w:divBdr>
            <w:top w:val="none" w:sz="0" w:space="0" w:color="auto"/>
            <w:left w:val="none" w:sz="0" w:space="0" w:color="auto"/>
            <w:bottom w:val="none" w:sz="0" w:space="0" w:color="auto"/>
            <w:right w:val="none" w:sz="0" w:space="0" w:color="auto"/>
          </w:divBdr>
          <w:divsChild>
            <w:div w:id="1280071277">
              <w:marLeft w:val="0"/>
              <w:marRight w:val="0"/>
              <w:marTop w:val="0"/>
              <w:marBottom w:val="0"/>
              <w:divBdr>
                <w:top w:val="none" w:sz="0" w:space="0" w:color="auto"/>
                <w:left w:val="none" w:sz="0" w:space="0" w:color="auto"/>
                <w:bottom w:val="none" w:sz="0" w:space="0" w:color="auto"/>
                <w:right w:val="none" w:sz="0" w:space="0" w:color="auto"/>
              </w:divBdr>
              <w:divsChild>
                <w:div w:id="153580221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858418888">
      <w:bodyDiv w:val="1"/>
      <w:marLeft w:val="0"/>
      <w:marRight w:val="0"/>
      <w:marTop w:val="0"/>
      <w:marBottom w:val="0"/>
      <w:divBdr>
        <w:top w:val="none" w:sz="0" w:space="0" w:color="auto"/>
        <w:left w:val="none" w:sz="0" w:space="0" w:color="auto"/>
        <w:bottom w:val="none" w:sz="0" w:space="0" w:color="auto"/>
        <w:right w:val="none" w:sz="0" w:space="0" w:color="auto"/>
      </w:divBdr>
    </w:div>
    <w:div w:id="1861314461">
      <w:bodyDiv w:val="1"/>
      <w:marLeft w:val="0"/>
      <w:marRight w:val="0"/>
      <w:marTop w:val="0"/>
      <w:marBottom w:val="0"/>
      <w:divBdr>
        <w:top w:val="none" w:sz="0" w:space="0" w:color="auto"/>
        <w:left w:val="none" w:sz="0" w:space="0" w:color="auto"/>
        <w:bottom w:val="none" w:sz="0" w:space="0" w:color="auto"/>
        <w:right w:val="none" w:sz="0" w:space="0" w:color="auto"/>
      </w:divBdr>
      <w:divsChild>
        <w:div w:id="1991246474">
          <w:marLeft w:val="0"/>
          <w:marRight w:val="0"/>
          <w:marTop w:val="0"/>
          <w:marBottom w:val="0"/>
          <w:divBdr>
            <w:top w:val="none" w:sz="0" w:space="0" w:color="auto"/>
            <w:left w:val="none" w:sz="0" w:space="0" w:color="auto"/>
            <w:bottom w:val="none" w:sz="0" w:space="0" w:color="auto"/>
            <w:right w:val="none" w:sz="0" w:space="0" w:color="auto"/>
          </w:divBdr>
          <w:divsChild>
            <w:div w:id="237718520">
              <w:marLeft w:val="0"/>
              <w:marRight w:val="0"/>
              <w:marTop w:val="0"/>
              <w:marBottom w:val="240"/>
              <w:divBdr>
                <w:top w:val="none" w:sz="0" w:space="0" w:color="auto"/>
                <w:left w:val="none" w:sz="0" w:space="0" w:color="auto"/>
                <w:bottom w:val="none" w:sz="0" w:space="0" w:color="auto"/>
                <w:right w:val="none" w:sz="0" w:space="0" w:color="auto"/>
              </w:divBdr>
              <w:divsChild>
                <w:div w:id="365451410">
                  <w:marLeft w:val="360"/>
                  <w:marRight w:val="96"/>
                  <w:marTop w:val="0"/>
                  <w:marBottom w:val="0"/>
                  <w:divBdr>
                    <w:top w:val="none" w:sz="0" w:space="0" w:color="auto"/>
                    <w:left w:val="none" w:sz="0" w:space="0" w:color="auto"/>
                    <w:bottom w:val="none" w:sz="0" w:space="0" w:color="auto"/>
                    <w:right w:val="none" w:sz="0" w:space="0" w:color="auto"/>
                  </w:divBdr>
                </w:div>
              </w:divsChild>
            </w:div>
            <w:div w:id="521556114">
              <w:marLeft w:val="0"/>
              <w:marRight w:val="0"/>
              <w:marTop w:val="0"/>
              <w:marBottom w:val="240"/>
              <w:divBdr>
                <w:top w:val="none" w:sz="0" w:space="0" w:color="auto"/>
                <w:left w:val="none" w:sz="0" w:space="0" w:color="auto"/>
                <w:bottom w:val="none" w:sz="0" w:space="0" w:color="auto"/>
                <w:right w:val="none" w:sz="0" w:space="0" w:color="auto"/>
              </w:divBdr>
              <w:divsChild>
                <w:div w:id="1488328443">
                  <w:marLeft w:val="360"/>
                  <w:marRight w:val="96"/>
                  <w:marTop w:val="0"/>
                  <w:marBottom w:val="0"/>
                  <w:divBdr>
                    <w:top w:val="none" w:sz="0" w:space="0" w:color="auto"/>
                    <w:left w:val="none" w:sz="0" w:space="0" w:color="auto"/>
                    <w:bottom w:val="none" w:sz="0" w:space="0" w:color="auto"/>
                    <w:right w:val="none" w:sz="0" w:space="0" w:color="auto"/>
                  </w:divBdr>
                </w:div>
              </w:divsChild>
            </w:div>
            <w:div w:id="1086263516">
              <w:marLeft w:val="0"/>
              <w:marRight w:val="0"/>
              <w:marTop w:val="0"/>
              <w:marBottom w:val="240"/>
              <w:divBdr>
                <w:top w:val="none" w:sz="0" w:space="0" w:color="auto"/>
                <w:left w:val="none" w:sz="0" w:space="0" w:color="auto"/>
                <w:bottom w:val="none" w:sz="0" w:space="0" w:color="auto"/>
                <w:right w:val="none" w:sz="0" w:space="0" w:color="auto"/>
              </w:divBdr>
              <w:divsChild>
                <w:div w:id="588077104">
                  <w:marLeft w:val="360"/>
                  <w:marRight w:val="96"/>
                  <w:marTop w:val="0"/>
                  <w:marBottom w:val="0"/>
                  <w:divBdr>
                    <w:top w:val="none" w:sz="0" w:space="0" w:color="auto"/>
                    <w:left w:val="none" w:sz="0" w:space="0" w:color="auto"/>
                    <w:bottom w:val="none" w:sz="0" w:space="0" w:color="auto"/>
                    <w:right w:val="none" w:sz="0" w:space="0" w:color="auto"/>
                  </w:divBdr>
                </w:div>
              </w:divsChild>
            </w:div>
            <w:div w:id="1290672268">
              <w:marLeft w:val="0"/>
              <w:marRight w:val="0"/>
              <w:marTop w:val="0"/>
              <w:marBottom w:val="240"/>
              <w:divBdr>
                <w:top w:val="none" w:sz="0" w:space="0" w:color="auto"/>
                <w:left w:val="none" w:sz="0" w:space="0" w:color="auto"/>
                <w:bottom w:val="none" w:sz="0" w:space="0" w:color="auto"/>
                <w:right w:val="none" w:sz="0" w:space="0" w:color="auto"/>
              </w:divBdr>
              <w:divsChild>
                <w:div w:id="1922643417">
                  <w:marLeft w:val="360"/>
                  <w:marRight w:val="96"/>
                  <w:marTop w:val="0"/>
                  <w:marBottom w:val="0"/>
                  <w:divBdr>
                    <w:top w:val="none" w:sz="0" w:space="0" w:color="auto"/>
                    <w:left w:val="none" w:sz="0" w:space="0" w:color="auto"/>
                    <w:bottom w:val="none" w:sz="0" w:space="0" w:color="auto"/>
                    <w:right w:val="none" w:sz="0" w:space="0" w:color="auto"/>
                  </w:divBdr>
                </w:div>
              </w:divsChild>
            </w:div>
            <w:div w:id="1642614412">
              <w:marLeft w:val="0"/>
              <w:marRight w:val="0"/>
              <w:marTop w:val="0"/>
              <w:marBottom w:val="0"/>
              <w:divBdr>
                <w:top w:val="none" w:sz="0" w:space="0" w:color="auto"/>
                <w:left w:val="none" w:sz="0" w:space="0" w:color="auto"/>
                <w:bottom w:val="none" w:sz="0" w:space="0" w:color="auto"/>
                <w:right w:val="none" w:sz="0" w:space="0" w:color="auto"/>
              </w:divBdr>
              <w:divsChild>
                <w:div w:id="1982154853">
                  <w:marLeft w:val="360"/>
                  <w:marRight w:val="96"/>
                  <w:marTop w:val="0"/>
                  <w:marBottom w:val="0"/>
                  <w:divBdr>
                    <w:top w:val="none" w:sz="0" w:space="0" w:color="auto"/>
                    <w:left w:val="none" w:sz="0" w:space="0" w:color="auto"/>
                    <w:bottom w:val="none" w:sz="0" w:space="0" w:color="auto"/>
                    <w:right w:val="none" w:sz="0" w:space="0" w:color="auto"/>
                  </w:divBdr>
                </w:div>
              </w:divsChild>
            </w:div>
            <w:div w:id="1821077716">
              <w:marLeft w:val="0"/>
              <w:marRight w:val="0"/>
              <w:marTop w:val="0"/>
              <w:marBottom w:val="240"/>
              <w:divBdr>
                <w:top w:val="none" w:sz="0" w:space="0" w:color="auto"/>
                <w:left w:val="none" w:sz="0" w:space="0" w:color="auto"/>
                <w:bottom w:val="none" w:sz="0" w:space="0" w:color="auto"/>
                <w:right w:val="none" w:sz="0" w:space="0" w:color="auto"/>
              </w:divBdr>
              <w:divsChild>
                <w:div w:id="99880122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875383962">
      <w:bodyDiv w:val="1"/>
      <w:marLeft w:val="0"/>
      <w:marRight w:val="0"/>
      <w:marTop w:val="0"/>
      <w:marBottom w:val="0"/>
      <w:divBdr>
        <w:top w:val="none" w:sz="0" w:space="0" w:color="auto"/>
        <w:left w:val="none" w:sz="0" w:space="0" w:color="auto"/>
        <w:bottom w:val="none" w:sz="0" w:space="0" w:color="auto"/>
        <w:right w:val="none" w:sz="0" w:space="0" w:color="auto"/>
      </w:divBdr>
      <w:divsChild>
        <w:div w:id="1806776313">
          <w:marLeft w:val="0"/>
          <w:marRight w:val="0"/>
          <w:marTop w:val="0"/>
          <w:marBottom w:val="0"/>
          <w:divBdr>
            <w:top w:val="none" w:sz="0" w:space="0" w:color="auto"/>
            <w:left w:val="none" w:sz="0" w:space="0" w:color="auto"/>
            <w:bottom w:val="none" w:sz="0" w:space="0" w:color="auto"/>
            <w:right w:val="none" w:sz="0" w:space="0" w:color="auto"/>
          </w:divBdr>
          <w:divsChild>
            <w:div w:id="480200335">
              <w:marLeft w:val="0"/>
              <w:marRight w:val="0"/>
              <w:marTop w:val="0"/>
              <w:marBottom w:val="0"/>
              <w:divBdr>
                <w:top w:val="none" w:sz="0" w:space="0" w:color="auto"/>
                <w:left w:val="none" w:sz="0" w:space="0" w:color="auto"/>
                <w:bottom w:val="none" w:sz="0" w:space="0" w:color="auto"/>
                <w:right w:val="none" w:sz="0" w:space="0" w:color="auto"/>
              </w:divBdr>
              <w:divsChild>
                <w:div w:id="147595172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883863584">
      <w:bodyDiv w:val="1"/>
      <w:marLeft w:val="0"/>
      <w:marRight w:val="0"/>
      <w:marTop w:val="0"/>
      <w:marBottom w:val="0"/>
      <w:divBdr>
        <w:top w:val="none" w:sz="0" w:space="0" w:color="auto"/>
        <w:left w:val="none" w:sz="0" w:space="0" w:color="auto"/>
        <w:bottom w:val="none" w:sz="0" w:space="0" w:color="auto"/>
        <w:right w:val="none" w:sz="0" w:space="0" w:color="auto"/>
      </w:divBdr>
    </w:div>
    <w:div w:id="1921405413">
      <w:bodyDiv w:val="1"/>
      <w:marLeft w:val="0"/>
      <w:marRight w:val="0"/>
      <w:marTop w:val="0"/>
      <w:marBottom w:val="0"/>
      <w:divBdr>
        <w:top w:val="none" w:sz="0" w:space="0" w:color="auto"/>
        <w:left w:val="none" w:sz="0" w:space="0" w:color="auto"/>
        <w:bottom w:val="none" w:sz="0" w:space="0" w:color="auto"/>
        <w:right w:val="none" w:sz="0" w:space="0" w:color="auto"/>
      </w:divBdr>
      <w:divsChild>
        <w:div w:id="2031568824">
          <w:marLeft w:val="0"/>
          <w:marRight w:val="0"/>
          <w:marTop w:val="0"/>
          <w:marBottom w:val="0"/>
          <w:divBdr>
            <w:top w:val="none" w:sz="0" w:space="0" w:color="auto"/>
            <w:left w:val="none" w:sz="0" w:space="0" w:color="auto"/>
            <w:bottom w:val="none" w:sz="0" w:space="0" w:color="auto"/>
            <w:right w:val="none" w:sz="0" w:space="0" w:color="auto"/>
          </w:divBdr>
          <w:divsChild>
            <w:div w:id="825247111">
              <w:marLeft w:val="0"/>
              <w:marRight w:val="0"/>
              <w:marTop w:val="0"/>
              <w:marBottom w:val="0"/>
              <w:divBdr>
                <w:top w:val="none" w:sz="0" w:space="0" w:color="auto"/>
                <w:left w:val="none" w:sz="0" w:space="0" w:color="auto"/>
                <w:bottom w:val="none" w:sz="0" w:space="0" w:color="auto"/>
                <w:right w:val="none" w:sz="0" w:space="0" w:color="auto"/>
              </w:divBdr>
              <w:divsChild>
                <w:div w:id="201622069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956709347">
      <w:bodyDiv w:val="1"/>
      <w:marLeft w:val="0"/>
      <w:marRight w:val="0"/>
      <w:marTop w:val="0"/>
      <w:marBottom w:val="0"/>
      <w:divBdr>
        <w:top w:val="none" w:sz="0" w:space="0" w:color="auto"/>
        <w:left w:val="none" w:sz="0" w:space="0" w:color="auto"/>
        <w:bottom w:val="none" w:sz="0" w:space="0" w:color="auto"/>
        <w:right w:val="none" w:sz="0" w:space="0" w:color="auto"/>
      </w:divBdr>
      <w:divsChild>
        <w:div w:id="478114477">
          <w:marLeft w:val="0"/>
          <w:marRight w:val="0"/>
          <w:marTop w:val="0"/>
          <w:marBottom w:val="0"/>
          <w:divBdr>
            <w:top w:val="none" w:sz="0" w:space="0" w:color="auto"/>
            <w:left w:val="none" w:sz="0" w:space="0" w:color="auto"/>
            <w:bottom w:val="none" w:sz="0" w:space="0" w:color="auto"/>
            <w:right w:val="none" w:sz="0" w:space="0" w:color="auto"/>
          </w:divBdr>
          <w:divsChild>
            <w:div w:id="1102074109">
              <w:marLeft w:val="0"/>
              <w:marRight w:val="0"/>
              <w:marTop w:val="0"/>
              <w:marBottom w:val="0"/>
              <w:divBdr>
                <w:top w:val="none" w:sz="0" w:space="0" w:color="auto"/>
                <w:left w:val="none" w:sz="0" w:space="0" w:color="auto"/>
                <w:bottom w:val="none" w:sz="0" w:space="0" w:color="auto"/>
                <w:right w:val="none" w:sz="0" w:space="0" w:color="auto"/>
              </w:divBdr>
              <w:divsChild>
                <w:div w:id="195875844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05284016">
      <w:bodyDiv w:val="1"/>
      <w:marLeft w:val="0"/>
      <w:marRight w:val="0"/>
      <w:marTop w:val="0"/>
      <w:marBottom w:val="0"/>
      <w:divBdr>
        <w:top w:val="none" w:sz="0" w:space="0" w:color="auto"/>
        <w:left w:val="none" w:sz="0" w:space="0" w:color="auto"/>
        <w:bottom w:val="none" w:sz="0" w:space="0" w:color="auto"/>
        <w:right w:val="none" w:sz="0" w:space="0" w:color="auto"/>
      </w:divBdr>
      <w:divsChild>
        <w:div w:id="581182466">
          <w:marLeft w:val="0"/>
          <w:marRight w:val="0"/>
          <w:marTop w:val="0"/>
          <w:marBottom w:val="0"/>
          <w:divBdr>
            <w:top w:val="none" w:sz="0" w:space="0" w:color="auto"/>
            <w:left w:val="none" w:sz="0" w:space="0" w:color="auto"/>
            <w:bottom w:val="none" w:sz="0" w:space="0" w:color="auto"/>
            <w:right w:val="none" w:sz="0" w:space="0" w:color="auto"/>
          </w:divBdr>
          <w:divsChild>
            <w:div w:id="1180581746">
              <w:marLeft w:val="0"/>
              <w:marRight w:val="0"/>
              <w:marTop w:val="0"/>
              <w:marBottom w:val="0"/>
              <w:divBdr>
                <w:top w:val="none" w:sz="0" w:space="0" w:color="auto"/>
                <w:left w:val="none" w:sz="0" w:space="0" w:color="auto"/>
                <w:bottom w:val="none" w:sz="0" w:space="0" w:color="auto"/>
                <w:right w:val="none" w:sz="0" w:space="0" w:color="auto"/>
              </w:divBdr>
              <w:divsChild>
                <w:div w:id="129710516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63168825">
      <w:bodyDiv w:val="1"/>
      <w:marLeft w:val="0"/>
      <w:marRight w:val="0"/>
      <w:marTop w:val="0"/>
      <w:marBottom w:val="0"/>
      <w:divBdr>
        <w:top w:val="none" w:sz="0" w:space="0" w:color="auto"/>
        <w:left w:val="none" w:sz="0" w:space="0" w:color="auto"/>
        <w:bottom w:val="none" w:sz="0" w:space="0" w:color="auto"/>
        <w:right w:val="none" w:sz="0" w:space="0" w:color="auto"/>
      </w:divBdr>
      <w:divsChild>
        <w:div w:id="922489797">
          <w:marLeft w:val="0"/>
          <w:marRight w:val="0"/>
          <w:marTop w:val="0"/>
          <w:marBottom w:val="0"/>
          <w:divBdr>
            <w:top w:val="none" w:sz="0" w:space="0" w:color="auto"/>
            <w:left w:val="none" w:sz="0" w:space="0" w:color="auto"/>
            <w:bottom w:val="none" w:sz="0" w:space="0" w:color="auto"/>
            <w:right w:val="none" w:sz="0" w:space="0" w:color="auto"/>
          </w:divBdr>
          <w:divsChild>
            <w:div w:id="15624770">
              <w:marLeft w:val="0"/>
              <w:marRight w:val="0"/>
              <w:marTop w:val="0"/>
              <w:marBottom w:val="240"/>
              <w:divBdr>
                <w:top w:val="none" w:sz="0" w:space="0" w:color="auto"/>
                <w:left w:val="none" w:sz="0" w:space="0" w:color="auto"/>
                <w:bottom w:val="none" w:sz="0" w:space="0" w:color="auto"/>
                <w:right w:val="none" w:sz="0" w:space="0" w:color="auto"/>
              </w:divBdr>
              <w:divsChild>
                <w:div w:id="370884225">
                  <w:marLeft w:val="360"/>
                  <w:marRight w:val="96"/>
                  <w:marTop w:val="0"/>
                  <w:marBottom w:val="0"/>
                  <w:divBdr>
                    <w:top w:val="none" w:sz="0" w:space="0" w:color="auto"/>
                    <w:left w:val="none" w:sz="0" w:space="0" w:color="auto"/>
                    <w:bottom w:val="none" w:sz="0" w:space="0" w:color="auto"/>
                    <w:right w:val="none" w:sz="0" w:space="0" w:color="auto"/>
                  </w:divBdr>
                </w:div>
              </w:divsChild>
            </w:div>
            <w:div w:id="1373770725">
              <w:marLeft w:val="0"/>
              <w:marRight w:val="0"/>
              <w:marTop w:val="0"/>
              <w:marBottom w:val="0"/>
              <w:divBdr>
                <w:top w:val="none" w:sz="0" w:space="0" w:color="auto"/>
                <w:left w:val="none" w:sz="0" w:space="0" w:color="auto"/>
                <w:bottom w:val="none" w:sz="0" w:space="0" w:color="auto"/>
                <w:right w:val="none" w:sz="0" w:space="0" w:color="auto"/>
              </w:divBdr>
              <w:divsChild>
                <w:div w:id="196043958">
                  <w:marLeft w:val="360"/>
                  <w:marRight w:val="96"/>
                  <w:marTop w:val="0"/>
                  <w:marBottom w:val="0"/>
                  <w:divBdr>
                    <w:top w:val="none" w:sz="0" w:space="0" w:color="auto"/>
                    <w:left w:val="none" w:sz="0" w:space="0" w:color="auto"/>
                    <w:bottom w:val="none" w:sz="0" w:space="0" w:color="auto"/>
                    <w:right w:val="none" w:sz="0" w:space="0" w:color="auto"/>
                  </w:divBdr>
                </w:div>
              </w:divsChild>
            </w:div>
            <w:div w:id="2136831148">
              <w:marLeft w:val="0"/>
              <w:marRight w:val="0"/>
              <w:marTop w:val="0"/>
              <w:marBottom w:val="240"/>
              <w:divBdr>
                <w:top w:val="none" w:sz="0" w:space="0" w:color="auto"/>
                <w:left w:val="none" w:sz="0" w:space="0" w:color="auto"/>
                <w:bottom w:val="none" w:sz="0" w:space="0" w:color="auto"/>
                <w:right w:val="none" w:sz="0" w:space="0" w:color="auto"/>
              </w:divBdr>
              <w:divsChild>
                <w:div w:id="153722903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72147594">
      <w:bodyDiv w:val="1"/>
      <w:marLeft w:val="0"/>
      <w:marRight w:val="0"/>
      <w:marTop w:val="0"/>
      <w:marBottom w:val="0"/>
      <w:divBdr>
        <w:top w:val="none" w:sz="0" w:space="0" w:color="auto"/>
        <w:left w:val="none" w:sz="0" w:space="0" w:color="auto"/>
        <w:bottom w:val="none" w:sz="0" w:space="0" w:color="auto"/>
        <w:right w:val="none" w:sz="0" w:space="0" w:color="auto"/>
      </w:divBdr>
      <w:divsChild>
        <w:div w:id="1840727151">
          <w:marLeft w:val="0"/>
          <w:marRight w:val="0"/>
          <w:marTop w:val="0"/>
          <w:marBottom w:val="0"/>
          <w:divBdr>
            <w:top w:val="none" w:sz="0" w:space="0" w:color="auto"/>
            <w:left w:val="none" w:sz="0" w:space="0" w:color="auto"/>
            <w:bottom w:val="none" w:sz="0" w:space="0" w:color="auto"/>
            <w:right w:val="none" w:sz="0" w:space="0" w:color="auto"/>
          </w:divBdr>
          <w:divsChild>
            <w:div w:id="825900586">
              <w:marLeft w:val="0"/>
              <w:marRight w:val="0"/>
              <w:marTop w:val="0"/>
              <w:marBottom w:val="0"/>
              <w:divBdr>
                <w:top w:val="none" w:sz="0" w:space="0" w:color="auto"/>
                <w:left w:val="none" w:sz="0" w:space="0" w:color="auto"/>
                <w:bottom w:val="none" w:sz="0" w:space="0" w:color="auto"/>
                <w:right w:val="none" w:sz="0" w:space="0" w:color="auto"/>
              </w:divBdr>
              <w:divsChild>
                <w:div w:id="15888921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94084058">
      <w:bodyDiv w:val="1"/>
      <w:marLeft w:val="0"/>
      <w:marRight w:val="0"/>
      <w:marTop w:val="0"/>
      <w:marBottom w:val="0"/>
      <w:divBdr>
        <w:top w:val="none" w:sz="0" w:space="0" w:color="auto"/>
        <w:left w:val="none" w:sz="0" w:space="0" w:color="auto"/>
        <w:bottom w:val="none" w:sz="0" w:space="0" w:color="auto"/>
        <w:right w:val="none" w:sz="0" w:space="0" w:color="auto"/>
      </w:divBdr>
    </w:div>
    <w:div w:id="2094736011">
      <w:bodyDiv w:val="1"/>
      <w:marLeft w:val="0"/>
      <w:marRight w:val="0"/>
      <w:marTop w:val="0"/>
      <w:marBottom w:val="0"/>
      <w:divBdr>
        <w:top w:val="none" w:sz="0" w:space="0" w:color="auto"/>
        <w:left w:val="none" w:sz="0" w:space="0" w:color="auto"/>
        <w:bottom w:val="none" w:sz="0" w:space="0" w:color="auto"/>
        <w:right w:val="none" w:sz="0" w:space="0" w:color="auto"/>
      </w:divBdr>
      <w:divsChild>
        <w:div w:id="1555002870">
          <w:marLeft w:val="0"/>
          <w:marRight w:val="0"/>
          <w:marTop w:val="0"/>
          <w:marBottom w:val="0"/>
          <w:divBdr>
            <w:top w:val="none" w:sz="0" w:space="0" w:color="auto"/>
            <w:left w:val="none" w:sz="0" w:space="0" w:color="auto"/>
            <w:bottom w:val="none" w:sz="0" w:space="0" w:color="auto"/>
            <w:right w:val="none" w:sz="0" w:space="0" w:color="auto"/>
          </w:divBdr>
          <w:divsChild>
            <w:div w:id="640118780">
              <w:marLeft w:val="0"/>
              <w:marRight w:val="0"/>
              <w:marTop w:val="0"/>
              <w:marBottom w:val="240"/>
              <w:divBdr>
                <w:top w:val="none" w:sz="0" w:space="0" w:color="auto"/>
                <w:left w:val="none" w:sz="0" w:space="0" w:color="auto"/>
                <w:bottom w:val="none" w:sz="0" w:space="0" w:color="auto"/>
                <w:right w:val="none" w:sz="0" w:space="0" w:color="auto"/>
              </w:divBdr>
              <w:divsChild>
                <w:div w:id="637149264">
                  <w:marLeft w:val="360"/>
                  <w:marRight w:val="96"/>
                  <w:marTop w:val="0"/>
                  <w:marBottom w:val="0"/>
                  <w:divBdr>
                    <w:top w:val="none" w:sz="0" w:space="0" w:color="auto"/>
                    <w:left w:val="none" w:sz="0" w:space="0" w:color="auto"/>
                    <w:bottom w:val="none" w:sz="0" w:space="0" w:color="auto"/>
                    <w:right w:val="none" w:sz="0" w:space="0" w:color="auto"/>
                  </w:divBdr>
                </w:div>
              </w:divsChild>
            </w:div>
            <w:div w:id="1304775021">
              <w:marLeft w:val="0"/>
              <w:marRight w:val="0"/>
              <w:marTop w:val="0"/>
              <w:marBottom w:val="240"/>
              <w:divBdr>
                <w:top w:val="none" w:sz="0" w:space="0" w:color="auto"/>
                <w:left w:val="none" w:sz="0" w:space="0" w:color="auto"/>
                <w:bottom w:val="none" w:sz="0" w:space="0" w:color="auto"/>
                <w:right w:val="none" w:sz="0" w:space="0" w:color="auto"/>
              </w:divBdr>
              <w:divsChild>
                <w:div w:id="1080056076">
                  <w:marLeft w:val="360"/>
                  <w:marRight w:val="96"/>
                  <w:marTop w:val="0"/>
                  <w:marBottom w:val="0"/>
                  <w:divBdr>
                    <w:top w:val="none" w:sz="0" w:space="0" w:color="auto"/>
                    <w:left w:val="none" w:sz="0" w:space="0" w:color="auto"/>
                    <w:bottom w:val="none" w:sz="0" w:space="0" w:color="auto"/>
                    <w:right w:val="none" w:sz="0" w:space="0" w:color="auto"/>
                  </w:divBdr>
                </w:div>
              </w:divsChild>
            </w:div>
            <w:div w:id="1428578156">
              <w:marLeft w:val="0"/>
              <w:marRight w:val="0"/>
              <w:marTop w:val="0"/>
              <w:marBottom w:val="0"/>
              <w:divBdr>
                <w:top w:val="none" w:sz="0" w:space="0" w:color="auto"/>
                <w:left w:val="none" w:sz="0" w:space="0" w:color="auto"/>
                <w:bottom w:val="none" w:sz="0" w:space="0" w:color="auto"/>
                <w:right w:val="none" w:sz="0" w:space="0" w:color="auto"/>
              </w:divBdr>
              <w:divsChild>
                <w:div w:id="1821728150">
                  <w:marLeft w:val="360"/>
                  <w:marRight w:val="96"/>
                  <w:marTop w:val="0"/>
                  <w:marBottom w:val="0"/>
                  <w:divBdr>
                    <w:top w:val="none" w:sz="0" w:space="0" w:color="auto"/>
                    <w:left w:val="none" w:sz="0" w:space="0" w:color="auto"/>
                    <w:bottom w:val="none" w:sz="0" w:space="0" w:color="auto"/>
                    <w:right w:val="none" w:sz="0" w:space="0" w:color="auto"/>
                  </w:divBdr>
                </w:div>
              </w:divsChild>
            </w:div>
            <w:div w:id="1479953151">
              <w:marLeft w:val="0"/>
              <w:marRight w:val="0"/>
              <w:marTop w:val="0"/>
              <w:marBottom w:val="240"/>
              <w:divBdr>
                <w:top w:val="none" w:sz="0" w:space="0" w:color="auto"/>
                <w:left w:val="none" w:sz="0" w:space="0" w:color="auto"/>
                <w:bottom w:val="none" w:sz="0" w:space="0" w:color="auto"/>
                <w:right w:val="none" w:sz="0" w:space="0" w:color="auto"/>
              </w:divBdr>
              <w:divsChild>
                <w:div w:id="82852097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98936067">
      <w:bodyDiv w:val="1"/>
      <w:marLeft w:val="0"/>
      <w:marRight w:val="0"/>
      <w:marTop w:val="0"/>
      <w:marBottom w:val="0"/>
      <w:divBdr>
        <w:top w:val="none" w:sz="0" w:space="0" w:color="auto"/>
        <w:left w:val="none" w:sz="0" w:space="0" w:color="auto"/>
        <w:bottom w:val="none" w:sz="0" w:space="0" w:color="auto"/>
        <w:right w:val="none" w:sz="0" w:space="0" w:color="auto"/>
      </w:divBdr>
      <w:divsChild>
        <w:div w:id="42220318">
          <w:marLeft w:val="0"/>
          <w:marRight w:val="0"/>
          <w:marTop w:val="0"/>
          <w:marBottom w:val="0"/>
          <w:divBdr>
            <w:top w:val="none" w:sz="0" w:space="0" w:color="auto"/>
            <w:left w:val="none" w:sz="0" w:space="0" w:color="auto"/>
            <w:bottom w:val="none" w:sz="0" w:space="0" w:color="auto"/>
            <w:right w:val="none" w:sz="0" w:space="0" w:color="auto"/>
          </w:divBdr>
          <w:divsChild>
            <w:div w:id="252666727">
              <w:marLeft w:val="0"/>
              <w:marRight w:val="0"/>
              <w:marTop w:val="0"/>
              <w:marBottom w:val="0"/>
              <w:divBdr>
                <w:top w:val="none" w:sz="0" w:space="0" w:color="auto"/>
                <w:left w:val="none" w:sz="0" w:space="0" w:color="auto"/>
                <w:bottom w:val="none" w:sz="0" w:space="0" w:color="auto"/>
                <w:right w:val="none" w:sz="0" w:space="0" w:color="auto"/>
              </w:divBdr>
              <w:divsChild>
                <w:div w:id="136755760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130053115">
      <w:bodyDiv w:val="1"/>
      <w:marLeft w:val="0"/>
      <w:marRight w:val="0"/>
      <w:marTop w:val="0"/>
      <w:marBottom w:val="0"/>
      <w:divBdr>
        <w:top w:val="none" w:sz="0" w:space="0" w:color="auto"/>
        <w:left w:val="none" w:sz="0" w:space="0" w:color="auto"/>
        <w:bottom w:val="none" w:sz="0" w:space="0" w:color="auto"/>
        <w:right w:val="none" w:sz="0" w:space="0" w:color="auto"/>
      </w:divBdr>
    </w:div>
    <w:div w:id="213990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04237-A4A2-4D1A-BDD7-B27F2F81553D}">
  <ds:schemaRefs>
    <ds:schemaRef ds:uri="http://schemas.openxmlformats.org/officeDocument/2006/bibliography"/>
  </ds:schemaRefs>
</ds:datastoreItem>
</file>

<file path=customXml/itemProps2.xml><?xml version="1.0" encoding="utf-8"?>
<ds:datastoreItem xmlns:ds="http://schemas.openxmlformats.org/officeDocument/2006/customXml" ds:itemID="{5E0CAB31-D461-4FBF-81C9-CE2D01E65A69}">
  <ds:schemaRefs>
    <ds:schemaRef ds:uri="http://schemas.openxmlformats.org/officeDocument/2006/bibliography"/>
  </ds:schemaRefs>
</ds:datastoreItem>
</file>

<file path=customXml/itemProps3.xml><?xml version="1.0" encoding="utf-8"?>
<ds:datastoreItem xmlns:ds="http://schemas.openxmlformats.org/officeDocument/2006/customXml" ds:itemID="{EC057723-276C-43E4-9104-31BA9A25A673}">
  <ds:schemaRefs>
    <ds:schemaRef ds:uri="http://schemas.openxmlformats.org/officeDocument/2006/bibliography"/>
  </ds:schemaRefs>
</ds:datastoreItem>
</file>

<file path=customXml/itemProps4.xml><?xml version="1.0" encoding="utf-8"?>
<ds:datastoreItem xmlns:ds="http://schemas.openxmlformats.org/officeDocument/2006/customXml" ds:itemID="{D2D188C9-ADD4-4B9E-AA95-41B538E62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42</Pages>
  <Words>66563</Words>
  <Characters>379410</Characters>
  <Application>Microsoft Office Word</Application>
  <DocSecurity>0</DocSecurity>
  <Lines>3161</Lines>
  <Paragraphs>890</Paragraphs>
  <ScaleCrop>false</ScaleCrop>
  <HeadingPairs>
    <vt:vector size="2" baseType="variant">
      <vt:variant>
        <vt:lpstr>Title</vt:lpstr>
      </vt:variant>
      <vt:variant>
        <vt:i4>1</vt:i4>
      </vt:variant>
    </vt:vector>
  </HeadingPairs>
  <TitlesOfParts>
    <vt:vector size="1" baseType="lpstr">
      <vt:lpstr/>
    </vt:vector>
  </TitlesOfParts>
  <Company>Institute for Health Metrics and Evaluation</Company>
  <LinksUpToDate>false</LinksUpToDate>
  <CharactersWithSpaces>445083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 Murray</dc:creator>
  <cp:lastModifiedBy>Charles T. Atkinson</cp:lastModifiedBy>
  <cp:revision>29</cp:revision>
  <cp:lastPrinted>2012-09-21T18:58:00Z</cp:lastPrinted>
  <dcterms:created xsi:type="dcterms:W3CDTF">2012-09-21T04:23:00Z</dcterms:created>
  <dcterms:modified xsi:type="dcterms:W3CDTF">2012-10-15T18:14:00Z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zotero-version="3.0.8"&gt;&lt;session id="adgpmfPq"/&gt;&lt;style id="http://www.zotero.org/styles/lancet" hasBibliography="1" bibliographyStyleHasBeenSet="1"/&gt;&lt;prefs&gt;&lt;pref name="fieldType" value="Field"/&gt;&lt;pref name="storeReferences" value="tru</vt:lpwstr>
  </property>
  <property fmtid="{D5CDD505-2E9C-101B-9397-08002B2CF9AE}" pid="3" name="ZOTERO_PREF_2">
    <vt:lpwstr>e"/&gt;&lt;pref name="noteType" value="0"/&gt;&lt;/prefs&gt;&lt;/data&gt;</vt:lpwstr>
  </property>
</Properties>
</file>