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w="http://schemas.openxmlformats.org/wordprocessingml/2006/main">
  <w:body>
    <w:p>
      <w:pPr>
        <w:pageBreakBefore w:val="true"/>
        <w:spacing w:line="240" w:lineRule="auto" w:after="0" w:before="0"/>
        <w:ind w:right="0" w:left="0"/>
      </w:pPr>
    </w:p>
    <w:p>
      <w:pPr>
        <w:spacing w:line="240" w:lineRule="auto" w:after="0" w:before="0"/>
        <w:ind w:right="0" w:left="0"/>
      </w:pPr>
      <w:r>
        <w:rPr>
          <w:rFonts w:ascii="Arial" w:hAnsi="Arial" w:cs="Arial" w:eastAsia="Arial"/>
          <w:b w:val="true"/>
          <w:sz w:val="68"/>
        </w:rPr>
        <w:t>N</w:t>
      </w:r>
      <w:r>
        <w:rPr>
          <w:rFonts w:ascii="Arial" w:hAnsi="Arial" w:cs="Arial" w:eastAsia="Arial"/>
          <w:b w:val="true"/>
          <w:sz w:val="68"/>
        </w:rPr>
        <w:t>icotine-Induced Autonomic Dysregulation: The Interplay of Dysautonomia, Mast Cell Activation, and CYP2A6 Genetic Polymorphisms</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Abstract</w:t>
      </w:r>
    </w:p>
    <w:p>
      <w:pPr>
        <w:spacing w:line="240" w:lineRule="auto" w:after="0" w:before="0"/>
        <w:ind w:right="0" w:left="0"/>
      </w:pPr>
      <w:r>
        <w:rPr>
          <w:rFonts w:ascii="Arial" w:hAnsi="Arial" w:cs="Arial" w:eastAsia="Arial"/>
          <w:sz w:val="54"/>
        </w:rPr>
        <w:t xml:space="preserve">This paper examines the complex pathophysiological mechanisms underlying extreme somatic hypersensitivity to low-dose nicotine, mimicking presentations of Cyclic Vomiting Syndrome (CVS). While typically characterized by acute toxic profiles, certain patient populations exhibit a profound, prolonged neuro-inflammatory and gastrointestinal response to minimal alkaloid exposure. This paper hypothesizes that this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clinical phenotype is driven by a primary baseline of dysautonomia and Mast Cell Activation Syndrome (MCAS), wherein nicotine serves as a potent destabilizing trigger. This autonomic imbalance is chronically exacerbated by genetic variations in the cytochrome P450 2A6 (CYP2A6) enzyme, which delays metabolic clearance. The resulting prolonged receptor binding drives severe vagal nerve dysfunction and gastrointestinal dysmotility.</w:t>
      </w:r>
    </w:p>
    <w:p>
      <w:pPr>
        <w:spacing w:line="240" w:lineRule="auto" w:after="0" w:before="0"/>
        <w:ind w:right="0" w:left="0"/>
      </w:pPr>
      <w:r>
        <w:rPr>
          <w:rFonts w:ascii="Arial" w:hAnsi="Arial" w:cs="Arial" w:eastAsia="Arial"/>
          <w:i w:val="true"/>
          <w:sz w:val="54"/>
        </w:rPr>
        <w:t>Keywords:</w:t>
      </w:r>
      <w:r>
        <w:rPr>
          <w:rFonts w:ascii="Arial" w:hAnsi="Arial" w:cs="Arial" w:eastAsia="Arial"/>
          <w:sz w:val="54"/>
        </w:rPr>
        <w:t xml:space="preserve"> Nicotine hypersensitivity, dysautonomia, mast cell activation syndrome, CYP2A6, vagus nerve, cyclic vomiting.</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Introduction</w:t>
      </w:r>
    </w:p>
    <w:p>
      <w:pPr>
        <w:spacing w:line="240" w:lineRule="auto" w:after="0" w:before="0"/>
        <w:ind w:right="0" w:left="0"/>
      </w:pPr>
      <w:r>
        <w:rPr>
          <w:rFonts w:ascii="Arial" w:hAnsi="Arial" w:cs="Arial" w:eastAsia="Arial"/>
          <w:sz w:val="54"/>
        </w:rPr>
        <w:t xml:space="preserve">Nicotine is a potent parasympathomimetic alkaloid that exerts its primary physiological effects by binding to nicotinic acetylcholine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receptors ($\text{nAChRs}$) widely distributed throughout the central and peripheral nervous systems. In standard toxicology, acute high-dose exposure induces predictable emetic and autonomic responses, colloquially known as "nicotine poisoning." However, a subset of patients exhibits a highly reactive phenotype, demonstrating chronic, cyclical gastrointestinal distress and neuro-inflammatory symptoms following exposure to trace or minimal quantities of nicotine.</w:t>
      </w:r>
    </w:p>
    <w:p>
      <w:pPr>
        <w:spacing w:line="240" w:lineRule="auto" w:after="0" w:before="0"/>
        <w:ind w:right="0" w:left="0"/>
      </w:pPr>
      <w:r>
        <w:rPr>
          <w:rFonts w:ascii="Arial" w:hAnsi="Arial" w:cs="Arial" w:eastAsia="Arial"/>
          <w:sz w:val="54"/>
        </w:rPr>
        <w:t xml:space="preserve">Rather than representing a novel isolated disease, this hypersensitivity response arises from a convergence of underlying autonomic vulnerability and impaired metabolic clearance. This paper explores the triad of dysautonomia, Mast Cell Activation Syndrome (MCAS), and cytochrome P450 2A6 (CYP2A6) genetic polymorphisms to elucidate how trace nicotine exposure can precipitate a chronic, low-grade clinical presentation akin to Cyclic Vomiting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Syndrome (CVS).</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Pathophysiological Mechanisms</w:t>
      </w:r>
    </w:p>
    <w:p>
      <w:pPr>
        <w:spacing w:line="240" w:lineRule="auto" w:after="0" w:before="0"/>
        <w:ind w:right="0" w:left="0"/>
      </w:pPr>
      <w:r>
        <w:rPr>
          <w:rFonts w:ascii="Arial" w:hAnsi="Arial" w:cs="Arial" w:eastAsia="Arial"/>
          <w:b w:val="true"/>
          <w:sz w:val="68"/>
        </w:rPr>
        <w:t>The Vulnerable Baseline: Dysautonomia and MCAS</w:t>
      </w:r>
    </w:p>
    <w:p>
      <w:pPr>
        <w:spacing w:line="240" w:lineRule="auto" w:after="0" w:before="0"/>
        <w:ind w:right="0" w:left="0"/>
      </w:pPr>
      <w:r>
        <w:rPr>
          <w:rFonts w:ascii="Arial" w:hAnsi="Arial" w:cs="Arial" w:eastAsia="Arial"/>
          <w:sz w:val="54"/>
        </w:rPr>
        <w:t>In a physiologically resilient individual, low-dose nicotine induces a transient stimulation of the sympathetic and parasympathetic nervous systems, followed by rapid metabolic degradation. However, in patients with a pre-existing, often subclinical baseline of dysautonomia—such as Postural Orthostatic Tachycardia Syndrome (POTS)—the homeostatic mechanisms regulating autonomic tone are fundamentally unstable.</w:t>
      </w:r>
    </w:p>
    <w:p>
      <w:pPr>
        <w:spacing w:line="240" w:lineRule="auto" w:after="0" w:before="0"/>
        <w:ind w:right="0" w:left="0"/>
      </w:pPr>
      <w:r>
        <w:rPr>
          <w:rFonts w:ascii="Arial" w:hAnsi="Arial" w:cs="Arial" w:eastAsia="Arial"/>
          <w:sz w:val="54"/>
        </w:rPr>
        <w:t xml:space="preserve">This instability is frequently compounded by Mast Cell Activation Syndrome (MCAS), a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condition characterized by hyper-reactive immunocytes that inappropriately degranulate and release a cascade of inflammatory mediators, including histamine, tryptase, and cytokines. Crucially, mast cells reside in close anatomical proximity to vagal nerve endings within the gastrointestinal mucosa.</w:t>
      </w:r>
    </w:p>
    <w:p>
      <w:pPr>
        <w:spacing w:line="240" w:lineRule="auto" w:after="0" w:before="0"/>
        <w:ind w:right="0" w:left="0"/>
      </w:pPr>
      <w:r>
        <w:rPr>
          <w:rFonts w:ascii="Arial" w:hAnsi="Arial" w:cs="Arial" w:eastAsia="Arial"/>
          <w:sz w:val="54"/>
        </w:rPr>
        <w:t>When nicotine binds to $\text{nAChRs}$ on hyper-reactive mast cells, it fails to exert its typical anti-inflammatory pathway; instead, it acts as a profound chemical stressor. The resulting degranulation event releases inflammatory mediators directly onto the adjacent vagus nerve fibers, shattering autonomic equilibrium and driving the patient into a severe state of "sympathetic bias" or fight-or-flight overactivation.</w:t>
      </w:r>
    </w:p>
    <w:p>
      <w:pPr>
        <w:spacing w:line="240" w:lineRule="auto" w:after="0" w:before="0"/>
        <w:ind w:right="0" w:left="0"/>
      </w:pPr>
      <w:r>
        <w:rPr>
          <w:rFonts w:ascii="Arial" w:hAnsi="Arial" w:cs="Arial" w:eastAsia="Arial"/>
          <w:b w:val="true"/>
          <w:sz w:val="68"/>
        </w:rPr>
        <w:t>Vagal Nerve Impact and Gastric Dysmotility</w:t>
      </w:r>
    </w:p>
    <w:p>
      <w:pPr>
        <w:spacing w:line="240" w:lineRule="auto" w:after="0" w:before="0"/>
        <w:ind w:right="0" w:left="0"/>
      </w:pPr>
      <w:r>
        <w:rPr>
          <w:rFonts w:ascii="Arial" w:hAnsi="Arial" w:cs="Arial" w:eastAsia="Arial"/>
          <w:sz w:val="54"/>
        </w:rPr>
        <w:t xml:space="preserve">The vagus nerve (Cranial Nerve X) acts as the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primary highway of the gut-brain axis, utilizing cholinergic signaling to modulate gastric motility, enzymatic secretion, and systemic inflammation. Under the influence of mast cell-mediated neuro-inflammation and direct $\text{nAChR}$ hyper-activation, vagal signaling becomes severely impaired.</w:t>
      </w:r>
    </w:p>
    <w:p>
      <w:pPr>
        <w:spacing w:line="240" w:lineRule="auto" w:after="0" w:before="0"/>
        <w:ind w:right="0" w:left="0"/>
      </w:pPr>
      <w:r>
        <w:rPr>
          <w:rFonts w:ascii="Arial" w:hAnsi="Arial" w:cs="Arial" w:eastAsia="Arial"/>
          <w:sz w:val="54"/>
        </w:rPr>
        <w:t>This manifests primarily as profound gastric stasis and delayed gastric emptying. As bolus transit slows, the mechanoreceptors and chemoreceptors of the stomach wall become chronically irritated. Combined with the heightened central emetic reflex caused by autonomic instability, the patient experiences severe morning nausea, intractable dry heaving, and periodic, unprovoked bouts of cyclical vomiting that mirror the clinical diagnostic criteria for CVS.</w:t>
      </w:r>
    </w:p>
    <w:p>
      <w:pPr>
        <w:spacing w:line="240" w:lineRule="auto" w:after="0" w:before="0"/>
        <w:ind w:right="0" w:left="0"/>
      </w:pPr>
      <w:r>
        <w:rPr>
          <w:rFonts w:ascii="Arial" w:hAnsi="Arial" w:cs="Arial" w:eastAsia="Arial"/>
          <w:b w:val="true"/>
          <w:sz w:val="68"/>
        </w:rPr>
        <w:t>The CYP2A6 Polymorphism: A Metabolic Amplifier</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 xml:space="preserve">The primary source of long-term symptom chronicity in these highly reactive patients is a genetic predisposition toward low or absent production of the liver enzyme </w:t>
      </w:r>
      <w:r>
        <w:rPr>
          <w:rFonts w:ascii="Arial" w:hAnsi="Arial" w:cs="Arial" w:eastAsia="Arial"/>
          <w:sz w:val="54"/>
        </w:rPr>
        <w:t>CYP2A6</w:t>
      </w:r>
      <w:r>
        <w:rPr>
          <w:rFonts w:ascii="Arial" w:hAnsi="Arial" w:cs="Arial" w:eastAsia="Arial"/>
          <w:sz w:val="54"/>
        </w:rPr>
        <w:t>. This specific cytochrome P450 enzyme is responsible for metabolizing approximately 90% of systemic nicotine into its inactive metabolite, cotinine.</w:t>
      </w:r>
    </w:p>
    <w:p>
      <w:pPr>
        <w:spacing w:line="240" w:lineRule="auto" w:after="0" w:before="0"/>
        <w:ind w:right="0" w:left="0"/>
      </w:pPr>
      <w:r>
        <w:rPr>
          <w:rFonts w:ascii="Arial" w:hAnsi="Arial" w:cs="Arial" w:eastAsia="Arial"/>
          <w:sz w:val="54"/>
        </w:rPr>
        <w:t xml:space="preserve">$$\text{Nicotine} \xrightarrow{\text{CYP2A6}} \text{Cotinine}$$ </w:t>
      </w:r>
    </w:p>
    <w:p>
      <w:pPr>
        <w:spacing w:line="240" w:lineRule="auto" w:after="0" w:before="0"/>
        <w:ind w:right="0" w:left="0"/>
      </w:pPr>
      <w:r>
        <w:rPr>
          <w:rFonts w:ascii="Arial" w:hAnsi="Arial" w:cs="Arial" w:eastAsia="Arial"/>
          <w:sz w:val="54"/>
        </w:rPr>
        <w:t>In a patient with a "poor metabolizer" CYP2A6 genotype, the clearance half-life of even a microscopic dose of nicotine is exponentially extended. The relationship between enzyme deficiency and prolonged systemic circulation can be conceptualized through standard first-order pharmacokinetic clearance models:</w:t>
      </w:r>
    </w:p>
    <w:p>
      <w:pPr>
        <w:spacing w:line="240" w:lineRule="auto" w:after="0" w:before="0"/>
        <w:ind w:right="0" w:left="0"/>
      </w:pPr>
      <w:r>
        <w:rPr>
          <w:rFonts w:ascii="Arial" w:hAnsi="Arial" w:cs="Arial" w:eastAsia="Arial"/>
          <w:sz w:val="54"/>
        </w:rPr>
        <w:t xml:space="preserve">$$C(t) = C_0 e^{-kt}$$ </w:t>
      </w:r>
    </w:p>
    <w:p>
      <w:pPr>
        <w:spacing w:line="240" w:lineRule="auto" w:after="0" w:before="0"/>
        <w:ind w:right="0" w:left="0"/>
      </w:pPr>
      <w:r>
        <w:rPr>
          <w:rFonts w:ascii="Arial" w:hAnsi="Arial" w:cs="Arial" w:eastAsia="Arial"/>
          <w:sz w:val="54"/>
        </w:rPr>
        <w:t xml:space="preserve">Where $C(t)$ represents the systemic concentration over time, $C_0$ is the initial absorbed dose, and $k$ is the elimination rate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constant. In a CYP2A6-deficient individual, the elimination rate constant ($k$) is drastically reduced, causing the systemic concentration to remain elevated far longer than normal.</w:t>
      </w:r>
    </w:p>
    <w:p>
      <w:pPr>
        <w:spacing w:line="240" w:lineRule="auto" w:after="0" w:before="0"/>
        <w:ind w:right="0" w:left="0"/>
      </w:pPr>
      <w:r>
        <w:rPr>
          <w:rFonts w:ascii="Arial" w:hAnsi="Arial" w:cs="Arial" w:eastAsia="Arial"/>
          <w:sz w:val="54"/>
        </w:rPr>
        <w:t>Consequently, instead of a brief, transient autonomic flare-up, the circulating nicotine continuously binds to and desensitizes the patient's hypersensitive $\text{nAChRs}$. This prevents the vagus nerve and the autonomic nervous system from returning to baseline homeostasis, transforming a single minor exposure into a prolonged, weeks-long cycle of neuro-inflammatory gastrointestinal distress.</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Conclusion</w:t>
      </w:r>
    </w:p>
    <w:p>
      <w:pPr>
        <w:spacing w:line="240" w:lineRule="auto" w:after="0" w:before="0"/>
        <w:ind w:right="0" w:left="0"/>
      </w:pPr>
      <w:r>
        <w:rPr>
          <w:rFonts w:ascii="Arial" w:hAnsi="Arial" w:cs="Arial" w:eastAsia="Arial"/>
          <w:sz w:val="54"/>
        </w:rPr>
        <w:t xml:space="preserve">The clinical presentation of severe, cyclical gastrointestinal and autonomic distress following low-dose nicotine exposure is not a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direct result of physical structural damage to the vagus nerve. Rather, it represents a complex functional disruption orchestrated by a hyper-reactive immune-neurological axis. A primary baseline of dysautonomia and MCAS provides the necessary physiological vulnerability for severe neuro-inflammation, while a coincidental genetic deficiency in the CYP2A6 enzyme acts as a metabolic amplifier, trapping the toxic trigger within the body. Recognizing this triad is essential for clinicians to avoid misdiagnosing these individuals with idiopathic CVS or standard gastrointestinal disorders.</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 Restatement of the Hypothesis</w:t>
      </w:r>
    </w:p>
    <w:p>
      <w:pPr>
        <w:spacing w:line="240" w:lineRule="auto" w:after="0" w:before="0"/>
        <w:ind w:right="0" w:left="0"/>
      </w:pPr>
      <w:r>
        <w:rPr>
          <w:rFonts w:ascii="Arial" w:hAnsi="Arial" w:cs="Arial" w:eastAsia="Arial"/>
          <w:sz w:val="54"/>
        </w:rPr>
        <w:t xml:space="preserve">The complex interaction of </w:t>
      </w:r>
      <w:r>
        <w:rPr>
          <w:rFonts w:ascii="Arial" w:hAnsi="Arial" w:cs="Arial" w:eastAsia="Arial"/>
          <w:sz w:val="54"/>
        </w:rPr>
        <w:t>underlying dysautonomia and Mast Cell Activation Syndrome (MCAS)</w:t>
      </w:r>
      <w:r>
        <w:rPr>
          <w:rFonts w:ascii="Arial" w:hAnsi="Arial" w:cs="Arial" w:eastAsia="Arial"/>
          <w:sz w:val="54"/>
        </w:rPr>
        <w:t xml:space="preserve"> establishes a highly sensitive </w:t>
      </w:r>
    </w:p>
    <w:p>
      <w:pPr>
        <w:pageBreakBefore w:val="true"/>
        <w:spacing w:line="240" w:lineRule="auto" w:after="0" w:before="0"/>
        <w:ind w:right="0" w:left="0"/>
      </w:pPr>
    </w:p>
    <w:p>
      <w:pPr>
        <w:spacing w:line="240" w:lineRule="auto" w:after="0" w:before="0"/>
        <w:ind w:right="0" w:left="0"/>
      </w:pPr>
      <w:r>
        <w:rPr>
          <w:rFonts w:ascii="Arial" w:hAnsi="Arial" w:cs="Arial" w:eastAsia="Arial"/>
          <w:sz w:val="54"/>
        </w:rPr>
        <w:t xml:space="preserve">neuro-immune environment where </w:t>
      </w:r>
      <w:r>
        <w:rPr>
          <w:rFonts w:ascii="Arial" w:hAnsi="Arial" w:cs="Arial" w:eastAsia="Arial"/>
          <w:sz w:val="54"/>
        </w:rPr>
        <w:t>minimal nicotine intake triggers severe vagal nerve dysfunction</w:t>
      </w:r>
      <w:r>
        <w:rPr>
          <w:rFonts w:ascii="Arial" w:hAnsi="Arial" w:cs="Arial" w:eastAsia="Arial"/>
          <w:sz w:val="54"/>
        </w:rPr>
        <w:t xml:space="preserve">, a presentation that is chronically prolonged due to a </w:t>
      </w:r>
      <w:r>
        <w:rPr>
          <w:rFonts w:ascii="Arial" w:hAnsi="Arial" w:cs="Arial" w:eastAsia="Arial"/>
          <w:sz w:val="54"/>
        </w:rPr>
        <w:t>genetic deficiency in the CYP2A6 liver enzyme</w:t>
      </w: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sz w:val="54"/>
        </w:rPr>
        <w:t>───</w:t>
      </w:r>
    </w:p>
    <w:p>
      <w:pPr>
        <w:spacing w:line="270" w:lineRule="auto" w:after="0" w:before="0"/>
        <w:ind w:right="0" w:left="0"/>
        <w:rPr>
          <w:rFonts w:ascii="Arial" w:hAnsi="Arial" w:cs="Arial"/>
          <w:sz w:val="54"/>
        </w:rPr>
      </w:pPr>
      <w:r/>
    </w:p>
    <w:p>
      <w:pPr>
        <w:spacing w:line="240" w:lineRule="auto" w:after="0" w:before="0"/>
        <w:ind w:right="0" w:left="0"/>
      </w:pPr>
      <w:r>
        <w:rPr>
          <w:rFonts w:ascii="Arial" w:hAnsi="Arial" w:cs="Arial" w:eastAsia="Arial"/>
          <w:b w:val="true"/>
          <w:sz w:val="68"/>
        </w:rPr>
        <w:t>References</w:t>
      </w:r>
    </w:p>
    <w:p>
      <w:pPr>
        <w:numPr>
          <w:numId w:val="1"/>
        </w:numPr>
        <w:spacing w:line="240" w:lineRule="auto" w:after="0" w:before="0"/>
        <w:ind w:right="0" w:left="0"/>
      </w:pPr>
      <w:r>
        <w:rPr>
          <w:rFonts w:ascii="Arial" w:hAnsi="Arial" w:cs="Arial" w:eastAsia="Arial"/>
          <w:sz w:val="54"/>
        </w:rPr>
        <w:t xml:space="preserve">Dysautonomia International. (2024). </w:t>
      </w:r>
      <w:r>
        <w:rPr>
          <w:rFonts w:ascii="Arial" w:hAnsi="Arial" w:cs="Arial" w:eastAsia="Arial"/>
          <w:i w:val="true"/>
          <w:sz w:val="54"/>
        </w:rPr>
        <w:t>Postural orthostatic tachycardia syndrome and autonomic dysregulation syndromes</w:t>
      </w:r>
      <w:r>
        <w:rPr>
          <w:rFonts w:ascii="Arial" w:hAnsi="Arial" w:cs="Arial" w:eastAsia="Arial"/>
          <w:sz w:val="54"/>
        </w:rPr>
        <w:t>. dysautonomiainternational.org</w:t>
      </w:r>
    </w:p>
    <w:p>
      <w:pPr>
        <w:numPr>
          <w:numId w:val="1"/>
        </w:numPr>
        <w:spacing w:line="240" w:lineRule="auto" w:after="0" w:before="0"/>
        <w:ind w:right="0" w:left="0"/>
      </w:pPr>
      <w:r>
        <w:rPr>
          <w:rFonts w:ascii="Arial" w:hAnsi="Arial" w:cs="Arial" w:eastAsia="Arial"/>
          <w:sz w:val="54"/>
        </w:rPr>
        <w:t xml:space="preserve">The Dysautonomia Project. (2025). </w:t>
      </w:r>
      <w:r>
        <w:rPr>
          <w:rFonts w:ascii="Arial" w:hAnsi="Arial" w:cs="Arial" w:eastAsia="Arial"/>
          <w:i w:val="true"/>
          <w:sz w:val="54"/>
        </w:rPr>
        <w:t>Mast cell activation simplified: Understanding the neuro-immune link</w:t>
      </w:r>
      <w:r>
        <w:rPr>
          <w:rFonts w:ascii="Arial" w:hAnsi="Arial" w:cs="Arial" w:eastAsia="Arial"/>
          <w:sz w:val="54"/>
        </w:rPr>
        <w:t>. thedysautonomiaproject.org</w:t>
      </w:r>
    </w:p>
    <w:p>
      <w:pPr>
        <w:numPr>
          <w:numId w:val="1"/>
        </w:numPr>
        <w:spacing w:line="240" w:lineRule="auto" w:after="0" w:before="0"/>
        <w:ind w:right="0" w:left="0"/>
      </w:pPr>
      <w:r>
        <w:rPr>
          <w:rFonts w:ascii="Arial" w:hAnsi="Arial" w:cs="Arial" w:eastAsia="Arial"/>
          <w:sz w:val="54"/>
        </w:rPr>
        <w:t>ScienceDirect</w:t>
      </w:r>
      <w:r>
        <w:rPr>
          <w:rFonts w:ascii="Arial" w:hAnsi="Arial" w:cs="Arial" w:eastAsia="Arial"/>
          <w:sz w:val="54"/>
        </w:rPr>
        <w:t xml:space="preserve">. (2024). </w:t>
      </w:r>
      <w:r>
        <w:rPr>
          <w:rFonts w:ascii="Arial" w:hAnsi="Arial" w:cs="Arial" w:eastAsia="Arial"/>
          <w:i w:val="true"/>
          <w:sz w:val="54"/>
        </w:rPr>
        <w:t>Cyclic vomiting syndrome: From pathophysiology to treatment</w:t>
      </w:r>
      <w:r>
        <w:rPr>
          <w:rFonts w:ascii="Arial" w:hAnsi="Arial" w:cs="Arial" w:eastAsia="Arial"/>
          <w:sz w:val="54"/>
        </w:rPr>
        <w:t>. sciencedirect.com</w:t>
      </w:r>
    </w:p>
    <w:sectPr>
      <w:pgSz w:h="16840" w:w="11900"/>
      <w:pgMar>
        <w:pgMar w:top="0" w:right="375" w:bottom="270" w:left="375" w:header="720" w:footer="720" w:gutter="0"/>
      </w:pgMar>
    </w:sectPr>
  </w:body>
</w:document>
</file>

<file path=word/numbering.xml><?xml version="1.0" encoding="utf-8"?>
<w:numbering xmlns:w="http://schemas.openxmlformats.org/wordprocessingml/2006/main">
  <w:abstractNum w:abstractNumId="0">
    <w:multiLevelType w:val="hybridMultilevel"/>
    <w:lvl>
      <w:start w:val="1"/>
      <w:numFmt w:val="bullet"/>
      <w:lvlText w:val="•"/>
      <w:rPr>
        <w:rFonts w:ascii="Arial" w:hAnsi="Arial"/>
        <w:sz w:val="54"/>
      </w:rPr>
    </w:lvl>
  </w:abstractNum>
  <w:num w:numId="1">
    <w:abstractNumId w:val="0"/>
  </w:num>
</w:numbering>
</file>

<file path=word/settings.xml><?xml version="1.0" encoding="utf-8"?>
<w:setting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numbering" Target="numbering.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2026-06-02T18:10:47Z</dcterms:created>
  <dc:creator>Apache POI</dc:creator>
</cp:coreProperties>
</file>