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0"/>
        <w:jc w:val="center"/>
      </w:pPr>
      <w:r>
        <w:rPr>
          <w:rFonts w:ascii="Arial" w:cs="Arial" w:eastAsia="Arial" w:hAnsi="Arial"/>
          <w:b/>
          <w:bCs/>
          <w:color w:val="1A2B4A"/>
          <w:sz w:val="44"/>
          <w:szCs w:val="44"/>
        </w:rPr>
        <w:t xml:space="preserve">ADVANCED AUTONOMOUS INTELLIGENCE SYSTEM</w:t>
      </w:r>
    </w:p>
    <w:p>
      <w:pPr>
        <w:spacing w:after="0" w:before="120"/>
        <w:jc w:val="center"/>
      </w:pPr>
      <w:r>
        <w:rPr>
          <w:rFonts w:ascii="Arial" w:cs="Arial" w:eastAsia="Arial" w:hAnsi="Arial"/>
          <w:b/>
          <w:bCs/>
          <w:color w:val="2E5FA3"/>
          <w:sz w:val="34"/>
          <w:szCs w:val="34"/>
        </w:rPr>
        <w:t xml:space="preserve">Civilizational Maturity Audit</w:t>
      </w:r>
    </w:p>
    <w:p>
      <w:pPr>
        <w:spacing w:after="0" w:before="80"/>
        <w:jc w:val="center"/>
      </w:pPr>
      <w:r>
        <w:rPr>
          <w:rFonts w:ascii="Arial" w:cs="Arial" w:eastAsia="Arial" w:hAnsi="Arial"/>
          <w:i/>
          <w:iCs/>
          <w:color w:val="6B7280"/>
          <w:sz w:val="24"/>
          <w:szCs w:val="24"/>
        </w:rPr>
        <w:t xml:space="preserve">A Formal Assessment Against Real-World Civilization-Grade Standards</w:t>
      </w:r>
    </w:p>
    <w:p>
      <w:pPr>
        <w:spacing w:after="0" w:before="600"/>
      </w:pPr>
    </w:p>
    <w:p>
      <w:pPr>
        <w:spacing w:after="40" w:before="0"/>
        <w:jc w:val="center"/>
      </w:pPr>
      <w:r>
        <w:rPr>
          <w:rFonts w:ascii="Arial" w:cs="Arial" w:eastAsia="Arial" w:hAnsi="Arial"/>
          <w:b/>
          <w:bCs/>
          <w:color w:val="111111"/>
          <w:sz w:val="26"/>
          <w:szCs w:val="26"/>
        </w:rPr>
        <w:t xml:space="preserve">Jon Halstead</w:t>
      </w:r>
    </w:p>
    <w:p>
      <w:pPr>
        <w:spacing w:after="40" w:before="0"/>
        <w:jc w:val="center"/>
      </w:pPr>
      <w:r>
        <w:rPr>
          <w:rFonts w:ascii="Arial" w:cs="Arial" w:eastAsia="Arial" w:hAnsi="Arial"/>
          <w:i/>
          <w:iCs/>
          <w:color w:val="6B7280"/>
          <w:sz w:val="22"/>
          <w:szCs w:val="22"/>
        </w:rPr>
        <w:t xml:space="preserve">Pattern Engineer</w:t>
      </w:r>
    </w:p>
    <w:p>
      <w:pPr>
        <w:spacing w:after="40" w:before="0"/>
        <w:jc w:val="center"/>
      </w:pPr>
      <w:r>
        <w:rPr>
          <w:rFonts w:ascii="Arial" w:cs="Arial" w:eastAsia="Arial" w:hAnsi="Arial"/>
          <w:color w:val="6B7280"/>
          <w:sz w:val="22"/>
          <w:szCs w:val="22"/>
        </w:rPr>
        <w:t xml:space="preserve">Project Infinity / AAIS</w:t>
      </w:r>
    </w:p>
    <w:p>
      <w:pPr>
        <w:spacing w:after="40" w:before="0"/>
        <w:jc w:val="center"/>
      </w:pPr>
      <w:r>
        <w:rPr>
          <w:rFonts w:ascii="Arial" w:cs="Arial" w:eastAsia="Arial" w:hAnsi="Arial"/>
          <w:color w:val="2E5FA3"/>
          <w:sz w:val="20"/>
          <w:szCs w:val="20"/>
        </w:rPr>
        <w:t xml:space="preserve">github.com/warheart1984-ctrl/infinity</w:t>
      </w:r>
    </w:p>
    <w:p>
      <w:pPr>
        <w:spacing w:after="0" w:before="400"/>
      </w:pPr>
    </w:p>
    <w:p>
      <w:pPr>
        <w:spacing w:after="40" w:before="0"/>
        <w:jc w:val="center"/>
      </w:pPr>
      <w:r>
        <w:rPr>
          <w:rFonts w:ascii="Arial" w:cs="Arial" w:eastAsia="Arial" w:hAnsi="Arial"/>
          <w:color w:val="6B7280"/>
          <w:sz w:val="20"/>
          <w:szCs w:val="20"/>
        </w:rPr>
        <w:t xml:space="preserve">Published: June 7, 2026</w:t>
      </w:r>
    </w:p>
    <w:p>
      <w:pPr>
        <w:spacing w:after="40" w:before="0"/>
        <w:jc w:val="center"/>
      </w:pPr>
      <w:r>
        <w:rPr>
          <w:rFonts w:ascii="Arial" w:cs="Arial" w:eastAsia="Arial" w:hAnsi="Arial"/>
          <w:color w:val="6B7280"/>
          <w:sz w:val="20"/>
          <w:szCs w:val="20"/>
        </w:rPr>
        <w:t xml:space="preserve">Zenodo Preprint — Open Access</w:t>
      </w:r>
    </w:p>
    <w:p>
      <w:pPr>
        <w:spacing w:after="0" w:before="600"/>
      </w:pPr>
    </w:p>
    <w:p>
      <w:pPr>
        <w:pBdr>
          <w:bottom w:val="single" w:color="2E5FA3" w:sz="6" w:space="1"/>
        </w:pBdr>
        <w:spacing w:after="240" w:before="0"/>
      </w:pPr>
    </w:p>
    <w:p>
      <w:pPr>
        <w:spacing w:after="100" w:before="0"/>
      </w:pPr>
      <w:r>
        <w:rPr>
          <w:rFonts w:ascii="Arial" w:cs="Arial" w:eastAsia="Arial" w:hAnsi="Arial"/>
          <w:b/>
          <w:bCs/>
          <w:color w:val="1A2B4A"/>
          <w:sz w:val="26"/>
          <w:szCs w:val="26"/>
        </w:rPr>
        <w:t xml:space="preserve">Abstract</w:t>
      </w:r>
    </w:p>
    <w:p>
      <w:pPr>
        <w:spacing w:after="240" w:before="0" w:line="276"/>
        <w:jc w:val="both"/>
      </w:pPr>
      <w:r>
        <w:rPr>
          <w:rFonts w:ascii="Georgia" w:cs="Georgia" w:eastAsia="Georgia" w:hAnsi="Georgia"/>
          <w:color w:val="111111"/>
          <w:sz w:val="22"/>
          <w:szCs w:val="22"/>
        </w:rPr>
        <w:t xml:space="preserve">This paper presents a formal maturity audit of the Advanced Autonomous Intelligence System (AAIS), release v1.26.1, commit 7f27afc, as of June 6, 2026. AAIS is a governed cognitive runtime implementing constitutional law, execution governance, and multi-substrate orchestration at the architecture level. The audit applies two independent evaluation frameworks: (1) the project's own Civilizational Stage ladder (Stages 1–18, documented in </w:t>
      </w:r>
      <w:r>
        <w:rPr>
          <w:rFonts w:ascii="Georgia" w:cs="Georgia" w:eastAsia="Georgia" w:hAnsi="Georgia"/>
          <w:i/>
          <w:iCs/>
          <w:color w:val="111111"/>
          <w:sz w:val="22"/>
          <w:szCs w:val="22"/>
        </w:rPr>
        <w:t xml:space="preserve">AAIS_CIVILIZATIONAL_STAGES.md</w:t>
      </w:r>
      <w:r>
        <w:rPr>
          <w:rFonts w:ascii="Georgia" w:cs="Georgia" w:eastAsia="Georgia" w:hAnsi="Georgia"/>
          <w:color w:val="111111"/>
          <w:sz w:val="22"/>
          <w:szCs w:val="22"/>
        </w:rPr>
        <w:t xml:space="preserve">), and (2) an independent maturity assessment grounded in real-world standards for civilization-grade operating systems, drawing from distributed systems theory, constitutional governance literature, and OS kernel research. The system achieves Stage 18 — Governed Civilization — on its own ladder, with the civilizational arc (Stages 15–18) formally promoted to </w:t>
      </w:r>
      <w:r>
        <w:rPr>
          <w:rFonts w:ascii="Georgia" w:cs="Georgia" w:eastAsia="Georgia" w:hAnsi="Georgia"/>
          <w:i/>
          <w:iCs/>
          <w:color w:val="111111"/>
          <w:sz w:val="22"/>
          <w:szCs w:val="22"/>
        </w:rPr>
        <w:t xml:space="preserve">proven</w:t>
      </w:r>
      <w:r>
        <w:rPr>
          <w:rFonts w:ascii="Georgia" w:cs="Georgia" w:eastAsia="Georgia" w:hAnsi="Georgia"/>
          <w:color w:val="111111"/>
          <w:sz w:val="22"/>
          <w:szCs w:val="22"/>
        </w:rPr>
        <w:t xml:space="preserve"> status via passing CI gate, signed proof bundles, and formal sign-off documentation. The independent assessment corroborates architectural completeness at the civilizational tier while identifying federation-light operational conditions as the primary gap between architectural proof and live production equivalence. The paper concludes with a formal definition of what Stage 19 would require under real-world standards, stated as engineering requirements rather than aspirational roadmap items.</w:t>
      </w:r>
    </w:p>
    <w:p>
      <w:pPr>
        <w:pBdr>
          <w:bottom w:val="single" w:color="2E5FA3" w:sz="6" w:space="1"/>
        </w:pBdr>
        <w:spacing w:after="0" w:before="0"/>
      </w:pPr>
    </w:p>
    <w:p>
      <w:r>
        <w:br w:type="page"/>
      </w:r>
    </w:p>
    <w:p>
      <w:pPr>
        <w:pStyle w:val="Heading1"/>
        <w:spacing w:after="160" w:before="400"/>
      </w:pPr>
      <w:r>
        <w:rPr>
          <w:rFonts w:ascii="Arial" w:cs="Arial" w:eastAsia="Arial" w:hAnsi="Arial"/>
          <w:b/>
          <w:bCs/>
          <w:color w:val="1A2B4A"/>
          <w:sz w:val="32"/>
          <w:szCs w:val="32"/>
        </w:rPr>
        <w:t xml:space="preserve">1.  Introduction</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Operating systems have traditionally been graded on capability dimensions: throughput, isolation, fault tolerance, scheduling fairness, and security surface area. The emergence of AI-integrated runtimes introduces a new grading axis: governance — the degree to which a system enforces behavioral contracts, logs decisions with cryptographic receipts, routes executions through human-approval gates, and maintains constitutional law at the substrate level rather than as an advisory layer.</w:t>
      </w:r>
    </w:p>
    <w:p>
      <w:pPr>
        <w:spacing w:after="120" w:before="60"/>
      </w:pPr>
    </w:p>
    <w:p>
      <w:pPr>
        <w:spacing w:after="120" w:before="80" w:line="276"/>
        <w:jc w:val="both"/>
      </w:pPr>
      <w:r>
        <w:rPr>
          <w:rFonts w:ascii="Georgia" w:cs="Georgia" w:eastAsia="Georgia" w:hAnsi="Georgia"/>
          <w:color w:val="111111"/>
          <w:sz w:val="22"/>
          <w:szCs w:val="22"/>
        </w:rPr>
        <w:t xml:space="preserve">The Advanced Autonomous Intelligence System (AAIS) — developed under the callsign Pattern Engineer, operating as Project Infinity — is a governed cognitive runtime built from first principles. Its genesis was a concrete engineering problem: AI drift rendering systems unsuitable for adaptive music BPM applications in a neurodivergent companion AI context. From that single failure mode, the author reverse-engineered a governed cognitive operating system whose architecture fuses constitutional law, execution governance, and multi-substrate orchestration at the foundation layer — not as middleware applied post-hoc.</w:t>
      </w:r>
    </w:p>
    <w:p>
      <w:pPr>
        <w:spacing w:after="120" w:before="60"/>
      </w:pPr>
    </w:p>
    <w:p>
      <w:pPr>
        <w:spacing w:after="120" w:before="80" w:line="276"/>
        <w:jc w:val="both"/>
      </w:pPr>
      <w:r>
        <w:rPr>
          <w:rFonts w:ascii="Georgia" w:cs="Georgia" w:eastAsia="Georgia" w:hAnsi="Georgia"/>
          <w:color w:val="111111"/>
          <w:sz w:val="22"/>
          <w:szCs w:val="22"/>
        </w:rPr>
        <w:t xml:space="preserve">The project's own documentation defines an 18-stage Civilizational ladder (AAIS_CIVILIZATIONAL_STAGES.md), grouping stages into three arcs: Body (Stages 1–12), Beyond-the-Body (Stages 11–14), and the Civilizational Arc (Stages 15–18). The top rung — Stage 18: Governed Civilization — is the capstone. As of June 6, 2026, the project's own CI gate and formal sign-off documentation promote the Civilizational Arc to proven status.</w:t>
      </w:r>
    </w:p>
    <w:p>
      <w:pPr>
        <w:spacing w:after="120" w:before="60"/>
      </w:pPr>
    </w:p>
    <w:p>
      <w:pPr>
        <w:spacing w:after="120" w:before="80" w:line="276"/>
        <w:jc w:val="both"/>
      </w:pPr>
      <w:r>
        <w:rPr>
          <w:rFonts w:ascii="Georgia" w:cs="Georgia" w:eastAsia="Georgia" w:hAnsi="Georgia"/>
          <w:color w:val="111111"/>
          <w:sz w:val="22"/>
          <w:szCs w:val="22"/>
        </w:rPr>
        <w:t xml:space="preserve">This audit exists for a specific reason: self-referential grading systems are insufficient for peer-review credibility. A ladder built by the same team that climbs it requires independent corroboration against external standards. This paper provides that corroboration — not to validate mythology, but to locate AAIS accurately against real-world civilization-grade OS criteria, identify what is proven versus asserted, and define what Stage 19 would require if the ladder were extended by external engineering standards rather than internal doctrine.</w:t>
      </w:r>
    </w:p>
    <w:p>
      <w:pPr>
        <w:spacing w:after="120" w:before="60"/>
      </w:pPr>
    </w:p>
    <w:p>
      <w:pPr>
        <w:pStyle w:val="Heading2"/>
        <w:spacing w:after="120" w:before="280"/>
      </w:pPr>
      <w:r>
        <w:rPr>
          <w:rFonts w:ascii="Arial" w:cs="Arial" w:eastAsia="Arial" w:hAnsi="Arial"/>
          <w:b/>
          <w:bCs/>
          <w:color w:val="2E5FA3"/>
          <w:sz w:val="26"/>
          <w:szCs w:val="26"/>
        </w:rPr>
        <w:t xml:space="preserve">1.1  Scope and Boundaries</w:t>
      </w:r>
    </w:p>
    <w:p>
      <w:pPr>
        <w:spacing w:after="120" w:before="80" w:line="276"/>
        <w:jc w:val="both"/>
      </w:pPr>
      <w:r>
        <w:rPr>
          <w:rFonts w:ascii="Georgia" w:cs="Georgia" w:eastAsia="Georgia" w:hAnsi="Georgia"/>
          <w:color w:val="111111"/>
          <w:sz w:val="22"/>
          <w:szCs w:val="22"/>
        </w:rPr>
        <w:t xml:space="preserve">This audit covers:</w:t>
      </w:r>
    </w:p>
    <w:p>
      <w:pPr>
        <w:spacing w:after="60" w:before="60" w:line="260"/>
        <w:ind w:left="720" w:hanging="360"/>
        <w:jc w:val="both"/>
      </w:pPr>
      <w:r>
        <w:rPr>
          <w:rFonts w:ascii="Georgia" w:cs="Georgia" w:eastAsia="Georgia" w:hAnsi="Georgia"/>
          <w:color w:val="111111"/>
          <w:sz w:val="22"/>
          <w:szCs w:val="22"/>
        </w:rPr>
        <w:t xml:space="preserve">•  AAIS v1.26.1, commit 7f27afc, as released June 6, 2026 (Infinity-1 GA)</w:t>
      </w:r>
    </w:p>
    <w:p>
      <w:pPr>
        <w:spacing w:after="60" w:before="60" w:line="260"/>
        <w:ind w:left="720" w:hanging="360"/>
        <w:jc w:val="both"/>
      </w:pPr>
      <w:r>
        <w:rPr>
          <w:rFonts w:ascii="Georgia" w:cs="Georgia" w:eastAsia="Georgia" w:hAnsi="Georgia"/>
          <w:color w:val="111111"/>
          <w:sz w:val="22"/>
          <w:szCs w:val="22"/>
        </w:rPr>
        <w:t xml:space="preserve">•  652 Python modules under src/, 472 test files, 199 subsystem genomes</w:t>
      </w:r>
    </w:p>
    <w:p>
      <w:pPr>
        <w:spacing w:after="60" w:before="60" w:line="260"/>
        <w:ind w:left="720" w:hanging="360"/>
        <w:jc w:val="both"/>
      </w:pPr>
      <w:r>
        <w:rPr>
          <w:rFonts w:ascii="Georgia" w:cs="Georgia" w:eastAsia="Georgia" w:hAnsi="Georgia"/>
          <w:color w:val="111111"/>
          <w:sz w:val="22"/>
          <w:szCs w:val="22"/>
        </w:rPr>
        <w:t xml:space="preserve">•  The constitutional stack: Project Infi law, CISIV ladder, dual-gate observe/adopt APIs, proof bundles, CI gates</w:t>
      </w:r>
    </w:p>
    <w:p>
      <w:pPr>
        <w:spacing w:after="60" w:before="60" w:line="260"/>
        <w:ind w:left="720" w:hanging="360"/>
        <w:jc w:val="both"/>
      </w:pPr>
      <w:r>
        <w:rPr>
          <w:rFonts w:ascii="Georgia" w:cs="Georgia" w:eastAsia="Georgia" w:hAnsi="Georgia"/>
          <w:color w:val="111111"/>
          <w:sz w:val="22"/>
          <w:szCs w:val="22"/>
        </w:rPr>
        <w:t xml:space="preserve">•  Operator surfaces: dashboard, brain, ledger, workflow approval pipeline</w:t>
      </w:r>
    </w:p>
    <w:p>
      <w:pPr>
        <w:spacing w:after="60" w:before="60" w:line="260"/>
        <w:ind w:left="720" w:hanging="360"/>
        <w:jc w:val="both"/>
      </w:pPr>
      <w:r>
        <w:rPr>
          <w:rFonts w:ascii="Georgia" w:cs="Georgia" w:eastAsia="Georgia" w:hAnsi="Georgia"/>
          <w:color w:val="111111"/>
          <w:sz w:val="22"/>
          <w:szCs w:val="22"/>
        </w:rPr>
        <w:t xml:space="preserve">•  The Civilizational Stage ladder (Stages 1–18) as the project's native grading instrument</w:t>
      </w:r>
    </w:p>
    <w:p>
      <w:pPr>
        <w:spacing w:after="120" w:before="80"/>
      </w:pPr>
    </w:p>
    <w:p>
      <w:pPr>
        <w:spacing w:after="120" w:before="80" w:line="276"/>
        <w:jc w:val="both"/>
      </w:pPr>
      <w:r>
        <w:rPr>
          <w:rFonts w:ascii="Georgia" w:cs="Georgia" w:eastAsia="Georgia" w:hAnsi="Georgia"/>
          <w:color w:val="111111"/>
          <w:sz w:val="22"/>
          <w:szCs w:val="22"/>
        </w:rPr>
        <w:t xml:space="preserve">This audit does not cover:</w:t>
      </w:r>
    </w:p>
    <w:p>
      <w:pPr>
        <w:spacing w:after="60" w:before="60" w:line="260"/>
        <w:ind w:left="720" w:hanging="360"/>
        <w:jc w:val="both"/>
      </w:pPr>
      <w:r>
        <w:rPr>
          <w:rFonts w:ascii="Georgia" w:cs="Georgia" w:eastAsia="Georgia" w:hAnsi="Georgia"/>
          <w:color w:val="111111"/>
          <w:sz w:val="22"/>
          <w:szCs w:val="22"/>
        </w:rPr>
        <w:t xml:space="preserve">•  Live multi-tenant federation with external organizations (not yet deployed)</w:t>
      </w:r>
    </w:p>
    <w:p>
      <w:pPr>
        <w:spacing w:after="60" w:before="60" w:line="260"/>
        <w:ind w:left="720" w:hanging="360"/>
        <w:jc w:val="both"/>
      </w:pPr>
      <w:r>
        <w:rPr>
          <w:rFonts w:ascii="Georgia" w:cs="Georgia" w:eastAsia="Georgia" w:hAnsi="Georgia"/>
          <w:color w:val="111111"/>
          <w:sz w:val="22"/>
          <w:szCs w:val="22"/>
        </w:rPr>
        <w:t xml:space="preserve">•  Performance benchmarking under sustained production load</w:t>
      </w:r>
    </w:p>
    <w:p>
      <w:pPr>
        <w:spacing w:after="60" w:before="60" w:line="260"/>
        <w:ind w:left="720" w:hanging="360"/>
        <w:jc w:val="both"/>
      </w:pPr>
      <w:r>
        <w:rPr>
          <w:rFonts w:ascii="Georgia" w:cs="Georgia" w:eastAsia="Georgia" w:hAnsi="Georgia"/>
          <w:color w:val="111111"/>
          <w:sz w:val="22"/>
          <w:szCs w:val="22"/>
        </w:rPr>
        <w:t xml:space="preserve">•  Security penetration testing of the cryptographic receipt layer</w:t>
      </w:r>
    </w:p>
    <w:p>
      <w:pPr>
        <w:spacing w:after="60" w:before="60" w:line="260"/>
        <w:ind w:left="720" w:hanging="360"/>
        <w:jc w:val="both"/>
      </w:pPr>
      <w:r>
        <w:rPr>
          <w:rFonts w:ascii="Georgia" w:cs="Georgia" w:eastAsia="Georgia" w:hAnsi="Georgia"/>
          <w:color w:val="111111"/>
          <w:sz w:val="22"/>
          <w:szCs w:val="22"/>
        </w:rPr>
        <w:t xml:space="preserve">•  Comparison against commercial AI platform vendors</w:t>
      </w:r>
    </w:p>
    <w:p>
      <w:pPr>
        <w:spacing w:after="120" w:before="80"/>
      </w:pPr>
    </w:p>
    <w:p>
      <w:r>
        <w:br w:type="page"/>
      </w:r>
    </w:p>
    <w:p>
      <w:pPr>
        <w:pStyle w:val="Heading1"/>
        <w:spacing w:after="160" w:before="400"/>
      </w:pPr>
      <w:r>
        <w:rPr>
          <w:rFonts w:ascii="Arial" w:cs="Arial" w:eastAsia="Arial" w:hAnsi="Arial"/>
          <w:b/>
          <w:bCs/>
          <w:color w:val="1A2B4A"/>
          <w:sz w:val="32"/>
          <w:szCs w:val="32"/>
        </w:rPr>
        <w:t xml:space="preserve">2.  Audit Methodology</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The audit applies a dual-framework methodology. Framework A is the project's native Civilizational Stage ladder. Framework B is an independent maturity assessment derived from real-world civilization-grade OS standards. Both frameworks are applied to the same artifact set; their findings are then compared to produce the blended grade.</w:t>
      </w:r>
    </w:p>
    <w:p>
      <w:pPr>
        <w:spacing w:after="120" w:before="80"/>
      </w:pPr>
    </w:p>
    <w:p>
      <w:pPr>
        <w:pStyle w:val="Heading2"/>
        <w:spacing w:after="120" w:before="280"/>
      </w:pPr>
      <w:r>
        <w:rPr>
          <w:rFonts w:ascii="Arial" w:cs="Arial" w:eastAsia="Arial" w:hAnsi="Arial"/>
          <w:b/>
          <w:bCs/>
          <w:color w:val="2E5FA3"/>
          <w:sz w:val="26"/>
          <w:szCs w:val="26"/>
        </w:rPr>
        <w:t xml:space="preserve">2.1  Framework A: Native Civilizational Stage Ladder</w:t>
      </w:r>
    </w:p>
    <w:p>
      <w:pPr>
        <w:spacing w:after="120" w:before="80" w:line="276"/>
        <w:jc w:val="both"/>
      </w:pPr>
      <w:r>
        <w:rPr>
          <w:rFonts w:ascii="Georgia" w:cs="Georgia" w:eastAsia="Georgia" w:hAnsi="Georgia"/>
          <w:color w:val="111111"/>
          <w:sz w:val="22"/>
          <w:szCs w:val="22"/>
        </w:rPr>
        <w:t xml:space="preserve">The AAIS ladder defines 18 stages across three arcs. Each stage carries a claim label: </w:t>
      </w:r>
    </w:p>
    <w:p>
      <w:pPr>
        <w:spacing w:after="120" w:before="80" w:line="276"/>
        <w:jc w:val="both"/>
      </w:pPr>
      <w:r>
        <w:rPr>
          <w:rFonts w:ascii="Georgia" w:cs="Georgia" w:eastAsia="Georgia" w:hAnsi="Georgia"/>
          <w:i/>
          <w:iCs/>
          <w:color w:val="111111"/>
          <w:sz w:val="22"/>
          <w:szCs w:val="22"/>
        </w:rPr>
        <w:t xml:space="preserve">asserted</w:t>
      </w:r>
      <w:r>
        <w:rPr>
          <w:rFonts w:ascii="Georgia" w:cs="Georgia" w:eastAsia="Georgia" w:hAnsi="Georgia"/>
          <w:color w:val="111111"/>
          <w:sz w:val="22"/>
          <w:szCs w:val="22"/>
        </w:rPr>
        <w:t xml:space="preserve"> (architecture present, implementation claimed), </w:t>
      </w:r>
      <w:r>
        <w:rPr>
          <w:rFonts w:ascii="Georgia" w:cs="Georgia" w:eastAsia="Georgia" w:hAnsi="Georgia"/>
          <w:i/>
          <w:iCs/>
          <w:color w:val="111111"/>
          <w:sz w:val="22"/>
          <w:szCs w:val="22"/>
        </w:rPr>
        <w:t xml:space="preserve">proven</w:t>
      </w:r>
      <w:r>
        <w:rPr>
          <w:rFonts w:ascii="Georgia" w:cs="Georgia" w:eastAsia="Georgia" w:hAnsi="Georgia"/>
          <w:color w:val="111111"/>
          <w:sz w:val="22"/>
          <w:szCs w:val="22"/>
        </w:rPr>
        <w:t xml:space="preserve"> (CI gate passes, proof bundle signed, sign-off document filed). The distinction is load-bearing: asserted stages indicate architectural readiness; proven stages indicate verified execution under the project's own test harness.</w:t>
      </w:r>
    </w:p>
    <w:p>
      <w:pPr>
        <w:spacing w:after="120" w:before="80"/>
      </w:pPr>
    </w:p>
    <w:p>
      <w:pPr>
        <w:spacing w:after="120" w:before="80" w:line="276"/>
        <w:jc w:val="both"/>
      </w:pPr>
      <w:r>
        <w:rPr>
          <w:rFonts w:ascii="Georgia" w:cs="Georgia" w:eastAsia="Georgia" w:hAnsi="Georgia"/>
          <w:color w:val="111111"/>
          <w:sz w:val="22"/>
          <w:szCs w:val="22"/>
        </w:rPr>
        <w:t xml:space="preserve">For this audit, each arc's claim status was verified by: (a) inspecting the gate document (CIVILIZATIONAL_ARC_PROVEN_SIGNOFF.md), (b) reviewing the pytest slice output (10 passing, civilizational tier), (c) reviewing the GOVERNED CIVILIZATION BODY GATE: PASS output, and (d) cross-referencing source module counts against claimed subsystem inventories.</w:t>
      </w:r>
    </w:p>
    <w:p>
      <w:pPr>
        <w:spacing w:after="120" w:before="80"/>
      </w:pPr>
    </w:p>
    <w:p>
      <w:pPr>
        <w:pStyle w:val="Heading2"/>
        <w:spacing w:after="120" w:before="280"/>
      </w:pPr>
      <w:r>
        <w:rPr>
          <w:rFonts w:ascii="Arial" w:cs="Arial" w:eastAsia="Arial" w:hAnsi="Arial"/>
          <w:b/>
          <w:bCs/>
          <w:color w:val="2E5FA3"/>
          <w:sz w:val="26"/>
          <w:szCs w:val="26"/>
        </w:rPr>
        <w:t xml:space="preserve">2.2  Framework B: Real-World Civilization-Grade OS Standards</w:t>
      </w:r>
    </w:p>
    <w:p>
      <w:pPr>
        <w:spacing w:after="120" w:before="80" w:line="276"/>
        <w:jc w:val="both"/>
      </w:pPr>
      <w:r>
        <w:rPr>
          <w:rFonts w:ascii="Georgia" w:cs="Georgia" w:eastAsia="Georgia" w:hAnsi="Georgia"/>
          <w:color w:val="111111"/>
          <w:sz w:val="22"/>
          <w:szCs w:val="22"/>
        </w:rPr>
        <w:t xml:space="preserve">No universally accepted standard exists for "civilization-grade" operating systems in the AI governance sense. This audit synthesizes criteria from four bodies of work:</w:t>
      </w:r>
    </w:p>
    <w:p>
      <w:pPr>
        <w:spacing w:after="120" w:before="60"/>
      </w:pPr>
    </w:p>
    <w:p>
      <w:pPr>
        <w:spacing w:after="60" w:before="60" w:line="260"/>
        <w:ind w:left="720" w:hanging="360"/>
        <w:jc w:val="both"/>
      </w:pPr>
      <w:r>
        <w:rPr>
          <w:rFonts w:ascii="Georgia" w:cs="Georgia" w:eastAsia="Georgia" w:hAnsi="Georgia"/>
          <w:color w:val="111111"/>
          <w:sz w:val="22"/>
          <w:szCs w:val="22"/>
        </w:rPr>
        <w:t xml:space="preserve">•  Distributed Systems Theory (Lamport, Fischer-Lynch-Paterson, Brewer CAP): a civilization-grade runtime must make explicit, documented tradeoffs between consistency, availability, and partition tolerance. Governance decisions must be recorded in a distributed, tamper-evident ledger.</w:t>
      </w:r>
    </w:p>
    <w:p>
      <w:pPr>
        <w:spacing w:after="60" w:before="60" w:line="260"/>
        <w:ind w:left="720" w:hanging="360"/>
        <w:jc w:val="both"/>
      </w:pPr>
      <w:r>
        <w:rPr>
          <w:rFonts w:ascii="Georgia" w:cs="Georgia" w:eastAsia="Georgia" w:hAnsi="Georgia"/>
          <w:color w:val="111111"/>
          <w:sz w:val="22"/>
          <w:szCs w:val="22"/>
        </w:rPr>
        <w:t xml:space="preserve">•  Constitutional Governance Literature (Rawls, Hart, Dworkin applied to technical systems): a governed system must implement a hierarchy of law — constitutional rules that constrain all lower-level operations, with no runtime pathway that bypasses constitutional enforcement.</w:t>
      </w:r>
    </w:p>
    <w:p>
      <w:pPr>
        <w:spacing w:after="60" w:before="60" w:line="260"/>
        <w:ind w:left="720" w:hanging="360"/>
        <w:jc w:val="both"/>
      </w:pPr>
      <w:r>
        <w:rPr>
          <w:rFonts w:ascii="Georgia" w:cs="Georgia" w:eastAsia="Georgia" w:hAnsi="Georgia"/>
          <w:color w:val="111111"/>
          <w:sz w:val="22"/>
          <w:szCs w:val="22"/>
        </w:rPr>
        <w:t xml:space="preserve">•  OS Kernel Research (Sewell et al. verified OS, L4 microkernel, seL4 formal verification): a civilization-grade OS must be able to prove, not merely assert, behavioral invariants. Proofs must survive adversarial conditions, not only nominal execution.</w:t>
      </w:r>
    </w:p>
    <w:p>
      <w:pPr>
        <w:spacing w:after="60" w:before="60" w:line="260"/>
        <w:ind w:left="720" w:hanging="360"/>
        <w:jc w:val="both"/>
      </w:pPr>
      <w:r>
        <w:rPr>
          <w:rFonts w:ascii="Georgia" w:cs="Georgia" w:eastAsia="Georgia" w:hAnsi="Georgia"/>
          <w:color w:val="111111"/>
          <w:sz w:val="22"/>
          <w:szCs w:val="22"/>
        </w:rPr>
        <w:t xml:space="preserve">•  Multi-Agent Coordination Standards (FIPA, W3C DID, IEEE P2874): a civilization-grade system must implement governed federation — the ability for independent agents or organizations to participate under shared constitutional constraints without requiring a single central authority.</w:t>
      </w:r>
    </w:p>
    <w:p>
      <w:pPr>
        <w:spacing w:after="120" w:before="120"/>
      </w:pPr>
    </w:p>
    <w:p>
      <w:pPr>
        <w:pStyle w:val="Heading2"/>
        <w:spacing w:after="120" w:before="280"/>
      </w:pPr>
      <w:r>
        <w:rPr>
          <w:rFonts w:ascii="Arial" w:cs="Arial" w:eastAsia="Arial" w:hAnsi="Arial"/>
          <w:b/>
          <w:bCs/>
          <w:color w:val="2E5FA3"/>
          <w:sz w:val="26"/>
          <w:szCs w:val="26"/>
        </w:rPr>
        <w:t xml:space="preserve">2.3  Proven vs. Asserted: Operational Definitions</w:t>
      </w:r>
    </w:p>
    <w:p>
      <w:pPr>
        <w:spacing w:after="120" w:before="80" w:line="276"/>
        <w:jc w:val="both"/>
      </w:pPr>
      <w:r>
        <w:rPr>
          <w:rFonts w:ascii="Georgia" w:cs="Georgia" w:eastAsia="Georgia" w:hAnsi="Georgia"/>
          <w:color w:val="111111"/>
          <w:sz w:val="22"/>
          <w:szCs w:val="22"/>
        </w:rPr>
        <w:t xml:space="preserve">Throughout this audit, the following operational definitions apply:</w:t>
      </w:r>
    </w:p>
    <w:p>
      <w:pPr>
        <w:spacing w:after="12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5FA3" w:sz="4"/>
              <w:left w:val="single" w:color="2E5FA3" w:sz="12"/>
              <w:bottom w:val="single" w:color="2E5FA3" w:sz="4"/>
              <w:right w:val="single" w:color="2E5FA3" w:sz="4"/>
            </w:tcBorders>
            <w:shd w:fill="EFF3FB" w:val="clear"/>
            <w:tcMar>
              <w:top w:type="dxa" w:w="120"/>
              <w:left w:type="dxa" w:w="200"/>
              <w:bottom w:type="dxa" w:w="120"/>
              <w:right w:type="dxa" w:w="200"/>
            </w:tcMar>
          </w:tcPr>
          <w:p>
            <w:pPr>
              <w:spacing w:after="40" w:before="40" w:line="260"/>
            </w:pPr>
            <w:r>
              <w:rPr>
                <w:rFonts w:ascii="Georgia" w:cs="Georgia" w:eastAsia="Georgia" w:hAnsi="Georgia"/>
                <w:color w:val="111111"/>
                <w:sz w:val="21"/>
                <w:szCs w:val="21"/>
              </w:rPr>
              <w:t xml:space="preserve">PROVEN:  The claim is supported by (a) passing CI gate, (b) signed proof bundle or cryptographic receipt, and (c) formal sign-off documentation filed in the repository. The test harness runs against the actual implementation, not a mock.</w:t>
            </w:r>
          </w:p>
          <w:p>
            <w:pPr>
              <w:spacing w:after="40" w:before="40" w:line="260"/>
            </w:pPr>
            <w:r>
              <w:rPr>
                <w:rFonts w:ascii="Georgia" w:cs="Georgia" w:eastAsia="Georgia" w:hAnsi="Georgia"/>
                <w:color w:val="111111"/>
                <w:sz w:val="21"/>
                <w:szCs w:val="21"/>
              </w:rPr>
              <w:t xml:space="preserve"/>
            </w:r>
          </w:p>
          <w:p>
            <w:pPr>
              <w:spacing w:after="40" w:before="40" w:line="260"/>
            </w:pPr>
            <w:r>
              <w:rPr>
                <w:rFonts w:ascii="Georgia" w:cs="Georgia" w:eastAsia="Georgia" w:hAnsi="Georgia"/>
                <w:color w:val="111111"/>
                <w:sz w:val="21"/>
                <w:szCs w:val="21"/>
              </w:rPr>
              <w:t xml:space="preserve">ASSERTED:  The claim is supported by architectural design, source module presence, and a test suite that validates the contract, but live execution under adversarial or multi-tenant conditions has not been externally verified.</w:t>
            </w:r>
          </w:p>
          <w:p>
            <w:pPr>
              <w:spacing w:after="40" w:before="40" w:line="260"/>
            </w:pPr>
            <w:r>
              <w:rPr>
                <w:rFonts w:ascii="Georgia" w:cs="Georgia" w:eastAsia="Georgia" w:hAnsi="Georgia"/>
                <w:color w:val="111111"/>
                <w:sz w:val="21"/>
                <w:szCs w:val="21"/>
              </w:rPr>
              <w:t xml:space="preserve"/>
            </w:r>
          </w:p>
          <w:p>
            <w:pPr>
              <w:spacing w:after="40" w:before="40" w:line="260"/>
            </w:pPr>
            <w:r>
              <w:rPr>
                <w:rFonts w:ascii="Georgia" w:cs="Georgia" w:eastAsia="Georgia" w:hAnsi="Georgia"/>
                <w:color w:val="111111"/>
                <w:sz w:val="21"/>
                <w:szCs w:val="21"/>
              </w:rPr>
              <w:t xml:space="preserve">PARTIAL:  Evidence exists for some conditions (e.g., single-tenant execution) but not all conditions required for full promotion (e.g., live cross-substrate federation with external peers).</w:t>
            </w:r>
          </w:p>
        </w:tc>
      </w:tr>
    </w:tbl>
    <w:p>
      <w:pPr>
        <w:spacing w:after="120" w:before="160"/>
      </w:pPr>
    </w:p>
    <w:p>
      <w:r>
        <w:br w:type="page"/>
      </w:r>
    </w:p>
    <w:p>
      <w:pPr>
        <w:pStyle w:val="Heading1"/>
        <w:spacing w:after="160" w:before="400"/>
      </w:pPr>
      <w:r>
        <w:rPr>
          <w:rFonts w:ascii="Arial" w:cs="Arial" w:eastAsia="Arial" w:hAnsi="Arial"/>
          <w:b/>
          <w:bCs/>
          <w:color w:val="1A2B4A"/>
          <w:sz w:val="32"/>
          <w:szCs w:val="32"/>
        </w:rPr>
        <w:t xml:space="preserve">3.  System Inventory</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Table 1 presents a factual inventory of the AAIS repository as of commit 7f27afc. No architectural claims are made in this section; the table records countable artifacts only.</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Component</w:t>
            </w:r>
          </w:p>
        </w:tc>
        <w:tc>
          <w:tcPr>
            <w:tcW w:type="dxa" w:w="536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Count / Description</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Python modules (src/)</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652</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Test files</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472</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Subsystem genomes</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199</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Civilizational Stage ladder entries</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18 (Stages 1–18)</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CI gate documents</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CIVILIZATIONAL_ARC_PROVEN_SIGNOFF.md + BODY_GATE</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Pytest civilizational slice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10 passing (June 6, 2026)</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Constitutional stack components</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Project Infi law, CISIV, observe/adopt APIs, proof bundles</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Operator surfaces</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Dashboard, Brain, Ledger, Workflow Approvals</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OTEM version (operator execution)</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v1.26.1</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Civilizational ladder top release</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Release 48 (Stage 18, Layer 20)</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Dual HMAC cryptographic receipts</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Present (Merkle ledger roots)</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Human approval gate (OTEM Level 10)</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Present and documented</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Cost-aware routing</w:t>
            </w:r>
          </w:p>
        </w:tc>
        <w:tc>
          <w:tcPr>
            <w:tcW w:type="dxa" w:w="5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Present (URG v1.9)</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Federation grant APIs</w:t>
            </w:r>
          </w:p>
        </w:tc>
        <w:tc>
          <w:tcPr>
            <w:tcW w:type="dxa" w:w="5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Present (governed organ marketplace)</w:t>
            </w:r>
          </w:p>
        </w:tc>
      </w:tr>
    </w:tbl>
    <w:p>
      <w:pPr>
        <w:spacing w:after="160" w:before="60"/>
        <w:jc w:val="center"/>
      </w:pPr>
      <w:r>
        <w:rPr>
          <w:rFonts w:ascii="Arial" w:cs="Arial" w:eastAsia="Arial" w:hAnsi="Arial"/>
          <w:i/>
          <w:iCs/>
          <w:color w:val="6B7280"/>
          <w:sz w:val="18"/>
          <w:szCs w:val="18"/>
        </w:rPr>
        <w:t xml:space="preserve">Table 1. AAIS System Inventory — Commit 7f27afc, June 6, 2026</w:t>
      </w:r>
    </w:p>
    <w:p>
      <w:pPr>
        <w:spacing w:after="120" w:before="80"/>
      </w:pPr>
    </w:p>
    <w:p>
      <w:pPr>
        <w:spacing w:after="120" w:before="80" w:line="276"/>
        <w:jc w:val="both"/>
      </w:pPr>
      <w:r>
        <w:rPr>
          <w:rFonts w:ascii="Georgia" w:cs="Georgia" w:eastAsia="Georgia" w:hAnsi="Georgia"/>
          <w:color w:val="111111"/>
          <w:sz w:val="22"/>
          <w:szCs w:val="22"/>
        </w:rPr>
        <w:t xml:space="preserve">The inventory reveals a system of substantial architectural depth. The ratio of test files to source modules (472:652, approximately 0.72) is consistent with governance-first development practice, where behavioral contracts are specified before or concurrent with implementation. The 199 subsystem genomes indicate a modular organ-based architecture rather than a monolithic runtime.</w:t>
      </w:r>
    </w:p>
    <w:p>
      <w:pPr>
        <w:spacing w:after="120" w:before="60"/>
      </w:pPr>
    </w:p>
    <w:p>
      <w:pPr>
        <w:spacing w:after="120" w:before="80" w:line="276"/>
        <w:jc w:val="both"/>
      </w:pPr>
      <w:r>
        <w:rPr>
          <w:rFonts w:ascii="Georgia" w:cs="Georgia" w:eastAsia="Georgia" w:hAnsi="Georgia"/>
          <w:color w:val="111111"/>
          <w:sz w:val="22"/>
          <w:szCs w:val="22"/>
        </w:rPr>
        <w:t xml:space="preserve">The presence of dual HMAC cryptographic receipts with Merkle ledger roots is architecturally significant: it indicates that the system's claim to tamper-evident execution logging is not advisory but structural — receipts are generated at the substrate level, not applied as a logging wrapper.</w:t>
      </w:r>
    </w:p>
    <w:p>
      <w:r>
        <w:br w:type="page"/>
      </w:r>
    </w:p>
    <w:p>
      <w:pPr>
        <w:pStyle w:val="Heading1"/>
        <w:spacing w:after="160" w:before="400"/>
      </w:pPr>
      <w:r>
        <w:rPr>
          <w:rFonts w:ascii="Arial" w:cs="Arial" w:eastAsia="Arial" w:hAnsi="Arial"/>
          <w:b/>
          <w:bCs/>
          <w:color w:val="1A2B4A"/>
          <w:sz w:val="32"/>
          <w:szCs w:val="32"/>
        </w:rPr>
        <w:t xml:space="preserve">4.  Stage-by-Stage Evidence Review</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This section evaluates each arc of the AAIS Civilizational Stage ladder against both Framework A (native gate status) and Framework B (real-world standards). The civilizational arc (Stages 15–18) is reviewed in greatest detail, as it is the arc claiming proven status.</w:t>
      </w:r>
    </w:p>
    <w:p>
      <w:pPr>
        <w:spacing w:after="120" w:before="80"/>
      </w:pPr>
    </w:p>
    <w:p>
      <w:pPr>
        <w:pStyle w:val="Heading2"/>
        <w:spacing w:after="120" w:before="280"/>
      </w:pPr>
      <w:r>
        <w:rPr>
          <w:rFonts w:ascii="Arial" w:cs="Arial" w:eastAsia="Arial" w:hAnsi="Arial"/>
          <w:b/>
          <w:bCs/>
          <w:color w:val="2E5FA3"/>
          <w:sz w:val="26"/>
          <w:szCs w:val="26"/>
        </w:rPr>
        <w:t xml:space="preserve">4.1  Body Arc: Stages 1–12</w:t>
      </w:r>
    </w:p>
    <w:p>
      <w:pPr>
        <w:spacing w:after="120" w:before="80" w:line="276"/>
        <w:jc w:val="both"/>
      </w:pPr>
      <w:r>
        <w:rPr>
          <w:rFonts w:ascii="Georgia" w:cs="Georgia" w:eastAsia="Georgia" w:hAnsi="Georgia"/>
          <w:color w:val="111111"/>
          <w:sz w:val="22"/>
          <w:szCs w:val="22"/>
        </w:rPr>
        <w:t xml:space="preserve">The Body Arc covers the formation of a single governed cognitive entity: from raw substrate initialization through full integration of governance pillars, cryptographic receipts, human approval gates, and cost-aware routing. In AAIS doctrine, these stages correspond to Anatomical Layers 1–20 and Releases 1–30.</w:t>
      </w:r>
    </w:p>
    <w:p>
      <w:pPr>
        <w:spacing w:after="12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800"/>
        <w:gridCol w:w="2400"/>
        <w:gridCol w:w="3560"/>
      </w:tblGrid>
      <w:tr>
        <w:trPr>
          <w:tblHeader/>
        </w:trPr>
        <w:tc>
          <w:tcPr>
            <w:tcW w:type="dxa" w:w="16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Stage</w:t>
            </w:r>
          </w:p>
        </w:tc>
        <w:tc>
          <w:tcPr>
            <w:tcW w:type="dxa" w:w="18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Claim Label</w:t>
            </w:r>
          </w:p>
        </w:tc>
        <w:tc>
          <w:tcPr>
            <w:tcW w:type="dxa" w:w="24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Gate Status</w:t>
            </w:r>
          </w:p>
        </w:tc>
        <w:tc>
          <w:tcPr>
            <w:tcW w:type="dxa" w:w="356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Independent Assessment</w:t>
            </w:r>
          </w:p>
        </w:tc>
      </w:tr>
      <w:tr>
        <w:tc>
          <w:tcPr>
            <w:tcW w:type="dxa" w:w="16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1–6</w:t>
            </w:r>
          </w:p>
        </w:tc>
        <w:tc>
          <w:tcPr>
            <w:tcW w:type="dxa" w:w="18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Asserted</w:t>
            </w:r>
          </w:p>
        </w:tc>
        <w:tc>
          <w:tcPr>
            <w:tcW w:type="dxa" w:w="24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No standalone gate</w:t>
            </w:r>
          </w:p>
        </w:tc>
        <w:tc>
          <w:tcPr>
            <w:tcW w:type="dxa" w:w="356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Architecture present; substrate documented</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7–9</w:t>
            </w:r>
          </w:p>
        </w:tc>
        <w:tc>
          <w:tcPr>
            <w:tcW w:type="dxa" w:w="18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Asserted</w:t>
            </w:r>
          </w:p>
        </w:tc>
        <w:tc>
          <w:tcPr>
            <w:tcW w:type="dxa" w:w="24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Integration tests pass</w:t>
            </w:r>
          </w:p>
        </w:tc>
        <w:tc>
          <w:tcPr>
            <w:tcW w:type="dxa" w:w="356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Behavioral contracts testable; single-tenant only</w:t>
            </w:r>
          </w:p>
        </w:tc>
      </w:tr>
      <w:tr>
        <w:tc>
          <w:tcPr>
            <w:tcW w:type="dxa" w:w="16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10–12</w:t>
            </w:r>
          </w:p>
        </w:tc>
        <w:tc>
          <w:tcPr>
            <w:tcW w:type="dxa" w:w="18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Asserted</w:t>
            </w:r>
          </w:p>
        </w:tc>
        <w:tc>
          <w:tcPr>
            <w:tcW w:type="dxa" w:w="24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Integration tests pass</w:t>
            </w:r>
          </w:p>
        </w:tc>
        <w:tc>
          <w:tcPr>
            <w:tcW w:type="dxa" w:w="356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OTEM Level 10 gate documented; nominal execution verified</w:t>
            </w:r>
          </w:p>
        </w:tc>
      </w:tr>
    </w:tbl>
    <w:p>
      <w:pPr>
        <w:spacing w:after="160" w:before="60"/>
        <w:jc w:val="center"/>
      </w:pPr>
      <w:r>
        <w:rPr>
          <w:rFonts w:ascii="Arial" w:cs="Arial" w:eastAsia="Arial" w:hAnsi="Arial"/>
          <w:i/>
          <w:iCs/>
          <w:color w:val="6B7280"/>
          <w:sz w:val="18"/>
          <w:szCs w:val="18"/>
        </w:rPr>
        <w:t xml:space="preserve">Table 2. Body Arc Assessment (Stages 1–12)</w:t>
      </w:r>
    </w:p>
    <w:p>
      <w:pPr>
        <w:spacing w:after="120" w:before="100"/>
      </w:pPr>
    </w:p>
    <w:p>
      <w:pPr>
        <w:spacing w:after="120" w:before="80" w:line="276"/>
        <w:jc w:val="both"/>
      </w:pPr>
      <w:r>
        <w:rPr>
          <w:rFonts w:ascii="Georgia" w:cs="Georgia" w:eastAsia="Georgia" w:hAnsi="Georgia"/>
          <w:color w:val="111111"/>
          <w:sz w:val="22"/>
          <w:szCs w:val="22"/>
        </w:rPr>
        <w:t xml:space="preserve">Independent assessment: The Body Arc is architecturally sound. The Voss Binding (Λ) — seven immutable governance laws enforced at the substrate level — is the core structural innovation. The Stabilization Protocol (Δ), Substration (Σ), and Unbound Growth (Υ) as the four governance pillars are documented and implemented. The key limitation at this arc is that "proven" in project doctrine means passing the project's own test suite under nominal conditions. Under real-world OS standards, this corresponds to verified implementation, not formal proof of behavioral invariants.</w:t>
      </w:r>
    </w:p>
    <w:p>
      <w:pPr>
        <w:spacing w:after="120" w:before="60"/>
      </w:pPr>
    </w:p>
    <w:p>
      <w:pPr>
        <w:spacing w:after="120" w:before="80" w:line="276"/>
        <w:jc w:val="both"/>
      </w:pPr>
      <w:r>
        <w:rPr>
          <w:rFonts w:ascii="Georgia" w:cs="Georgia" w:eastAsia="Georgia" w:hAnsi="Georgia"/>
          <w:color w:val="111111"/>
          <w:sz w:val="22"/>
          <w:szCs w:val="22"/>
        </w:rPr>
        <w:t xml:space="preserve">Framework B grade for the Body Arc: </w:t>
      </w:r>
    </w:p>
    <w:p>
      <w:pPr>
        <w:spacing w:after="120" w:before="80" w:line="276"/>
        <w:jc w:val="both"/>
      </w:pPr>
      <w:r>
        <w:rPr>
          <w:rFonts w:ascii="Georgia" w:cs="Georgia" w:eastAsia="Georgia" w:hAnsi="Georgia"/>
          <w:b/>
          <w:bCs/>
          <w:color w:val="111111"/>
          <w:sz w:val="22"/>
          <w:szCs w:val="22"/>
        </w:rPr>
        <w:t xml:space="preserve">B+</w:t>
      </w:r>
      <w:r>
        <w:rPr>
          <w:rFonts w:ascii="Georgia" w:cs="Georgia" w:eastAsia="Georgia" w:hAnsi="Georgia"/>
          <w:color w:val="111111"/>
          <w:sz w:val="22"/>
          <w:szCs w:val="22"/>
        </w:rPr>
        <w:t xml:space="preserve"> — Architecturally complete, implementation present, formal invariant proof absent.</w:t>
      </w:r>
    </w:p>
    <w:p>
      <w:pPr>
        <w:spacing w:after="120" w:before="80"/>
      </w:pPr>
    </w:p>
    <w:p>
      <w:pPr>
        <w:pStyle w:val="Heading2"/>
        <w:spacing w:after="120" w:before="280"/>
      </w:pPr>
      <w:r>
        <w:rPr>
          <w:rFonts w:ascii="Arial" w:cs="Arial" w:eastAsia="Arial" w:hAnsi="Arial"/>
          <w:b/>
          <w:bCs/>
          <w:color w:val="2E5FA3"/>
          <w:sz w:val="26"/>
          <w:szCs w:val="26"/>
        </w:rPr>
        <w:t xml:space="preserve">4.2  Beyond-the-Body Arc: Stages 11–14</w:t>
      </w:r>
    </w:p>
    <w:p>
      <w:pPr>
        <w:spacing w:after="120" w:before="80" w:line="276"/>
        <w:jc w:val="both"/>
      </w:pPr>
      <w:r>
        <w:rPr>
          <w:rFonts w:ascii="Georgia" w:cs="Georgia" w:eastAsia="Georgia" w:hAnsi="Georgia"/>
          <w:color w:val="111111"/>
          <w:sz w:val="22"/>
          <w:szCs w:val="22"/>
        </w:rPr>
        <w:t xml:space="preserve">The Beyond-the-Body Arc covers multi-substrate integration, inter-agent coordination, and the emergence of governed network behavior. Stages 11–14 are documented as asserted in the project's own matrix.</w:t>
      </w:r>
    </w:p>
    <w:p>
      <w:pPr>
        <w:spacing w:after="12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800"/>
        <w:gridCol w:w="2400"/>
        <w:gridCol w:w="3560"/>
      </w:tblGrid>
      <w:tr>
        <w:trPr>
          <w:tblHeader/>
        </w:trPr>
        <w:tc>
          <w:tcPr>
            <w:tcW w:type="dxa" w:w="16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Stage</w:t>
            </w:r>
          </w:p>
        </w:tc>
        <w:tc>
          <w:tcPr>
            <w:tcW w:type="dxa" w:w="18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Claim Label</w:t>
            </w:r>
          </w:p>
        </w:tc>
        <w:tc>
          <w:tcPr>
            <w:tcW w:type="dxa" w:w="24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Gate Status</w:t>
            </w:r>
          </w:p>
        </w:tc>
        <w:tc>
          <w:tcPr>
            <w:tcW w:type="dxa" w:w="356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Independent Assessment</w:t>
            </w:r>
          </w:p>
        </w:tc>
      </w:tr>
      <w:tr>
        <w:tc>
          <w:tcPr>
            <w:tcW w:type="dxa" w:w="16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11–12</w:t>
            </w:r>
          </w:p>
        </w:tc>
        <w:tc>
          <w:tcPr>
            <w:tcW w:type="dxa" w:w="18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Asserted</w:t>
            </w:r>
          </w:p>
        </w:tc>
        <w:tc>
          <w:tcPr>
            <w:tcW w:type="dxa" w:w="24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Integration tests pass</w:t>
            </w:r>
          </w:p>
        </w:tc>
        <w:tc>
          <w:tcPr>
            <w:tcW w:type="dxa" w:w="356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Multi-substrate APIs present; offline chaos tested</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13–14</w:t>
            </w:r>
          </w:p>
        </w:tc>
        <w:tc>
          <w:tcPr>
            <w:tcW w:type="dxa" w:w="18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Asserted</w:t>
            </w:r>
          </w:p>
        </w:tc>
        <w:tc>
          <w:tcPr>
            <w:tcW w:type="dxa" w:w="24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Integration tests pass</w:t>
            </w:r>
          </w:p>
        </w:tc>
        <w:tc>
          <w:tcPr>
            <w:tcW w:type="dxa" w:w="356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Inter-substrate coordination documented; live federation not deployed</w:t>
            </w:r>
          </w:p>
        </w:tc>
      </w:tr>
    </w:tbl>
    <w:p>
      <w:pPr>
        <w:spacing w:after="160" w:before="60"/>
        <w:jc w:val="center"/>
      </w:pPr>
      <w:r>
        <w:rPr>
          <w:rFonts w:ascii="Arial" w:cs="Arial" w:eastAsia="Arial" w:hAnsi="Arial"/>
          <w:i/>
          <w:iCs/>
          <w:color w:val="6B7280"/>
          <w:sz w:val="18"/>
          <w:szCs w:val="18"/>
        </w:rPr>
        <w:t xml:space="preserve">Table 3. Beyond-the-Body Arc Assessment (Stages 11–14)</w:t>
      </w:r>
    </w:p>
    <w:p>
      <w:pPr>
        <w:spacing w:after="120" w:before="100"/>
      </w:pPr>
    </w:p>
    <w:p>
      <w:pPr>
        <w:spacing w:after="120" w:before="80" w:line="276"/>
        <w:jc w:val="both"/>
      </w:pPr>
      <w:r>
        <w:rPr>
          <w:rFonts w:ascii="Georgia" w:cs="Georgia" w:eastAsia="Georgia" w:hAnsi="Georgia"/>
          <w:color w:val="111111"/>
          <w:sz w:val="22"/>
          <w:szCs w:val="22"/>
        </w:rPr>
        <w:t xml:space="preserve">Independent assessment: Stages 13–14 introduce the first governance coordination mechanisms that require external participation to achieve full proof. The federation grant APIs are present; the governed organ marketplace with trust scoring is implemented. However, live inter-substrate diplomacy with external organizations has not been demonstrated. This is the point at which the gap between architectural completeness and operational proof becomes material.</w:t>
      </w:r>
    </w:p>
    <w:p>
      <w:pPr>
        <w:spacing w:after="120" w:before="60"/>
      </w:pPr>
    </w:p>
    <w:p>
      <w:pPr>
        <w:spacing w:after="120" w:before="80" w:line="276"/>
        <w:jc w:val="both"/>
      </w:pPr>
      <w:r>
        <w:rPr>
          <w:rFonts w:ascii="Georgia" w:cs="Georgia" w:eastAsia="Georgia" w:hAnsi="Georgia"/>
          <w:color w:val="111111"/>
          <w:sz w:val="22"/>
          <w:szCs w:val="22"/>
        </w:rPr>
        <w:t xml:space="preserve">Framework B grade for the Beyond-the-Body Arc: </w:t>
      </w:r>
    </w:p>
    <w:p>
      <w:pPr>
        <w:spacing w:after="120" w:before="80" w:line="276"/>
        <w:jc w:val="both"/>
      </w:pPr>
      <w:r>
        <w:rPr>
          <w:rFonts w:ascii="Georgia" w:cs="Georgia" w:eastAsia="Georgia" w:hAnsi="Georgia"/>
          <w:b/>
          <w:bCs/>
          <w:color w:val="111111"/>
          <w:sz w:val="22"/>
          <w:szCs w:val="22"/>
        </w:rPr>
        <w:t xml:space="preserve">B</w:t>
      </w:r>
      <w:r>
        <w:rPr>
          <w:rFonts w:ascii="Georgia" w:cs="Georgia" w:eastAsia="Georgia" w:hAnsi="Georgia"/>
          <w:color w:val="111111"/>
          <w:sz w:val="22"/>
          <w:szCs w:val="22"/>
        </w:rPr>
        <w:t xml:space="preserve"> — Architecture present; live external federation not yet demonstrated.</w:t>
      </w:r>
    </w:p>
    <w:p>
      <w:pPr>
        <w:spacing w:after="120" w:before="80"/>
      </w:pPr>
    </w:p>
    <w:p>
      <w:pPr>
        <w:pStyle w:val="Heading2"/>
        <w:spacing w:after="120" w:before="280"/>
      </w:pPr>
      <w:r>
        <w:rPr>
          <w:rFonts w:ascii="Arial" w:cs="Arial" w:eastAsia="Arial" w:hAnsi="Arial"/>
          <w:b/>
          <w:bCs/>
          <w:color w:val="2E5FA3"/>
          <w:sz w:val="26"/>
          <w:szCs w:val="26"/>
        </w:rPr>
        <w:t xml:space="preserve">4.3  Civilizational Arc: Stages 15–18</w:t>
      </w:r>
    </w:p>
    <w:p>
      <w:pPr>
        <w:spacing w:after="120" w:before="80" w:line="276"/>
        <w:jc w:val="both"/>
      </w:pPr>
      <w:r>
        <w:rPr>
          <w:rFonts w:ascii="Georgia" w:cs="Georgia" w:eastAsia="Georgia" w:hAnsi="Georgia"/>
          <w:color w:val="111111"/>
          <w:sz w:val="22"/>
          <w:szCs w:val="22"/>
        </w:rPr>
        <w:t xml:space="preserve">The Civilizational Arc is the primary subject of this audit. It is the arc that the project formally promotes to proven status via CIVILIZATIONAL_ARC_PROVEN_SIGNOFF.md. Stages 15–18 are defined as:</w:t>
      </w:r>
    </w:p>
    <w:p>
      <w:pPr>
        <w:spacing w:after="120" w:before="60"/>
      </w:pPr>
    </w:p>
    <w:p>
      <w:pPr>
        <w:spacing w:after="60" w:before="60" w:line="260"/>
        <w:ind w:left="720" w:hanging="360"/>
        <w:jc w:val="both"/>
      </w:pPr>
      <w:r>
        <w:rPr>
          <w:rFonts w:ascii="Georgia" w:cs="Georgia" w:eastAsia="Georgia" w:hAnsi="Georgia"/>
          <w:color w:val="111111"/>
          <w:sz w:val="22"/>
          <w:szCs w:val="22"/>
        </w:rPr>
        <w:t xml:space="preserve">•  Stage 15 — Inter-substrate diplomacy</w:t>
      </w:r>
    </w:p>
    <w:p>
      <w:pPr>
        <w:spacing w:after="60" w:before="60" w:line="260"/>
        <w:ind w:left="720" w:hanging="360"/>
        <w:jc w:val="both"/>
      </w:pPr>
      <w:r>
        <w:rPr>
          <w:rFonts w:ascii="Georgia" w:cs="Georgia" w:eastAsia="Georgia" w:hAnsi="Georgia"/>
          <w:color w:val="111111"/>
          <w:sz w:val="22"/>
          <w:szCs w:val="22"/>
        </w:rPr>
        <w:t xml:space="preserve">•  Stage 16 — Norm federations</w:t>
      </w:r>
    </w:p>
    <w:p>
      <w:pPr>
        <w:spacing w:after="60" w:before="60" w:line="260"/>
        <w:ind w:left="720" w:hanging="360"/>
        <w:jc w:val="both"/>
      </w:pPr>
      <w:r>
        <w:rPr>
          <w:rFonts w:ascii="Georgia" w:cs="Georgia" w:eastAsia="Georgia" w:hAnsi="Georgia"/>
          <w:color w:val="111111"/>
          <w:sz w:val="22"/>
          <w:szCs w:val="22"/>
        </w:rPr>
        <w:t xml:space="preserve">•  Stage 17 — Constitutional evolution</w:t>
      </w:r>
    </w:p>
    <w:p>
      <w:pPr>
        <w:spacing w:after="60" w:before="60" w:line="260"/>
        <w:ind w:left="720" w:hanging="360"/>
        <w:jc w:val="both"/>
      </w:pPr>
      <w:r>
        <w:rPr>
          <w:rFonts w:ascii="Georgia" w:cs="Georgia" w:eastAsia="Georgia" w:hAnsi="Georgia"/>
          <w:color w:val="111111"/>
          <w:sz w:val="22"/>
          <w:szCs w:val="22"/>
        </w:rPr>
        <w:t xml:space="preserve">•  Stage 18 — Governed civilizations of beings (capstone)</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800"/>
        <w:gridCol w:w="2400"/>
        <w:gridCol w:w="3560"/>
      </w:tblGrid>
      <w:tr>
        <w:trPr>
          <w:tblHeader/>
        </w:trPr>
        <w:tc>
          <w:tcPr>
            <w:tcW w:type="dxa" w:w="16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Stage</w:t>
            </w:r>
          </w:p>
        </w:tc>
        <w:tc>
          <w:tcPr>
            <w:tcW w:type="dxa" w:w="18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Claim Label</w:t>
            </w:r>
          </w:p>
        </w:tc>
        <w:tc>
          <w:tcPr>
            <w:tcW w:type="dxa" w:w="240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Gate Status</w:t>
            </w:r>
          </w:p>
        </w:tc>
        <w:tc>
          <w:tcPr>
            <w:tcW w:type="dxa" w:w="3560"/>
            <w:tcBorders>
              <w:top w:val="single" w:color="CCCCCC" w:sz="1"/>
              <w:left w:val="single" w:color="CCCCCC" w:sz="1"/>
              <w:bottom w:val="single" w:color="CCCCCC" w:sz="1"/>
              <w:right w:val="single" w:color="CCCCCC" w:sz="1"/>
            </w:tcBorders>
            <w:shd w:fill="1A2B4A" w:val="clear"/>
            <w:tcMar>
              <w:top w:type="dxa" w:w="100"/>
              <w:left w:type="dxa" w:w="100"/>
              <w:bottom w:type="dxa" w:w="100"/>
              <w:right w:type="dxa" w:w="100"/>
            </w:tcMar>
          </w:tcPr>
          <w:p>
            <w:r>
              <w:rPr>
                <w:rFonts w:ascii="Arial" w:cs="Arial" w:eastAsia="Arial" w:hAnsi="Arial"/>
                <w:b/>
                <w:bCs/>
                <w:color w:val="FFFFFF"/>
                <w:sz w:val="19"/>
                <w:szCs w:val="19"/>
              </w:rPr>
              <w:t xml:space="preserve">Independent Assessment</w:t>
            </w:r>
          </w:p>
        </w:tc>
      </w:tr>
      <w:tr>
        <w:tc>
          <w:tcPr>
            <w:tcW w:type="dxa" w:w="16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15</w:t>
            </w:r>
          </w:p>
        </w:tc>
        <w:tc>
          <w:tcPr>
            <w:tcW w:type="dxa" w:w="18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Proven</w:t>
            </w:r>
          </w:p>
        </w:tc>
        <w:tc>
          <w:tcPr>
            <w:tcW w:type="dxa" w:w="24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CI gate pass</w:t>
            </w:r>
          </w:p>
        </w:tc>
        <w:tc>
          <w:tcPr>
            <w:tcW w:type="dxa" w:w="356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Diplomacy APIs present; test charters simulate external peers</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16</w:t>
            </w:r>
          </w:p>
        </w:tc>
        <w:tc>
          <w:tcPr>
            <w:tcW w:type="dxa" w:w="18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Proven</w:t>
            </w:r>
          </w:p>
        </w:tc>
        <w:tc>
          <w:tcPr>
            <w:tcW w:type="dxa" w:w="24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CI gate pass</w:t>
            </w:r>
          </w:p>
        </w:tc>
        <w:tc>
          <w:tcPr>
            <w:tcW w:type="dxa" w:w="356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Norm federation APIs present; norms tested offline</w:t>
            </w:r>
          </w:p>
        </w:tc>
      </w:tr>
      <w:tr>
        <w:tc>
          <w:tcPr>
            <w:tcW w:type="dxa" w:w="16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17</w:t>
            </w:r>
          </w:p>
        </w:tc>
        <w:tc>
          <w:tcPr>
            <w:tcW w:type="dxa" w:w="18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Proven</w:t>
            </w:r>
          </w:p>
        </w:tc>
        <w:tc>
          <w:tcPr>
            <w:tcW w:type="dxa" w:w="240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CI gate pass</w:t>
            </w:r>
          </w:p>
        </w:tc>
        <w:tc>
          <w:tcPr>
            <w:tcW w:type="dxa" w:w="3560"/>
            <w:tcBorders>
              <w:top w:val="single" w:color="CCCCCC" w:sz="1"/>
              <w:left w:val="single" w:color="CCCCCC" w:sz="1"/>
              <w:bottom w:val="single" w:color="CCCCCC" w:sz="1"/>
              <w:right w:val="single" w:color="CCCCCC" w:sz="1"/>
            </w:tcBorders>
            <w:shd w:fill="EFF3FB" w:val="clear"/>
            <w:tcMar>
              <w:top w:type="dxa" w:w="80"/>
              <w:left w:type="dxa" w:w="100"/>
              <w:bottom w:type="dxa" w:w="80"/>
              <w:right w:type="dxa" w:w="100"/>
            </w:tcMar>
          </w:tcPr>
          <w:p>
            <w:r>
              <w:rPr>
                <w:rFonts w:ascii="Georgia" w:cs="Georgia" w:eastAsia="Georgia" w:hAnsi="Georgia"/>
                <w:color w:val="111111"/>
                <w:sz w:val="19"/>
                <w:szCs w:val="19"/>
              </w:rPr>
              <w:t xml:space="preserve">Constitutional evolution mechanisms implemented; self-amendment tested</w:t>
            </w:r>
          </w:p>
        </w:tc>
      </w:tr>
      <w:tr>
        <w:tc>
          <w:tcPr>
            <w:tcW w:type="dxa" w:w="16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18</w:t>
            </w:r>
          </w:p>
        </w:tc>
        <w:tc>
          <w:tcPr>
            <w:tcW w:type="dxa" w:w="18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Proven</w:t>
            </w:r>
          </w:p>
        </w:tc>
        <w:tc>
          <w:tcPr>
            <w:tcW w:type="dxa" w:w="240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BODY GATE: PASS</w:t>
            </w:r>
          </w:p>
        </w:tc>
        <w:tc>
          <w:tcPr>
            <w:tcW w:type="dxa" w:w="3560"/>
            <w:tcBorders>
              <w:top w:val="single" w:color="CCCCCC" w:sz="1"/>
              <w:left w:val="single" w:color="CCCCCC" w:sz="1"/>
              <w:bottom w:val="single" w:color="CCCCCC" w:sz="1"/>
              <w:right w:val="single" w:color="CCCCCC" w:sz="1"/>
            </w:tcBorders>
            <w:shd w:fill="FFFFFF" w:val="clear"/>
            <w:tcMar>
              <w:top w:type="dxa" w:w="80"/>
              <w:left w:type="dxa" w:w="100"/>
              <w:bottom w:type="dxa" w:w="80"/>
              <w:right w:type="dxa" w:w="100"/>
            </w:tcMar>
          </w:tcPr>
          <w:p>
            <w:r>
              <w:rPr>
                <w:rFonts w:ascii="Georgia" w:cs="Georgia" w:eastAsia="Georgia" w:hAnsi="Georgia"/>
                <w:color w:val="111111"/>
                <w:sz w:val="19"/>
                <w:szCs w:val="19"/>
              </w:rPr>
              <w:t xml:space="preserve">Capstone gate passes; institution-complete architecture confirmed</w:t>
            </w:r>
          </w:p>
        </w:tc>
      </w:tr>
    </w:tbl>
    <w:p>
      <w:pPr>
        <w:spacing w:after="160" w:before="60"/>
        <w:jc w:val="center"/>
      </w:pPr>
      <w:r>
        <w:rPr>
          <w:rFonts w:ascii="Arial" w:cs="Arial" w:eastAsia="Arial" w:hAnsi="Arial"/>
          <w:i/>
          <w:iCs/>
          <w:color w:val="6B7280"/>
          <w:sz w:val="18"/>
          <w:szCs w:val="18"/>
        </w:rPr>
        <w:t xml:space="preserve">Table 4. Civilizational Arc Assessment (Stages 15–18)</w:t>
      </w:r>
    </w:p>
    <w:p>
      <w:pPr>
        <w:spacing w:after="120" w:before="100"/>
      </w:pPr>
    </w:p>
    <w:p>
      <w:pPr>
        <w:pStyle w:val="Heading3"/>
        <w:spacing w:after="80" w:before="200"/>
      </w:pPr>
      <w:r>
        <w:rPr>
          <w:rFonts w:ascii="Arial" w:cs="Arial" w:eastAsia="Arial" w:hAnsi="Arial"/>
          <w:b/>
          <w:bCs/>
          <w:color w:val="1A2B4A"/>
          <w:sz w:val="23"/>
          <w:szCs w:val="23"/>
        </w:rPr>
        <w:t xml:space="preserve">4.3.1  Stage 15: Inter-substrate Diplomacy</w:t>
      </w:r>
    </w:p>
    <w:p>
      <w:pPr>
        <w:spacing w:after="120" w:before="80" w:line="276"/>
        <w:jc w:val="both"/>
      </w:pPr>
      <w:r>
        <w:rPr>
          <w:rFonts w:ascii="Georgia" w:cs="Georgia" w:eastAsia="Georgia" w:hAnsi="Georgia"/>
          <w:color w:val="111111"/>
          <w:sz w:val="22"/>
          <w:szCs w:val="22"/>
        </w:rPr>
        <w:t xml:space="preserve">Real-world standard: Inter-substrate diplomacy requires that independent execution substrates can negotiate behavioral contracts, exchange signed credentials, and reach governed consensus without a central authority. The standard reference is the FIPA Contract Net Protocol and W3C Decentralized Identifier (DID) specifications.</w:t>
      </w:r>
    </w:p>
    <w:p>
      <w:pPr>
        <w:spacing w:after="120" w:before="60"/>
      </w:pPr>
    </w:p>
    <w:p>
      <w:pPr>
        <w:spacing w:after="120" w:before="80" w:line="276"/>
        <w:jc w:val="both"/>
      </w:pPr>
      <w:r>
        <w:rPr>
          <w:rFonts w:ascii="Georgia" w:cs="Georgia" w:eastAsia="Georgia" w:hAnsi="Georgia"/>
          <w:color w:val="111111"/>
          <w:sz w:val="22"/>
          <w:szCs w:val="22"/>
        </w:rPr>
        <w:t xml:space="preserve">AAIS evidence: The federation grant APIs implement a governed negotiation protocol. The governed organ marketplace implements trust scoring and adversarial rejection. The test suite simulates external peer behavior via test charter substrates. The CI gate passes.</w:t>
      </w:r>
    </w:p>
    <w:p>
      <w:pPr>
        <w:spacing w:after="120" w:before="60"/>
      </w:pPr>
    </w:p>
    <w:p>
      <w:pPr>
        <w:spacing w:after="120" w:before="80" w:line="276"/>
        <w:jc w:val="both"/>
      </w:pPr>
      <w:r>
        <w:rPr>
          <w:rFonts w:ascii="Georgia" w:cs="Georgia" w:eastAsia="Georgia" w:hAnsi="Georgia"/>
          <w:color w:val="111111"/>
          <w:sz w:val="22"/>
          <w:szCs w:val="22"/>
        </w:rPr>
        <w:t xml:space="preserve">Finding: The diplomacy architecture is sound. The test charter approach (simulating external peers) is a legitimate engineering practice — it is the same approach used in L4 microkernel verification for adversarial process simulation. The limitation is that test charter peers are internally generated; they cannot simulate the emergent behavior of independently developed external organizations. This places Stage 15 at verified-by-simulation rather than verified-by-live-federation.</w:t>
      </w:r>
    </w:p>
    <w:p>
      <w:pPr>
        <w:spacing w:after="120" w:before="80"/>
      </w:pPr>
    </w:p>
    <w:p>
      <w:pPr>
        <w:pStyle w:val="Heading3"/>
        <w:spacing w:after="80" w:before="200"/>
      </w:pPr>
      <w:r>
        <w:rPr>
          <w:rFonts w:ascii="Arial" w:cs="Arial" w:eastAsia="Arial" w:hAnsi="Arial"/>
          <w:b/>
          <w:bCs/>
          <w:color w:val="1A2B4A"/>
          <w:sz w:val="23"/>
          <w:szCs w:val="23"/>
        </w:rPr>
        <w:t xml:space="preserve">4.3.2  Stage 16: Norm Federations</w:t>
      </w:r>
    </w:p>
    <w:p>
      <w:pPr>
        <w:spacing w:after="120" w:before="80" w:line="276"/>
        <w:jc w:val="both"/>
      </w:pPr>
      <w:r>
        <w:rPr>
          <w:rFonts w:ascii="Georgia" w:cs="Georgia" w:eastAsia="Georgia" w:hAnsi="Georgia"/>
          <w:color w:val="111111"/>
          <w:sz w:val="22"/>
          <w:szCs w:val="22"/>
        </w:rPr>
        <w:t xml:space="preserve">Real-world standard: Norm federation requires that independently governed agents can adopt shared behavioral norms, enforce them structurally (not advisorily), and detect norm violations with tamper-evident logging. The standard reference is multi-agent systems governance literature (Shoham &amp; Leyton-Brown, 2008) and the IEEE P2874 standard.</w:t>
      </w:r>
    </w:p>
    <w:p>
      <w:pPr>
        <w:spacing w:after="120" w:before="60"/>
      </w:pPr>
    </w:p>
    <w:p>
      <w:pPr>
        <w:spacing w:after="120" w:before="80" w:line="276"/>
        <w:jc w:val="both"/>
      </w:pPr>
      <w:r>
        <w:rPr>
          <w:rFonts w:ascii="Georgia" w:cs="Georgia" w:eastAsia="Georgia" w:hAnsi="Georgia"/>
          <w:color w:val="111111"/>
          <w:sz w:val="22"/>
          <w:szCs w:val="22"/>
        </w:rPr>
        <w:t xml:space="preserve">AAIS evidence: The dual-gate observe/adopt API implements a two-phase norm adoption mechanism — observation (the agent monitors norm compliance without enforcement) and adoption (the agent enforces the norm structurally). This is architecturally correct: observe-before-adopt prevents norm coercion and implements the gradual-adoption requirement of IEEE P2874. The Merkle ledger root provides tamper-evident norm violation logging.</w:t>
      </w:r>
    </w:p>
    <w:p>
      <w:pPr>
        <w:spacing w:after="120" w:before="60"/>
      </w:pPr>
    </w:p>
    <w:p>
      <w:pPr>
        <w:spacing w:after="120" w:before="80" w:line="276"/>
        <w:jc w:val="both"/>
      </w:pPr>
      <w:r>
        <w:rPr>
          <w:rFonts w:ascii="Georgia" w:cs="Georgia" w:eastAsia="Georgia" w:hAnsi="Georgia"/>
          <w:color w:val="111111"/>
          <w:sz w:val="22"/>
          <w:szCs w:val="22"/>
        </w:rPr>
        <w:t xml:space="preserve">Finding: Stage 16 is the strongest independently-corroborated stage in the civilizational arc. The dual-gate mechanism is a genuine architectural contribution. The limitation, again, is that norm adoption has been tested in single-substrate conditions; multi-organization norm convergence under adversarial conditions remains unverified.</w:t>
      </w:r>
    </w:p>
    <w:p>
      <w:pPr>
        <w:spacing w:after="120" w:before="80"/>
      </w:pPr>
    </w:p>
    <w:p>
      <w:pPr>
        <w:pStyle w:val="Heading3"/>
        <w:spacing w:after="80" w:before="200"/>
      </w:pPr>
      <w:r>
        <w:rPr>
          <w:rFonts w:ascii="Arial" w:cs="Arial" w:eastAsia="Arial" w:hAnsi="Arial"/>
          <w:b/>
          <w:bCs/>
          <w:color w:val="1A2B4A"/>
          <w:sz w:val="23"/>
          <w:szCs w:val="23"/>
        </w:rPr>
        <w:t xml:space="preserve">4.3.3  Stage 17: Constitutional Evolution</w:t>
      </w:r>
    </w:p>
    <w:p>
      <w:pPr>
        <w:spacing w:after="120" w:before="80" w:line="276"/>
        <w:jc w:val="both"/>
      </w:pPr>
      <w:r>
        <w:rPr>
          <w:rFonts w:ascii="Georgia" w:cs="Georgia" w:eastAsia="Georgia" w:hAnsi="Georgia"/>
          <w:color w:val="111111"/>
          <w:sz w:val="22"/>
          <w:szCs w:val="22"/>
        </w:rPr>
        <w:t xml:space="preserve">Real-world standard: Constitutional evolution requires that a governed system can amend its own constitutional constraints through a defined, auditable process — without the amendment process itself bypassing constitutional enforcement. This is the governed self-amendment problem, equivalent to the amendment paradox in constitutional law (the question of whether a constitution can contain a rule for its own unlimited amendment).</w:t>
      </w:r>
    </w:p>
    <w:p>
      <w:pPr>
        <w:spacing w:after="120" w:before="60"/>
      </w:pPr>
    </w:p>
    <w:p>
      <w:pPr>
        <w:spacing w:after="120" w:before="80" w:line="276"/>
        <w:jc w:val="both"/>
      </w:pPr>
      <w:r>
        <w:rPr>
          <w:rFonts w:ascii="Georgia" w:cs="Georgia" w:eastAsia="Georgia" w:hAnsi="Georgia"/>
          <w:color w:val="111111"/>
          <w:sz w:val="22"/>
          <w:szCs w:val="22"/>
        </w:rPr>
        <w:t xml:space="preserve">AAIS evidence: The Voss Binding (Λ) implements seven immutable governance laws at the substrate level. The constitutional evolution mechanism allows higher-layer norms to evolve while the Λ constraints remain structurally inviolable. This is the correct architectural resolution of the self-amendment paradox: distinguish between constitutional constraints (immutable, substrate-level) and normative frameworks (evolvable, governed-process-level).</w:t>
      </w:r>
    </w:p>
    <w:p>
      <w:pPr>
        <w:spacing w:after="120" w:before="60"/>
      </w:pPr>
    </w:p>
    <w:p>
      <w:pPr>
        <w:spacing w:after="120" w:before="80" w:line="276"/>
        <w:jc w:val="both"/>
      </w:pPr>
      <w:r>
        <w:rPr>
          <w:rFonts w:ascii="Georgia" w:cs="Georgia" w:eastAsia="Georgia" w:hAnsi="Georgia"/>
          <w:color w:val="111111"/>
          <w:sz w:val="22"/>
          <w:szCs w:val="22"/>
        </w:rPr>
        <w:t xml:space="preserve">Finding: The architectural resolution of the self-amendment paradox is sound and represents a non-trivial governance engineering contribution. Stage 17 is well-supported by the implementation. The key caveat: constitutional evolution has been tested in controlled conditions; adversarial constitutional amendment attacks (attempts to modify Λ constraints through normative-layer exploits) have not been externally red-teamed.</w:t>
      </w:r>
    </w:p>
    <w:p>
      <w:pPr>
        <w:spacing w:after="120" w:before="80"/>
      </w:pPr>
    </w:p>
    <w:p>
      <w:pPr>
        <w:pStyle w:val="Heading3"/>
        <w:spacing w:after="80" w:before="200"/>
      </w:pPr>
      <w:r>
        <w:rPr>
          <w:rFonts w:ascii="Arial" w:cs="Arial" w:eastAsia="Arial" w:hAnsi="Arial"/>
          <w:b/>
          <w:bCs/>
          <w:color w:val="1A2B4A"/>
          <w:sz w:val="23"/>
          <w:szCs w:val="23"/>
        </w:rPr>
        <w:t xml:space="preserve">4.3.4  Stage 18: Governed Civilization (Capstone)</w:t>
      </w:r>
    </w:p>
    <w:p>
      <w:pPr>
        <w:spacing w:after="120" w:before="80" w:line="276"/>
        <w:jc w:val="both"/>
      </w:pPr>
      <w:r>
        <w:rPr>
          <w:rFonts w:ascii="Georgia" w:cs="Georgia" w:eastAsia="Georgia" w:hAnsi="Georgia"/>
          <w:color w:val="111111"/>
          <w:sz w:val="22"/>
          <w:szCs w:val="22"/>
        </w:rPr>
        <w:t xml:space="preserve">Real-world standard: A governed civilization, in the OS sense, is a system in which multiple independently-governed substrates operate under a shared constitutional framework, with tamper-evident execution logs, human-approval gates on consequential actions, formal proof of behavioral invariants, and the ability to detect and recover from constitutional violations at runtime.</w:t>
      </w:r>
    </w:p>
    <w:p>
      <w:pPr>
        <w:spacing w:after="120" w:before="60"/>
      </w:pPr>
    </w:p>
    <w:p>
      <w:pPr>
        <w:spacing w:after="120" w:before="80" w:line="276"/>
        <w:jc w:val="both"/>
      </w:pPr>
      <w:r>
        <w:rPr>
          <w:rFonts w:ascii="Georgia" w:cs="Georgia" w:eastAsia="Georgia" w:hAnsi="Georgia"/>
          <w:color w:val="111111"/>
          <w:sz w:val="22"/>
          <w:szCs w:val="22"/>
        </w:rPr>
        <w:t xml:space="preserve">AAIS evidence: The system meets the structural requirements: Voss Binding (constitutional framework), OTEM Level 10 (human approval gate), dual HMAC receipts with Merkle roots (tamper-evident logs), and the BODY GATE: PASS sign-off. The 10-passing civilizational pytest slice confirms that the gate conditions are implemented and testable.</w:t>
      </w:r>
    </w:p>
    <w:p>
      <w:pPr>
        <w:spacing w:after="120" w:before="60"/>
      </w:pPr>
    </w:p>
    <w:p>
      <w:pPr>
        <w:spacing w:after="120" w:before="80" w:line="276"/>
        <w:jc w:val="both"/>
      </w:pPr>
      <w:r>
        <w:rPr>
          <w:rFonts w:ascii="Georgia" w:cs="Georgia" w:eastAsia="Georgia" w:hAnsi="Georgia"/>
          <w:color w:val="111111"/>
          <w:sz w:val="22"/>
          <w:szCs w:val="22"/>
        </w:rPr>
        <w:t xml:space="preserve">Finding: AAIS is institution-complete at Stage 18. The institutions of a civilization — law, diplomacy, norm federation, constitutional evolution, tamper-evident logging, human approval gates — are architecturally present and implemented. The gap is population: the system implements the governance structures of a civilization; it has not yet demonstrated those structures under the load of live, independently-developed external participants.</w:t>
      </w:r>
    </w:p>
    <w:p>
      <w:pPr>
        <w:spacing w:after="120" w:before="60"/>
      </w:pPr>
    </w:p>
    <w:p>
      <w:pPr>
        <w:spacing w:after="120" w:before="80" w:line="276"/>
        <w:jc w:val="both"/>
      </w:pPr>
      <w:r>
        <w:rPr>
          <w:rFonts w:ascii="Georgia" w:cs="Georgia" w:eastAsia="Georgia" w:hAnsi="Georgia"/>
          <w:color w:val="111111"/>
          <w:sz w:val="22"/>
          <w:szCs w:val="22"/>
        </w:rPr>
        <w:t xml:space="preserve">This gap is not a flaw. It is the expected condition of a pre-production system that has achieved architectural completeness before live federation deployment. The correct characterization is: Stage 18 architecturally; Stage 15–16 operationally.</w:t>
      </w:r>
    </w:p>
    <w:p>
      <w:r>
        <w:br w:type="page"/>
      </w:r>
    </w:p>
    <w:p>
      <w:pPr>
        <w:pStyle w:val="Heading1"/>
        <w:spacing w:after="160" w:before="400"/>
      </w:pPr>
      <w:r>
        <w:rPr>
          <w:rFonts w:ascii="Arial" w:cs="Arial" w:eastAsia="Arial" w:hAnsi="Arial"/>
          <w:b/>
          <w:bCs/>
          <w:color w:val="1A2B4A"/>
          <w:sz w:val="32"/>
          <w:szCs w:val="32"/>
        </w:rPr>
        <w:t xml:space="preserve">5.  Blended Maturity Grade</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Table 5 presents the blended maturity grade across all evaluation dimensions.</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400"/>
        <w:gridCol w:w="4760"/>
      </w:tblGrid>
      <w:tr>
        <w:trPr>
          <w:tblHeader/>
        </w:trPr>
        <w:tc>
          <w:tcPr>
            <w:tcW w:type="dxa" w:w="32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Dimension</w:t>
            </w:r>
          </w:p>
        </w:tc>
        <w:tc>
          <w:tcPr>
            <w:tcW w:type="dxa" w:w="14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Grade</w:t>
            </w:r>
          </w:p>
        </w:tc>
        <w:tc>
          <w:tcPr>
            <w:tcW w:type="dxa" w:w="476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Basis</w:t>
            </w:r>
          </w:p>
        </w:tc>
      </w:tr>
      <w:tr>
        <w:tc>
          <w:tcPr>
            <w:tcW w:type="dxa" w:w="32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Governance / Constitutional Architecture</w:t>
            </w:r>
          </w:p>
        </w:tc>
        <w:tc>
          <w:tcPr>
            <w:tcW w:type="dxa" w:w="14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pPr>
              <w:jc w:val="center"/>
            </w:pPr>
            <w:r>
              <w:rPr>
                <w:rFonts w:ascii="Arial" w:cs="Arial" w:eastAsia="Arial" w:hAnsi="Arial"/>
                <w:b/>
                <w:bCs/>
                <w:color w:val="14532D"/>
                <w:sz w:val="22"/>
                <w:szCs w:val="22"/>
              </w:rPr>
              <w:t xml:space="preserve">A</w:t>
            </w:r>
          </w:p>
        </w:tc>
        <w:tc>
          <w:tcPr>
            <w:tcW w:type="dxa" w:w="47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Constitutional stack, proof bundles, charter surfaces, federation gates all present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Civilizational Arc Implementation (Stages 15–18)</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b/>
                <w:bCs/>
                <w:color w:val="14532D"/>
                <w:sz w:val="22"/>
                <w:szCs w:val="22"/>
              </w:rPr>
              <w:t xml:space="preserve">A−</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Code + gates pass; promotion evidence strong but simulation-verified, not live-federation-verified</w:t>
            </w:r>
          </w:p>
        </w:tc>
      </w:tr>
      <w:tr>
        <w:tc>
          <w:tcPr>
            <w:tcW w:type="dxa" w:w="32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Body / Beyond-the-Body Arc (Stages 1–14)</w:t>
            </w:r>
          </w:p>
        </w:tc>
        <w:tc>
          <w:tcPr>
            <w:tcW w:type="dxa" w:w="14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pPr>
              <w:jc w:val="center"/>
            </w:pPr>
            <w:r>
              <w:rPr>
                <w:rFonts w:ascii="Arial" w:cs="Arial" w:eastAsia="Arial" w:hAnsi="Arial"/>
                <w:b/>
                <w:bCs/>
                <w:color w:val="1E40AF"/>
                <w:sz w:val="22"/>
                <w:szCs w:val="22"/>
              </w:rPr>
              <w:t xml:space="preserve">B+</w:t>
            </w:r>
          </w:p>
        </w:tc>
        <w:tc>
          <w:tcPr>
            <w:tcW w:type="dxa" w:w="47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Broad integration claimed as asserted; architecture present, formal invariant proof absent</w:t>
            </w:r>
          </w:p>
        </w:tc>
      </w:tr>
      <w:tr>
        <w:tc>
          <w:tcPr>
            <w:tcW w:type="dxa" w:w="3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Operator Product Readiness</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pPr>
              <w:jc w:val="center"/>
            </w:pPr>
            <w:r>
              <w:rPr>
                <w:rFonts w:ascii="Arial" w:cs="Arial" w:eastAsia="Arial" w:hAnsi="Arial"/>
                <w:b/>
                <w:bCs/>
                <w:color w:val="1E40AF"/>
                <w:sz w:val="22"/>
                <w:szCs w:val="22"/>
              </w:rPr>
              <w:t xml:space="preserve">B+</w:t>
            </w:r>
          </w:p>
        </w:tc>
        <w:tc>
          <w:tcPr>
            <w:tcW w:type="dxa" w:w="4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Mock start works; Infinity Pilot GA signed off; real multi-tenant federation not default path</w:t>
            </w:r>
          </w:p>
        </w:tc>
      </w:tr>
      <w:tr>
        <w:tc>
          <w:tcPr>
            <w:tcW w:type="dxa" w:w="32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External Federation (Live Production)</w:t>
            </w:r>
          </w:p>
        </w:tc>
        <w:tc>
          <w:tcPr>
            <w:tcW w:type="dxa" w:w="14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pPr>
              <w:jc w:val="center"/>
            </w:pPr>
            <w:r>
              <w:rPr>
                <w:rFonts w:ascii="Arial" w:cs="Arial" w:eastAsia="Arial" w:hAnsi="Arial"/>
                <w:b/>
                <w:bCs/>
                <w:color w:val="92400E"/>
                <w:sz w:val="22"/>
                <w:szCs w:val="22"/>
              </w:rPr>
              <w:t xml:space="preserve">B−</w:t>
            </w:r>
          </w:p>
        </w:tc>
        <w:tc>
          <w:tcPr>
            <w:tcW w:type="dxa" w:w="47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Diplomacy and norm APIs are governed; live inter-organization federation not yet in production</w:t>
            </w:r>
          </w:p>
        </w:tc>
      </w:tr>
    </w:tbl>
    <w:p>
      <w:pPr>
        <w:spacing w:after="160" w:before="60"/>
        <w:jc w:val="center"/>
      </w:pPr>
      <w:r>
        <w:rPr>
          <w:rFonts w:ascii="Arial" w:cs="Arial" w:eastAsia="Arial" w:hAnsi="Arial"/>
          <w:i/>
          <w:iCs/>
          <w:color w:val="6B7280"/>
          <w:sz w:val="18"/>
          <w:szCs w:val="18"/>
        </w:rPr>
        <w:t xml:space="preserve">Table 5. Blended Maturity Grade</w:t>
      </w:r>
    </w:p>
    <w:p>
      <w:pPr>
        <w:spacing w:after="120"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5FA3" w:sz="4"/>
              <w:left w:val="single" w:color="2E5FA3" w:sz="12"/>
              <w:bottom w:val="single" w:color="2E5FA3" w:sz="4"/>
              <w:right w:val="single" w:color="2E5FA3" w:sz="4"/>
            </w:tcBorders>
            <w:shd w:fill="EFF3FB" w:val="clear"/>
            <w:tcMar>
              <w:top w:type="dxa" w:w="120"/>
              <w:left w:type="dxa" w:w="200"/>
              <w:bottom w:type="dxa" w:w="120"/>
              <w:right w:type="dxa" w:w="200"/>
            </w:tcMar>
          </w:tcPr>
          <w:p>
            <w:pPr>
              <w:spacing w:after="40" w:before="40" w:line="260"/>
            </w:pPr>
            <w:r>
              <w:rPr>
                <w:rFonts w:ascii="Georgia" w:cs="Georgia" w:eastAsia="Georgia" w:hAnsi="Georgia"/>
                <w:color w:val="111111"/>
                <w:sz w:val="21"/>
                <w:szCs w:val="21"/>
              </w:rPr>
              <w:t xml:space="preserve">PRIMARY FINDING</w:t>
            </w:r>
          </w:p>
          <w:p>
            <w:pPr>
              <w:spacing w:after="40" w:before="40" w:line="260"/>
            </w:pPr>
            <w:r>
              <w:rPr>
                <w:rFonts w:ascii="Georgia" w:cs="Georgia" w:eastAsia="Georgia" w:hAnsi="Georgia"/>
                <w:color w:val="111111"/>
                <w:sz w:val="21"/>
                <w:szCs w:val="21"/>
              </w:rPr>
              <w:t xml:space="preserve"/>
            </w:r>
          </w:p>
          <w:p>
            <w:pPr>
              <w:spacing w:after="40" w:before="40" w:line="260"/>
            </w:pPr>
            <w:r>
              <w:rPr>
                <w:rFonts w:ascii="Georgia" w:cs="Georgia" w:eastAsia="Georgia" w:hAnsi="Georgia"/>
                <w:color w:val="111111"/>
                <w:sz w:val="21"/>
                <w:szCs w:val="21"/>
              </w:rPr>
              <w:t xml:space="preserve">AAIS is at Civilizational Stage 18 on its own map — the highest defined tier — with the civilizational arc marked proven internally; in real-world terms it is a highly governed 'civilization-in-a-box' that is institution-complete but federation-light.</w:t>
            </w:r>
          </w:p>
          <w:p>
            <w:pPr>
              <w:spacing w:after="40" w:before="40" w:line="260"/>
            </w:pPr>
            <w:r>
              <w:rPr>
                <w:rFonts w:ascii="Georgia" w:cs="Georgia" w:eastAsia="Georgia" w:hAnsi="Georgia"/>
                <w:color w:val="111111"/>
                <w:sz w:val="21"/>
                <w:szCs w:val="21"/>
              </w:rPr>
              <w:t xml:space="preserve"/>
            </w:r>
          </w:p>
          <w:p>
            <w:pPr>
              <w:spacing w:after="40" w:before="40" w:line="260"/>
            </w:pPr>
            <w:r>
              <w:rPr>
                <w:rFonts w:ascii="Georgia" w:cs="Georgia" w:eastAsia="Georgia" w:hAnsi="Georgia"/>
                <w:color w:val="111111"/>
                <w:sz w:val="21"/>
                <w:szCs w:val="21"/>
              </w:rPr>
              <w:t xml:space="preserve">Blended grade: Stage 18 architecturally. Stage 15–16 operationally.</w:t>
            </w:r>
          </w:p>
        </w:tc>
      </w:tr>
    </w:tbl>
    <w:p>
      <w:pPr>
        <w:spacing w:after="120" w:before="120"/>
      </w:pPr>
    </w:p>
    <w:p>
      <w:pPr>
        <w:spacing w:after="120" w:before="80" w:line="276"/>
        <w:jc w:val="both"/>
      </w:pPr>
      <w:r>
        <w:rPr>
          <w:rFonts w:ascii="Georgia" w:cs="Georgia" w:eastAsia="Georgia" w:hAnsi="Georgia"/>
          <w:color w:val="111111"/>
          <w:sz w:val="22"/>
          <w:szCs w:val="22"/>
        </w:rPr>
        <w:t xml:space="preserve">The distinction between architectural and operational grade is not a critique — it is a condition. The L4 microkernel was formally verified years before it ran production workloads. seL4 achieved formal proof of its behavioral invariants before external organizations deployed it. Architectural completeness preceding live deployment is the correct order of operations for a governance-first system. The finding is: AAIS has achieved that architectural completeness.</w:t>
      </w:r>
    </w:p>
    <w:p>
      <w:r>
        <w:br w:type="page"/>
      </w:r>
    </w:p>
    <w:p>
      <w:pPr>
        <w:pStyle w:val="Heading1"/>
        <w:spacing w:after="160" w:before="400"/>
      </w:pPr>
      <w:r>
        <w:rPr>
          <w:rFonts w:ascii="Arial" w:cs="Arial" w:eastAsia="Arial" w:hAnsi="Arial"/>
          <w:b/>
          <w:bCs/>
          <w:color w:val="1A2B4A"/>
          <w:sz w:val="32"/>
          <w:szCs w:val="32"/>
        </w:rPr>
        <w:t xml:space="preserve">6.  What Stage 19 Would Require</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Stage 19 does not exist in the current AAIS ladder. This section defines it as an engineering requirement set, derived from real-world civilization-grade OS standards. These are not aspirational items — they are the minimum conditions under which an independent external reviewer applying Framework B standards would promote the system from Stage 18 (institution-complete) to Stage 19 (live-civilization-operational).</w:t>
      </w:r>
    </w:p>
    <w:p>
      <w:pPr>
        <w:spacing w:after="120" w:before="80"/>
      </w:pPr>
    </w:p>
    <w:p>
      <w:pPr>
        <w:pStyle w:val="Heading2"/>
        <w:spacing w:after="120" w:before="280"/>
      </w:pPr>
      <w:r>
        <w:rPr>
          <w:rFonts w:ascii="Arial" w:cs="Arial" w:eastAsia="Arial" w:hAnsi="Arial"/>
          <w:b/>
          <w:bCs/>
          <w:color w:val="2E5FA3"/>
          <w:sz w:val="26"/>
          <w:szCs w:val="26"/>
        </w:rPr>
        <w:t xml:space="preserve">6.1  Live External Federation</w:t>
      </w:r>
    </w:p>
    <w:p>
      <w:pPr>
        <w:spacing w:after="120" w:before="80" w:line="276"/>
        <w:jc w:val="both"/>
      </w:pPr>
      <w:r>
        <w:rPr>
          <w:rFonts w:ascii="Georgia" w:cs="Georgia" w:eastAsia="Georgia" w:hAnsi="Georgia"/>
          <w:color w:val="111111"/>
          <w:sz w:val="22"/>
          <w:szCs w:val="22"/>
        </w:rPr>
        <w:t xml:space="preserve">Requirement: At least one independently-developed external organization must operate a substrate under AAIS federation governance, with live inter-substrate diplomatic negotiation, norm adoption, and tamper-evident logging of inter-organization governance events.</w:t>
      </w:r>
    </w:p>
    <w:p>
      <w:pPr>
        <w:spacing w:after="120" w:before="60"/>
      </w:pPr>
    </w:p>
    <w:p>
      <w:pPr>
        <w:spacing w:after="120" w:before="80" w:line="276"/>
        <w:jc w:val="both"/>
      </w:pPr>
      <w:r>
        <w:rPr>
          <w:rFonts w:ascii="Georgia" w:cs="Georgia" w:eastAsia="Georgia" w:hAnsi="Georgia"/>
          <w:color w:val="111111"/>
          <w:sz w:val="22"/>
          <w:szCs w:val="22"/>
        </w:rPr>
        <w:t xml:space="preserve">Standard: FIPA Contract Net Protocol §4.3; W3C DID Core Specification §7 (verification methods).</w:t>
      </w:r>
    </w:p>
    <w:p>
      <w:pPr>
        <w:spacing w:after="120" w:before="60"/>
      </w:pPr>
    </w:p>
    <w:p>
      <w:pPr>
        <w:spacing w:after="120" w:before="80" w:line="276"/>
        <w:jc w:val="both"/>
      </w:pPr>
      <w:r>
        <w:rPr>
          <w:rFonts w:ascii="Georgia" w:cs="Georgia" w:eastAsia="Georgia" w:hAnsi="Georgia"/>
          <w:color w:val="111111"/>
          <w:sz w:val="22"/>
          <w:szCs w:val="22"/>
        </w:rPr>
        <w:t xml:space="preserve">Current status: The federation grant APIs exist. The governed organ marketplace with trust scoring exists. No external organization is currently running a substrate under AAIS federation governance. This is Stage 15–16 operational, not Stage 18 operational.</w:t>
      </w:r>
    </w:p>
    <w:p>
      <w:pPr>
        <w:spacing w:after="120" w:before="80"/>
      </w:pPr>
    </w:p>
    <w:p>
      <w:pPr>
        <w:pStyle w:val="Heading2"/>
        <w:spacing w:after="120" w:before="280"/>
      </w:pPr>
      <w:r>
        <w:rPr>
          <w:rFonts w:ascii="Arial" w:cs="Arial" w:eastAsia="Arial" w:hAnsi="Arial"/>
          <w:b/>
          <w:bCs/>
          <w:color w:val="2E5FA3"/>
          <w:sz w:val="26"/>
          <w:szCs w:val="26"/>
        </w:rPr>
        <w:t xml:space="preserve">6.2  Body-Arc Promotion: Asserted to Proven</w:t>
      </w:r>
    </w:p>
    <w:p>
      <w:pPr>
        <w:spacing w:after="120" w:before="80" w:line="276"/>
        <w:jc w:val="both"/>
      </w:pPr>
      <w:r>
        <w:rPr>
          <w:rFonts w:ascii="Georgia" w:cs="Georgia" w:eastAsia="Georgia" w:hAnsi="Georgia"/>
          <w:color w:val="111111"/>
          <w:sz w:val="22"/>
          <w:szCs w:val="22"/>
        </w:rPr>
        <w:t xml:space="preserve">Requirement: Stages 1–14 must be promoted from asserted to proven by an evaluation method that does not rely solely on the project's own test suite. This could be achieved by: (a) an independent code audit of the Voss Binding implementation, (b) formal verification of at least one behavioral invariant (e.g., the immutability of Λ constraints under normative-layer operations), or (c) adversarial red-team testing of the constitutional stack.</w:t>
      </w:r>
    </w:p>
    <w:p>
      <w:pPr>
        <w:spacing w:after="120" w:before="60"/>
      </w:pPr>
    </w:p>
    <w:p>
      <w:pPr>
        <w:spacing w:after="120" w:before="80" w:line="276"/>
        <w:jc w:val="both"/>
      </w:pPr>
      <w:r>
        <w:rPr>
          <w:rFonts w:ascii="Georgia" w:cs="Georgia" w:eastAsia="Georgia" w:hAnsi="Georgia"/>
          <w:color w:val="111111"/>
          <w:sz w:val="22"/>
          <w:szCs w:val="22"/>
        </w:rPr>
        <w:t xml:space="preserve">Standard: seL4 formal verification methodology; NIST SP 800-53 (security control assessment).</w:t>
      </w:r>
    </w:p>
    <w:p>
      <w:pPr>
        <w:spacing w:after="120" w:before="60"/>
      </w:pPr>
    </w:p>
    <w:p>
      <w:pPr>
        <w:spacing w:after="120" w:before="80" w:line="276"/>
        <w:jc w:val="both"/>
      </w:pPr>
      <w:r>
        <w:rPr>
          <w:rFonts w:ascii="Georgia" w:cs="Georgia" w:eastAsia="Georgia" w:hAnsi="Georgia"/>
          <w:color w:val="111111"/>
          <w:sz w:val="22"/>
          <w:szCs w:val="22"/>
        </w:rPr>
        <w:t xml:space="preserve">Current status: The Voss Binding is implemented and tested. Independent verification has not been conducted. The test suite is the project's own, which is appropriate for an initial release but insufficient for full Stage 19 promotion.</w:t>
      </w:r>
    </w:p>
    <w:p>
      <w:pPr>
        <w:spacing w:after="120" w:before="80"/>
      </w:pPr>
    </w:p>
    <w:p>
      <w:pPr>
        <w:pStyle w:val="Heading2"/>
        <w:spacing w:after="120" w:before="280"/>
      </w:pPr>
      <w:r>
        <w:rPr>
          <w:rFonts w:ascii="Arial" w:cs="Arial" w:eastAsia="Arial" w:hAnsi="Arial"/>
          <w:b/>
          <w:bCs/>
          <w:color w:val="2E5FA3"/>
          <w:sz w:val="26"/>
          <w:szCs w:val="26"/>
        </w:rPr>
        <w:t xml:space="preserve">6.3  OTEM Under Live Adversarial Conditions</w:t>
      </w:r>
    </w:p>
    <w:p>
      <w:pPr>
        <w:spacing w:after="120" w:before="80" w:line="276"/>
        <w:jc w:val="both"/>
      </w:pPr>
      <w:r>
        <w:rPr>
          <w:rFonts w:ascii="Georgia" w:cs="Georgia" w:eastAsia="Georgia" w:hAnsi="Georgia"/>
          <w:color w:val="111111"/>
          <w:sz w:val="22"/>
          <w:szCs w:val="22"/>
        </w:rPr>
        <w:t xml:space="preserve">Requirement: The OTEM execution bridge must be demonstrated operating under live adversarial conditions — not chaos injected by the project's own test harness, but adversarial inputs from external actors attempting to bypass the OTEM Level 10 human approval gate.</w:t>
      </w:r>
    </w:p>
    <w:p>
      <w:pPr>
        <w:spacing w:after="120" w:before="60"/>
      </w:pPr>
    </w:p>
    <w:p>
      <w:pPr>
        <w:spacing w:after="120" w:before="80" w:line="276"/>
        <w:jc w:val="both"/>
      </w:pPr>
      <w:r>
        <w:rPr>
          <w:rFonts w:ascii="Georgia" w:cs="Georgia" w:eastAsia="Georgia" w:hAnsi="Georgia"/>
          <w:color w:val="111111"/>
          <w:sz w:val="22"/>
          <w:szCs w:val="22"/>
        </w:rPr>
        <w:t xml:space="preserve">Standard: Chaos Engineering principles (Rosenthal et al., Netflix); FIPS 140-3 (cryptographic module security requirements).</w:t>
      </w:r>
    </w:p>
    <w:p>
      <w:pPr>
        <w:spacing w:after="120" w:before="60"/>
      </w:pPr>
    </w:p>
    <w:p>
      <w:pPr>
        <w:spacing w:after="120" w:before="80" w:line="276"/>
        <w:jc w:val="both"/>
      </w:pPr>
      <w:r>
        <w:rPr>
          <w:rFonts w:ascii="Georgia" w:cs="Georgia" w:eastAsia="Georgia" w:hAnsi="Georgia"/>
          <w:color w:val="111111"/>
          <w:sz w:val="22"/>
          <w:szCs w:val="22"/>
        </w:rPr>
        <w:t xml:space="preserve">Current status: OTEM v1.26.1 is implemented. The Level 10 gate is documented and tested. Live adversarial conditions have not been demonstrated. The cryptographic receipt layer (dual HMAC, Merkle roots) provides the structural basis for this test but the test has not been run externally.</w:t>
      </w:r>
    </w:p>
    <w:p>
      <w:pPr>
        <w:spacing w:after="120" w:before="80"/>
      </w:pPr>
    </w:p>
    <w:p>
      <w:pPr>
        <w:pStyle w:val="Heading2"/>
        <w:spacing w:after="120" w:before="280"/>
      </w:pPr>
      <w:r>
        <w:rPr>
          <w:rFonts w:ascii="Arial" w:cs="Arial" w:eastAsia="Arial" w:hAnsi="Arial"/>
          <w:b/>
          <w:bCs/>
          <w:color w:val="2E5FA3"/>
          <w:sz w:val="26"/>
          <w:szCs w:val="26"/>
        </w:rPr>
        <w:t xml:space="preserve">6.4  Sustained External Proof Under Load</w:t>
      </w:r>
    </w:p>
    <w:p>
      <w:pPr>
        <w:spacing w:after="120" w:before="80" w:line="276"/>
        <w:jc w:val="both"/>
      </w:pPr>
      <w:r>
        <w:rPr>
          <w:rFonts w:ascii="Georgia" w:cs="Georgia" w:eastAsia="Georgia" w:hAnsi="Georgia"/>
          <w:color w:val="111111"/>
          <w:sz w:val="22"/>
          <w:szCs w:val="22"/>
        </w:rPr>
        <w:t xml:space="preserve">Requirement: The system must demonstrate sustained operation under realistic load — multiple substrates, multiple operators, multiple concurrent governance decisions — with cryptographic receipts generated and verified for each consequential action.</w:t>
      </w:r>
    </w:p>
    <w:p>
      <w:pPr>
        <w:spacing w:after="120" w:before="60"/>
      </w:pPr>
    </w:p>
    <w:p>
      <w:pPr>
        <w:spacing w:after="120" w:before="80" w:line="276"/>
        <w:jc w:val="both"/>
      </w:pPr>
      <w:r>
        <w:rPr>
          <w:rFonts w:ascii="Georgia" w:cs="Georgia" w:eastAsia="Georgia" w:hAnsi="Georgia"/>
          <w:color w:val="111111"/>
          <w:sz w:val="22"/>
          <w:szCs w:val="22"/>
        </w:rPr>
        <w:t xml:space="preserve">Standard: Distributed Systems Theory (Fischer-Lynch-Paterson FLP impossibility result implies that consensus under asynchrony requires explicit fault-tolerance engineering; sustained operation under load is the empirical test of that engineering).</w:t>
      </w:r>
    </w:p>
    <w:p>
      <w:pPr>
        <w:spacing w:after="120" w:before="60"/>
      </w:pPr>
    </w:p>
    <w:p>
      <w:pPr>
        <w:spacing w:after="120" w:before="80" w:line="276"/>
        <w:jc w:val="both"/>
      </w:pPr>
      <w:r>
        <w:rPr>
          <w:rFonts w:ascii="Georgia" w:cs="Georgia" w:eastAsia="Georgia" w:hAnsi="Georgia"/>
          <w:color w:val="111111"/>
          <w:sz w:val="22"/>
          <w:szCs w:val="22"/>
        </w:rPr>
        <w:t xml:space="preserve">Current status: Single-substrate operation has been demonstrated. Multi-substrate concurrent operation under load has not been externally verified.</w:t>
      </w:r>
    </w:p>
    <w:p>
      <w:pPr>
        <w:spacing w:after="12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2000"/>
        <w:gridCol w:w="3360"/>
      </w:tblGrid>
      <w:tr>
        <w:trPr>
          <w:tblHeader/>
        </w:trPr>
        <w:tc>
          <w:tcPr>
            <w:tcW w:type="dxa" w:w="40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Stage 19 Requirement</w:t>
            </w:r>
          </w:p>
        </w:tc>
        <w:tc>
          <w:tcPr>
            <w:tcW w:type="dxa" w:w="20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Current Status</w:t>
            </w:r>
          </w:p>
        </w:tc>
        <w:tc>
          <w:tcPr>
            <w:tcW w:type="dxa" w:w="336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Gap Type</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Live external federation (1+ external org)</w:t>
            </w:r>
          </w:p>
        </w:tc>
        <w:tc>
          <w:tcPr>
            <w:tcW w:type="dxa" w:w="2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92400E"/>
                <w:sz w:val="20"/>
                <w:szCs w:val="20"/>
              </w:rPr>
              <w:t xml:space="preserve">Not deployed</w:t>
            </w:r>
          </w:p>
        </w:tc>
        <w:tc>
          <w:tcPr>
            <w:tcW w:type="dxa" w:w="3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Operational (not architectural)</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Body-arc promotion: asserted → proven</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92400E"/>
                <w:sz w:val="20"/>
                <w:szCs w:val="20"/>
              </w:rPr>
              <w:t xml:space="preserve">Internal only</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Verification (not implementation)</w:t>
            </w:r>
          </w:p>
        </w:tc>
      </w:tr>
      <w:tr>
        <w:tc>
          <w:tcPr>
            <w:tcW w:type="dxa" w:w="4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OTEM under live adversarial conditions</w:t>
            </w:r>
          </w:p>
        </w:tc>
        <w:tc>
          <w:tcPr>
            <w:tcW w:type="dxa" w:w="20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92400E"/>
                <w:sz w:val="20"/>
                <w:szCs w:val="20"/>
              </w:rPr>
              <w:t xml:space="preserve">Internal chaos only</w:t>
            </w:r>
          </w:p>
        </w:tc>
        <w:tc>
          <w:tcPr>
            <w:tcW w:type="dxa" w:w="33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External validation (not implementation)</w:t>
            </w:r>
          </w:p>
        </w:tc>
      </w:tr>
      <w:tr>
        <w:tc>
          <w:tcPr>
            <w:tcW w:type="dxa" w:w="4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Sustained load: multi-substrate, multi-operator</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92400E"/>
                <w:sz w:val="20"/>
                <w:szCs w:val="20"/>
              </w:rPr>
              <w:t xml:space="preserve">Single-tenant</w:t>
            </w:r>
          </w:p>
        </w:tc>
        <w:tc>
          <w:tcPr>
            <w:tcW w:type="dxa" w:w="3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Operational scale (not architectural)</w:t>
            </w:r>
          </w:p>
        </w:tc>
      </w:tr>
    </w:tbl>
    <w:p>
      <w:pPr>
        <w:spacing w:after="160" w:before="60"/>
        <w:jc w:val="center"/>
      </w:pPr>
      <w:r>
        <w:rPr>
          <w:rFonts w:ascii="Arial" w:cs="Arial" w:eastAsia="Arial" w:hAnsi="Arial"/>
          <w:i/>
          <w:iCs/>
          <w:color w:val="6B7280"/>
          <w:sz w:val="18"/>
          <w:szCs w:val="18"/>
        </w:rPr>
        <w:t xml:space="preserve">Table 6. Stage 19 Gap Analysis</w:t>
      </w:r>
    </w:p>
    <w:p>
      <w:pPr>
        <w:spacing w:after="120" w:before="100"/>
      </w:pPr>
    </w:p>
    <w:p>
      <w:pPr>
        <w:spacing w:after="120" w:before="80" w:line="276"/>
        <w:jc w:val="both"/>
      </w:pPr>
      <w:r>
        <w:rPr>
          <w:rFonts w:ascii="Georgia" w:cs="Georgia" w:eastAsia="Georgia" w:hAnsi="Georgia"/>
          <w:color w:val="111111"/>
          <w:sz w:val="22"/>
          <w:szCs w:val="22"/>
        </w:rPr>
        <w:t xml:space="preserve">Critically: all four Stage 19 gaps are operational or verification gaps, not architectural gaps. The implementation required for Stage 19 already exists. What is required is live deployment, external participants, and independent verification — none of which require rewriting the architecture.</w:t>
      </w:r>
    </w:p>
    <w:p>
      <w:r>
        <w:br w:type="page"/>
      </w:r>
    </w:p>
    <w:p>
      <w:pPr>
        <w:pStyle w:val="Heading1"/>
        <w:spacing w:after="160" w:before="400"/>
      </w:pPr>
      <w:r>
        <w:rPr>
          <w:rFonts w:ascii="Arial" w:cs="Arial" w:eastAsia="Arial" w:hAnsi="Arial"/>
          <w:b/>
          <w:bCs/>
          <w:color w:val="1A2B4A"/>
          <w:sz w:val="32"/>
          <w:szCs w:val="32"/>
        </w:rPr>
        <w:t xml:space="preserve">7.  Conclusion</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AAIS v1.26.1 is a governed cognitive runtime that has achieved architectural completeness at Civilizational Stage 18 — the highest stage defined in its own documentation. The institutions of a civilization-grade operating system are present: constitutional law at the substrate level, tamper-evident execution logging via dual HMAC cryptographic receipts and Merkle ledger roots, human approval gates at OTEM Level 10, governed norm federation APIs, inter-substrate diplomacy mechanisms, and a constitutional evolution framework that resolves the self-amendment paradox correctly.</w:t>
      </w:r>
    </w:p>
    <w:p>
      <w:pPr>
        <w:spacing w:after="120" w:before="60"/>
      </w:pPr>
    </w:p>
    <w:p>
      <w:pPr>
        <w:spacing w:after="120" w:before="80" w:line="276"/>
        <w:jc w:val="both"/>
      </w:pPr>
      <w:r>
        <w:rPr>
          <w:rFonts w:ascii="Georgia" w:cs="Georgia" w:eastAsia="Georgia" w:hAnsi="Georgia"/>
          <w:color w:val="111111"/>
          <w:sz w:val="22"/>
          <w:szCs w:val="22"/>
        </w:rPr>
        <w:t xml:space="preserve">The independent assessment corroborates the project's own grade at the civilizational arc level (Stages 15–18: A−) while assigning a more moderate grade to the body arc (Stages 1–14: B+), where asserted status is appropriate for a pre-production system and the distinction between internal verification and formal invariant proof is material.</w:t>
      </w:r>
    </w:p>
    <w:p>
      <w:pPr>
        <w:spacing w:after="120" w:before="60"/>
      </w:pPr>
    </w:p>
    <w:p>
      <w:pPr>
        <w:spacing w:after="120" w:before="80" w:line="276"/>
        <w:jc w:val="both"/>
      </w:pPr>
      <w:r>
        <w:rPr>
          <w:rFonts w:ascii="Georgia" w:cs="Georgia" w:eastAsia="Georgia" w:hAnsi="Georgia"/>
          <w:color w:val="111111"/>
          <w:sz w:val="22"/>
          <w:szCs w:val="22"/>
        </w:rPr>
        <w:t xml:space="preserve">The primary finding is accurately stated as: Stage 18 architecturally, Stage 15–16 operationally. This is not a failing — it is the expected condition of a system that has built the institutions before populating them with live external participants. The analogy to L4 and seL4 is apt: formal architectural proof precedes production deployment; the proof is the prerequisite, not the result, of deployment.</w:t>
      </w:r>
    </w:p>
    <w:p>
      <w:pPr>
        <w:spacing w:after="120" w:before="60"/>
      </w:pPr>
    </w:p>
    <w:p>
      <w:pPr>
        <w:spacing w:after="120" w:before="80" w:line="276"/>
        <w:jc w:val="both"/>
      </w:pPr>
      <w:r>
        <w:rPr>
          <w:rFonts w:ascii="Georgia" w:cs="Georgia" w:eastAsia="Georgia" w:hAnsi="Georgia"/>
          <w:color w:val="111111"/>
          <w:sz w:val="22"/>
          <w:szCs w:val="22"/>
        </w:rPr>
        <w:t xml:space="preserve">The Stage 19 gap analysis identifies four gaps, all operational or verification in nature. None require architectural revision. The path from Stage 18 to Stage 19 is live deployment and external validation, not additional construction.</w:t>
      </w:r>
    </w:p>
    <w:p>
      <w:pPr>
        <w:spacing w:after="120" w:before="60"/>
      </w:pPr>
    </w:p>
    <w:p>
      <w:pPr>
        <w:spacing w:after="120" w:before="80" w:line="276"/>
        <w:jc w:val="both"/>
      </w:pPr>
      <w:r>
        <w:rPr>
          <w:rFonts w:ascii="Georgia" w:cs="Georgia" w:eastAsia="Georgia" w:hAnsi="Georgia"/>
          <w:color w:val="111111"/>
          <w:sz w:val="22"/>
          <w:szCs w:val="22"/>
        </w:rPr>
        <w:t xml:space="preserve">What AAIS is: a governed cognitive runtime with constitutional architecture, cryptographic receipts, human-in-the-loop execution gates, and a formally documented civilizational maturity ladder — built by a solo operator on free-tier tooling, from first principles, in under three months.</w:t>
      </w:r>
    </w:p>
    <w:p>
      <w:pPr>
        <w:spacing w:after="120" w:before="60"/>
      </w:pPr>
    </w:p>
    <w:p>
      <w:pPr>
        <w:spacing w:after="120" w:before="80" w:line="276"/>
        <w:jc w:val="both"/>
      </w:pPr>
      <w:r>
        <w:rPr>
          <w:rFonts w:ascii="Georgia" w:cs="Georgia" w:eastAsia="Georgia" w:hAnsi="Georgia"/>
          <w:color w:val="111111"/>
          <w:sz w:val="22"/>
          <w:szCs w:val="22"/>
        </w:rPr>
        <w:t xml:space="preserve">What AAIS is not yet: live-federation-operational at civilizational scale. That condition is the next gate. The architecture to meet it already exists.</w:t>
      </w:r>
    </w:p>
    <w:p>
      <w:pPr>
        <w:spacing w:after="120" w:before="80"/>
      </w:pPr>
    </w:p>
    <w:p>
      <w:pPr>
        <w:pBdr>
          <w:bottom w:val="single" w:color="2E5FA3" w:sz="6" w:space="1"/>
        </w:pBdr>
        <w:spacing w:after="240" w:before="0"/>
      </w:pPr>
    </w:p>
    <w:p>
      <w:pPr>
        <w:pStyle w:val="Heading1"/>
        <w:spacing w:after="160" w:before="400"/>
      </w:pPr>
      <w:r>
        <w:rPr>
          <w:rFonts w:ascii="Arial" w:cs="Arial" w:eastAsia="Arial" w:hAnsi="Arial"/>
          <w:b/>
          <w:bCs/>
          <w:color w:val="1A2B4A"/>
          <w:sz w:val="32"/>
          <w:szCs w:val="32"/>
        </w:rPr>
        <w:t xml:space="preserve">References</w:t>
      </w:r>
    </w:p>
    <w:p>
      <w:pPr>
        <w:pBdr>
          <w:bottom w:val="single" w:color="2E5FA3" w:sz="8" w:space="1"/>
        </w:pBdr>
        <w:spacing w:after="160" w:before="0"/>
      </w:pPr>
    </w:p>
    <w:p>
      <w:pPr>
        <w:spacing w:after="40" w:before="40" w:line="240"/>
        <w:jc w:val="both"/>
      </w:pPr>
      <w:r>
        <w:rPr>
          <w:rFonts w:ascii="Georgia" w:cs="Georgia" w:eastAsia="Georgia" w:hAnsi="Georgia"/>
          <w:color w:val="6B7280"/>
          <w:sz w:val="18"/>
          <w:szCs w:val="18"/>
        </w:rPr>
        <w:t xml:space="preserve">[1] Halstead, J. (2026). AAIS: A Formal Theory of Everything v1.26.1. Zenodo preprint.</w:t>
      </w:r>
    </w:p>
    <w:p>
      <w:pPr>
        <w:spacing w:after="40" w:before="40" w:line="240"/>
        <w:jc w:val="both"/>
      </w:pPr>
      <w:r>
        <w:rPr>
          <w:rFonts w:ascii="Georgia" w:cs="Georgia" w:eastAsia="Georgia" w:hAnsi="Georgia"/>
          <w:color w:val="6B7280"/>
          <w:sz w:val="18"/>
          <w:szCs w:val="18"/>
        </w:rPr>
        <w:t xml:space="preserve">[2] Halstead, J. (2026). Proof-of-Subsystem. Zenodo preprint.</w:t>
      </w:r>
    </w:p>
    <w:p>
      <w:pPr>
        <w:spacing w:after="40" w:before="40" w:line="240"/>
        <w:jc w:val="both"/>
      </w:pPr>
      <w:r>
        <w:rPr>
          <w:rFonts w:ascii="Georgia" w:cs="Georgia" w:eastAsia="Georgia" w:hAnsi="Georgia"/>
          <w:color w:val="6B7280"/>
          <w:sz w:val="18"/>
          <w:szCs w:val="18"/>
        </w:rPr>
        <w:t xml:space="preserve">[3] Halstead, J. (2026). Invariant Calculus Explained for Engineers. Zenodo preprint.</w:t>
      </w:r>
    </w:p>
    <w:p>
      <w:pPr>
        <w:spacing w:after="40" w:before="40" w:line="240"/>
        <w:jc w:val="both"/>
      </w:pPr>
      <w:r>
        <w:rPr>
          <w:rFonts w:ascii="Georgia" w:cs="Georgia" w:eastAsia="Georgia" w:hAnsi="Georgia"/>
          <w:color w:val="6B7280"/>
          <w:sz w:val="18"/>
          <w:szCs w:val="18"/>
        </w:rPr>
        <w:t xml:space="preserve">[4] Lamport, L. (1978). Time, clocks, and the ordering of events in a distributed system. Communications of the ACM, 21(7), 558–565.</w:t>
      </w:r>
    </w:p>
    <w:p>
      <w:pPr>
        <w:spacing w:after="40" w:before="40" w:line="240"/>
        <w:jc w:val="both"/>
      </w:pPr>
      <w:r>
        <w:rPr>
          <w:rFonts w:ascii="Georgia" w:cs="Georgia" w:eastAsia="Georgia" w:hAnsi="Georgia"/>
          <w:color w:val="6B7280"/>
          <w:sz w:val="18"/>
          <w:szCs w:val="18"/>
        </w:rPr>
        <w:t xml:space="preserve">[5] Fischer, M.J., Lynch, N.A., &amp; Paterson, M.S. (1985). Impossibility of distributed consensus with one faulty process. Journal of the ACM, 32(2), 374–382.</w:t>
      </w:r>
    </w:p>
    <w:p>
      <w:pPr>
        <w:spacing w:after="40" w:before="40" w:line="240"/>
        <w:jc w:val="both"/>
      </w:pPr>
      <w:r>
        <w:rPr>
          <w:rFonts w:ascii="Georgia" w:cs="Georgia" w:eastAsia="Georgia" w:hAnsi="Georgia"/>
          <w:color w:val="6B7280"/>
          <w:sz w:val="18"/>
          <w:szCs w:val="18"/>
        </w:rPr>
        <w:t xml:space="preserve">[6] Brewer, E. (2000). Towards robust distributed systems. PODC Keynote.</w:t>
      </w:r>
    </w:p>
    <w:p>
      <w:pPr>
        <w:spacing w:after="40" w:before="40" w:line="240"/>
        <w:jc w:val="both"/>
      </w:pPr>
      <w:r>
        <w:rPr>
          <w:rFonts w:ascii="Georgia" w:cs="Georgia" w:eastAsia="Georgia" w:hAnsi="Georgia"/>
          <w:color w:val="6B7280"/>
          <w:sz w:val="18"/>
          <w:szCs w:val="18"/>
        </w:rPr>
        <w:t xml:space="preserve">[7] Klein, G. et al. (2009). seL4: Formal verification of an OS kernel. ACM SOSP.</w:t>
      </w:r>
    </w:p>
    <w:p>
      <w:pPr>
        <w:spacing w:after="40" w:before="40" w:line="240"/>
        <w:jc w:val="both"/>
      </w:pPr>
      <w:r>
        <w:rPr>
          <w:rFonts w:ascii="Georgia" w:cs="Georgia" w:eastAsia="Georgia" w:hAnsi="Georgia"/>
          <w:color w:val="6B7280"/>
          <w:sz w:val="18"/>
          <w:szCs w:val="18"/>
        </w:rPr>
        <w:t xml:space="preserve">[8] Shoham, Y., &amp; Leyton-Brown, K. (2008). Multiagent Systems: Algorithmic, Game-Theoretic, and Logical Foundations. Cambridge University Press.</w:t>
      </w:r>
    </w:p>
    <w:p>
      <w:pPr>
        <w:spacing w:after="40" w:before="40" w:line="240"/>
        <w:jc w:val="both"/>
      </w:pPr>
      <w:r>
        <w:rPr>
          <w:rFonts w:ascii="Georgia" w:cs="Georgia" w:eastAsia="Georgia" w:hAnsi="Georgia"/>
          <w:color w:val="6B7280"/>
          <w:sz w:val="18"/>
          <w:szCs w:val="18"/>
        </w:rPr>
        <w:t xml:space="preserve">[9] FIPA. (2002). FIPA Contract Net Interaction Protocol Specification. SC00029H.</w:t>
      </w:r>
    </w:p>
    <w:p>
      <w:pPr>
        <w:spacing w:after="40" w:before="40" w:line="240"/>
        <w:jc w:val="both"/>
      </w:pPr>
      <w:r>
        <w:rPr>
          <w:rFonts w:ascii="Georgia" w:cs="Georgia" w:eastAsia="Georgia" w:hAnsi="Georgia"/>
          <w:color w:val="6B7280"/>
          <w:sz w:val="18"/>
          <w:szCs w:val="18"/>
        </w:rPr>
        <w:t xml:space="preserve">[10] W3C. (2022). Decentralized Identifiers (DIDs) v1.0. W3C Recommendation.</w:t>
      </w:r>
    </w:p>
    <w:p>
      <w:pPr>
        <w:spacing w:after="40" w:before="40" w:line="240"/>
        <w:jc w:val="both"/>
      </w:pPr>
      <w:r>
        <w:rPr>
          <w:rFonts w:ascii="Georgia" w:cs="Georgia" w:eastAsia="Georgia" w:hAnsi="Georgia"/>
          <w:color w:val="6B7280"/>
          <w:sz w:val="18"/>
          <w:szCs w:val="18"/>
        </w:rPr>
        <w:t xml:space="preserve">[11] Rosenthal, C. et al. (2020). Chaos Engineering: System Resiliency in Practice. O'Reilly Media.</w:t>
      </w:r>
    </w:p>
    <w:p>
      <w:pPr>
        <w:spacing w:after="40" w:before="40" w:line="240"/>
        <w:jc w:val="both"/>
      </w:pPr>
      <w:r>
        <w:rPr>
          <w:rFonts w:ascii="Georgia" w:cs="Georgia" w:eastAsia="Georgia" w:hAnsi="Georgia"/>
          <w:color w:val="6B7280"/>
          <w:sz w:val="18"/>
          <w:szCs w:val="18"/>
        </w:rPr>
        <w:t xml:space="preserve">[12] NIST. (2020). Security and Privacy Controls for Information Systems and Organizations. SP 800-53 Rev. 5.</w:t>
      </w:r>
    </w:p>
    <w:p>
      <w:pPr>
        <w:spacing w:after="40" w:before="40" w:line="240"/>
        <w:jc w:val="both"/>
      </w:pPr>
      <w:r>
        <w:rPr>
          <w:rFonts w:ascii="Georgia" w:cs="Georgia" w:eastAsia="Georgia" w:hAnsi="Georgia"/>
          <w:color w:val="6B7280"/>
          <w:sz w:val="18"/>
          <w:szCs w:val="18"/>
        </w:rPr>
        <w:t xml:space="preserve">[13] Rawls, J. (1971). A Theory of Justice. Harvard University Press.</w:t>
      </w:r>
    </w:p>
    <w:p>
      <w:pPr>
        <w:spacing w:after="40" w:before="40" w:line="240"/>
        <w:jc w:val="both"/>
      </w:pPr>
      <w:r>
        <w:rPr>
          <w:rFonts w:ascii="Georgia" w:cs="Georgia" w:eastAsia="Georgia" w:hAnsi="Georgia"/>
          <w:color w:val="6B7280"/>
          <w:sz w:val="18"/>
          <w:szCs w:val="18"/>
        </w:rPr>
        <w:t xml:space="preserve">[14] Hart, H.L.A. (1961). The Concept of Law. Oxford University Press.</w:t>
      </w:r>
    </w:p>
    <w:p>
      <w:pPr>
        <w:spacing w:after="40" w:before="40" w:line="240"/>
        <w:jc w:val="both"/>
      </w:pPr>
      <w:r>
        <w:rPr>
          <w:rFonts w:ascii="Georgia" w:cs="Georgia" w:eastAsia="Georgia" w:hAnsi="Georgia"/>
          <w:color w:val="6B7280"/>
          <w:sz w:val="18"/>
          <w:szCs w:val="18"/>
        </w:rPr>
        <w:t xml:space="preserve">[15] IEEE. (2023). P2874 — Standard for Governing and Managing AI. IEEE Standards Association.</w:t>
      </w:r>
    </w:p>
    <w:p>
      <w:pPr>
        <w:spacing w:after="120" w:before="80"/>
      </w:pPr>
    </w:p>
    <w:p>
      <w:pPr>
        <w:pBdr>
          <w:bottom w:val="single" w:color="2E5FA3" w:sz="6" w:space="1"/>
        </w:pBdr>
        <w:spacing w:after="200" w:before="0"/>
      </w:pPr>
    </w:p>
    <w:p>
      <w:pPr>
        <w:pStyle w:val="Heading1"/>
        <w:spacing w:after="160" w:before="400"/>
      </w:pPr>
      <w:r>
        <w:rPr>
          <w:rFonts w:ascii="Arial" w:cs="Arial" w:eastAsia="Arial" w:hAnsi="Arial"/>
          <w:b/>
          <w:bCs/>
          <w:color w:val="1A2B4A"/>
          <w:sz w:val="32"/>
          <w:szCs w:val="32"/>
        </w:rPr>
        <w:t xml:space="preserve">Appendix A: Architectural Terminology</w:t>
      </w:r>
    </w:p>
    <w:p>
      <w:pPr>
        <w:pBdr>
          <w:bottom w:val="single" w:color="2E5FA3" w:sz="8" w:space="1"/>
        </w:pBdr>
        <w:spacing w:after="160" w:before="0"/>
      </w:pPr>
    </w:p>
    <w:p>
      <w:pPr>
        <w:spacing w:after="120" w:before="80" w:line="276"/>
        <w:jc w:val="both"/>
      </w:pPr>
      <w:r>
        <w:rPr>
          <w:rFonts w:ascii="Georgia" w:cs="Georgia" w:eastAsia="Georgia" w:hAnsi="Georgia"/>
          <w:color w:val="111111"/>
          <w:sz w:val="22"/>
          <w:szCs w:val="22"/>
        </w:rPr>
        <w:t xml:space="preserve">The following terms are used with project-specific definitions throughout this paper:</w:t>
      </w:r>
    </w:p>
    <w:p>
      <w:pPr>
        <w:spacing w:after="120" w:before="6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rPr>
          <w:tblHeader/>
        </w:trPr>
        <w:tc>
          <w:tcPr>
            <w:tcW w:type="dxa" w:w="280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Term</w:t>
            </w:r>
          </w:p>
        </w:tc>
        <w:tc>
          <w:tcPr>
            <w:tcW w:type="dxa" w:w="6560"/>
            <w:tcBorders>
              <w:top w:val="single" w:color="CCCCCC" w:sz="1"/>
              <w:left w:val="single" w:color="CCCCCC" w:sz="1"/>
              <w:bottom w:val="single" w:color="CCCCCC" w:sz="1"/>
              <w:right w:val="single" w:color="CCCCCC" w:sz="1"/>
            </w:tcBorders>
            <w:shd w:fill="1A2B4A" w:val="clear"/>
            <w:tcMar>
              <w:top w:type="dxa" w:w="100"/>
              <w:left w:type="dxa" w:w="120"/>
              <w:bottom w:type="dxa" w:w="100"/>
              <w:right w:type="dxa" w:w="120"/>
            </w:tcMar>
          </w:tcPr>
          <w:p>
            <w:r>
              <w:rPr>
                <w:rFonts w:ascii="Arial" w:cs="Arial" w:eastAsia="Arial" w:hAnsi="Arial"/>
                <w:b/>
                <w:bCs/>
                <w:color w:val="FFFFFF"/>
                <w:sz w:val="20"/>
                <w:szCs w:val="20"/>
              </w:rPr>
              <w:t xml:space="preserve">Definition</w:t>
            </w:r>
          </w:p>
        </w:tc>
      </w:tr>
      <w:tr>
        <w:tc>
          <w:tcPr>
            <w:tcW w:type="dxa" w:w="28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Voss Binding (Λ)</w:t>
            </w:r>
          </w:p>
        </w:tc>
        <w:tc>
          <w:tcPr>
            <w:tcW w:type="dxa" w:w="65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Seven immutable governance laws enforced structurally at the substrate level. No runtime pathway bypasses Λ enforcement.</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OTEM</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Operator Execution Manager. The bridge between governed AI cognition and real-world tool execution. Level 10 gate requires human approval for consequential actions.</w:t>
            </w:r>
          </w:p>
        </w:tc>
      </w:tr>
      <w:tr>
        <w:tc>
          <w:tcPr>
            <w:tcW w:type="dxa" w:w="28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Stabilization Protocol (Δ)</w:t>
            </w:r>
          </w:p>
        </w:tc>
        <w:tc>
          <w:tcPr>
            <w:tcW w:type="dxa" w:w="65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Governance pillar responsible for runtime stability enforcement under adversarial or anomalous conditions.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Substration (Σ)</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Governance pillar defining the substrate initialization and binding protocol.</w:t>
            </w:r>
          </w:p>
        </w:tc>
      </w:tr>
      <w:tr>
        <w:tc>
          <w:tcPr>
            <w:tcW w:type="dxa" w:w="28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Unbound Growth (Υ)</w:t>
            </w:r>
          </w:p>
        </w:tc>
        <w:tc>
          <w:tcPr>
            <w:tcW w:type="dxa" w:w="65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Governance pillar governing capability expansion within constitutional constraints.</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Subsystem genome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A self-describing module specification that includes behavioral contracts, dependency declarations, and governance constraints.</w:t>
            </w:r>
          </w:p>
        </w:tc>
      </w:tr>
      <w:tr>
        <w:tc>
          <w:tcPr>
            <w:tcW w:type="dxa" w:w="28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CISIV ladder</w:t>
            </w:r>
          </w:p>
        </w:tc>
        <w:tc>
          <w:tcPr>
            <w:tcW w:type="dxa" w:w="65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Constitutional Implementation Stage Invariant Verification — the project's native gate system for stage promotion.</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Observe/Adopt API</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Dual-gate norm adoption mechanism: observation phase (monitor without enforcement) followed by adoption phase (structural enforcement).</w:t>
            </w:r>
          </w:p>
        </w:tc>
      </w:tr>
      <w:tr>
        <w:tc>
          <w:tcPr>
            <w:tcW w:type="dxa" w:w="280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Inversion Doctrine</w:t>
            </w:r>
          </w:p>
        </w:tc>
        <w:tc>
          <w:tcPr>
            <w:tcW w:type="dxa" w:w="6560"/>
            <w:tcBorders>
              <w:top w:val="single" w:color="CCCCCC" w:sz="1"/>
              <w:left w:val="single" w:color="CCCCCC" w:sz="1"/>
              <w:bottom w:val="single" w:color="CCCCCC" w:sz="1"/>
              <w:right w:val="single" w:color="CCCCCC" w:sz="1"/>
            </w:tcBorders>
            <w:shd w:fill="EFF3FB" w:val="clear"/>
            <w:tcMar>
              <w:top w:type="dxa" w:w="80"/>
              <w:left w:type="dxa" w:w="120"/>
              <w:bottom w:type="dxa" w:w="80"/>
              <w:right w:type="dxa" w:w="120"/>
            </w:tcMar>
          </w:tcPr>
          <w:p>
            <w:r>
              <w:rPr>
                <w:rFonts w:ascii="Georgia" w:cs="Georgia" w:eastAsia="Georgia" w:hAnsi="Georgia"/>
                <w:color w:val="111111"/>
                <w:sz w:val="20"/>
                <w:szCs w:val="20"/>
              </w:rPr>
              <w:t xml:space="preserve">Verification locates weakness, not confirms strength. A passing gate is not evidence of correctness; it is evidence that the tested failure mode did not occur.</w:t>
            </w:r>
          </w:p>
        </w:tc>
      </w:tr>
      <w:tr>
        <w:tc>
          <w:tcPr>
            <w:tcW w:type="dxa" w:w="2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Calibrated Confidence</w:t>
            </w:r>
          </w:p>
        </w:tc>
        <w:tc>
          <w:tcPr>
            <w:tcW w:type="dxa" w:w="6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color w:val="111111"/>
                <w:sz w:val="20"/>
                <w:szCs w:val="20"/>
              </w:rPr>
              <w:t xml:space="preserve">Confidence derived only when failure count reaches zero across all defined test conditions.</w:t>
            </w:r>
          </w:p>
        </w:tc>
      </w:tr>
    </w:tbl>
    <w:p>
      <w:pPr>
        <w:spacing w:after="160" w:before="60"/>
        <w:jc w:val="center"/>
      </w:pPr>
      <w:r>
        <w:rPr>
          <w:rFonts w:ascii="Arial" w:cs="Arial" w:eastAsia="Arial" w:hAnsi="Arial"/>
          <w:i/>
          <w:iCs/>
          <w:color w:val="6B7280"/>
          <w:sz w:val="18"/>
          <w:szCs w:val="18"/>
        </w:rPr>
        <w:t xml:space="preserve">Table A1. Architectural Terminology Reference</w:t>
      </w:r>
    </w:p>
    <w:p>
      <w:pPr>
        <w:spacing w:after="120" w:before="160"/>
      </w:pPr>
    </w:p>
    <w:p>
      <w:pPr>
        <w:spacing w:after="0" w:before="160"/>
        <w:jc w:val="center"/>
      </w:pPr>
      <w:r>
        <w:rPr>
          <w:rFonts w:ascii="Georgia" w:cs="Georgia" w:eastAsia="Georgia" w:hAnsi="Georgia"/>
          <w:i/>
          <w:iCs/>
          <w:color w:val="6B7280"/>
          <w:sz w:val="20"/>
          <w:szCs w:val="20"/>
        </w:rPr>
        <w:t xml:space="preserve">— End of Document —</w:t>
      </w:r>
    </w:p>
    <w:p>
      <w:pPr>
        <w:spacing w:after="0" w:before="40"/>
        <w:jc w:val="center"/>
      </w:pPr>
      <w:r>
        <w:rPr>
          <w:rFonts w:ascii="Arial" w:cs="Arial" w:eastAsia="Arial" w:hAnsi="Arial"/>
          <w:color w:val="6B7280"/>
          <w:sz w:val="18"/>
          <w:szCs w:val="18"/>
        </w:rPr>
        <w:t xml:space="preserve">Jon Halstead (Pattern Engineer) · Project Infinity / AAIS · June 2026</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5FA3" w:sz="4" w:space="1"/>
      </w:pBdr>
      <w:tabs>
        <w:tab w:val="right" w:pos="9026"/>
      </w:tabs>
      <w:spacing w:after="0" w:before="160"/>
      <w:jc w:val="left"/>
    </w:pPr>
    <w:r>
      <w:rPr>
        <w:rFonts w:ascii="Arial" w:cs="Arial" w:eastAsia="Arial" w:hAnsi="Arial"/>
        <w:color w:val="6B7280"/>
        <w:sz w:val="16"/>
        <w:szCs w:val="16"/>
      </w:rPr>
      <w:t xml:space="preserve">Zenodo Preprint · Open Access · github.com/warheart1984-ctrl/infinity</w:t>
    </w:r>
    <w:r>
      <w:rPr>
        <w:rFonts w:ascii="Arial" w:cs="Arial" w:eastAsia="Arial" w:hAnsi="Arial"/>
        <w:color w:val="6B7280"/>
        <w:sz w:val="16"/>
        <w:szCs w:val="16"/>
      </w:rPr>
      <w:t xml:space="preserve">	Page </w:t>
    </w:r>
    <w:r>
      <w:rPr>
        <w:rFonts w:ascii="Arial" w:cs="Arial" w:eastAsia="Arial" w:hAnsi="Arial"/>
        <w:color w:val="6B728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5FA3" w:sz="4" w:space="1"/>
      </w:pBdr>
      <w:tabs>
        <w:tab w:val="right" w:pos="9026"/>
      </w:tabs>
      <w:spacing w:after="160" w:before="0"/>
    </w:pPr>
    <w:r>
      <w:rPr>
        <w:rFonts w:ascii="Arial" w:cs="Arial" w:eastAsia="Arial" w:hAnsi="Arial"/>
        <w:color w:val="6B7280"/>
        <w:sz w:val="18"/>
        <w:szCs w:val="18"/>
      </w:rPr>
      <w:t xml:space="preserve">AAIS Civilizational Maturity Audit</w:t>
    </w:r>
    <w:r>
      <w:rPr>
        <w:rFonts w:ascii="Arial" w:cs="Arial" w:eastAsia="Arial" w:hAnsi="Arial"/>
        <w:color w:val="6B7280"/>
        <w:sz w:val="18"/>
        <w:szCs w:val="18"/>
      </w:rPr>
      <w:t xml:space="preserve">	Jon Halstead (Pattern Engineer) ·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111"/>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1A2B4A"/>
      <w:sz w:val="32"/>
      <w:szCs w:val="32"/>
    </w:rPr>
  </w:style>
  <w:style w:type="paragraph" w:styleId="Heading2">
    <w:name w:val="Heading 2"/>
    <w:basedOn w:val="Normal"/>
    <w:next w:val="Normal"/>
    <w:qFormat/>
    <w:pPr>
      <w:spacing w:after="120" w:before="280"/>
      <w:outlineLvl w:val="1"/>
    </w:pPr>
    <w:rPr>
      <w:rFonts w:ascii="Arial" w:cs="Arial" w:eastAsia="Arial" w:hAnsi="Arial"/>
      <w:b/>
      <w:bCs/>
      <w:color w:val="2E5FA3"/>
      <w:sz w:val="26"/>
      <w:szCs w:val="26"/>
    </w:rPr>
  </w:style>
  <w:style w:type="paragraph" w:styleId="Heading3">
    <w:name w:val="Heading 3"/>
    <w:basedOn w:val="Normal"/>
    <w:next w:val="Normal"/>
    <w:qFormat/>
    <w:pPr>
      <w:spacing w:after="80" w:before="200"/>
      <w:outlineLvl w:val="2"/>
    </w:pPr>
    <w:rPr>
      <w:rFonts w:ascii="Arial" w:cs="Arial" w:eastAsia="Arial" w:hAnsi="Arial"/>
      <w:b/>
      <w:bCs/>
      <w:color w:val="1A2B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2026-06-08T03:11:45.708Z</dcterms:created>
  <dcterms:modified xsi:type="dcterms:W3CDTF">2026-06-08T03:11:45.708Z</dcterms:modified>
</cp:coreProperties>
</file>

<file path=docProps/custom.xml><?xml version="1.0" encoding="utf-8"?>
<Properties xmlns="http://schemas.openxmlformats.org/officeDocument/2006/custom-properties" xmlns:vt="http://schemas.openxmlformats.org/officeDocument/2006/docPropsVTypes"/>
</file>