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152" w:type="pct"/>
        <w:jc w:val="center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471"/>
        <w:gridCol w:w="2265"/>
        <w:gridCol w:w="1156"/>
        <w:gridCol w:w="5623"/>
        <w:gridCol w:w="3104"/>
      </w:tblGrid>
      <w:tr w14:paraId="58592887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7" w:hRule="atLeast"/>
          <w:jc w:val="center"/>
        </w:trPr>
        <w:tc>
          <w:tcPr>
            <w:tcW w:w="401" w:type="pct"/>
            <w:tcBorders>
              <w:top w:val="single" w:color="auto" w:sz="18" w:space="0"/>
              <w:bottom w:val="single" w:color="000000" w:sz="4" w:space="0"/>
            </w:tcBorders>
          </w:tcPr>
          <w:p w14:paraId="4766D76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Number</w:t>
            </w:r>
          </w:p>
        </w:tc>
        <w:tc>
          <w:tcPr>
            <w:tcW w:w="496" w:type="pct"/>
            <w:tcBorders>
              <w:top w:val="single" w:color="auto" w:sz="18" w:space="0"/>
              <w:bottom w:val="single" w:color="000000" w:sz="4" w:space="0"/>
            </w:tcBorders>
          </w:tcPr>
          <w:p w14:paraId="518177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Gene</w:t>
            </w:r>
          </w:p>
        </w:tc>
        <w:tc>
          <w:tcPr>
            <w:tcW w:w="764" w:type="pct"/>
            <w:tcBorders>
              <w:top w:val="single" w:color="auto" w:sz="18" w:space="0"/>
              <w:bottom w:val="single" w:color="000000" w:sz="4" w:space="0"/>
            </w:tcBorders>
          </w:tcPr>
          <w:p w14:paraId="2243EBB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Primer</w:t>
            </w:r>
          </w:p>
        </w:tc>
        <w:tc>
          <w:tcPr>
            <w:tcW w:w="390" w:type="pct"/>
            <w:tcBorders>
              <w:top w:val="single" w:color="auto" w:sz="18" w:space="0"/>
              <w:bottom w:val="single" w:color="000000" w:sz="4" w:space="0"/>
            </w:tcBorders>
          </w:tcPr>
          <w:p w14:paraId="71663A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Strand</w:t>
            </w:r>
          </w:p>
        </w:tc>
        <w:tc>
          <w:tcPr>
            <w:tcW w:w="1898" w:type="pct"/>
            <w:tcBorders>
              <w:top w:val="single" w:color="auto" w:sz="18" w:space="0"/>
              <w:bottom w:val="single" w:color="000000" w:sz="4" w:space="0"/>
            </w:tcBorders>
          </w:tcPr>
          <w:p w14:paraId="004B45A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Sequence</w:t>
            </w:r>
          </w:p>
        </w:tc>
        <w:tc>
          <w:tcPr>
            <w:tcW w:w="1048" w:type="pct"/>
            <w:tcBorders>
              <w:top w:val="single" w:color="auto" w:sz="18" w:space="0"/>
              <w:bottom w:val="single" w:color="000000" w:sz="4" w:space="0"/>
            </w:tcBorders>
          </w:tcPr>
          <w:p w14:paraId="62BBC3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References</w:t>
            </w:r>
          </w:p>
        </w:tc>
      </w:tr>
      <w:tr w14:paraId="3C4D46D3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  <w:tcBorders>
              <w:top w:val="single" w:color="000000" w:sz="4" w:space="0"/>
            </w:tcBorders>
          </w:tcPr>
          <w:p w14:paraId="27B1127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6" w:type="pct"/>
            <w:tcBorders>
              <w:top w:val="single" w:color="000000" w:sz="4" w:space="0"/>
            </w:tcBorders>
          </w:tcPr>
          <w:p w14:paraId="6F74B6C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18S rDNA</w:t>
            </w:r>
          </w:p>
        </w:tc>
        <w:tc>
          <w:tcPr>
            <w:tcW w:w="764" w:type="pct"/>
            <w:tcBorders>
              <w:top w:val="single" w:color="000000" w:sz="4" w:space="0"/>
            </w:tcBorders>
          </w:tcPr>
          <w:p w14:paraId="60F1B6B3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18S_a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i</w:t>
            </w:r>
          </w:p>
        </w:tc>
        <w:tc>
          <w:tcPr>
            <w:tcW w:w="390" w:type="pct"/>
            <w:tcBorders>
              <w:top w:val="single" w:color="000000" w:sz="4" w:space="0"/>
            </w:tcBorders>
            <w:shd w:val="clear" w:color="auto" w:fill="auto"/>
            <w:vAlign w:val="top"/>
          </w:tcPr>
          <w:p w14:paraId="700FE4DF">
            <w:pPr>
              <w:jc w:val="both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Forward</w:t>
            </w:r>
          </w:p>
        </w:tc>
        <w:tc>
          <w:tcPr>
            <w:tcW w:w="1898" w:type="pct"/>
            <w:tcBorders>
              <w:top w:val="single" w:color="000000" w:sz="4" w:space="0"/>
            </w:tcBorders>
          </w:tcPr>
          <w:p w14:paraId="71FFB27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CCTGAGAAACGGCTACCACATC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3’</w:t>
            </w:r>
          </w:p>
        </w:tc>
        <w:tc>
          <w:tcPr>
            <w:tcW w:w="1048" w:type="pct"/>
            <w:tcBorders>
              <w:top w:val="single" w:color="000000" w:sz="4" w:space="0"/>
            </w:tcBorders>
          </w:tcPr>
          <w:p w14:paraId="796F423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Whiting et al. 1997</w:t>
            </w:r>
          </w:p>
        </w:tc>
      </w:tr>
      <w:tr w14:paraId="2E2629BB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7B0C88B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96" w:type="pct"/>
          </w:tcPr>
          <w:p w14:paraId="7BA2E1B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18S rDNA</w:t>
            </w:r>
          </w:p>
        </w:tc>
        <w:tc>
          <w:tcPr>
            <w:tcW w:w="764" w:type="pct"/>
          </w:tcPr>
          <w:p w14:paraId="3AAF510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18S_bi</w:t>
            </w:r>
          </w:p>
        </w:tc>
        <w:tc>
          <w:tcPr>
            <w:tcW w:w="390" w:type="pct"/>
            <w:shd w:val="clear" w:color="auto" w:fill="auto"/>
            <w:vAlign w:val="top"/>
          </w:tcPr>
          <w:p w14:paraId="339367DD">
            <w:pPr>
              <w:jc w:val="both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Reverse</w:t>
            </w:r>
          </w:p>
        </w:tc>
        <w:tc>
          <w:tcPr>
            <w:tcW w:w="1898" w:type="pct"/>
          </w:tcPr>
          <w:p w14:paraId="094E12F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GAGTCTCGTTCGTTATCGGA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3’</w:t>
            </w:r>
          </w:p>
        </w:tc>
        <w:tc>
          <w:tcPr>
            <w:tcW w:w="1048" w:type="pct"/>
          </w:tcPr>
          <w:p w14:paraId="1339DED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Whiting et al. 1997</w:t>
            </w:r>
          </w:p>
        </w:tc>
      </w:tr>
      <w:tr w14:paraId="3C1A27A1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673C9864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496" w:type="pct"/>
          </w:tcPr>
          <w:p w14:paraId="21399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28S rDNA</w:t>
            </w:r>
          </w:p>
        </w:tc>
        <w:tc>
          <w:tcPr>
            <w:tcW w:w="764" w:type="pct"/>
          </w:tcPr>
          <w:p w14:paraId="5FB263B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S3660</w:t>
            </w:r>
          </w:p>
        </w:tc>
        <w:tc>
          <w:tcPr>
            <w:tcW w:w="390" w:type="pct"/>
            <w:shd w:val="clear" w:color="auto" w:fill="auto"/>
            <w:vAlign w:val="top"/>
          </w:tcPr>
          <w:p w14:paraId="0F7AD844">
            <w:pPr>
              <w:jc w:val="both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Forward</w:t>
            </w:r>
          </w:p>
        </w:tc>
        <w:tc>
          <w:tcPr>
            <w:tcW w:w="1898" w:type="pct"/>
          </w:tcPr>
          <w:p w14:paraId="767F98BC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GAGAGTTMAASAGTACGTGAAAC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3’</w:t>
            </w:r>
          </w:p>
        </w:tc>
        <w:tc>
          <w:tcPr>
            <w:tcW w:w="1048" w:type="pct"/>
          </w:tcPr>
          <w:p w14:paraId="18136BC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Morse 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and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Normark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 xml:space="preserve"> 2006</w:t>
            </w:r>
          </w:p>
        </w:tc>
      </w:tr>
      <w:tr w14:paraId="20BCA7BB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4A9F63B2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496" w:type="pct"/>
          </w:tcPr>
          <w:p w14:paraId="526F14C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28S rDNA</w:t>
            </w:r>
          </w:p>
        </w:tc>
        <w:tc>
          <w:tcPr>
            <w:tcW w:w="764" w:type="pct"/>
          </w:tcPr>
          <w:p w14:paraId="53FE35D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A335</w:t>
            </w:r>
          </w:p>
        </w:tc>
        <w:tc>
          <w:tcPr>
            <w:tcW w:w="390" w:type="pct"/>
            <w:shd w:val="clear" w:color="auto" w:fill="auto"/>
            <w:vAlign w:val="top"/>
          </w:tcPr>
          <w:p w14:paraId="5BE2A2F5">
            <w:pPr>
              <w:jc w:val="both"/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Reverse</w:t>
            </w:r>
          </w:p>
        </w:tc>
        <w:tc>
          <w:tcPr>
            <w:tcW w:w="1898" w:type="pct"/>
          </w:tcPr>
          <w:p w14:paraId="688A75FD">
            <w:pPr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TCGGAAGGAACCAGCTACTA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3’</w:t>
            </w:r>
          </w:p>
        </w:tc>
        <w:tc>
          <w:tcPr>
            <w:tcW w:w="1048" w:type="pct"/>
          </w:tcPr>
          <w:p w14:paraId="22DD596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Whiting et al. 1997</w:t>
            </w:r>
          </w:p>
        </w:tc>
      </w:tr>
      <w:tr w14:paraId="6A244875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18B70CCC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496" w:type="pct"/>
          </w:tcPr>
          <w:p w14:paraId="4172B7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CAD</w:t>
            </w:r>
          </w:p>
        </w:tc>
        <w:tc>
          <w:tcPr>
            <w:tcW w:w="764" w:type="pct"/>
          </w:tcPr>
          <w:p w14:paraId="68F80345">
            <w:pPr>
              <w:jc w:val="both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787F</w:t>
            </w:r>
          </w:p>
        </w:tc>
        <w:tc>
          <w:tcPr>
            <w:tcW w:w="390" w:type="pct"/>
          </w:tcPr>
          <w:p w14:paraId="0DA25B9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Forward</w:t>
            </w:r>
          </w:p>
        </w:tc>
        <w:tc>
          <w:tcPr>
            <w:tcW w:w="1898" w:type="pct"/>
          </w:tcPr>
          <w:p w14:paraId="28A15EF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Style w:val="14"/>
                <w:rFonts w:ascii="Times New Roman" w:hAnsi="Times New Roman" w:cs="Times New Roman"/>
              </w:rPr>
              <w:t>GGDGTNACNACNGCNTGYTTYGARCC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3’</w:t>
            </w:r>
          </w:p>
        </w:tc>
        <w:tc>
          <w:tcPr>
            <w:tcW w:w="1048" w:type="pct"/>
          </w:tcPr>
          <w:p w14:paraId="51C4134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Moulton and Wiegmann</w:t>
            </w:r>
            <w:r>
              <w:rPr>
                <w:rStyle w:val="14"/>
                <w:rFonts w:hint="eastAsia" w:ascii="Times New Roman" w:hAnsi="Times New Roman" w:cs="Times New Roman"/>
                <w:lang w:val="en-US" w:eastAsia="zh-CN"/>
              </w:rPr>
              <w:t>.</w:t>
            </w:r>
            <w:r>
              <w:rPr>
                <w:rStyle w:val="14"/>
                <w:rFonts w:ascii="Times New Roman" w:hAnsi="Times New Roman" w:cs="Times New Roman"/>
              </w:rPr>
              <w:t xml:space="preserve"> 2004</w:t>
            </w:r>
          </w:p>
        </w:tc>
      </w:tr>
      <w:tr w14:paraId="48495DC0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4DF4719C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496" w:type="pct"/>
          </w:tcPr>
          <w:p w14:paraId="35B73A5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CAD</w:t>
            </w:r>
          </w:p>
        </w:tc>
        <w:tc>
          <w:tcPr>
            <w:tcW w:w="764" w:type="pct"/>
          </w:tcPr>
          <w:p w14:paraId="5145550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1098R</w:t>
            </w:r>
          </w:p>
        </w:tc>
        <w:tc>
          <w:tcPr>
            <w:tcW w:w="390" w:type="pct"/>
          </w:tcPr>
          <w:p w14:paraId="6BDB9CF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Reverse</w:t>
            </w:r>
          </w:p>
        </w:tc>
        <w:tc>
          <w:tcPr>
            <w:tcW w:w="1898" w:type="pct"/>
          </w:tcPr>
          <w:p w14:paraId="6321D57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Style w:val="14"/>
                <w:rFonts w:ascii="Times New Roman" w:hAnsi="Times New Roman" w:cs="Times New Roman"/>
              </w:rPr>
              <w:t>TTNGGNAGYTGNCCNCCCAT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3’</w:t>
            </w:r>
          </w:p>
        </w:tc>
        <w:tc>
          <w:tcPr>
            <w:tcW w:w="1048" w:type="pct"/>
          </w:tcPr>
          <w:p w14:paraId="240754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Moulton and Wiegmann</w:t>
            </w:r>
            <w:r>
              <w:rPr>
                <w:rStyle w:val="14"/>
                <w:rFonts w:hint="eastAsia" w:ascii="Times New Roman" w:hAnsi="Times New Roman" w:cs="Times New Roman"/>
                <w:lang w:val="en-US" w:eastAsia="zh-CN"/>
              </w:rPr>
              <w:t>.</w:t>
            </w:r>
            <w:r>
              <w:rPr>
                <w:rStyle w:val="14"/>
                <w:rFonts w:ascii="Times New Roman" w:hAnsi="Times New Roman" w:cs="Times New Roman"/>
              </w:rPr>
              <w:t xml:space="preserve"> 2004</w:t>
            </w:r>
          </w:p>
        </w:tc>
      </w:tr>
      <w:tr w14:paraId="5B58BDBC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00055E81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496" w:type="pct"/>
          </w:tcPr>
          <w:p w14:paraId="69072C1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COI–5p</w:t>
            </w:r>
          </w:p>
        </w:tc>
        <w:tc>
          <w:tcPr>
            <w:tcW w:w="764" w:type="pct"/>
          </w:tcPr>
          <w:p w14:paraId="5333552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LCO1490</w:t>
            </w:r>
          </w:p>
        </w:tc>
        <w:tc>
          <w:tcPr>
            <w:tcW w:w="390" w:type="pct"/>
          </w:tcPr>
          <w:p w14:paraId="7356CF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Forward</w:t>
            </w:r>
          </w:p>
        </w:tc>
        <w:tc>
          <w:tcPr>
            <w:tcW w:w="1898" w:type="pct"/>
          </w:tcPr>
          <w:p w14:paraId="645C7D4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5’ – GGTCAACAAATCATAAAGATATTGG – 3’</w:t>
            </w:r>
          </w:p>
        </w:tc>
        <w:tc>
          <w:tcPr>
            <w:tcW w:w="1048" w:type="pct"/>
          </w:tcPr>
          <w:p w14:paraId="4B3F6D8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Folmer et al. 1994</w:t>
            </w:r>
          </w:p>
        </w:tc>
      </w:tr>
      <w:tr w14:paraId="4DE23955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6492BBC1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496" w:type="pct"/>
          </w:tcPr>
          <w:p w14:paraId="6C39B57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COI–5p</w:t>
            </w:r>
          </w:p>
        </w:tc>
        <w:tc>
          <w:tcPr>
            <w:tcW w:w="764" w:type="pct"/>
          </w:tcPr>
          <w:p w14:paraId="7CF3E56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HCO2198</w:t>
            </w:r>
          </w:p>
        </w:tc>
        <w:tc>
          <w:tcPr>
            <w:tcW w:w="390" w:type="pct"/>
          </w:tcPr>
          <w:p w14:paraId="33B4A9C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Reverse</w:t>
            </w:r>
          </w:p>
        </w:tc>
        <w:tc>
          <w:tcPr>
            <w:tcW w:w="1898" w:type="pct"/>
          </w:tcPr>
          <w:p w14:paraId="34E175B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5’– TAACTTCAGGGTGACCAAAAAATCA – 3’</w:t>
            </w:r>
          </w:p>
        </w:tc>
        <w:tc>
          <w:tcPr>
            <w:tcW w:w="1048" w:type="pct"/>
          </w:tcPr>
          <w:p w14:paraId="486E633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Folmer et al. 1994</w:t>
            </w:r>
          </w:p>
        </w:tc>
      </w:tr>
      <w:tr w14:paraId="6F814941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69D977D8">
            <w:pPr>
              <w:jc w:val="both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496" w:type="pct"/>
          </w:tcPr>
          <w:p w14:paraId="56D79B52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COI–3p</w:t>
            </w:r>
          </w:p>
        </w:tc>
        <w:tc>
          <w:tcPr>
            <w:tcW w:w="764" w:type="pct"/>
          </w:tcPr>
          <w:p w14:paraId="286E6A5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s2183</w:t>
            </w:r>
          </w:p>
        </w:tc>
        <w:tc>
          <w:tcPr>
            <w:tcW w:w="390" w:type="pct"/>
          </w:tcPr>
          <w:p w14:paraId="2EF14A84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Forward</w:t>
            </w:r>
          </w:p>
        </w:tc>
        <w:tc>
          <w:tcPr>
            <w:tcW w:w="1898" w:type="pct"/>
          </w:tcPr>
          <w:p w14:paraId="79C4806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Style w:val="14"/>
                <w:rFonts w:ascii="Times New Roman" w:hAnsi="Times New Roman" w:cs="Times New Roman"/>
              </w:rPr>
              <w:t>CAACATTTATTTTGATTTTTTGG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3’</w:t>
            </w:r>
          </w:p>
        </w:tc>
        <w:tc>
          <w:tcPr>
            <w:tcW w:w="1048" w:type="pct"/>
          </w:tcPr>
          <w:p w14:paraId="027F7A3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Simon et al. 1994</w:t>
            </w:r>
          </w:p>
        </w:tc>
      </w:tr>
      <w:tr w14:paraId="3A4CDCDE"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1" w:type="pct"/>
          </w:tcPr>
          <w:p w14:paraId="1EC17196">
            <w:pPr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496" w:type="pct"/>
          </w:tcPr>
          <w:p w14:paraId="7E2F5A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COI–3p</w:t>
            </w:r>
          </w:p>
        </w:tc>
        <w:tc>
          <w:tcPr>
            <w:tcW w:w="764" w:type="pct"/>
          </w:tcPr>
          <w:p w14:paraId="799EF81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a3014</w:t>
            </w:r>
          </w:p>
        </w:tc>
        <w:tc>
          <w:tcPr>
            <w:tcW w:w="390" w:type="pct"/>
          </w:tcPr>
          <w:p w14:paraId="62A09A4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Reverse</w:t>
            </w:r>
          </w:p>
        </w:tc>
        <w:tc>
          <w:tcPr>
            <w:tcW w:w="1898" w:type="pct"/>
          </w:tcPr>
          <w:p w14:paraId="464C06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5’ – </w:t>
            </w:r>
            <w:r>
              <w:rPr>
                <w:rStyle w:val="14"/>
                <w:rFonts w:ascii="Times New Roman" w:hAnsi="Times New Roman" w:cs="Times New Roman"/>
              </w:rPr>
              <w:t>TCCAATGCACTAATCTGCCATATTA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3’</w:t>
            </w:r>
          </w:p>
        </w:tc>
        <w:tc>
          <w:tcPr>
            <w:tcW w:w="1048" w:type="pct"/>
          </w:tcPr>
          <w:p w14:paraId="6DA3A70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4"/>
                <w:rFonts w:ascii="Times New Roman" w:hAnsi="Times New Roman" w:cs="Times New Roman"/>
              </w:rPr>
              <w:t>Simon et al. 1994</w:t>
            </w:r>
          </w:p>
        </w:tc>
      </w:tr>
    </w:tbl>
    <w:p w14:paraId="07AEC3C3">
      <w:pPr>
        <w:jc w:val="both"/>
        <w:rPr>
          <w:rFonts w:hint="default" w:ascii="Times New Roman" w:hAnsi="Times New Roman" w:cs="Times New Roman"/>
          <w:sz w:val="22"/>
          <w:szCs w:val="22"/>
          <w:lang w:val="de-DE" w:eastAsia="zh-CN"/>
        </w:rPr>
      </w:pPr>
      <w:r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hint="eastAsia" w:ascii="Times New Roman" w:hAnsi="Times New Roman" w:cs="Times New Roman"/>
          <w:b/>
          <w:sz w:val="22"/>
          <w:szCs w:val="22"/>
        </w:rPr>
        <w:t>eference</w:t>
      </w:r>
      <w:r>
        <w:rPr>
          <w:rFonts w:ascii="Times New Roman" w:hAnsi="Times New Roman" w:cs="Times New Roman"/>
          <w:b/>
          <w:sz w:val="22"/>
          <w:szCs w:val="22"/>
        </w:rPr>
        <w:t>s</w:t>
      </w:r>
      <w:r>
        <w:rPr>
          <w:rFonts w:hint="eastAsia" w:ascii="Times New Roman" w:hAnsi="Times New Roman" w:cs="Times New Roman"/>
          <w:b/>
          <w:sz w:val="22"/>
          <w:szCs w:val="22"/>
        </w:rPr>
        <w:t>:</w:t>
      </w:r>
    </w:p>
    <w:p w14:paraId="4E6DA16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left="440" w:hanging="440" w:hanging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Folmer O, Black M, 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>Hoeh W</w:t>
      </w:r>
      <w:r>
        <w:rPr>
          <w:rFonts w:hint="eastAsia" w:ascii="Times New Roman" w:hAnsi="Times New Roman" w:cs="Times New Roman"/>
          <w:i w:val="0"/>
          <w:iCs w:val="0"/>
          <w:color w:val="auto"/>
          <w:sz w:val="22"/>
          <w:szCs w:val="22"/>
          <w:lang w:val="en-US" w:eastAsia="zh-CN"/>
        </w:rPr>
        <w:t>, Lutz R</w:t>
      </w:r>
      <w:r>
        <w:rPr>
          <w:rFonts w:ascii="Times New Roman" w:hAnsi="Times New Roman" w:cs="Times New Roman"/>
          <w:i w:val="0"/>
          <w:iCs w:val="0"/>
          <w:color w:val="auto"/>
          <w:sz w:val="22"/>
          <w:szCs w:val="22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color w:val="auto"/>
          <w:sz w:val="22"/>
          <w:szCs w:val="22"/>
          <w:lang w:val="en-US" w:eastAsia="zh-CN"/>
        </w:rPr>
        <w:t xml:space="preserve">(1994) </w:t>
      </w:r>
      <w:r>
        <w:rPr>
          <w:rFonts w:ascii="Times New Roman" w:hAnsi="Times New Roman" w:cs="Times New Roman"/>
          <w:sz w:val="22"/>
          <w:szCs w:val="22"/>
        </w:rPr>
        <w:t>DNA primers for amplification of mitochondrial cytochrome c oxidase subunit I from diverse metazoan invertebrates.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2"/>
          <w:szCs w:val="22"/>
        </w:rPr>
        <w:t>Molecular Marine Biology and Biotechnology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>: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294–299.</w:t>
      </w:r>
    </w:p>
    <w:p w14:paraId="04CDB3E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ind w:left="440" w:hanging="440" w:hanging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US" w:eastAsia="zh-CN"/>
        </w:rPr>
        <w:t>Morse GE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,</w:t>
      </w:r>
      <w:r>
        <w:rPr>
          <w:rFonts w:ascii="Times New Roman" w:hAnsi="Times New Roman" w:cs="Times New Roman"/>
          <w:sz w:val="22"/>
          <w:szCs w:val="22"/>
          <w:lang w:val="en-US" w:eastAsia="zh-CN"/>
        </w:rPr>
        <w:t xml:space="preserve"> Normark BB (2006) A molecular phylogenetic study of armoured scale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insects (Hemiptera: Diaspididae). </w:t>
      </w:r>
      <w:r>
        <w:rPr>
          <w:rFonts w:ascii="Times New Roman" w:hAnsi="Times New Roman" w:cs="Times New Roman"/>
          <w:sz w:val="22"/>
          <w:szCs w:val="22"/>
          <w:lang w:val="en-US" w:eastAsia="zh-CN"/>
        </w:rPr>
        <w:t>Systematic Entomology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 xml:space="preserve"> 31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338–349.</w:t>
      </w:r>
    </w:p>
    <w:p w14:paraId="596EB3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40" w:hanging="440" w:hangingChars="200"/>
        <w:jc w:val="both"/>
        <w:textAlignment w:val="auto"/>
        <w:rPr>
          <w:rStyle w:val="14"/>
          <w:rFonts w:ascii="Times New Roman" w:hAnsi="Times New Roman" w:cs="Times New Roman"/>
        </w:rPr>
      </w:pPr>
      <w:r>
        <w:rPr>
          <w:rStyle w:val="14"/>
          <w:rFonts w:ascii="Times New Roman" w:hAnsi="Times New Roman" w:cs="Times New Roman"/>
        </w:rPr>
        <w:t>Moulton JK, Wiegmann BM</w:t>
      </w:r>
      <w:r>
        <w:rPr>
          <w:rStyle w:val="14"/>
          <w:rFonts w:hint="eastAsia" w:ascii="Times New Roman" w:hAnsi="Times New Roman" w:cs="Times New Roman"/>
          <w:lang w:val="en-US" w:eastAsia="zh-CN"/>
        </w:rPr>
        <w:t xml:space="preserve"> (2004)</w:t>
      </w:r>
      <w:r>
        <w:rPr>
          <w:rStyle w:val="14"/>
          <w:rFonts w:ascii="Times New Roman" w:hAnsi="Times New Roman" w:cs="Times New Roman"/>
        </w:rPr>
        <w:t xml:space="preserve"> Evolution and phylogenetic utility of CAD (rudimentary) among Mesozoic‐aged Eremoneuran Diptera (Insecta). </w:t>
      </w:r>
      <w:r>
        <w:rPr>
          <w:rFonts w:ascii="Times New Roman" w:hAnsi="Times New Roman" w:cs="Times New Roman"/>
          <w:i w:val="0"/>
          <w:iCs w:val="0"/>
          <w:sz w:val="22"/>
          <w:szCs w:val="22"/>
          <w:lang w:val="de-DE"/>
        </w:rPr>
        <w:t>Molecular Phylogenetics and Evolution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:lang w:val="de-DE"/>
        </w:rPr>
        <w:t xml:space="preserve"> </w:t>
      </w:r>
      <w:r>
        <w:rPr>
          <w:rStyle w:val="14"/>
          <w:rFonts w:ascii="Times New Roman" w:hAnsi="Times New Roman" w:cs="Times New Roman"/>
          <w:b w:val="0"/>
          <w:bCs w:val="0"/>
          <w:color w:val="auto"/>
        </w:rPr>
        <w:t>31</w:t>
      </w:r>
      <w:r>
        <w:rPr>
          <w:rStyle w:val="14"/>
          <w:rFonts w:ascii="Times New Roman" w:hAnsi="Times New Roman" w:cs="Times New Roman"/>
        </w:rPr>
        <w:t>:</w:t>
      </w:r>
      <w:r>
        <w:rPr>
          <w:rStyle w:val="14"/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Style w:val="14"/>
          <w:rFonts w:ascii="Times New Roman" w:hAnsi="Times New Roman" w:cs="Times New Roman"/>
        </w:rPr>
        <w:t xml:space="preserve">363‐378. </w:t>
      </w:r>
      <w:r>
        <w:fldChar w:fldCharType="begin"/>
      </w:r>
      <w:r>
        <w:instrText xml:space="preserve"> HYPERLINK "https://doi.org/10.1016/S1055-7903(03)00284-7"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2"/>
          <w:szCs w:val="22"/>
        </w:rPr>
        <w:t>https://doi.org/10.1016/S1055-7903(03)00284-7</w:t>
      </w:r>
      <w:r>
        <w:rPr>
          <w:rStyle w:val="9"/>
          <w:rFonts w:ascii="Times New Roman" w:hAnsi="Times New Roman" w:cs="Times New Roman"/>
          <w:sz w:val="22"/>
          <w:szCs w:val="22"/>
        </w:rPr>
        <w:fldChar w:fldCharType="end"/>
      </w:r>
    </w:p>
    <w:p w14:paraId="6BAECC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40" w:hanging="440" w:hangingChars="200"/>
        <w:textAlignment w:val="auto"/>
        <w:rPr>
          <w:rStyle w:val="9"/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>Simon C, Fr</w:t>
      </w:r>
      <w:r>
        <w:rPr>
          <w:rFonts w:ascii="Times New Roman" w:hAnsi="Times New Roman" w:eastAsia="Times New Roman" w:cs="Times New Roman"/>
          <w:color w:val="auto"/>
          <w:sz w:val="22"/>
          <w:szCs w:val="22"/>
          <w:lang w:eastAsia="ru-RU"/>
        </w:rPr>
        <w:t>ati F, Beckenbach A</w:t>
      </w:r>
      <w:r>
        <w:rPr>
          <w:rFonts w:hint="eastAsia" w:ascii="Times New Roman" w:hAnsi="Times New Roman" w:cs="Times New Roman"/>
          <w:color w:val="auto"/>
          <w:sz w:val="22"/>
          <w:szCs w:val="22"/>
          <w:lang w:val="en-US" w:eastAsia="zh-CN"/>
        </w:rPr>
        <w:t>, Crespi B, Liu H, Flook P</w:t>
      </w:r>
      <w:r>
        <w:rPr>
          <w:rFonts w:hint="eastAsia" w:ascii="Times New Roman" w:hAnsi="Times New Roman" w:cs="Times New Roman"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i w:val="0"/>
          <w:iCs w:val="0"/>
          <w:sz w:val="22"/>
          <w:szCs w:val="22"/>
          <w:lang w:val="en-US" w:eastAsia="zh-CN"/>
        </w:rPr>
        <w:t>(1994)</w:t>
      </w:r>
      <w:r>
        <w:rPr>
          <w:rFonts w:ascii="Times New Roman" w:hAnsi="Times New Roman" w:cs="Times New Roman"/>
          <w:i w:val="0"/>
          <w:iCs w:val="0"/>
          <w:sz w:val="22"/>
          <w:szCs w:val="22"/>
          <w:lang w:val="de-D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>E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 xml:space="preserve">volution, weighting, and phylogenetic utility of mitochondrial gene sequences and a compilation of conserved polymerase chain reaction primers. 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2"/>
          <w:szCs w:val="22"/>
          <w:lang w:eastAsia="ru-RU"/>
        </w:rPr>
        <w:t>Annals of the Entomological Society of Ameri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/>
          <w:sz w:val="22"/>
          <w:szCs w:val="22"/>
          <w:lang w:eastAsia="ru-RU"/>
        </w:rPr>
        <w:t xml:space="preserve">ca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lang w:eastAsia="ru-RU"/>
        </w:rPr>
        <w:t>87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>:</w:t>
      </w:r>
      <w:r>
        <w:rPr>
          <w:rFonts w:hint="eastAsia" w:ascii="Times New Roman" w:hAnsi="Times New Roman" w:cs="Times New Roman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  <w:t>651–701.</w:t>
      </w:r>
      <w:r>
        <w:rPr>
          <w:rFonts w:hint="eastAsia" w:ascii="Times New Roman" w:hAnsi="Times New Roman" w:cs="Times New Roman"/>
          <w:color w:val="000000"/>
          <w:sz w:val="22"/>
          <w:szCs w:val="22"/>
          <w:lang w:val="en-US" w:eastAsia="zh-CN"/>
        </w:rPr>
        <w:t xml:space="preserve"> </w:t>
      </w:r>
      <w:r>
        <w:fldChar w:fldCharType="begin"/>
      </w:r>
      <w:r>
        <w:instrText xml:space="preserve"> HYPERLINK "https://doi.org/10.1093/aesa/87.6.651" </w:instrText>
      </w:r>
      <w:r>
        <w:fldChar w:fldCharType="separate"/>
      </w:r>
      <w:r>
        <w:rPr>
          <w:rStyle w:val="9"/>
          <w:rFonts w:ascii="Times New Roman" w:hAnsi="Times New Roman" w:eastAsia="Times New Roman" w:cs="Times New Roman"/>
          <w:sz w:val="22"/>
          <w:szCs w:val="22"/>
          <w:lang w:eastAsia="ru-RU"/>
        </w:rPr>
        <w:t>https://doi.org/10.1093/aesa/87.6.651</w:t>
      </w:r>
      <w:r>
        <w:rPr>
          <w:rStyle w:val="9"/>
          <w:rFonts w:ascii="Times New Roman" w:hAnsi="Times New Roman" w:eastAsia="Times New Roman" w:cs="Times New Roman"/>
          <w:sz w:val="22"/>
          <w:szCs w:val="22"/>
          <w:lang w:eastAsia="ru-RU"/>
        </w:rPr>
        <w:fldChar w:fldCharType="end"/>
      </w:r>
    </w:p>
    <w:p w14:paraId="6C494E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40" w:hanging="440" w:hangingChars="200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Whiting MF, Carpenter JC, Whee</w:t>
      </w:r>
      <w:r>
        <w:rPr>
          <w:rFonts w:ascii="Times New Roman" w:hAnsi="Times New Roman" w:cs="Times New Roman"/>
          <w:color w:val="auto"/>
          <w:sz w:val="22"/>
          <w:szCs w:val="22"/>
        </w:rPr>
        <w:t>ler QD</w:t>
      </w:r>
      <w:r>
        <w:rPr>
          <w:rFonts w:hint="eastAsia" w:ascii="Times New Roman" w:hAnsi="Times New Roman" w:cs="Times New Roman"/>
          <w:color w:val="auto"/>
          <w:sz w:val="22"/>
          <w:szCs w:val="22"/>
          <w:lang w:val="en-US" w:eastAsia="zh-CN"/>
        </w:rPr>
        <w:t>, Wheeler WC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1997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)</w:t>
      </w:r>
      <w:r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Strepsiptera problem: phylogeny of theholometabolous insect orders inferred from 18S and 28S ribosomal DNA sequences and morphology. </w:t>
      </w:r>
      <w:r>
        <w:rPr>
          <w:rFonts w:ascii="Times New Roman" w:hAnsi="Times New Roman" w:cs="Times New Roman"/>
          <w:i w:val="0"/>
          <w:iCs w:val="0"/>
          <w:sz w:val="22"/>
          <w:szCs w:val="22"/>
        </w:rPr>
        <w:t>Systematic Biology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46</w:t>
      </w:r>
      <w:r>
        <w:rPr>
          <w:rFonts w:ascii="Times New Roman" w:hAnsi="Times New Roman" w:cs="Times New Roman"/>
          <w:sz w:val="22"/>
          <w:szCs w:val="22"/>
        </w:rPr>
        <w:t>: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1–68. </w:t>
      </w:r>
      <w:r>
        <w:fldChar w:fldCharType="begin"/>
      </w:r>
      <w:r>
        <w:instrText xml:space="preserve"> HYPERLINK "https://doi.org/10.2307/2413635"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2"/>
          <w:szCs w:val="22"/>
        </w:rPr>
        <w:t>https://doi.org/10.2307/2413635</w:t>
      </w:r>
      <w:r>
        <w:rPr>
          <w:rStyle w:val="9"/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宋体" w:hAnsi="宋体" w:eastAsia="宋体" w:cs="宋体"/>
          <w:sz w:val="24"/>
          <w:szCs w:val="24"/>
        </w:rPr>
        <w:t>.</w:t>
      </w:r>
    </w:p>
    <w:sectPr>
      <w:pgSz w:w="16840" w:h="11900" w:orient="landscape"/>
      <w:pgMar w:top="1800" w:right="1247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-Italic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1F7"/>
    <w:rsid w:val="00005EC7"/>
    <w:rsid w:val="00043B09"/>
    <w:rsid w:val="000E709C"/>
    <w:rsid w:val="00100479"/>
    <w:rsid w:val="001107E0"/>
    <w:rsid w:val="00144F05"/>
    <w:rsid w:val="00146604"/>
    <w:rsid w:val="001E126F"/>
    <w:rsid w:val="002549D6"/>
    <w:rsid w:val="00345C71"/>
    <w:rsid w:val="003D331C"/>
    <w:rsid w:val="003F27A9"/>
    <w:rsid w:val="00447B35"/>
    <w:rsid w:val="004732BD"/>
    <w:rsid w:val="004A1CB9"/>
    <w:rsid w:val="00500F63"/>
    <w:rsid w:val="00572D9A"/>
    <w:rsid w:val="00580AFC"/>
    <w:rsid w:val="005949E9"/>
    <w:rsid w:val="005B7744"/>
    <w:rsid w:val="005C646A"/>
    <w:rsid w:val="00681AF7"/>
    <w:rsid w:val="006B3236"/>
    <w:rsid w:val="006C5690"/>
    <w:rsid w:val="007D6ABC"/>
    <w:rsid w:val="00805958"/>
    <w:rsid w:val="008A213A"/>
    <w:rsid w:val="009855A5"/>
    <w:rsid w:val="009E2968"/>
    <w:rsid w:val="00A30AF4"/>
    <w:rsid w:val="00AA022C"/>
    <w:rsid w:val="00AA5A7C"/>
    <w:rsid w:val="00AF703F"/>
    <w:rsid w:val="00BD158E"/>
    <w:rsid w:val="00D77FB0"/>
    <w:rsid w:val="00D84E61"/>
    <w:rsid w:val="00DD41F7"/>
    <w:rsid w:val="00E47292"/>
    <w:rsid w:val="00EE1D27"/>
    <w:rsid w:val="00F06DBE"/>
    <w:rsid w:val="00F24B95"/>
    <w:rsid w:val="00F718AF"/>
    <w:rsid w:val="00FC14DF"/>
    <w:rsid w:val="0DCB704F"/>
    <w:rsid w:val="42D73813"/>
    <w:rsid w:val="49830F34"/>
    <w:rsid w:val="4E0A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rPr>
      <w:sz w:val="20"/>
      <w:szCs w:val="20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8">
    <w:name w:val="Emphasis"/>
    <w:basedOn w:val="7"/>
    <w:qFormat/>
    <w:uiPriority w:val="20"/>
    <w:rPr>
      <w:i/>
      <w:i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Верхний колонтитул Знак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3">
    <w:name w:val="Нижний колонтитул Знак"/>
    <w:basedOn w:val="7"/>
    <w:link w:val="3"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fontstyle01"/>
    <w:basedOn w:val="7"/>
    <w:qFormat/>
    <w:uiPriority w:val="0"/>
    <w:rPr>
      <w:rFonts w:hint="default" w:ascii="Calibri" w:hAnsi="Calibri" w:cs="Calibri"/>
      <w:color w:val="000000"/>
      <w:sz w:val="22"/>
      <w:szCs w:val="22"/>
    </w:rPr>
  </w:style>
  <w:style w:type="character" w:customStyle="1" w:styleId="15">
    <w:name w:val="fontstyle21"/>
    <w:basedOn w:val="7"/>
    <w:uiPriority w:val="0"/>
    <w:rPr>
      <w:rFonts w:hint="default" w:ascii="Calibri-Italic" w:hAnsi="Calibri-Italic"/>
      <w:i/>
      <w:iCs/>
      <w:color w:val="000000"/>
      <w:sz w:val="22"/>
      <w:szCs w:val="22"/>
    </w:rPr>
  </w:style>
  <w:style w:type="character" w:customStyle="1" w:styleId="16">
    <w:name w:val="Текст примечания Знак"/>
    <w:basedOn w:val="7"/>
    <w:link w:val="2"/>
    <w:semiHidden/>
    <w:qFormat/>
    <w:uiPriority w:val="99"/>
    <w:rPr>
      <w:rFonts w:ascii="宋体" w:hAnsi="宋体" w:eastAsia="宋体" w:cs="宋体"/>
      <w:kern w:val="0"/>
      <w:sz w:val="20"/>
      <w:szCs w:val="20"/>
    </w:rPr>
  </w:style>
  <w:style w:type="character" w:customStyle="1" w:styleId="17">
    <w:name w:val="Тема примечания Знак"/>
    <w:basedOn w:val="16"/>
    <w:link w:val="5"/>
    <w:semiHidden/>
    <w:qFormat/>
    <w:uiPriority w:val="99"/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18">
    <w:name w:val="fs4"/>
    <w:basedOn w:val="7"/>
    <w:uiPriority w:val="0"/>
  </w:style>
  <w:style w:type="character" w:customStyle="1" w:styleId="19">
    <w:name w:val="fs3"/>
    <w:basedOn w:val="7"/>
    <w:qFormat/>
    <w:uiPriority w:val="0"/>
  </w:style>
  <w:style w:type="character" w:customStyle="1" w:styleId="20">
    <w:name w:val="ff5"/>
    <w:basedOn w:val="7"/>
    <w:qFormat/>
    <w:uiPriority w:val="0"/>
  </w:style>
  <w:style w:type="character" w:customStyle="1" w:styleId="21">
    <w:name w:val="ws4b8"/>
    <w:basedOn w:val="7"/>
    <w:uiPriority w:val="0"/>
  </w:style>
  <w:style w:type="character" w:customStyle="1" w:styleId="22">
    <w:name w:val="ff11"/>
    <w:basedOn w:val="7"/>
    <w:qFormat/>
    <w:uiPriority w:val="0"/>
  </w:style>
  <w:style w:type="character" w:customStyle="1" w:styleId="23">
    <w:name w:val="ws8"/>
    <w:basedOn w:val="7"/>
    <w:uiPriority w:val="0"/>
  </w:style>
  <w:style w:type="character" w:customStyle="1" w:styleId="24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sic-tanggate</Company>
  <Pages>1</Pages>
  <Words>303</Words>
  <Characters>1705</Characters>
  <Lines>31</Lines>
  <Paragraphs>8</Paragraphs>
  <TotalTime>19</TotalTime>
  <ScaleCrop>false</ScaleCrop>
  <LinksUpToDate>false</LinksUpToDate>
  <CharactersWithSpaces>1939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2023-04-14T04:23:00Z</dcterms:created>
  <dc:creator>刻意 唐</dc:creator>
  <cp:lastModifiedBy>七七八八</cp:lastModifiedBy>
  <dcterms:modified xsi:type="dcterms:W3CDTF">2026-01-24T15:23:22Z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eyJoZGlkIjoiOGI4NjI5OTBmMDM1ODFlMDkzNDFlZTFiMWNhZWU5ZTMiLCJ1c2VySWQiOiIzOTI3NDg5MDgifQ==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CDFBFB299C3F47FBA4AB222E32F45850_12</vt:lpwstr>
  </property>
</Properties>
</file>