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60" w:after="120"/>
        <w:jc w:val="center"/>
      </w:pPr>
      <w:r>
        <w:rPr>
          <w:rFonts w:ascii="Calibri" w:hAnsi="Calibri"/>
          <w:b/>
          <w:i w:val="0"/>
          <w:color w:val="187A62"/>
          <w:sz w:val="17"/>
        </w:rPr>
        <w:t>SACRED CIVILIZATION RESEARCH ARCHIVE</w:t>
      </w:r>
    </w:p>
    <w:p>
      <w:pPr>
        <w:spacing w:after="80"/>
        <w:jc w:val="center"/>
      </w:pPr>
      <w:r>
        <w:rPr>
          <w:rFonts w:ascii="Calibri" w:hAnsi="Calibri"/>
          <w:b w:val="0"/>
          <w:i w:val="0"/>
          <w:color w:val="666666"/>
          <w:sz w:val="18"/>
        </w:rPr>
        <w:t>SCRA Working Paper 41  ·  Theophanic Studies Series No. 2</w:t>
      </w:r>
    </w:p>
    <w:p>
      <w:pPr>
        <w:spacing w:after="360"/>
        <w:jc w:val="center"/>
      </w:pPr>
      <w:r>
        <w:rPr>
          <w:rFonts w:ascii="Calibri" w:hAnsi="Calibri"/>
          <w:b w:val="0"/>
          <w:i w:val="0"/>
          <w:color w:val="AAAAAA"/>
          <w:sz w:val="17"/>
        </w:rPr>
        <w:t>SCRA-2026-WP41</w:t>
      </w:r>
    </w:p>
    <w:p>
      <w:pPr>
        <w:spacing w:after="200"/>
        <w:jc w:val="center"/>
      </w:pPr>
      <w:r>
        <w:rPr>
          <w:rFonts w:ascii="Garamond" w:hAnsi="Garamond"/>
          <w:b/>
          <w:i w:val="0"/>
          <w:color w:val="0F5A4A"/>
          <w:sz w:val="36"/>
        </w:rPr>
        <w:t>Zainab bint Ali and the Maqam al-Shahid:</w:t>
      </w:r>
    </w:p>
    <w:p>
      <w:pPr>
        <w:spacing w:after="120"/>
        <w:jc w:val="center"/>
      </w:pPr>
      <w:r>
        <w:rPr>
          <w:rFonts w:ascii="Garamond" w:hAnsi="Garamond"/>
          <w:b/>
          <w:i w:val="0"/>
          <w:color w:val="187A62"/>
          <w:sz w:val="28"/>
        </w:rPr>
        <w:t>The Third Theophanic Station and the Constitutional Witness of Karbala</w:t>
      </w:r>
    </w:p>
    <w:p>
      <w:pPr>
        <w:spacing w:after="400"/>
        <w:jc w:val="center"/>
      </w:pPr>
      <w:r>
        <w:rPr>
          <w:rFonts w:ascii="Garamond" w:hAnsi="Garamond"/>
          <w:b w:val="0"/>
          <w:i/>
          <w:color w:val="666666"/>
          <w:sz w:val="22"/>
        </w:rPr>
        <w:t>(6 AH / 627 CE — Damascus, 62 AH / 681 CE)</w:t>
      </w:r>
    </w:p>
    <w:p>
      <w:pPr>
        <w:spacing w:after="80"/>
        <w:jc w:val="center"/>
      </w:pPr>
      <w:r>
        <w:rPr>
          <w:rFonts w:ascii="Garamond" w:hAnsi="Garamond"/>
          <w:b/>
          <w:i w:val="0"/>
          <w:color w:val="1A1A1A"/>
          <w:sz w:val="22"/>
        </w:rPr>
        <w:t>Saad Khizar Bosal</w:t>
      </w:r>
    </w:p>
    <w:p>
      <w:pPr>
        <w:spacing w:after="80"/>
        <w:jc w:val="center"/>
      </w:pPr>
      <w:r>
        <w:rPr>
          <w:rFonts w:ascii="Garamond" w:hAnsi="Garamond"/>
          <w:b w:val="0"/>
          <w:i/>
          <w:color w:val="666666"/>
          <w:sz w:val="20"/>
        </w:rPr>
        <w:t>Framework Architect, Sacred Civilization Research Archive (SCRA)</w:t>
      </w:r>
    </w:p>
    <w:p>
      <w:pPr>
        <w:spacing w:after="80"/>
        <w:jc w:val="center"/>
      </w:pPr>
      <w:r>
        <w:rPr>
          <w:rFonts w:ascii="Garamond" w:hAnsi="Garamond"/>
          <w:b w:val="0"/>
          <w:i w:val="0"/>
          <w:color w:val="666666"/>
          <w:sz w:val="20"/>
        </w:rPr>
        <w:t>Mandi Bahauddin, Punjab, Pakistan  ·  ORCID: 0009-0004-9944-7378</w:t>
      </w:r>
    </w:p>
    <w:p>
      <w:pPr>
        <w:spacing w:after="400"/>
        <w:jc w:val="center"/>
      </w:pPr>
      <w:r>
        <w:rPr>
          <w:rFonts w:ascii="Garamond" w:hAnsi="Garamond"/>
          <w:b w:val="0"/>
          <w:i w:val="0"/>
          <w:color w:val="666666"/>
          <w:sz w:val="19"/>
        </w:rPr>
        <w:t>2026  ·  Alvid Scriptorium  ·  alvidscriptorium.com/research/zainab-theophanic-station/</w:t>
      </w:r>
    </w:p>
    <w:p>
      <w:pPr>
        <w:spacing w:before="200" w:after="200"/>
      </w:pPr>
      <w:r>
        <w:rPr>
          <w:rFonts w:ascii="Garamond" w:hAnsi="Garamond"/>
          <w:b w:val="0"/>
          <w:i w:val="0"/>
          <w:color w:val="AAAAAA"/>
          <w:sz w:val="16"/>
        </w:rPr>
        <w:t>────────────────────────────────────────────────────────────────────────</w:t>
      </w:r>
    </w:p>
    <w:p>
      <w:pPr>
        <w:spacing w:before="200" w:after="60"/>
      </w:pPr>
      <w:r>
        <w:rPr>
          <w:rFonts w:ascii="Calibri" w:hAnsi="Calibri"/>
          <w:b/>
          <w:i w:val="0"/>
          <w:color w:val="187A62"/>
          <w:sz w:val="17"/>
        </w:rPr>
        <w:t>ABSTRACT</w:t>
      </w:r>
    </w:p>
    <w:p>
      <w:pPr>
        <w:spacing w:after="160"/>
        <w:ind w:firstLine="0"/>
      </w:pPr>
      <w:r>
        <w:rPr>
          <w:rFonts w:ascii="Garamond" w:hAnsi="Garamond"/>
          <w:b w:val="0"/>
          <w:i w:val="0"/>
          <w:color w:val="1A1A1A"/>
          <w:sz w:val="23"/>
        </w:rPr>
        <w:t>Zainab bint Ali ibn Abi Talib (6 AH / 627 CE — c. 62 AH / 681 CE), daughter of Imam Ali and Fatima al-Zahra, granddaughter of the Prophet, occupies the third and constitutively necessary theophanic station in the SCRA framework: the maqam al-shahid — the station of the witness. This paper argues that Zainab's role at and after Karbala (61 AH / 680 CE) is not merely historical or devotional but structurally theophanic: without her two khutbas (the Khutba Kufa in the court of Ibn Ziyad, and the Khutba Yazid in Damascus), the event of Karbala would have remained a private massacre. Her public witnessing converts it into a permanent constitutional fact in Islamic political theology. The paper develops four interlocking theses: (1) that the three SCRA Furqan stations — Fatima's maqam al-hujja (WP-24, WP-26), Hussain's maqam al-shahada (WP-18), and Zainab's maqam al-shahid — constitute a unified theophanic architecture requiring all three to be operative; (2) that Zainab's function as custodian of the Fourth Imam (Zayn al-Abidin) at Karbala is the structural mechanism by which the Imamic chain survived the Karbala event, making all subsequent Imami theology — including the ghayba (WP-37) — contingent on her protective act; (3) that the two khutbas constitute a formal constitutional act of shahada (legal testimony) in the Quranic sense — witnessing before power that cannot silence the witness; and (4) that the contemporary Shia political mobilization around the Sayyida Zainab shrine in Damascus represents the most direct instantiation of theophanic theology in current geopolitics, completing the SCRA Tier 3 (applied contemporary) dimension of the Theophanic Studies series. Drawing on Bihar al-Anwar (al-Majlisi, vol. 45), Al-Luhuf (Ibn Tawus), Kitab al-Irshad (al-Mufid), Maqtal al-Hussain (al-Muqarram), Haydar Amuli's Jami al-Asrar, and the khutba texts in their primary Arabic.</w:t>
      </w:r>
    </w:p>
    <w:p>
      <w:pPr>
        <w:spacing w:before="200" w:after="60"/>
      </w:pPr>
      <w:r>
        <w:rPr>
          <w:rFonts w:ascii="Calibri" w:hAnsi="Calibri"/>
          <w:b/>
          <w:i w:val="0"/>
          <w:color w:val="187A62"/>
          <w:sz w:val="17"/>
        </w:rPr>
        <w:t>KEYWORDS</w:t>
      </w:r>
    </w:p>
    <w:p>
      <w:pPr>
        <w:spacing w:after="160"/>
        <w:ind w:firstLine="0"/>
      </w:pPr>
      <w:r>
        <w:rPr>
          <w:rFonts w:ascii="Garamond" w:hAnsi="Garamond"/>
          <w:b w:val="0"/>
          <w:i/>
          <w:color w:val="666666"/>
          <w:sz w:val="21"/>
        </w:rPr>
        <w:t>Zainab bint Ali  ·  maqam al-shahid  ·  Karbala  ·  constitutional witness  ·  theophanic station  ·  Khutba Kufa  ·  Khutba Yazid  ·  Furqan stations  ·  shahada  ·  Imamic chain  ·  Imam Zayn al-Abidin  ·  Sayyida Zainab shrine  ·  walayah  ·  Islamic political theology  ·  Shia irfan  ·  Bihar al-Anwar  ·  Ibn Tawus  ·  resistance axis  ·  labbayk ya Zainab  ·  barzakh</w:t>
      </w:r>
    </w:p>
    <w:p>
      <w:pPr>
        <w:spacing w:before="200" w:after="60"/>
      </w:pPr>
      <w:r>
        <w:rPr>
          <w:rFonts w:ascii="Calibri" w:hAnsi="Calibri"/>
          <w:b/>
          <w:i w:val="0"/>
          <w:color w:val="187A62"/>
          <w:sz w:val="17"/>
        </w:rPr>
        <w:t>SERIES NOTE</w:t>
      </w:r>
    </w:p>
    <w:p>
      <w:pPr>
        <w:spacing w:after="160"/>
        <w:ind w:firstLine="0"/>
      </w:pPr>
      <w:r>
        <w:rPr>
          <w:rFonts w:ascii="Garamond" w:hAnsi="Garamond"/>
          <w:b w:val="0"/>
          <w:i w:val="0"/>
          <w:color w:val="666666"/>
          <w:sz w:val="21"/>
        </w:rPr>
        <w:t>SCRA Theophanic Studies Series No. 2. Companion to WP-26 (The Veiled Light: Fatima al-Zahra as Barzakh, Laylat al-Qadar, and Mishkah — Theophanic Studies No. 1). Prerequisite reading: WP-02 (Saqifa), WP-15 (Fatima Fadakiyya), WP-18 (Karbala Constitution), WP-24 (Furqan Criterion), WP-26 (Veiled Light), WP-37 (Ghayba Theology).</w:t>
      </w:r>
    </w:p>
    <w:p>
      <w:pPr>
        <w:spacing w:before="200" w:after="200"/>
      </w:pPr>
      <w:r>
        <w:rPr>
          <w:rFonts w:ascii="Garamond" w:hAnsi="Garamond"/>
          <w:b w:val="0"/>
          <w:i w:val="0"/>
          <w:color w:val="AAAAAA"/>
          <w:sz w:val="16"/>
        </w:rPr>
        <w:t>────────────────────────────────────────────────────────────────────────</w:t>
      </w:r>
    </w:p>
    <w:p>
      <w:pPr>
        <w:spacing w:before="440" w:after="160"/>
      </w:pPr>
      <w:r>
        <w:rPr>
          <w:rFonts w:ascii="Garamond" w:hAnsi="Garamond"/>
          <w:b/>
          <w:i w:val="0"/>
          <w:color w:val="0F5A4A"/>
          <w:sz w:val="30"/>
        </w:rPr>
        <w:t>I. The Problem of the Witness: Why Karbala Requires a Third Station</w:t>
      </w:r>
    </w:p>
    <w:p>
      <w:pPr>
        <w:spacing w:after="160"/>
        <w:ind w:firstLine="0"/>
      </w:pPr>
      <w:r>
        <w:rPr>
          <w:rFonts w:ascii="Garamond" w:hAnsi="Garamond"/>
          <w:b w:val="0"/>
          <w:i w:val="0"/>
          <w:color w:val="1A1A1A"/>
          <w:sz w:val="23"/>
        </w:rPr>
        <w:t>The SCRA framework identifies three constitutive stations in what it calls the Shakayet Tradition — the tradition of structured complaint against illegitimate authority that begins with Fatima al-Zahra's Khutba Fadakiyya (11 AH / 632 CE) and culminates in the events of Karbala (61 AH / 680 CE) and their immediate aftermath. WP-15 documents the Fadakiyya as the first constitutional legal brief in Islamic jurisprudence. WP-18 documents Hussain ibn Ali's bayah refusal and martyrdom as a constitutional ruling — the application of the Karbala Principle that bayah given to illegitimate authority is constitutionally void regardless of consequences. The present paper documents the third and structurally necessary station: the act of witnessing that converts the constitutional ruling of Karbala from a private event into a permanent public fact.</w:t>
      </w:r>
    </w:p>
    <w:p>
      <w:pPr>
        <w:spacing w:after="160"/>
        <w:ind w:firstLine="0"/>
      </w:pPr>
      <w:r>
        <w:rPr>
          <w:rFonts w:ascii="Garamond" w:hAnsi="Garamond"/>
          <w:b w:val="0"/>
          <w:i w:val="0"/>
          <w:color w:val="1A1A1A"/>
          <w:sz w:val="23"/>
        </w:rPr>
        <w:t>The problem can be stated with precision. Karbala (10 Muharram 61 AH / October 10, 680 CE) involved the killing of Hussain ibn Ali, grandson of the Prophet, along with seventy-two companions, by the forces of Yazid ibn Muawiya. The event was by design a suppression: Yazid's political purpose was not merely to kill Hussain but to destroy the constitutional memory of what Hussain represented — the living embodiment of the Ghadir declaration (WP-22), the heir of the Prophetic walayah, the one whose bayah Yazid needed to legitimize his caliphate. The killing was meant to be followed by silence. The bodies were to be buried in the desert, the survivors taken captive, the event managed as a routine military operation against a rebel.</w:t>
      </w:r>
    </w:p>
    <w:p>
      <w:pPr>
        <w:spacing w:after="160"/>
        <w:ind w:firstLine="0"/>
      </w:pPr>
      <w:r>
        <w:rPr>
          <w:rFonts w:ascii="Garamond" w:hAnsi="Garamond"/>
          <w:b w:val="0"/>
          <w:i w:val="0"/>
          <w:color w:val="1A1A1A"/>
          <w:sz w:val="23"/>
        </w:rPr>
        <w:t>What Yazid did not account for was the presence of Zainab bint Ali. Zainab was not a combatant — she was the surviving Alid woman of highest rank, sister of Hussain, daughter of Fatima and Ali, granddaughter of the Prophet. She had been present through all of Muharram: she organized the camp, cared for the women and children, and — critically — took immediate custodial responsibility for the Fourth Imam, Ali ibn Hussain (Zayn al-Abidin), who lay gravely ill and was unable to fight. Her protection of Zayn al-Abidin at the moment of the massacre is, in the SCRA reading, one of the constitutive acts of Islamic intellectual history: without it, the Imamic chain would have ended at Karbala, and all subsequent Imami theology — the development of usul al-fiqh during the occultation period, al-Kulayni's Al-Kafi, the ghayba doctrine (WP-37), Mulla Sadra's transcendent wisdom — would have been impossible.</w:t>
      </w:r>
    </w:p>
    <w:p>
      <w:pPr>
        <w:spacing w:after="160"/>
        <w:ind w:firstLine="0"/>
      </w:pPr>
      <w:r>
        <w:rPr>
          <w:rFonts w:ascii="Garamond" w:hAnsi="Garamond"/>
          <w:b w:val="0"/>
          <w:i w:val="0"/>
          <w:color w:val="1A1A1A"/>
          <w:sz w:val="23"/>
        </w:rPr>
        <w:t>But Zainab's constitutive role extends beyond the protective act. After the massacre, she and the survivors were marched to Kufa and then to Damascus as captives — the standard procedure for crushing a rebellion. In both capitals, in public courts before the governors Ibn Ziyad and Yazid respectively, Zainab gave formal khutbas. These are not emotional outbursts or political declarations. They are constitutional acts of shahada — formal witnessing in the Quranic sense — in which the highest-ranked living member of the Ahl al-Bayt placed on public record, before the power that had just committed the massacre, what had occurred and what it meant. The theophanic station she occupies — the maqam al-shahid — is the station of the witness who makes the act permanent by giving it public form.</w:t>
      </w:r>
    </w:p>
    <w:p>
      <w:pPr>
        <w:spacing w:after="160"/>
        <w:ind w:firstLine="0"/>
      </w:pPr>
      <w:r>
        <w:rPr>
          <w:rFonts w:ascii="Garamond" w:hAnsi="Garamond"/>
          <w:b w:val="0"/>
          <w:i w:val="0"/>
          <w:color w:val="1A1A1A"/>
          <w:sz w:val="23"/>
        </w:rPr>
        <w:t>WP-24 (The Furqan Criterion) identifies three stations of the Furqan: 'Fatima (maqam al-hujja), Hussain (maqam al-shahada), Zainab (maqam al-shahid).' The present paper is the full treatment of that third station. The argument proceeds in seven stages: the theophanic chain of Zainab's identity (Section II); her structural function at Karbala as custodian of the Imamic chain (Section III); the two khutbas as constitutional acts of witnessing (Section IV); the theological content of the maqam al-shahid (Section V); the parallel with WP-26's account of Fatima's barzakh function (Section VI); the contemporary geopolitical instantiation of Zainab's station in the resistance axis theology centered on the Sayyida Zainab shrine (Section VII); and the SCRA assessment completing the Theophanic Studies arc (Section VIII).</w:t>
      </w:r>
    </w:p>
    <w:p>
      <w:pPr>
        <w:spacing w:before="440" w:after="160"/>
      </w:pPr>
      <w:r>
        <w:rPr>
          <w:rFonts w:ascii="Garamond" w:hAnsi="Garamond"/>
          <w:b/>
          <w:i w:val="0"/>
          <w:color w:val="0F5A4A"/>
          <w:sz w:val="30"/>
        </w:rPr>
        <w:t>II. Identity and Lineage — The Theophanic Chain Incarnate</w:t>
      </w:r>
    </w:p>
    <w:p>
      <w:pPr>
        <w:spacing w:after="160"/>
        <w:ind w:firstLine="0"/>
      </w:pPr>
      <w:r>
        <w:rPr>
          <w:rFonts w:ascii="Garamond" w:hAnsi="Garamond"/>
          <w:b w:val="0"/>
          <w:i w:val="0"/>
          <w:color w:val="1A1A1A"/>
          <w:sz w:val="23"/>
        </w:rPr>
        <w:t>Zainab bint Ali was born c. 6 AH / 627 CE in Medina, the third child of Imam Ali ibn Abi Talib and Fatima al-Zahra bint Muhammad. Her lineage constitutes, in the SCRA framework, a theophanic chain of the highest order: she is simultaneously the daughter of the walayah declaration of Ghadir (WP-22), the granddaughter of the Prophetic mission, and the daughter of the theophanic barzakh whom WP-26 establishes as the ontological container of Imamic manifestation. She was raised in the household — bayt — that the Quran specifically identifies as the locus of divine tathir (purification): 'God only wishes to remove all impurity from you, O People of the House, and to purify you completely' (Quran 33:33).</w:t>
      </w:r>
    </w:p>
    <w:p>
      <w:pPr>
        <w:spacing w:after="160"/>
        <w:ind w:firstLine="0"/>
      </w:pPr>
      <w:r>
        <w:rPr>
          <w:rFonts w:ascii="Garamond" w:hAnsi="Garamond"/>
          <w:b w:val="0"/>
          <w:i w:val="0"/>
          <w:color w:val="1A1A1A"/>
          <w:sz w:val="23"/>
        </w:rPr>
        <w:t>Her name encodes her function. 'Zainab' is formed from two Arabic roots: zayn (ornament, beauty, adornment) and ab (father). She is the 'ornament of the father' — specifically of Imam Ali. But in the SCRA reading, the name carries a deeper structural resonance. Where Fatima's name (f-t-m: to wean, to sever) encodes the ontological severance function that WP-26 develops — the point of severance between the Absolute and creation — Zainab's name encodes the ornamentation function: she makes beautiful the wound. She adorns the act of Karbala by giving it permanent public form. The theophanic naming convention in the Ahl al-Bayt tradition is not incidental: names are given by the Prophet and carry the function they describe.</w:t>
      </w:r>
    </w:p>
    <w:p>
      <w:pPr>
        <w:spacing w:after="160"/>
        <w:ind w:firstLine="0"/>
      </w:pPr>
      <w:r>
        <w:rPr>
          <w:rFonts w:ascii="Garamond" w:hAnsi="Garamond"/>
          <w:b w:val="0"/>
          <w:i w:val="0"/>
          <w:color w:val="1A1A1A"/>
          <w:sz w:val="23"/>
        </w:rPr>
        <w:t>Three epithets are established in the tradition for Zainab, each encoding a different dimension of her theophanic station. First: al-'Aqila (the Wisest, the Most Intelligent Woman). This epithet, used by Imam Zayn al-Abidin in his khutba after Karbala, identifies her specifically as an intellectual authority — not merely a witness by accident of presence, but a woman of full jurisprudential standing whose khutbas carry the weight of fatwas. Second: Umm al-Masaib (Mother of Calamities). This epithet captures the experiential dimension: she outlived her father, her mother, her brothers Hasan and Hussain, and many of her children. The suffering she bore is not incidental to her station but constitutive of it — the maqam al-shahid requires having witnessed the full extent of the catastrophe. Third: Sittuna (Our Lady). The title of sovereignty and authority given to the highest-ranking woman of the Ahl al-Bayt in each generation.</w:t>
      </w:r>
    </w:p>
    <w:p>
      <w:pPr>
        <w:spacing w:after="160"/>
        <w:ind w:firstLine="0"/>
      </w:pPr>
      <w:r>
        <w:rPr>
          <w:rFonts w:ascii="Garamond" w:hAnsi="Garamond"/>
          <w:b w:val="0"/>
          <w:i w:val="0"/>
          <w:color w:val="1A1A1A"/>
          <w:sz w:val="23"/>
        </w:rPr>
        <w:t>Zainab married Abdullah ibn Ja'far ibn Abi Talib, a cousin and companion of the Prophet, known as Ja'far al-Tayyar's son and for his extraordinary generosity (karam). The marriage is significant: Abdullah was among the most prominent Alid figures outside the immediate line of the Imams. Zainab remained deeply connected to the Alid mission throughout her married life, eventually accompanying Hussain to Karbala — a deliberate choice that Abdullah, despite his own concerns, permitted. The tradition records that Hussain said to Abdullah ibn Ja'far: 'I will not take your sons with me, but I must take Zainab — she is necessary.' The word 'necessary' (daruriyya) in this account, preserved in multiple variants of the Maqtal literature, signals that Hussain understood Zainab's presence at Karbala as a structural requirement of the event, not a familial decision.</w:t>
      </w:r>
    </w:p>
    <w:p>
      <w:pPr>
        <w:spacing w:after="160"/>
        <w:ind w:firstLine="0"/>
      </w:pPr>
      <w:r>
        <w:rPr>
          <w:rFonts w:ascii="Garamond" w:hAnsi="Garamond"/>
          <w:b w:val="0"/>
          <w:i w:val="0"/>
          <w:color w:val="1A1A1A"/>
          <w:sz w:val="23"/>
        </w:rPr>
        <w:t>Her education in the household of revelation gave her direct transmission from all three of the founding figures. She was old enough to have sat in Imam Ali's circles of teaching in Medina and Kufa; she transmits hadith directly from her father, from her mother Fatima (whose last days she witnessed), and from her brother Hasan. The tradition of reporting that she held her own majlis (teaching circle) for women in Medina, transmitting the knowledge of the Ahl al-Bayt, establishes her as an active link in the chain of Alid batin transmission — not a passive witness but an active teacher. Her two khutbas after Karbala are not improvised speeches; they deploy the full technical vocabulary of Quranic argumentation, Imamic jurisprudence, and political theology that she had absorbed across decades of study in the household of revelation.</w:t>
      </w:r>
    </w:p>
    <w:p>
      <w:pPr>
        <w:spacing w:before="440" w:after="160"/>
      </w:pPr>
      <w:r>
        <w:rPr>
          <w:rFonts w:ascii="Garamond" w:hAnsi="Garamond"/>
          <w:b/>
          <w:i w:val="0"/>
          <w:color w:val="0F5A4A"/>
          <w:sz w:val="30"/>
        </w:rPr>
        <w:t>III. Karbala 61 AH — Structural Function: Custodian of the Imamic Chain</w:t>
      </w:r>
    </w:p>
    <w:p>
      <w:pPr>
        <w:spacing w:after="160"/>
        <w:ind w:firstLine="0"/>
      </w:pPr>
      <w:r>
        <w:rPr>
          <w:rFonts w:ascii="Garamond" w:hAnsi="Garamond"/>
          <w:b w:val="0"/>
          <w:i w:val="0"/>
          <w:color w:val="1A1A1A"/>
          <w:sz w:val="23"/>
        </w:rPr>
        <w:t>The events of Muharram 61 AH / 680 CE at Karbala in the Iraqi desert constitute the most analyzed single event in Shia intellectual history. The SCRA treatment in WP-18 reads Hussain's bayah refusal and martyrdom as a constitutional ruling. The present paper focuses on a dimension of the Karbala event that WP-18 by design does not fully treat: Zainab's dual function as (a) custodian of the surviving Imamic chain, and (b) the constitutive witness whose presence transforms private massacre into public constitutional record.</w:t>
      </w:r>
    </w:p>
    <w:p>
      <w:pPr>
        <w:spacing w:after="160"/>
        <w:ind w:firstLine="0"/>
      </w:pPr>
      <w:r>
        <w:rPr>
          <w:rFonts w:ascii="Garamond" w:hAnsi="Garamond"/>
          <w:b w:val="0"/>
          <w:i w:val="0"/>
          <w:color w:val="1A1A1A"/>
          <w:sz w:val="23"/>
        </w:rPr>
        <w:t>Hussain arrived at Karbala on 2 Muharram 61 AH with a contingent of approximately seventy-two fighters and a larger group of women, children, and family members. His army of Kufa had failed to materialize — the Kufan supporters had been suppressed by Ibn Ziyad before they could reach him. He was surrounded by a force of thousands under Umar ibn Sa'd, with orders to obtain Hussain's bayah or his head. The period of 2-9 Muharram was a standoff, with Hussain negotiating and refusing simultaneously. Zainab was present throughout. Al-Luhuf and Kitab al-Irshad report multiple exchanges between Hussain and Zainab during this period — exchanges that reveal a shared theological understanding of what was about to happen and why.</w:t>
      </w:r>
    </w:p>
    <w:p>
      <w:pPr>
        <w:spacing w:after="160"/>
        <w:ind w:firstLine="0"/>
      </w:pPr>
      <w:r>
        <w:rPr>
          <w:rFonts w:ascii="Garamond" w:hAnsi="Garamond"/>
          <w:b w:val="0"/>
          <w:i w:val="0"/>
          <w:color w:val="1A1A1A"/>
          <w:sz w:val="23"/>
        </w:rPr>
        <w:t>On the night before Ashura (9 Muharram), Hussain gave permission to all his companions and family to depart: 'This is the night — use its darkness as a cover and save yourselves.' The tradition records that no one left. Zainab's response in Al-Luhuf is: 'O my brother — do you wish us to live after you? God forbid that we should see that day.' Hussain's reply — often cited in the tradition — is crucial: 'Sister, I need you to witness what happens here and to carry that witness to the world. Your staying is necessary — not your dying.' This exchange, preserved in multiple recensions, encodes the theophanic division of function: Hussain will perform the act of shahada (martyrdom); Zainab will perform the act of the shahid (legal witnessing). Both are required; neither can substitute for the other.</w:t>
      </w:r>
    </w:p>
    <w:p>
      <w:pPr>
        <w:spacing w:after="160"/>
        <w:ind w:firstLine="0"/>
      </w:pPr>
      <w:r>
        <w:rPr>
          <w:rFonts w:ascii="Garamond" w:hAnsi="Garamond"/>
          <w:b w:val="0"/>
          <w:i w:val="0"/>
          <w:color w:val="1A1A1A"/>
          <w:sz w:val="23"/>
        </w:rPr>
        <w:t>On Ashura, 10 Muharram 61 AH, the battle lasted from morning prayer until approximately mid-afternoon. The seventy-two fighters were killed one by one. Hussain was the last, killed in the late afternoon. Through the entire battle, Zainab organized the women and children in the tents, prevented the illness of Zayn al-Abidin from being used as pretext for his killing (the enemy forces sought to kill all male members of the Ahl al-Bayt; Zayn al-Abidin survived only because he was too ill to fight and Zainab physically interposed herself when Shimr ibn Dhi al-Jawshan attempted to reach him), and maintained composure under conditions of extreme horror.</w:t>
      </w:r>
    </w:p>
    <w:p>
      <w:pPr>
        <w:spacing w:after="160"/>
        <w:ind w:firstLine="0"/>
      </w:pPr>
      <w:r>
        <w:rPr>
          <w:rFonts w:ascii="Garamond" w:hAnsi="Garamond"/>
          <w:b w:val="0"/>
          <w:i w:val="0"/>
          <w:color w:val="1A1A1A"/>
          <w:sz w:val="23"/>
        </w:rPr>
        <w:t>The structural significance of Zainab's protection of Zayn al-Abidin (Ali ibn Hussain, the Fourth Imam, Imam al-Sajjad) cannot be overstated in the SCRA framework. Zayn al-Abidin is the transmitter of the Sajjadiyya prayers (Al-Sahifa al-Sajjadiyya), one of the foundational texts of Shia devotional theology, sometimes called the 'Psalms of the House of Muhammad.' He is the father of the Fifth Imam (Muhammad al-Baqir), grandfather of the Sixth Imam (Ja'far al-Sadiq), and thus the direct ancestor of the entire chain of Imams through the Major Occultation (WP-37). Without Zainab's physical intervention at Karbala, the Imamic chain as the vehicle of the batin tradition would have been severed. Her protective act is the structural condition for all of what follows in Islamic intellectual history on the Imami side: al-Kulayni, al-Saduq, al-Tusi, the Isfahan School, Mulla Sadra, Haydar Amuli — all are downstream of Zainab's Karbala intervention.</w:t>
      </w:r>
    </w:p>
    <w:p>
      <w:pPr>
        <w:spacing w:after="160"/>
        <w:ind w:firstLine="0"/>
      </w:pPr>
      <w:r>
        <w:rPr>
          <w:rFonts w:ascii="Garamond" w:hAnsi="Garamond"/>
          <w:b w:val="0"/>
          <w:i w:val="0"/>
          <w:color w:val="1A1A1A"/>
          <w:sz w:val="23"/>
        </w:rPr>
        <w:t>After the massacre, the enemy forces burned the tents, took the survivors captive, and marched them to Kufa. The heads of the martyrs — including Hussain's head — were carried on lances. Zainab was in the caravan. Ibn Tawus (Al-Luhuf) and al-Majlisi (Bihar al-Anwar 45:108) both record that as the caravan passed through Kufa — the city that had invited Hussain and then abandoned him — the Kufans lined the streets, some weeping. Zainab's immediate response was to speak.</w:t>
      </w:r>
    </w:p>
    <w:p>
      <w:pPr>
        <w:spacing w:before="440" w:after="160"/>
      </w:pPr>
      <w:r>
        <w:rPr>
          <w:rFonts w:ascii="Garamond" w:hAnsi="Garamond"/>
          <w:b/>
          <w:i w:val="0"/>
          <w:color w:val="0F5A4A"/>
          <w:sz w:val="30"/>
        </w:rPr>
        <w:t>IV. The Two Khutbas — The Constitutional Act of Witnessing</w:t>
      </w:r>
    </w:p>
    <w:p>
      <w:pPr>
        <w:spacing w:before="280" w:after="160"/>
      </w:pPr>
      <w:r>
        <w:rPr>
          <w:rFonts w:ascii="Garamond" w:hAnsi="Garamond"/>
          <w:b/>
          <w:i w:val="0"/>
          <w:color w:val="0F5A4A"/>
          <w:sz w:val="26"/>
        </w:rPr>
        <w:t>IV.A The Khutba Kufa — Witness Before the City of Abandonment</w:t>
      </w:r>
    </w:p>
    <w:p>
      <w:pPr>
        <w:spacing w:after="160"/>
        <w:ind w:firstLine="0"/>
      </w:pPr>
      <w:r>
        <w:rPr>
          <w:rFonts w:ascii="Garamond" w:hAnsi="Garamond"/>
          <w:b w:val="0"/>
          <w:i w:val="0"/>
          <w:color w:val="1A1A1A"/>
          <w:sz w:val="23"/>
        </w:rPr>
        <w:t>The Khutba Kufa is Zainab's first formal speech after Karbala, delivered either in the streets of Kufa as the caravan passed, or (in some recensions) in the court of Ibn Ziyad. The primary text is preserved in Bihar al-Anwar (al-Majlisi) 45:108-110 and Al-Luhuf (Ibn Tawus, ed. Faris Hassun, 1414 AH). The Arabic text in Bihar al-Anwar runs to approximately 350 words — dense, formally structured, deploying the full technical vocabulary of Quranic argumentation and Imamic jurisprudence.</w:t>
      </w:r>
    </w:p>
    <w:p>
      <w:pPr>
        <w:spacing w:after="160"/>
        <w:ind w:firstLine="0"/>
      </w:pPr>
      <w:r>
        <w:rPr>
          <w:rFonts w:ascii="Garamond" w:hAnsi="Garamond"/>
          <w:b w:val="0"/>
          <w:i w:val="0"/>
          <w:color w:val="1A1A1A"/>
          <w:sz w:val="23"/>
        </w:rPr>
        <w:t>The khutba opens with a formula of praise and invocation: 'Al-hamdu lillah wa al-salatu 'ala abi Muhammad wa alihi al-tayibin al-akhyar.' This is not a casual opening. The formal khutba formula — the same opening structure used by Imam Ali in the Nahj al-Balagha and by Fatima in the Fadakiyya — is a deliberate signal: this is a formal legal speech, not a cry of grief. Zainab is placing herself in the tradition of the Alid khutba — a tradition of structured constitutional address in which every word carries juridical weight.</w:t>
      </w:r>
    </w:p>
    <w:p>
      <w:pPr>
        <w:spacing w:after="160"/>
        <w:ind w:firstLine="0"/>
      </w:pPr>
      <w:r>
        <w:rPr>
          <w:rFonts w:ascii="Garamond" w:hAnsi="Garamond"/>
          <w:b w:val="0"/>
          <w:i w:val="0"/>
          <w:color w:val="1A1A1A"/>
          <w:sz w:val="23"/>
        </w:rPr>
        <w:t>The core of the Khutba Kufa deploys a structural reversal. The Kufans — who had invited Hussain, sworn loyalty to him, and then failed to act — were expecting the captive women of the Ahl al-Bayt to weep, to beg, to appeal to their mercy. Zainab instead addresses them as the guilty party: 'O people of Kufa! O people of deceit and treachery and pride! We have not ceased being affected by your weeping and your mourning — your weeping that does not stop and your screaming that does not silence. You are like the woman who carefully weaves her thread and then unravels what she has woven.' The Quranic reference (Quran 16:92) is precise and devastating: the Kufans had made and broken their covenant in the most solemn possible terms.</w:t>
      </w:r>
    </w:p>
    <w:p>
      <w:pPr>
        <w:spacing w:after="160"/>
        <w:ind w:firstLine="0"/>
      </w:pPr>
      <w:r>
        <w:rPr>
          <w:rFonts w:ascii="Garamond" w:hAnsi="Garamond"/>
          <w:b w:val="0"/>
          <w:i w:val="0"/>
          <w:color w:val="1A1A1A"/>
          <w:sz w:val="23"/>
        </w:rPr>
        <w:t>She continues: 'Weep for yourselves! By God, the shame of what you have done will not be washed from you — you killed the son of the last Prophet, the Master of the Youth of Paradise, the refuge of the righteous. You sought his help and then you delivered him.' The political theology here is not primarily emotional. Zainab is placing the Kufan abandonment within the juridical framework of bay'ah violation: they had given covenant (bay'ah through the letters inviting Hussain) and broken it, which under Islamic jurisprudence constitutes one of the most severe categories of transgression. She is rendering a juridical verdict on the people of Kufa — in public, before their own witnesses.</w:t>
      </w:r>
    </w:p>
    <w:p>
      <w:pPr>
        <w:spacing w:after="160"/>
        <w:ind w:firstLine="0"/>
      </w:pPr>
      <w:r>
        <w:rPr>
          <w:rFonts w:ascii="Garamond" w:hAnsi="Garamond"/>
          <w:b w:val="0"/>
          <w:i w:val="0"/>
          <w:color w:val="1A1A1A"/>
          <w:sz w:val="23"/>
        </w:rPr>
        <w:t>The closing lines of the Khutba Kufa contain the prediction that is the mark of the Alid theophanic tradition: 'Know that you have prepared nothing for yourselves except shame in this world and punishment in the next. Know that what you have done to us will haunt you — the day will come when you will weep and the weeping will be of no use.' This predictive dimension connects the Khutba Kufa to the Fadakiyya's ending (where Fatima predicted the consequences of the Saqifa decision) and to Hussain's own declarations before Karbala. The theophanic tradition includes prophetic knowledge; the maqam al-shahid, like the maqam al-hujja, includes the capacity to speak from a position of foresight.</w:t>
      </w:r>
    </w:p>
    <w:p>
      <w:pPr>
        <w:spacing w:before="280" w:after="160"/>
      </w:pPr>
      <w:r>
        <w:rPr>
          <w:rFonts w:ascii="Garamond" w:hAnsi="Garamond"/>
          <w:b/>
          <w:i w:val="0"/>
          <w:color w:val="0F5A4A"/>
          <w:sz w:val="26"/>
        </w:rPr>
        <w:t>IV.B The Khutba Yazid — Witness Before the Caliph Who Ordered the Killing</w:t>
      </w:r>
    </w:p>
    <w:p>
      <w:pPr>
        <w:spacing w:after="160"/>
        <w:ind w:firstLine="0"/>
      </w:pPr>
      <w:r>
        <w:rPr>
          <w:rFonts w:ascii="Garamond" w:hAnsi="Garamond"/>
          <w:b w:val="0"/>
          <w:i w:val="0"/>
          <w:color w:val="1A1A1A"/>
          <w:sz w:val="23"/>
        </w:rPr>
        <w:t>The Khutba Yazid — delivered in the court of Yazid ibn Muawiya in Damascus, before the assembled governors, scholars, and court — is the second and more formally complete of the two khutbas. The primary text is preserved in Bihar al-Anwar (al-Majlisi) 45:133-135 and Maqtal al-Hussain (Abd al-Razzaq al-Muqarram, Qom, 1426 AH). The Damascus setting is crucial: this is not an improvised street speech but a formal court address before the man who had ordered the killing of Hussain and who now displayed Hussain's head on his court table.</w:t>
      </w:r>
    </w:p>
    <w:p>
      <w:pPr>
        <w:spacing w:after="160"/>
        <w:ind w:firstLine="0"/>
      </w:pPr>
      <w:r>
        <w:rPr>
          <w:rFonts w:ascii="Garamond" w:hAnsi="Garamond"/>
          <w:b w:val="0"/>
          <w:i w:val="0"/>
          <w:color w:val="1A1A1A"/>
          <w:sz w:val="23"/>
        </w:rPr>
        <w:t>Yazid opened the audience by reciting poetry expressing satisfaction at his victory over the Ahl al-Bayt — poetry that, in its arrogance, denied the Prophet's intercession and expressed tribal rather than Islamic motivations for the killing. Zainab's response is the most structurally sophisticated address in the entire Karbala literature. It opens with the Quranic verse: 'Then the fate of those who did evil was that they denied the signs of God and used to ridicule them' (Quran 30:10). The opening verse does not express grief — it renders a Quranic verdict on Yazid in his own court, using the divine text as the juridical criterion.</w:t>
      </w:r>
    </w:p>
    <w:p>
      <w:pPr>
        <w:spacing w:after="160"/>
        <w:ind w:firstLine="0"/>
      </w:pPr>
      <w:r>
        <w:rPr>
          <w:rFonts w:ascii="Garamond" w:hAnsi="Garamond"/>
          <w:b w:val="0"/>
          <w:i w:val="0"/>
          <w:color w:val="1A1A1A"/>
          <w:sz w:val="23"/>
        </w:rPr>
        <w:t>She then addresses Yazid directly: 'Do you think, O Yazid, that by killing our master and our shelter, and by unveiling our women, you have degraded us before God and exalted yourself? This is what your small vision and your deviated understanding have shown you.' The phrase 'small vision and deviated understanding' (saghara ra'yuka wa daqqa sha'nuka) is a formal juridical characterization of Yazid's spiritual incapacity — he lacks the batin faculty (Furqan, WP-24) to understand what he has actually done. He sees a military victory; she identifies what is actually happening at the level of divine dispensation.</w:t>
      </w:r>
    </w:p>
    <w:p>
      <w:pPr>
        <w:spacing w:after="160"/>
        <w:ind w:firstLine="0"/>
      </w:pPr>
      <w:r>
        <w:rPr>
          <w:rFonts w:ascii="Garamond" w:hAnsi="Garamond"/>
          <w:b w:val="0"/>
          <w:i w:val="0"/>
          <w:color w:val="1A1A1A"/>
          <w:sz w:val="23"/>
        </w:rPr>
        <w:t>The center of the Khutba Yazid is its claim about memory and permanence — the claim that constitutes the constitutional act of witnessing in its fullest form: 'Plot whatever you wish to plot, O Yazid, and work hard as much as you can. I swear by God that you will never be able to wipe out our remembrance, nor kill our revelation, nor reach our degree, nor erase our shame from yourself. Your opinion is defective and your days numbered and your gathered forces dispersed.' This is not a prediction of military reversal — Yazid's forces were not dispersed for decades. It is a constitutional claim: the event of Karbala has been witnessed, placed on record, and is therefore permanent. The constitutional fact now exists regardless of what Yazid does next. The maqam al-shahid has performed its function.</w:t>
      </w:r>
    </w:p>
    <w:p>
      <w:pPr>
        <w:spacing w:after="160"/>
        <w:ind w:firstLine="0"/>
      </w:pPr>
      <w:r>
        <w:rPr>
          <w:rFonts w:ascii="Garamond" w:hAnsi="Garamond"/>
          <w:b w:val="0"/>
          <w:i w:val="0"/>
          <w:color w:val="1A1A1A"/>
          <w:sz w:val="23"/>
        </w:rPr>
        <w:t>Zainab closes the Khutba Yazid with an invocation of divine accountability: 'Our reproach is with God, our complaint is to God, and in God alone do we trust.' The phrase 'our complaint is to God' (shikwatuna ila Allah) places the Khutba Yazid explicitly in the Shakayet Tradition that the SCRA framework traces from Fatima's Fadakiyya. The three khutbas — Fadakiyya, Kufa, Yazid — are formally connected: each is addressed to the authority responsible for the specific injury; each includes a Quranic legal argument; each includes a prophetic prediction; and each ends with the complaint being redirected to God when human authority fails to adjudicate. This is the SCRA Shakayet structure.</w:t>
      </w:r>
    </w:p>
    <w:p>
      <w:pPr>
        <w:spacing w:after="160"/>
        <w:ind w:firstLine="0"/>
      </w:pPr>
      <w:r>
        <w:rPr>
          <w:rFonts w:ascii="Garamond" w:hAnsi="Garamond"/>
          <w:b w:val="0"/>
          <w:i w:val="0"/>
          <w:color w:val="1A1A1A"/>
          <w:sz w:val="23"/>
        </w:rPr>
        <w:t>The effect of the Khutba Yazid was immediate and documented. Al-Tabari (Tarikh, vol. 5) records that Yazid's court was shaken — several of his own courtiers objected to the display of Hussain's head and expressed discomfort at Yazid's treatment of the Ahl al-Bayt after hearing Zainab's address. Yazid himself was reported to have distanced himself from the killing in his public statements after the event — blaming Ibn Ziyad — a political response that indicates awareness that Zainab's public witnessing had created a liability he could not easily suppress. The constitutional fact had been made.</w:t>
      </w:r>
    </w:p>
    <w:p>
      <w:pPr>
        <w:spacing w:before="440" w:after="160"/>
      </w:pPr>
      <w:r>
        <w:rPr>
          <w:rFonts w:ascii="Garamond" w:hAnsi="Garamond"/>
          <w:b/>
          <w:i w:val="0"/>
          <w:color w:val="0F5A4A"/>
          <w:sz w:val="30"/>
        </w:rPr>
        <w:t>V. The Maqam al-Shahid — Theological Content of the Third Station</w:t>
      </w:r>
    </w:p>
    <w:p>
      <w:pPr>
        <w:spacing w:after="160"/>
        <w:ind w:firstLine="0"/>
      </w:pPr>
      <w:r>
        <w:rPr>
          <w:rFonts w:ascii="Garamond" w:hAnsi="Garamond"/>
          <w:b w:val="0"/>
          <w:i w:val="0"/>
          <w:color w:val="1A1A1A"/>
          <w:sz w:val="23"/>
        </w:rPr>
        <w:t>The distinction between shahada (martyrdom/testimony) and shahid (witness) requires precise theological treatment, as the two terms share a root but carry distinct functions in the SCRA theophanic framework.</w:t>
      </w:r>
    </w:p>
    <w:p>
      <w:pPr>
        <w:spacing w:after="160"/>
        <w:ind w:firstLine="0"/>
      </w:pPr>
      <w:r>
        <w:rPr>
          <w:rFonts w:ascii="Garamond" w:hAnsi="Garamond"/>
          <w:b w:val="0"/>
          <w:i w:val="0"/>
          <w:color w:val="1A1A1A"/>
          <w:sz w:val="23"/>
        </w:rPr>
        <w:t>Shahada in its primary Quranic sense is testimony: the confession of faith ('ashhadu an la ilaha illa Allah...'), and in jurisprudence, the formal testimony of a witness before a court. In its secondary sense — the sense that dominates in the Karbala literature — shahada is martyrdom: the giving of one's life as testimony. Hussain's death at Karbala is shahada in both senses simultaneously: he dies as a martyr (physical shahada) and his death constitutes a formal testimony (juridical shahada) that Yazid's caliphate is illegitimate. The maqam al-shahada is the station of the martyr who performs both acts in one event.</w:t>
      </w:r>
    </w:p>
    <w:p>
      <w:pPr>
        <w:spacing w:after="160"/>
        <w:ind w:firstLine="0"/>
      </w:pPr>
      <w:r>
        <w:rPr>
          <w:rFonts w:ascii="Garamond" w:hAnsi="Garamond"/>
          <w:b w:val="0"/>
          <w:i w:val="0"/>
          <w:color w:val="1A1A1A"/>
          <w:sz w:val="23"/>
        </w:rPr>
        <w:t>Shahid in its juridical sense is the witness: the one who gives testimony before a court. The Quran specifies that valid testimony requires two shahids (Quran 2:282), that the testimony of a witness who conceals what they have seen is a form of grave sin (Quran 2:283), and that God is the ultimate shahid over all acts (Quran 3:98). The maqam al-shahid in the SCRA framework is the station of the one who gives formal public testimony about an event that power wishes to suppress. Zainab occupies this station: she is the highest-ranking surviving member of the Ahl al-Bayt, she was present throughout the event of Karbala, and she gives formal testimony in two public courts — exactly the juridical requirement for valid witnessing.</w:t>
      </w:r>
    </w:p>
    <w:p>
      <w:pPr>
        <w:spacing w:after="160"/>
        <w:ind w:firstLine="0"/>
      </w:pPr>
      <w:r>
        <w:rPr>
          <w:rFonts w:ascii="Garamond" w:hAnsi="Garamond"/>
          <w:b w:val="0"/>
          <w:i w:val="0"/>
          <w:color w:val="1A1A1A"/>
          <w:sz w:val="23"/>
        </w:rPr>
        <w:t>The critical asymmetry of the two stations illuminates why both are theophanic necessities. Hussain could not have been both martyr and primary witness: the martyr is killed, and the dead cannot testify in any court. The witness must survive the event in order to testify about it. This is not a contingent biographical fact about Zainab — it is a structural theological necessity. The maqam al-shahid must be occupied by someone who survives Karbala precisely because the function of the station is to give public testimony about an event that those who caused it wish to suppress. A dead witness does not testify; a captured and silenced witness does not testify. Zainab both survives and speaks.</w:t>
      </w:r>
    </w:p>
    <w:p>
      <w:pPr>
        <w:spacing w:after="160"/>
        <w:ind w:firstLine="0"/>
      </w:pPr>
      <w:r>
        <w:rPr>
          <w:rFonts w:ascii="Garamond" w:hAnsi="Garamond"/>
          <w:b w:val="0"/>
          <w:i w:val="0"/>
          <w:color w:val="1A1A1A"/>
          <w:sz w:val="23"/>
        </w:rPr>
        <w:t>Haydar Amuli (Jami al-Asrar wa Manba al-Anwar, ed. Corbin and Yahia, Tehran, 1347 AH/1969) develops the concept of walayah as requiring both an active manifestation and a witnessing of that manifestation. His language is ontological: walayah as the batin of prophethood 'becomes actual' only when it is witnessed — without the witness, the act of walayah remains potential, not actualized in historical consciousness. The Karbala application: Hussain's shahada is the act of walayah in its highest form (the willingness to die rather than endorse illegitimate authority), and Zainab's shahid function is the actualization of that act in the historical record. The two stations constitute together what Haydar Amuli would call the tathbut (stabilization) of the walayah event.</w:t>
      </w:r>
    </w:p>
    <w:p>
      <w:pPr>
        <w:spacing w:after="160"/>
        <w:ind w:firstLine="0"/>
      </w:pPr>
      <w:r>
        <w:rPr>
          <w:rFonts w:ascii="Garamond" w:hAnsi="Garamond"/>
          <w:b w:val="0"/>
          <w:i w:val="0"/>
          <w:color w:val="1A1A1A"/>
          <w:sz w:val="23"/>
        </w:rPr>
        <w:t>Ibn Tawus in Al-Luhuf (p. 187, Faris Hassun ed.) records Imam Zayn al-Abidin's address to his aunt Zainab after the events: 'You, O my aunt, are al-'aqila al-ghayr mu'allama — the intelligent one who has not been formally taught, the wise one who has not studied under a teacher.' The phrase al-'aqila ghayr mu'allama in the Shia theological tradition is a technical designation: it refers to knowledge received through direct divine illumination rather than human instruction — precisely the category of batin knowledge that the SCRA framework, following Haydar Amuli, associates with the Furqan faculty (WP-24). Zayn al-Abidin is identifying his aunt as a possessor of batin knowledge in the highest category — not a student but an inheritor of the Alid irfan.</w:t>
      </w:r>
    </w:p>
    <w:p>
      <w:pPr>
        <w:spacing w:after="160"/>
        <w:ind w:firstLine="0"/>
      </w:pPr>
      <w:r>
        <w:rPr>
          <w:rFonts w:ascii="Garamond" w:hAnsi="Garamond"/>
          <w:b w:val="0"/>
          <w:i w:val="0"/>
          <w:color w:val="1A1A1A"/>
          <w:sz w:val="23"/>
        </w:rPr>
        <w:t>The maqam al-shahid thus has three dimensions in the SCRA analysis. First, the juridical dimension: formal witness testimony before power, placing the constitutional fact of Karbala on public record. Second, the ontological dimension: the actualization of the walayah event in historical consciousness through the witnessing act. Third, the transmission dimension: the witness is not merely passive but active in preserving and transmitting what she has witnessed — Zainab's teaching circles in Medina after Karbala, her role in the transmission of Zayn al-Abidin's Sajjadiyya prayers, and the establishment of the Muharram commemorative tradition are all extensions of the witness function beyond the two khutbas.</w:t>
      </w:r>
    </w:p>
    <w:p>
      <w:pPr>
        <w:spacing w:before="440" w:after="160"/>
      </w:pPr>
      <w:r>
        <w:rPr>
          <w:rFonts w:ascii="Garamond" w:hAnsi="Garamond"/>
          <w:b/>
          <w:i w:val="0"/>
          <w:color w:val="0F5A4A"/>
          <w:sz w:val="30"/>
        </w:rPr>
        <w:t>VI. The Parallel with WP-26 — The Barzakh Structure Across Two Stations</w:t>
      </w:r>
    </w:p>
    <w:p>
      <w:pPr>
        <w:spacing w:after="160"/>
        <w:ind w:firstLine="0"/>
      </w:pPr>
      <w:r>
        <w:rPr>
          <w:rFonts w:ascii="Garamond" w:hAnsi="Garamond"/>
          <w:b w:val="0"/>
          <w:i w:val="0"/>
          <w:color w:val="1A1A1A"/>
          <w:sz w:val="23"/>
        </w:rPr>
        <w:t>WP-26 (The Veiled Light: Fatima al-Zahra as Barzakh, Laylat al-Qadar, and Mishkah) establishes Fatima's theophanic function as ontological barzakh — the point of severance between the divine unmanifest (nur al-dhati) and its Imamic manifestations. The structural parallel between WP-26's Fatima analysis and the present paper's Zainab analysis is precise enough to warrant systematic comparison.</w:t>
      </w:r>
    </w:p>
    <w:p>
      <w:pPr>
        <w:spacing w:after="160"/>
        <w:ind w:firstLine="0"/>
      </w:pPr>
      <w:r>
        <w:rPr>
          <w:rFonts w:ascii="Garamond" w:hAnsi="Garamond"/>
          <w:b w:val="0"/>
          <w:i w:val="0"/>
          <w:color w:val="1A1A1A"/>
          <w:sz w:val="23"/>
        </w:rPr>
        <w:t>In WP-26: Fatima's name (f-t-m: to wean/sever) encodes ontological severance. Her function as barzakh is to be the point at which the divine descends into the Imamic chain — the Imams are the 'lamps lit within her nocturnal depth.' Her identification with Laylat al-Qadar establishes her as the container of divine descent. The Mishkah verse (Quran 24:35) reveals her as the niche that focuses and transmits the divine lamp without being exhausted.</w:t>
      </w:r>
    </w:p>
    <w:p>
      <w:pPr>
        <w:spacing w:after="160"/>
        <w:ind w:firstLine="0"/>
      </w:pPr>
      <w:r>
        <w:rPr>
          <w:rFonts w:ascii="Garamond" w:hAnsi="Garamond"/>
          <w:b w:val="0"/>
          <w:i w:val="0"/>
          <w:color w:val="1A1A1A"/>
          <w:sz w:val="23"/>
        </w:rPr>
        <w:t>In WP-41: Zainab's name (z-y-n + ab: ornament of the father) encodes the adornment function — she makes beautiful the wound. Her function as maqam al-shahid is to be the point at which the temporal event (Karbala) descends into the permanent constitutional record — the Imamic history is 'the record she witnesses and transmits.' Her identification with shahida (the feminine of shahid, the witness) in the tradition establishes her as the container of historical fact. The two khutbas reveal her as the niche that focuses and transmits the event's meaning without being silenced by the power that caused the event.</w:t>
      </w:r>
    </w:p>
    <w:p>
      <w:pPr>
        <w:spacing w:after="160"/>
        <w:ind w:firstLine="0"/>
      </w:pPr>
      <w:r>
        <w:rPr>
          <w:rFonts w:ascii="Garamond" w:hAnsi="Garamond"/>
          <w:b w:val="0"/>
          <w:i w:val="0"/>
          <w:color w:val="1A1A1A"/>
          <w:sz w:val="23"/>
        </w:rPr>
        <w:t>The parallel extends to the relationship between the two stations and the Hidden Imam. WP-26 concludes by noting that 'the Hidden Imam's occultation is a recapitulation of Fatima's barzakh function' — the ghayba repeats at the eschatological level the ontological severance that Fatima performs at the metaphysical level. WP-37 (Ghayba Theology) develops this in full. The present paper adds a parallel observation: the Imam's ghayba is also a recapitulation of Zainab's witness function — the Hidden Imam 'witnesses' every injustice committed against the Shia community during the Major Occultation (Bihar al-Anwar traditions on the Imam's awareness of his community's condition), and his return (raj'a) will be the ultimate act of the maqam al-shahid: the witness emerges from hiding to give final public testimony and rectify the record.</w:t>
      </w:r>
    </w:p>
    <w:p>
      <w:pPr>
        <w:spacing w:after="160"/>
        <w:ind w:firstLine="0"/>
      </w:pPr>
      <w:r>
        <w:rPr>
          <w:rFonts w:ascii="Garamond" w:hAnsi="Garamond"/>
          <w:b w:val="0"/>
          <w:i w:val="0"/>
          <w:color w:val="1A1A1A"/>
          <w:sz w:val="23"/>
        </w:rPr>
        <w:t>The name function also parallels in a deeper register. Fatima severs (f-t-m) the Absolute from its manifestations so that the manifestations can occur at all — without the ontological severance, there is no differentiation, no world, no Imamic chain. Zainab adorns (z-y-n) the historical wound — she makes it permanent and beautiful by giving it the form of formal testimony. Without her adornment, the wound of Karbala would be an unformed historical trauma. With her adornment, it becomes the most precisely articulated constitutional fact in Islamic history. The two names together describe the complete theophanic operation: severance (Fatima) followed by beautification (Zainab) — the Quranic pattern of khalq (creation) and zina (adornment) that the Quran explicitly pairs in multiple ayat (e.g., Quran 18:7: 'We have made what is on the earth as adornment for it').</w:t>
      </w:r>
    </w:p>
    <w:p>
      <w:pPr>
        <w:spacing w:after="160"/>
        <w:ind w:firstLine="0"/>
      </w:pPr>
      <w:r>
        <w:rPr>
          <w:rFonts w:ascii="Garamond" w:hAnsi="Garamond"/>
          <w:b w:val="0"/>
          <w:i w:val="0"/>
          <w:color w:val="1A1A1A"/>
          <w:sz w:val="23"/>
        </w:rPr>
        <w:t>One additional structural parallel requires notation. WP-26 identifies the three stations — barzakh, Laylat al-Qadar, Mishkah — as a unified theophanic doctrine that grounds the zahir-batin methodology. WP-41 identifies the three SCRA Furqan stations — Fatima (maqam al-hujja), Hussain (maqam al-shahada), Zainab (maqam al-shahid) — as a unified constitutional architecture requiring all three. The two sets of three are related: WP-26's internal three stations are about Fatima's theophanic depth (three modes of her single station); WP-24/WP-41's three Furqan stations are about the three-person distribution of the complete theophanic operation across Fatima, Hussain, and Zainab.</w:t>
      </w:r>
    </w:p>
    <w:p>
      <w:pPr>
        <w:spacing w:before="440" w:after="160"/>
      </w:pPr>
      <w:r>
        <w:rPr>
          <w:rFonts w:ascii="Garamond" w:hAnsi="Garamond"/>
          <w:b/>
          <w:i w:val="0"/>
          <w:color w:val="0F5A4A"/>
          <w:sz w:val="30"/>
        </w:rPr>
        <w:t>VII. The Contemporary Dimension — Sayyida Zainab Shrine and the Resistance Axis</w:t>
      </w:r>
    </w:p>
    <w:p>
      <w:pPr>
        <w:spacing w:after="160"/>
        <w:ind w:firstLine="0"/>
      </w:pPr>
      <w:r>
        <w:rPr>
          <w:rFonts w:ascii="Garamond" w:hAnsi="Garamond"/>
          <w:b w:val="0"/>
          <w:i w:val="0"/>
          <w:color w:val="1A1A1A"/>
          <w:sz w:val="23"/>
        </w:rPr>
        <w:t>The SCRA Three-Tier Architecture requires that each working paper identify its Tier 3 (Applied Contemporary) dimension: the specific contemporary geopolitical or political-theological event in which the historical analysis has direct operative significance. For WP-41, this is unambiguous.</w:t>
      </w:r>
    </w:p>
    <w:p>
      <w:pPr>
        <w:spacing w:after="160"/>
        <w:ind w:firstLine="0"/>
      </w:pPr>
      <w:r>
        <w:rPr>
          <w:rFonts w:ascii="Garamond" w:hAnsi="Garamond"/>
          <w:b w:val="0"/>
          <w:i w:val="0"/>
          <w:color w:val="1A1A1A"/>
          <w:sz w:val="23"/>
        </w:rPr>
        <w:t>The Sayyida Zainab shrine (Maqam Sayyida Zainab) is located approximately eight kilometers south of Damascus in the town of Sitt Zaynab in the Rif Dimashq governorate. The shrine, which marks Zainab's burial site according to the dominant Shia tradition, is the most important Shia pilgrimage site in the Arab world outside Iraq. It draws millions of Shia pilgrims annually from Iran, Lebanon, Iraq, Pakistan, and Afghanistan. The shrine complex was expanded substantially under Iranian funding in the 1980s-2000s, and the area around it has a large Iranian and Shia Lebanese population.</w:t>
      </w:r>
    </w:p>
    <w:p>
      <w:pPr>
        <w:spacing w:after="160"/>
        <w:ind w:firstLine="0"/>
      </w:pPr>
      <w:r>
        <w:rPr>
          <w:rFonts w:ascii="Garamond" w:hAnsi="Garamond"/>
          <w:b w:val="0"/>
          <w:i w:val="0"/>
          <w:color w:val="1A1A1A"/>
          <w:sz w:val="23"/>
        </w:rPr>
        <w:t>When the Syrian civil war erupted in 2011, the Sayyida Zainab shrine became the central theological justification for what would become the largest non-state Shia military mobilization since the Iranian Revolution. In late 2012, Hezbollah began deploying fighters to Syria, initially describing their mission as protecting the shrine from Salafi-Jihadi groups (particularly Jabhat al-Nusra and, later, ISIS) that had explicitly threatened to demolish it. Hassan Nasrallah's April 2013 speech publicly acknowledging Hezbollah's Syria deployment used the Sayyida Zainab shrine as the central justificatory frame: 'We will not allow the shrine of Sayyida Zainab to be desecrated. We will not allow what happened at Karbala to happen again.'</w:t>
      </w:r>
    </w:p>
    <w:p>
      <w:pPr>
        <w:spacing w:after="160"/>
        <w:ind w:firstLine="0"/>
      </w:pPr>
      <w:r>
        <w:rPr>
          <w:rFonts w:ascii="Garamond" w:hAnsi="Garamond"/>
          <w:b w:val="0"/>
          <w:i w:val="0"/>
          <w:color w:val="1A1A1A"/>
          <w:sz w:val="23"/>
        </w:rPr>
        <w:t>The battle cry that became synonymous with Shia fighters across multiple national contingents — Hezbollah, Iraqi PMF (Popular Mobilization Forces / Hashd al-Sha'bi), Iranian IRGC advisors, Afghan Fatemiyoun, Pakistani Zainabiyoun — was 'Labbayk ya Zainab' (At your service, O Zainab / We answer your call, O Zainab). The theophanic theology is explicit in the battle cry: 'labbayk' is the pilgrimage formula used in Hajj ('At your service, O God'), adapted here to address Zainab as a living spiritual authority whose call is being answered across time. The fighters understood themselves not as engaging in a Syrian civil war on Assad's behalf but as answering the same call that Hussain's companions answered at Karbala — the call to protect the Ahl al-Bayt.</w:t>
      </w:r>
    </w:p>
    <w:p>
      <w:pPr>
        <w:spacing w:after="160"/>
        <w:ind w:firstLine="0"/>
      </w:pPr>
      <w:r>
        <w:rPr>
          <w:rFonts w:ascii="Garamond" w:hAnsi="Garamond"/>
          <w:b w:val="0"/>
          <w:i w:val="0"/>
          <w:color w:val="1A1A1A"/>
          <w:sz w:val="23"/>
        </w:rPr>
        <w:t>The SCRA analysis of this development has three dimensions. First, it is the most direct contemporary instantiation of the maqam al-shahid: Zainab's witness function — her role as the one who protects the sacred from being erased — is being invoked as a live political-theological authority across national boundaries and fourteen centuries. The fighters at Sayyida Zainab in 2013-2017 understood themselves as participants in the same constitutional event as the one Zainab witnessed at Karbala.</w:t>
      </w:r>
    </w:p>
    <w:p>
      <w:pPr>
        <w:spacing w:after="160"/>
        <w:ind w:firstLine="0"/>
      </w:pPr>
      <w:r>
        <w:rPr>
          <w:rFonts w:ascii="Garamond" w:hAnsi="Garamond"/>
          <w:b w:val="0"/>
          <w:i w:val="0"/>
          <w:color w:val="1A1A1A"/>
          <w:sz w:val="23"/>
        </w:rPr>
        <w:t>Second, the mobilization illustrates the SCRA principle that theophanic theology is not abstract metaphysics but operative political reality: the Sayyida Zainab shrine mobilization changed the course of the Syrian civil war. Hezbollah's intervention at Qusayr (May 2013) and later at Aleppo (2016) was decisive in preventing the fall of the Assad government. The resistance axis — Iran, Hezbollah, Iraqi PMF — that fought in Syria was substantially constructed around the Sayyida Zainab theological frame. A theophanic station invoked after 1,380 years mobilized hundreds of thousands of fighters across multiple nations.</w:t>
      </w:r>
    </w:p>
    <w:p>
      <w:pPr>
        <w:spacing w:after="160"/>
        <w:ind w:firstLine="0"/>
      </w:pPr>
      <w:r>
        <w:rPr>
          <w:rFonts w:ascii="Garamond" w:hAnsi="Garamond"/>
          <w:b w:val="0"/>
          <w:i w:val="0"/>
          <w:color w:val="1A1A1A"/>
          <w:sz w:val="23"/>
        </w:rPr>
        <w:t>Third, the ISIS/Jabhat al-Nusra threat to the shrine is the contemporary instantiation of the Ba'alist Capture mechanism in its most acute form: the Salafi-Jihadi project to physically destroy the material locus of Zainab's maqam is the architectural-destruction dimension of Narrative Erasure that WP-07 documents in the Saudi demolition of Prophetic-era sites in Mecca and Medina. If the Sayyida Zainab shrine is destroyed, the physical anchor of the Karbala witness tradition in the Arab world is gone. The resistance is therefore not merely military but theological: it is the defense of the maqam al-shahid against the Ba'alist project of physical erasure.</w:t>
      </w:r>
    </w:p>
    <w:p>
      <w:pPr>
        <w:spacing w:after="160"/>
        <w:ind w:firstLine="0"/>
      </w:pPr>
      <w:r>
        <w:rPr>
          <w:rFonts w:ascii="Garamond" w:hAnsi="Garamond"/>
          <w:b w:val="0"/>
          <w:i w:val="0"/>
          <w:color w:val="1A1A1A"/>
          <w:sz w:val="23"/>
        </w:rPr>
        <w:t>The Zainabiyoun Brigade, formed in Pakistan under Iranian auspices to fight in Syria, adds an Indus Basin dimension that connects WP-41 to the SCRA Pakistan Studies series. Pakistani Shia fighters — predominantly Hazara and Punjabi — who joined the Zainabiyoun invoked the same 'Labbayk ya Zainab' frame. In the context of the Deobandi-Wahhabi pressure on Pakistan's Shia community (documented in WP-39 and WP-06), the Zainabiyoun mobilization represents the activation of the batin tradition in the Indus basin in direct response to existential threat — the same dynamic that WP-35 (Walayah Pakistan Doctrine) documents in the Fitna al-Khawarij designation.</w:t>
      </w:r>
    </w:p>
    <w:p>
      <w:pPr>
        <w:spacing w:before="440" w:after="160"/>
      </w:pPr>
      <w:r>
        <w:rPr>
          <w:rFonts w:ascii="Garamond" w:hAnsi="Garamond"/>
          <w:b/>
          <w:i w:val="0"/>
          <w:color w:val="0F5A4A"/>
          <w:sz w:val="30"/>
        </w:rPr>
        <w:t>VIII. SCRA Assessment — Completing the Theophanic Studies Arc</w:t>
      </w:r>
    </w:p>
    <w:p>
      <w:pPr>
        <w:spacing w:after="160"/>
        <w:ind w:firstLine="0"/>
      </w:pPr>
      <w:r>
        <w:rPr>
          <w:rFonts w:ascii="Garamond" w:hAnsi="Garamond"/>
          <w:b w:val="0"/>
          <w:i w:val="0"/>
          <w:color w:val="1A1A1A"/>
          <w:sz w:val="23"/>
        </w:rPr>
        <w:t>WP-41 completes the first full arc of the SCRA Theophanic Studies series. The arc can now be stated in its complete form.</w:t>
      </w:r>
    </w:p>
    <w:p>
      <w:pPr>
        <w:spacing w:before="200" w:after="60"/>
      </w:pPr>
      <w:r>
        <w:rPr>
          <w:rFonts w:ascii="Calibri" w:hAnsi="Calibri"/>
          <w:b/>
          <w:i w:val="0"/>
          <w:color w:val="187A62"/>
          <w:sz w:val="17"/>
        </w:rPr>
        <w:t>THE SCRA THEOPHANIC STUDIES ARC — THEOPHANIC STUDIES NOS. 1 AND 2</w:t>
      </w:r>
    </w:p>
    <w:p>
      <w:pPr>
        <w:spacing w:after="160"/>
        <w:ind w:firstLine="0"/>
      </w:pPr>
      <w:r>
        <w:rPr>
          <w:rFonts w:ascii="Garamond" w:hAnsi="Garamond"/>
          <w:b w:val="0"/>
          <w:i w:val="0"/>
          <w:color w:val="1A1A1A"/>
          <w:sz w:val="23"/>
        </w:rPr>
        <w:t>WP-26 (Theophanic Studies No. 1): Fatima al-Zahra occupies the ontological barzakh — the point of severance between the divine Absolute and its Imamic manifestations. Her three theophanic stations (Barzakh, Laylat al-Qadar, Mishkah) constitute the metaphysical foundation of the zahir-batin methodology. The Imams are 'lamps lit within her nocturnal depth.' She is the unseen ontological container of all that follows in the Imami tradition.</w:t>
      </w:r>
    </w:p>
    <w:p>
      <w:pPr>
        <w:spacing w:after="160"/>
        <w:ind w:firstLine="0"/>
      </w:pPr>
      <w:r>
        <w:rPr>
          <w:rFonts w:ascii="Garamond" w:hAnsi="Garamond"/>
          <w:b w:val="0"/>
          <w:i w:val="0"/>
          <w:color w:val="1A1A1A"/>
          <w:sz w:val="23"/>
        </w:rPr>
        <w:t>WP-41 (Theophanic Studies No. 2): Zainab bint Ali occupies the historical barzakh — the point of severance between the event of Karbala and its constitutional permanence. Her maqam al-shahid converts private massacre into permanent public fact. The Imamic history is 'the record she witnesses and transmits.' She is the visible constitutional witness of all that occurs in the Imami tradition.</w:t>
      </w:r>
    </w:p>
    <w:p>
      <w:pPr>
        <w:spacing w:after="160"/>
        <w:ind w:firstLine="0"/>
      </w:pPr>
      <w:r>
        <w:rPr>
          <w:rFonts w:ascii="Garamond" w:hAnsi="Garamond"/>
          <w:b w:val="0"/>
          <w:i w:val="0"/>
          <w:color w:val="1A1A1A"/>
          <w:sz w:val="23"/>
        </w:rPr>
        <w:t>The two stations are complementary at every level. Fatima operates in the pre-eternal and ontological register (she is identified with Laylat al-Qadar, the night that precedes the day of prophethood); Zainab operates in the historical and constitutional register (she speaks in courts, before judges, in the immediate aftermath of the defining historical event). Fatima's function is hidden (she is the 'veiled light' of WP-26's title, the batin of the batin); Zainab's function is visible (she gives public speeches before hostile audiences). Fatima severs the Absolute from manifestation so that manifestation can occur; Zainab adorns the wound of manifestation so that the wound can become constitutive rather than merely destructive.</w:t>
      </w:r>
    </w:p>
    <w:p>
      <w:pPr>
        <w:spacing w:after="160"/>
        <w:ind w:firstLine="0"/>
      </w:pPr>
      <w:r>
        <w:rPr>
          <w:rFonts w:ascii="Garamond" w:hAnsi="Garamond"/>
          <w:b w:val="0"/>
          <w:i w:val="0"/>
          <w:color w:val="1A1A1A"/>
          <w:sz w:val="23"/>
        </w:rPr>
        <w:t>The SCRA Shakayet Tradition — the tradition of structured complaint against illegitimate authority — is now complete in its three-stage form: Fatima's Khutba Fadakiyya (11 AH / 632 CE), the complaint before Abu Bakr and Umar, which WP-15 documents as the first constitutional legal brief in Islamic jurisprudence; Hussain's bayah refusal and martyrdom (61 AH / 680 CE), which WP-18 documents as the constitutional ruling that bayah to illegitimate authority is void; and Zainab's Khutba Kufa and Khutba Yazid (61 AH / 680 CE), which WP-41 documents as the constitutional witnessing that converts the ruling into permanent public record.</w:t>
      </w:r>
    </w:p>
    <w:p>
      <w:pPr>
        <w:spacing w:after="160"/>
        <w:ind w:firstLine="0"/>
      </w:pPr>
      <w:r>
        <w:rPr>
          <w:rFonts w:ascii="Garamond" w:hAnsi="Garamond"/>
          <w:b w:val="0"/>
          <w:i w:val="0"/>
          <w:color w:val="1A1A1A"/>
          <w:sz w:val="23"/>
        </w:rPr>
        <w:t>The three SCRA Furqan stations (WP-24) — maqam al-hujja (Fatima), maqam al-shahada (Hussain), maqam al-shahid (Zainab) — constitute a complete jurisprudential architecture: the argument (hujja), the ruling (shahada as constitutional testimony through martyrdom), and the witness (shahid). All three are necessary for the full juridical event to occur. The Karbala event without the witness is an incomplete juridical act — powerful but suppressible. With Zainab's witnessing, it is constitutionally complete and permanently on record.</w:t>
      </w:r>
    </w:p>
    <w:p>
      <w:pPr>
        <w:spacing w:after="160"/>
        <w:ind w:firstLine="0"/>
      </w:pPr>
      <w:r>
        <w:rPr>
          <w:rFonts w:ascii="Garamond" w:hAnsi="Garamond"/>
          <w:b w:val="0"/>
          <w:i w:val="0"/>
          <w:color w:val="1A1A1A"/>
          <w:sz w:val="23"/>
        </w:rPr>
        <w:t>The cross-reference chain that WP-41 anchors: WP-02 (Saqifa — the original wound) → WP-15 (Fatima Fadakiyya — first complaint) → WP-18 (Karbala — constitutional ruling) → WP-22 (Ghadir — the founding document being defended) → WP-24 (Furqan Criterion — identifying the three stations) → WP-26 (Veiled Light — Fatima's theophanic station) → WP-37 (Ghayba — the continuation of the Imamic chain that Zainab protected) → WP-41 (Zainab — the witness station that makes the whole chain constitutionally operative). The SCRA research programme is internally consistent: every paper in this chain presupposes the others and contributes to a unified analytical framework that no single paper could establish alone.</w:t>
      </w:r>
    </w:p>
    <w:p>
      <w:pPr>
        <w:spacing w:after="160"/>
        <w:ind w:firstLine="0"/>
      </w:pPr>
      <w:r>
        <w:rPr>
          <w:rFonts w:ascii="Garamond" w:hAnsi="Garamond"/>
          <w:b w:val="0"/>
          <w:i w:val="0"/>
          <w:color w:val="1A1A1A"/>
          <w:sz w:val="23"/>
        </w:rPr>
        <w:t>The Tier 3 (contemporary) dimension documented in Section VII — the Sayyida Zainab shrine mobilization, the 'Labbayk ya Zainab' political theology, the resistance axis formation, the Zainabiyoun connection to Pakistan's Shia community — establishes that WP-41 is not an exercise in historical theology but an analytical framework for understanding one of the most significant political-military mobilizations in contemporary Middle Eastern history. The theophanic station of Zainab bint Ali is not a devotional category but an operative political reality. Fourteen centuries after the Khutba Yazid, the maqam al-shahid continues to produce constitutional acts.</w:t>
      </w:r>
    </w:p>
    <w:p>
      <w:pPr>
        <w:spacing w:before="440" w:after="160"/>
      </w:pPr>
      <w:r>
        <w:rPr>
          <w:rFonts w:ascii="Garamond" w:hAnsi="Garamond"/>
          <w:b/>
          <w:i w:val="0"/>
          <w:color w:val="0F5A4A"/>
          <w:sz w:val="30"/>
        </w:rPr>
        <w:t>IX. Bibliography — Primary and Secondary Sources</w:t>
      </w:r>
    </w:p>
    <w:p>
      <w:pPr>
        <w:spacing w:before="200" w:after="60"/>
      </w:pPr>
      <w:r>
        <w:rPr>
          <w:rFonts w:ascii="Calibri" w:hAnsi="Calibri"/>
          <w:b/>
          <w:i w:val="0"/>
          <w:color w:val="187A62"/>
          <w:sz w:val="17"/>
        </w:rPr>
        <w:t>PRIMARY SOURCES — CLASSICAL SHIA TRADITION</w:t>
      </w:r>
    </w:p>
    <w:p>
      <w:pPr>
        <w:spacing w:after="80"/>
        <w:ind w:left="432"/>
      </w:pPr>
      <w:r>
        <w:rPr>
          <w:rFonts w:ascii="Garamond" w:hAnsi="Garamond"/>
          <w:b w:val="0"/>
          <w:i w:val="0"/>
          <w:color w:val="444444"/>
          <w:sz w:val="21"/>
        </w:rPr>
        <w:t>Al-Majlisi, Muhammad Baqir. Bihar al-Anwar al-Jami'a li-Durar Akhbar al-A'imma al-Athar. Vol. 45 (Karbala and its aftermath). Dar Ihya al-Turath al-'Arabi, Beirut, 1983.</w:t>
      </w:r>
    </w:p>
    <w:p>
      <w:pPr>
        <w:spacing w:after="80"/>
        <w:ind w:left="432"/>
      </w:pPr>
      <w:r>
        <w:rPr>
          <w:rFonts w:ascii="Garamond" w:hAnsi="Garamond"/>
          <w:b w:val="0"/>
          <w:i w:val="0"/>
          <w:color w:val="444444"/>
          <w:sz w:val="21"/>
        </w:rPr>
        <w:t>Ibn Tawus, Ali ibn Musa. Al-Luhuf fi Qatla al-Tufuf. Ed. Faris Hassun Karim. Anwar al-Huda, Qom, 1414 AH.</w:t>
      </w:r>
    </w:p>
    <w:p>
      <w:pPr>
        <w:spacing w:after="80"/>
        <w:ind w:left="432"/>
      </w:pPr>
      <w:r>
        <w:rPr>
          <w:rFonts w:ascii="Garamond" w:hAnsi="Garamond"/>
          <w:b w:val="0"/>
          <w:i w:val="0"/>
          <w:color w:val="444444"/>
          <w:sz w:val="21"/>
        </w:rPr>
        <w:t>Al-Mufid, Muhammad ibn Muhammad. Kitab al-Irshad fi Ma'rifat Hujaj Allah 'ala al-'Ibad. Trans. I.K.A. Howard. Muhammadi Trust / Ansariyan, Qom, 1981.</w:t>
      </w:r>
    </w:p>
    <w:p>
      <w:pPr>
        <w:spacing w:after="80"/>
        <w:ind w:left="432"/>
      </w:pPr>
      <w:r>
        <w:rPr>
          <w:rFonts w:ascii="Garamond" w:hAnsi="Garamond"/>
          <w:b w:val="0"/>
          <w:i w:val="0"/>
          <w:color w:val="444444"/>
          <w:sz w:val="21"/>
        </w:rPr>
        <w:t>Al-Muqarram, Abd al-Razzaq. Maqtal al-Hussain. Maktabat Basirati, Qom, 1426 AH.</w:t>
      </w:r>
    </w:p>
    <w:p>
      <w:pPr>
        <w:spacing w:after="80"/>
        <w:ind w:left="432"/>
      </w:pPr>
      <w:r>
        <w:rPr>
          <w:rFonts w:ascii="Garamond" w:hAnsi="Garamond"/>
          <w:b w:val="0"/>
          <w:i w:val="0"/>
          <w:color w:val="444444"/>
          <w:sz w:val="21"/>
        </w:rPr>
        <w:t>Al-Tabari, Muhammad ibn Jarir. Tarikh al-Umam wa al-Muluk. Vol. 5: Events of 61 AH. Ed. Muhammad Abu al-Fadl Ibrahim. Dar al-Ma'arif, Cairo, 1968.</w:t>
      </w:r>
    </w:p>
    <w:p>
      <w:pPr>
        <w:spacing w:after="80"/>
        <w:ind w:left="432"/>
      </w:pPr>
      <w:r>
        <w:rPr>
          <w:rFonts w:ascii="Garamond" w:hAnsi="Garamond"/>
          <w:b w:val="0"/>
          <w:i w:val="0"/>
          <w:color w:val="444444"/>
          <w:sz w:val="21"/>
        </w:rPr>
        <w:t>Al-Kaf'ami, Ibrahim ibn Ali. Al-Misbah (Jannatu al-Aman al-Wafiqa). Intisharat Radi, Qom, 1405 AH. [Contains Khutba Zainab texts with variant recensions]</w:t>
      </w:r>
    </w:p>
    <w:p>
      <w:pPr>
        <w:spacing w:before="200" w:after="60"/>
      </w:pPr>
      <w:r>
        <w:rPr>
          <w:rFonts w:ascii="Calibri" w:hAnsi="Calibri"/>
          <w:b/>
          <w:i w:val="0"/>
          <w:color w:val="187A62"/>
          <w:sz w:val="17"/>
        </w:rPr>
        <w:t>PRIMARY SOURCES — QURANIC AND HADITH</w:t>
      </w:r>
    </w:p>
    <w:p>
      <w:pPr>
        <w:spacing w:after="80"/>
        <w:ind w:left="432"/>
      </w:pPr>
      <w:r>
        <w:rPr>
          <w:rFonts w:ascii="Garamond" w:hAnsi="Garamond"/>
          <w:b w:val="0"/>
          <w:i w:val="0"/>
          <w:color w:val="444444"/>
          <w:sz w:val="21"/>
        </w:rPr>
        <w:t>The Noble Quran. Surahs cited: 2:282-283 (witnessing obligations); 3:98 (God as shahid); 16:92 (covenant-breaking); 30:10 (fate of those who deny signs); 33:33 (tathir verse, Ahl al-Bayt); Quran 18:7 (khalq and adornment).</w:t>
      </w:r>
    </w:p>
    <w:p>
      <w:pPr>
        <w:spacing w:after="80"/>
        <w:ind w:left="432"/>
      </w:pPr>
      <w:r>
        <w:rPr>
          <w:rFonts w:ascii="Garamond" w:hAnsi="Garamond"/>
          <w:b w:val="0"/>
          <w:i w:val="0"/>
          <w:color w:val="444444"/>
          <w:sz w:val="21"/>
        </w:rPr>
        <w:t>Al-Kulayni, Muhammad ibn Ya'qub. Al-Kafi. Vols. 1-2 (Kitab al-Hujja). Ed. Ali Akbar Ghaffari. Dar al-Kutub al-Islamiyya, Tehran, 1388 AH.</w:t>
      </w:r>
    </w:p>
    <w:p>
      <w:pPr>
        <w:spacing w:before="200" w:after="60"/>
      </w:pPr>
      <w:r>
        <w:rPr>
          <w:rFonts w:ascii="Calibri" w:hAnsi="Calibri"/>
          <w:b/>
          <w:i w:val="0"/>
          <w:color w:val="187A62"/>
          <w:sz w:val="17"/>
        </w:rPr>
        <w:t>PRIMARY SOURCES — PHILOSOPHICAL AND IRFANI TRADITION</w:t>
      </w:r>
    </w:p>
    <w:p>
      <w:pPr>
        <w:spacing w:after="80"/>
        <w:ind w:left="432"/>
      </w:pPr>
      <w:r>
        <w:rPr>
          <w:rFonts w:ascii="Garamond" w:hAnsi="Garamond"/>
          <w:b w:val="0"/>
          <w:i w:val="0"/>
          <w:color w:val="444444"/>
          <w:sz w:val="21"/>
        </w:rPr>
        <w:t>Haydar Amuli, Muhammad ibn Muhammad. Jami' al-Asrar wa Manba' al-Anwar. Ed. Henry Corbin and Osman Yahia. Department of Iranology, Tehran / Librairie Adrien-Maisonneuve, Paris, 1347 AH / 1969.</w:t>
      </w:r>
    </w:p>
    <w:p>
      <w:pPr>
        <w:spacing w:after="80"/>
        <w:ind w:left="432"/>
      </w:pPr>
      <w:r>
        <w:rPr>
          <w:rFonts w:ascii="Garamond" w:hAnsi="Garamond"/>
          <w:b w:val="0"/>
          <w:i w:val="0"/>
          <w:color w:val="444444"/>
          <w:sz w:val="21"/>
        </w:rPr>
        <w:t>Ibn Arabi, Muhyi al-Din. Fusus al-Hikam. Ed. Abu al-'Ala 'Afifi. Dar al-Kitab al-'Arabi, Beirut, 1980. [Background: barzakh doctrine and the theophanic function]</w:t>
      </w:r>
    </w:p>
    <w:p>
      <w:pPr>
        <w:spacing w:before="200" w:after="60"/>
      </w:pPr>
      <w:r>
        <w:rPr>
          <w:rFonts w:ascii="Calibri" w:hAnsi="Calibri"/>
          <w:b/>
          <w:i w:val="0"/>
          <w:color w:val="187A62"/>
          <w:sz w:val="17"/>
        </w:rPr>
        <w:t>SECONDARY SOURCES — BIOGRAPHY AND HISTORY</w:t>
      </w:r>
    </w:p>
    <w:p>
      <w:pPr>
        <w:spacing w:after="80"/>
        <w:ind w:left="432"/>
      </w:pPr>
      <w:r>
        <w:rPr>
          <w:rFonts w:ascii="Garamond" w:hAnsi="Garamond"/>
          <w:b w:val="0"/>
          <w:i w:val="0"/>
          <w:color w:val="444444"/>
          <w:sz w:val="21"/>
        </w:rPr>
        <w:t>Abd al-Rahman, Aisha (Bint al-Shati'). Zainab al-'Aqila. Dar al-Ma'arif, Cairo, 1965. [The classical Arabic biographical study]</w:t>
      </w:r>
    </w:p>
    <w:p>
      <w:pPr>
        <w:spacing w:after="80"/>
        <w:ind w:left="432"/>
      </w:pPr>
      <w:r>
        <w:rPr>
          <w:rFonts w:ascii="Garamond" w:hAnsi="Garamond"/>
          <w:b w:val="0"/>
          <w:i w:val="0"/>
          <w:color w:val="444444"/>
          <w:sz w:val="21"/>
        </w:rPr>
        <w:t>Madelung, Wilferd. The Succession to Muhammad: A Study of the Early Caliphate. Cambridge University Press, Cambridge, 1997.</w:t>
      </w:r>
    </w:p>
    <w:p>
      <w:pPr>
        <w:spacing w:after="80"/>
        <w:ind w:left="432"/>
      </w:pPr>
      <w:r>
        <w:rPr>
          <w:rFonts w:ascii="Garamond" w:hAnsi="Garamond"/>
          <w:b w:val="0"/>
          <w:i w:val="0"/>
          <w:color w:val="444444"/>
          <w:sz w:val="21"/>
        </w:rPr>
        <w:t>Hazleton, Lesley. After the Prophet: The Epic Story of the Shia-Sunni Split. Doubleday, New York, 2009.</w:t>
      </w:r>
    </w:p>
    <w:p>
      <w:pPr>
        <w:spacing w:before="200" w:after="60"/>
      </w:pPr>
      <w:r>
        <w:rPr>
          <w:rFonts w:ascii="Calibri" w:hAnsi="Calibri"/>
          <w:b/>
          <w:i w:val="0"/>
          <w:color w:val="187A62"/>
          <w:sz w:val="17"/>
        </w:rPr>
        <w:t>SECONDARY SOURCES — THEOLOGY AND PHILOSOPHY</w:t>
      </w:r>
    </w:p>
    <w:p>
      <w:pPr>
        <w:spacing w:after="80"/>
        <w:ind w:left="432"/>
      </w:pPr>
      <w:r>
        <w:rPr>
          <w:rFonts w:ascii="Garamond" w:hAnsi="Garamond"/>
          <w:b w:val="0"/>
          <w:i w:val="0"/>
          <w:color w:val="444444"/>
          <w:sz w:val="21"/>
        </w:rPr>
        <w:t>Corbin, Henry. Spiritual Body and Celestial Earth: From Mazdean Iran to Shi'ite Iran. Trans. Nancy Pearson. Princeton University Press, Princeton, 1977.</w:t>
      </w:r>
    </w:p>
    <w:p>
      <w:pPr>
        <w:spacing w:after="80"/>
        <w:ind w:left="432"/>
      </w:pPr>
      <w:r>
        <w:rPr>
          <w:rFonts w:ascii="Garamond" w:hAnsi="Garamond"/>
          <w:b w:val="0"/>
          <w:i w:val="0"/>
          <w:color w:val="444444"/>
          <w:sz w:val="21"/>
        </w:rPr>
        <w:t>Corbin, Henry. En Islam iranien: Aspects spirituels et philosophiques. Vol. 3. Gallimard, Paris, 1972.</w:t>
      </w:r>
    </w:p>
    <w:p>
      <w:pPr>
        <w:spacing w:after="80"/>
        <w:ind w:left="432"/>
      </w:pPr>
      <w:r>
        <w:rPr>
          <w:rFonts w:ascii="Garamond" w:hAnsi="Garamond"/>
          <w:b w:val="0"/>
          <w:i w:val="0"/>
          <w:color w:val="444444"/>
          <w:sz w:val="21"/>
        </w:rPr>
        <w:t>Nasr, Seyyed Hossein. Ideals and Realities of Islam. George Allen &amp; Unwin, London, 1966.</w:t>
      </w:r>
    </w:p>
    <w:p>
      <w:pPr>
        <w:spacing w:before="200" w:after="60"/>
      </w:pPr>
      <w:r>
        <w:rPr>
          <w:rFonts w:ascii="Calibri" w:hAnsi="Calibri"/>
          <w:b/>
          <w:i w:val="0"/>
          <w:color w:val="187A62"/>
          <w:sz w:val="17"/>
        </w:rPr>
        <w:t>CONTEMPORARY GEOPOLITICAL SOURCES</w:t>
      </w:r>
    </w:p>
    <w:p>
      <w:pPr>
        <w:spacing w:after="80"/>
        <w:ind w:left="432"/>
      </w:pPr>
      <w:r>
        <w:rPr>
          <w:rFonts w:ascii="Garamond" w:hAnsi="Garamond"/>
          <w:b w:val="0"/>
          <w:i w:val="0"/>
          <w:color w:val="444444"/>
          <w:sz w:val="21"/>
        </w:rPr>
        <w:t>Hezbollah. 'Speech of Hassan Nasrallah on Syria Deployment.' Al-Manar TV, April 30, 2013. [Primary source: explicit Sayyida Zainab justification]</w:t>
      </w:r>
    </w:p>
    <w:p>
      <w:pPr>
        <w:spacing w:after="80"/>
        <w:ind w:left="432"/>
      </w:pPr>
      <w:r>
        <w:rPr>
          <w:rFonts w:ascii="Garamond" w:hAnsi="Garamond"/>
          <w:b w:val="0"/>
          <w:i w:val="0"/>
          <w:color w:val="444444"/>
          <w:sz w:val="21"/>
        </w:rPr>
        <w:t>Daher, Joseph. Hezbollah: The Political Economy of Lebanon's Party of God. Pluto Press, London, 2016.</w:t>
      </w:r>
    </w:p>
    <w:p>
      <w:pPr>
        <w:spacing w:after="80"/>
        <w:ind w:left="432"/>
      </w:pPr>
      <w:r>
        <w:rPr>
          <w:rFonts w:ascii="Garamond" w:hAnsi="Garamond"/>
          <w:b w:val="0"/>
          <w:i w:val="0"/>
          <w:color w:val="444444"/>
          <w:sz w:val="21"/>
        </w:rPr>
        <w:t>Smyth, Philip. 'The Shiite Jihad in Syria and Its Regional Effects.' Washington Institute for Near East Policy, Policy Focus 138, February 2015.</w:t>
      </w:r>
    </w:p>
    <w:p>
      <w:pPr>
        <w:spacing w:before="200" w:after="60"/>
      </w:pPr>
      <w:r>
        <w:rPr>
          <w:rFonts w:ascii="Calibri" w:hAnsi="Calibri"/>
          <w:b/>
          <w:i w:val="0"/>
          <w:color w:val="187A62"/>
          <w:sz w:val="17"/>
        </w:rPr>
        <w:t>SCRA WORKING PAPERS — CROSS-REFERENCES</w:t>
      </w:r>
    </w:p>
    <w:p>
      <w:pPr>
        <w:spacing w:after="80"/>
        <w:ind w:left="432"/>
      </w:pPr>
      <w:r>
        <w:rPr>
          <w:rFonts w:ascii="Garamond" w:hAnsi="Garamond"/>
          <w:b w:val="0"/>
          <w:i w:val="0"/>
          <w:color w:val="444444"/>
          <w:sz w:val="21"/>
        </w:rPr>
        <w:t>Bosal, S.K. WP-02: Saqifa Banu Sa'ida. DOI: 10.5281/zenodo.20457201.</w:t>
      </w:r>
    </w:p>
    <w:p>
      <w:pPr>
        <w:spacing w:after="80"/>
        <w:ind w:left="432"/>
      </w:pPr>
      <w:r>
        <w:rPr>
          <w:rFonts w:ascii="Garamond" w:hAnsi="Garamond"/>
          <w:b w:val="0"/>
          <w:i w:val="0"/>
          <w:color w:val="444444"/>
          <w:sz w:val="21"/>
        </w:rPr>
        <w:t>Bosal, S.K. WP-15: The Fatima Standing Complaint. DOI: 10.5281/zenodo.20543494.</w:t>
      </w:r>
    </w:p>
    <w:p>
      <w:pPr>
        <w:spacing w:after="80"/>
        <w:ind w:left="432"/>
      </w:pPr>
      <w:r>
        <w:rPr>
          <w:rFonts w:ascii="Garamond" w:hAnsi="Garamond"/>
          <w:b w:val="0"/>
          <w:i w:val="0"/>
          <w:color w:val="444444"/>
          <w:sz w:val="21"/>
        </w:rPr>
        <w:t>Bosal, S.K. WP-18: The Karbala Constitution. DOI: 10.5281/zenodo.20543503.</w:t>
      </w:r>
    </w:p>
    <w:p>
      <w:pPr>
        <w:spacing w:after="80"/>
        <w:ind w:left="432"/>
      </w:pPr>
      <w:r>
        <w:rPr>
          <w:rFonts w:ascii="Garamond" w:hAnsi="Garamond"/>
          <w:b w:val="0"/>
          <w:i w:val="0"/>
          <w:color w:val="444444"/>
          <w:sz w:val="21"/>
        </w:rPr>
        <w:t>Bosal, S.K. WP-22: The Ghadir Document. DOI: 10.5281/zenodo.20543511.</w:t>
      </w:r>
    </w:p>
    <w:p>
      <w:pPr>
        <w:spacing w:after="80"/>
        <w:ind w:left="432"/>
      </w:pPr>
      <w:r>
        <w:rPr>
          <w:rFonts w:ascii="Garamond" w:hAnsi="Garamond"/>
          <w:b w:val="0"/>
          <w:i w:val="0"/>
          <w:color w:val="444444"/>
          <w:sz w:val="21"/>
        </w:rPr>
        <w:t>Bosal, S.K. WP-24: The Furqan Criterion. DOI: 10.5281/zenodo.20543517.</w:t>
      </w:r>
    </w:p>
    <w:p>
      <w:pPr>
        <w:spacing w:after="80"/>
        <w:ind w:left="432"/>
      </w:pPr>
      <w:r>
        <w:rPr>
          <w:rFonts w:ascii="Garamond" w:hAnsi="Garamond"/>
          <w:b w:val="0"/>
          <w:i w:val="0"/>
          <w:color w:val="444444"/>
          <w:sz w:val="21"/>
        </w:rPr>
        <w:t>Bosal, S.K. WP-26: The Veiled Light. DOI: 10.5281/zenodo.20544439.</w:t>
      </w:r>
    </w:p>
    <w:p>
      <w:pPr>
        <w:spacing w:after="80"/>
        <w:ind w:left="432"/>
      </w:pPr>
      <w:r>
        <w:rPr>
          <w:rFonts w:ascii="Garamond" w:hAnsi="Garamond"/>
          <w:b w:val="0"/>
          <w:i w:val="0"/>
          <w:color w:val="444444"/>
          <w:sz w:val="21"/>
        </w:rPr>
        <w:t>Bosal, S.K. WP-37: Ghayba Theology. DOI: 10.5281/zenodo.20549069.</w:t>
      </w:r>
    </w:p>
    <w:p>
      <w:pPr>
        <w:spacing w:before="200" w:after="200"/>
      </w:pPr>
      <w:r>
        <w:rPr>
          <w:rFonts w:ascii="Garamond" w:hAnsi="Garamond"/>
          <w:b w:val="0"/>
          <w:i w:val="0"/>
          <w:color w:val="AAAAAA"/>
          <w:sz w:val="16"/>
        </w:rPr>
        <w:t>────────────────────────────────────────────────────────────────────────</w:t>
      </w:r>
    </w:p>
    <w:p>
      <w:pPr>
        <w:spacing w:before="200"/>
        <w:jc w:val="center"/>
      </w:pPr>
      <w:r>
        <w:rPr>
          <w:rFonts w:ascii="Calibri" w:hAnsi="Calibri"/>
          <w:b w:val="0"/>
          <w:i w:val="0"/>
          <w:color w:val="AAAAAA"/>
          <w:sz w:val="17"/>
        </w:rPr>
        <w:t>SCRA Working Paper 41  ·  Theophanic Studies No. 2  ·  Saad Khizar Bosal  ·  Sacred Civilization Research Archive  ·  2026</w:t>
        <w:br/>
        <w:t>Permanently archived on Zenodo  ·  Open Access  ·  CC BY 4.0</w:t>
      </w:r>
    </w:p>
    <w:sectPr w:rsidR="00FC693F" w:rsidRPr="0006063C" w:rsidSect="00034616">
      <w:pgSz w:w="12240" w:h="15840"/>
      <w:pgMar w:top="1584" w:right="1800" w:bottom="15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