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pPr>
      <w:r>
        <w:rPr>
          <w:rFonts w:ascii="Garamond" w:hAnsi="Garamond"/>
          <w:b/>
          <w:i w:val="0"/>
          <w:color w:val="2E4A6E"/>
          <w:sz w:val="16"/>
        </w:rPr>
        <w:t>SCRA WORKING PAPER · PAKISTAN STUDIES SERIES NO. 2</w:t>
      </w:r>
    </w:p>
    <w:p>
      <w:pPr>
        <w:spacing w:after="80"/>
        <w:jc w:val="center"/>
      </w:pPr>
      <w:r>
        <w:rPr>
          <w:rFonts w:ascii="Garamond" w:hAnsi="Garamond"/>
          <w:b w:val="0"/>
          <w:i w:val="0"/>
          <w:color w:val="3D5E87"/>
          <w:sz w:val="17"/>
        </w:rPr>
        <w:t>SCRA-2026-WP39 · Sacred Civilization Research Archive</w:t>
      </w:r>
    </w:p>
    <w:p>
      <w:pPr>
        <w:spacing w:before="280" w:after="160"/>
        <w:jc w:val="center"/>
      </w:pPr>
      <w:r>
        <w:rPr>
          <w:rFonts w:ascii="Garamond" w:hAnsi="Garamond"/>
          <w:b/>
          <w:i w:val="0"/>
          <w:color w:val="2E4A6E"/>
          <w:sz w:val="34"/>
        </w:rPr>
        <w:t>Shah Walī Allāh and the Failed Synthesis:</w:t>
        <w:br/>
        <w:t>The Quṭubiyya, the Walīyy Allāh Doctrine,</w:t>
        <w:br/>
        <w:t>and the Deobandi Inheritance</w:t>
        <w:br/>
        <w:t>(1114–1176 AH / 1703–1762 CE)</w:t>
      </w:r>
    </w:p>
    <w:p>
      <w:pPr>
        <w:spacing w:after="80"/>
        <w:jc w:val="center"/>
      </w:pPr>
      <w:r>
        <w:rPr>
          <w:rFonts w:ascii="Garamond" w:hAnsi="Garamond"/>
          <w:b/>
          <w:i w:val="0"/>
          <w:color w:val="3D5E87"/>
          <w:sz w:val="22"/>
        </w:rPr>
        <w:t>Saad Khizar Bosal</w:t>
      </w:r>
    </w:p>
    <w:p>
      <w:pPr>
        <w:spacing w:after="40"/>
        <w:jc w:val="center"/>
      </w:pPr>
      <w:r>
        <w:rPr>
          <w:rFonts w:ascii="Garamond" w:hAnsi="Garamond"/>
          <w:b w:val="0"/>
          <w:i/>
          <w:sz w:val="18"/>
        </w:rPr>
        <w:t>Framework Architect, Sacred Civilization Research Archive (SCRA)</w:t>
      </w:r>
    </w:p>
    <w:p>
      <w:pPr>
        <w:spacing w:after="40"/>
        <w:jc w:val="center"/>
      </w:pPr>
      <w:r>
        <w:rPr>
          <w:rFonts w:ascii="Garamond" w:hAnsi="Garamond"/>
          <w:b w:val="0"/>
          <w:i/>
          <w:sz w:val="18"/>
        </w:rPr>
        <w:t>Mandi Bahauddin, Punjab, Pakistan</w:t>
      </w:r>
    </w:p>
    <w:p>
      <w:pPr>
        <w:spacing w:after="40"/>
        <w:jc w:val="center"/>
      </w:pPr>
      <w:r>
        <w:rPr>
          <w:rFonts w:ascii="Garamond" w:hAnsi="Garamond"/>
          <w:b w:val="0"/>
          <w:i w:val="0"/>
          <w:color w:val="3D5E87"/>
          <w:sz w:val="18"/>
        </w:rPr>
        <w:t>ORCID: 0009-0004-9944-7378</w:t>
      </w:r>
    </w:p>
    <w:p>
      <w:pPr>
        <w:spacing w:after="200"/>
        <w:jc w:val="center"/>
      </w:pPr>
      <w:r>
        <w:rPr>
          <w:rFonts w:ascii="Garamond" w:hAnsi="Garamond"/>
          <w:b w:val="0"/>
          <w:i w:val="0"/>
          <w:sz w:val="18"/>
        </w:rPr>
        <w:t>2026 CE · 1447 AH</w:t>
      </w:r>
    </w:p>
    <w:p/>
    <w:p>
      <w:pPr>
        <w:spacing w:before="360" w:after="120"/>
      </w:pPr>
      <w:r>
        <w:rPr>
          <w:rFonts w:ascii="Garamond" w:hAnsi="Garamond"/>
          <w:b/>
          <w:i w:val="0"/>
          <w:color w:val="2E4A6E"/>
          <w:sz w:val="22"/>
        </w:rPr>
        <w:t>Abstract</w:t>
      </w:r>
    </w:p>
    <w:p>
      <w:pPr>
        <w:spacing w:before="0" w:after="140" w:line="300" w:lineRule="exact"/>
      </w:pPr>
      <w:r>
        <w:rPr>
          <w:rFonts w:ascii="Garamond" w:hAnsi="Garamond"/>
          <w:b w:val="0"/>
          <w:i w:val="0"/>
          <w:sz w:val="21"/>
        </w:rPr>
        <w:t>Shah Wali Allah Dihlawi (1114–1176 AH / 1703–1762 CE) stands as the pivotal figure between two civilizational catastrophes: the Baʼalist Capture of the Mughal synthesis under Aurangzeb (d. 1707 CE) and the Deobandi institutionalization of the anti-batin tendency in 1867 CE. A century and a half separates these two events. Shah Wali Allah occupies their midpoint. This paper examines his intellectual project through the SCRA zahir-batin framework: the Quṭubiyya doctrine (the spiritual qutb as axis of the age), the Waliyy Allah self-designation, the Hujjat Allāh al-Bāligha's rational justification of the shariʿa through irtifaqat (civilizational stages) and maṣlaḥa (public interest), and the two-silsila spiritual framework (Naqshbandi and Qadiri). The paper identifies the Shah Wali Allah Paradox: a thinker of genuine depth who synthesized zahir and batin at the theoretical level but whose practical legacy was bifurcated into a synthesis inheritance (partially sustained by Shah ʿAbd al-ʿAziz) and a Baʼalist inheritance (weaponized by Sayyid Aḥmad Barelvi and Shah Ismāʿil Shahīd, then institutionalized at Deoband in 1867 CE). The SCRA verdict: a Failed Synthesis — not because Shah Wali Allah was himself a Baʼalist, but because his frameworks were insufficient to resist institutional capture by his own disciples. The genealogy chain from Aurangzeb through Shah Wali Allah to Deoband to Zia al-Haq to JUI-F is documented as the structural mechanism of Baʼalist Capture in the Indus basin.</w:t>
      </w:r>
    </w:p>
    <w:p>
      <w:pPr>
        <w:spacing w:before="0" w:after="140" w:line="300" w:lineRule="exact"/>
      </w:pPr>
      <w:r>
        <w:rPr>
          <w:rFonts w:ascii="Garamond" w:hAnsi="Garamond"/>
          <w:b w:val="0"/>
          <w:i w:val="0"/>
          <w:sz w:val="21"/>
        </w:rPr>
        <w:t>Keywords: Shah Wali Allah · Hujjat Allah al-Baligha · Quṭubiyya · Deoband · Baʼalist Capture · Indus Basin · Pakistan Studies · Zahir-Batin Framework · SCRA Working Paper 39</w:t>
      </w:r>
    </w:p>
    <w:p/>
    <w:p>
      <w:pPr>
        <w:spacing w:before="360" w:after="120"/>
      </w:pPr>
      <w:r>
        <w:rPr>
          <w:rFonts w:ascii="Garamond" w:hAnsi="Garamond"/>
          <w:b/>
          <w:i w:val="0"/>
          <w:color w:val="2E4A6E"/>
          <w:sz w:val="26"/>
        </w:rPr>
        <w:t>I. The Post-Aurangzeb Vacuum: Civilizational Collapse and the Problem of Authority</w:t>
      </w:r>
    </w:p>
    <w:p>
      <w:pPr>
        <w:spacing w:before="0" w:after="140" w:line="300" w:lineRule="exact"/>
      </w:pPr>
      <w:r>
        <w:rPr>
          <w:rFonts w:ascii="Garamond" w:hAnsi="Garamond"/>
          <w:b w:val="0"/>
          <w:i w:val="0"/>
          <w:sz w:val="21"/>
        </w:rPr>
        <w:t>Shah Wali Allah Dihlawi was born in 1114 AH (1703 CE), four years before the death of Aurangzeb ʿAlamgir (1118 AH / 1707 CE). He inherited a civilization in structural collapse. The Mughal synthesis — the 181-year arc from Babur's Timurid-Safavid-Sufi inheritance through Akbar's Din-e-Ilahi and Dara Shikoh's Majmaʿ al-Baḥrayn — had been terminated by Aurangzeb's five-stage Baʼalist Capture (1659–1707 CE). The zahir-batin integration that Akbar had institutionalized in the Ibadat Khana and that Dara Shikoh had theorized in the Majmaʿ al-Baḥrayn was dismantled. What remained was the zahir stripped of its batin foundation: shariʿa formalism without the cosmological ground that gives it civilizational weight.</w:t>
      </w:r>
    </w:p>
    <w:p>
      <w:pPr>
        <w:spacing w:before="0" w:after="140" w:line="300" w:lineRule="exact"/>
      </w:pPr>
      <w:r>
        <w:rPr>
          <w:rFonts w:ascii="Garamond" w:hAnsi="Garamond"/>
          <w:b w:val="0"/>
          <w:i w:val="0"/>
          <w:sz w:val="21"/>
        </w:rPr>
        <w:t>The political collapse followed the intellectual. In 1151 AH (1739 CE), Nadir Shah sacked Delhi, removing the Peacock Throne and the Kaʼba-i-Nadir figurine. In 1174 AH (1761 CE), Ahmad Shah Durrani defeated the Marathas at Panipat III — a battle Shah Wali Allah himself had helped precipitate through his correspondence with the Afghan ruler, calling for jihad against the Maratha threat. Delhi was no longer a center of Islamic civilizational gravity. The question Shah Wali Allah faced was not academic: who holds legitimate authority when the caliphate is absent, the Mughal emperor is a Persian captive, and the subcontinent is fragmenting?</w:t>
      </w:r>
    </w:p>
    <w:p>
      <w:pPr>
        <w:spacing w:before="0" w:after="140" w:line="300" w:lineRule="exact"/>
      </w:pPr>
      <w:r>
        <w:rPr>
          <w:rFonts w:ascii="Garamond" w:hAnsi="Garamond"/>
          <w:b w:val="0"/>
          <w:i w:val="0"/>
          <w:sz w:val="21"/>
        </w:rPr>
        <w:t>His answer drew on three intellectual resources: (1) the Sufi tradition of the qutb (the spiritual pole or axis of the age) as a form of deputized divine authority not dependent on political succession; (2) the rational-legal tradition of Islamic jurisprudence, which he sought to ground in maslaha (public interest) and rational necessity; and (3) the hadith sciences, which he had studied intensively in Mecca and Medina (1143–1145 AH / 1730–1732 CE) under Shaykh Abu Tahir Muhammad al-Kurdi al-Madani. The synthesis of these three traditions constitutes the Shah Wali Allah project.</w:t>
      </w:r>
    </w:p>
    <w:p>
      <w:pPr>
        <w:spacing w:before="240" w:after="80"/>
      </w:pPr>
      <w:r>
        <w:rPr>
          <w:rFonts w:ascii="Garamond" w:hAnsi="Garamond"/>
          <w:b/>
          <w:i/>
          <w:color w:val="3D5E87"/>
          <w:sz w:val="23"/>
        </w:rPr>
        <w:t>The Mecca-Medina Formation (1730–1732 CE)</w:t>
      </w:r>
    </w:p>
    <w:p>
      <w:pPr>
        <w:spacing w:before="0" w:after="140" w:line="300" w:lineRule="exact"/>
      </w:pPr>
      <w:r>
        <w:rPr>
          <w:rFonts w:ascii="Garamond" w:hAnsi="Garamond"/>
          <w:b w:val="0"/>
          <w:i w:val="0"/>
          <w:sz w:val="21"/>
        </w:rPr>
        <w:t>Shah Wali Allah's fourteen-month sojourn in the Hijaz was decisive. He received ijazas (scholarly licenses) in all six canonical hadith collections as well as in the Muwatta of Imam Malik. He was initiated into both the Naqshbandi and Qadiri silsilas, giving him a dual Sufi lineage that he would deploy theoretically. In Medina, he reported a vision of the Prophet and the first four caliphs that he interpreted as authorizing his mission as mujaddid (renewer) of the Islamic tradition in the subcontinent. The self-designation as Waliyy Allah — friend or protector of God — was not merely a family name (his father was Shah ʿAbd al-Rahim, founder of the Rahimiyya madrasa in Delhi) but a theological claim about his spiritual station.</w:t>
      </w:r>
    </w:p>
    <w:p>
      <w:pPr>
        <w:spacing w:before="0" w:after="140" w:line="300" w:lineRule="exact"/>
      </w:pPr>
      <w:r>
        <w:rPr>
          <w:rFonts w:ascii="Garamond" w:hAnsi="Garamond"/>
          <w:b w:val="0"/>
          <w:i w:val="0"/>
          <w:sz w:val="21"/>
        </w:rPr>
        <w:t>The Hijaz formation was transformative in a second sense: Shah Wali Allah was exposed to the nascent Wahhabi movement centered on Muhammad ibn ʿAbd al-Wahhab (1115–1206 AH / 1703–1792 CE), his near-contemporary. Though direct intellectual contact is not documented, the parallel emergence of both movements — one in Arabia, one in the Indus basin — as responses to the same crisis of Islamic political authority is not coincidental. Both were reacting to what they saw as the corruption of Islam through bidʿa (innovation), though Shah Wali Allah's response was far more sophisticated and philosophically grounded.</w:t>
      </w:r>
    </w:p>
    <w:p>
      <w:pPr>
        <w:spacing w:before="360" w:after="120"/>
      </w:pPr>
      <w:r>
        <w:rPr>
          <w:rFonts w:ascii="Garamond" w:hAnsi="Garamond"/>
          <w:b/>
          <w:i w:val="0"/>
          <w:color w:val="2E4A6E"/>
          <w:sz w:val="26"/>
        </w:rPr>
        <w:t>II. The Quṭubiyya and the Waliyy Allāh Doctrine: Deputized Spiritual Authority</w:t>
      </w:r>
    </w:p>
    <w:p>
      <w:pPr>
        <w:spacing w:before="0" w:after="140" w:line="300" w:lineRule="exact"/>
      </w:pPr>
      <w:r>
        <w:rPr>
          <w:rFonts w:ascii="Garamond" w:hAnsi="Garamond"/>
          <w:b w:val="0"/>
          <w:i w:val="0"/>
          <w:sz w:val="21"/>
        </w:rPr>
        <w:t>The Quṭubiyya doctrine — the theory of the spiritual qutb (pole/axis) as the living center of divine activity in the world — is the structural framework within which Shah Wali Allah's entire theological project operates. The qutb is not a political ruler or a hereditary imam but a spiritual axis: the person through whom divine grace (baraka) flows into the world in each era. Shah Wali Allah understood himself to occupy this station.</w:t>
      </w:r>
    </w:p>
    <w:p>
      <w:pPr>
        <w:spacing w:before="0" w:after="140" w:line="300" w:lineRule="exact"/>
      </w:pPr>
      <w:r>
        <w:rPr>
          <w:rFonts w:ascii="Garamond" w:hAnsi="Garamond"/>
          <w:b w:val="0"/>
          <w:i w:val="0"/>
          <w:sz w:val="21"/>
        </w:rPr>
        <w:t>His Quṭubiyya theology is elaborated in the Altaf al-Quds (Subtle Sanctities of the Heart) and the Ḥujjat Allāh al-Bāligha. The spiritual hierarchy as he configured it comprises: (1) the awtad (pegs) — four spiritual guardians of the cardinal directions; (2) the abdal (substitutes) — a group of forty righteous whose stations are refilled when one dies; (3) the nuqabaʼ (captains) — three hundred in each era; (4) the nujabaʼ (nobles) — four hundred; and above all of these, (5) the qutb al-aqtab (pole of poles), the supreme spiritual axis of the age. Shah Wali Allah's claim to renovator status implicitly positioned him in relation to this qutb station.</w:t>
      </w:r>
    </w:p>
    <w:p>
      <w:pPr>
        <w:spacing w:before="0" w:after="140" w:line="300" w:lineRule="exact"/>
      </w:pPr>
      <w:r>
        <w:rPr>
          <w:rFonts w:ascii="Garamond" w:hAnsi="Garamond"/>
          <w:b w:val="0"/>
          <w:i w:val="0"/>
          <w:sz w:val="21"/>
        </w:rPr>
        <w:t>The theological significance of this framework for SCRA analysis is its relationship to the post-Saqifa authority problem. Shah Wali Allah was Sunni, trained in Hanafi jurisprudence, and did not accept the Shia doctrine of walayah (the imam's ontological guardianship over creation). But his Quṭubiyya doctrine operates in the same structural space: it is an attempt to articulate non-political spiritual authority that does not depend on the visible imam's presence. The parallel with the Shia ghayba theology is structurally exact, even though Shah Wali Allah would have firmly rejected the identification. In SCRA terms, both traditions are responding to the same civilizational wound: the Saqifa rupture that severed legitimate spiritual authority from political governance.</w:t>
      </w:r>
    </w:p>
    <w:p>
      <w:pPr>
        <w:spacing w:before="240" w:after="80"/>
      </w:pPr>
      <w:r>
        <w:rPr>
          <w:rFonts w:ascii="Garamond" w:hAnsi="Garamond"/>
          <w:b/>
          <w:i/>
          <w:color w:val="3D5E87"/>
          <w:sz w:val="23"/>
        </w:rPr>
        <w:t>The Four-Circle Theory of Spiritual Ranking</w:t>
      </w:r>
    </w:p>
    <w:p>
      <w:pPr>
        <w:spacing w:before="0" w:after="140" w:line="300" w:lineRule="exact"/>
      </w:pPr>
      <w:r>
        <w:rPr>
          <w:rFonts w:ascii="Garamond" w:hAnsi="Garamond"/>
          <w:b w:val="0"/>
          <w:i w:val="0"/>
          <w:sz w:val="21"/>
        </w:rPr>
        <w:t>In the Altaf al-Quds and related works, Shah Wali Allah developed what can be called a four-circle theory of spiritual ranking, distinguishing between: (1) the ahl al-ẓāhir (people of the outward) — those who follow the shariʿa in its formal dimension without interior realization; (2) the ahl al-suluk (people of the path) — those engaged in Sufi practice (wird, dhikr, muraqqaba); (3) the ahl al-kashf (people of unveiling) — those who have achieved direct experiential knowledge of spiritual realities; (4) the ahl al-jamʿ (people of union) — those in whom zahir and batin are fully integrated, who function as transparent channels of divine activity. This four-circle model is Shah Wali Allah's attempt to articulate a zahir-batin integration that avoids the antinomian dangers of pure batin mysticism while also transcending the formalism of pure zahir legalism.</w:t>
      </w:r>
    </w:p>
    <w:p>
      <w:pPr>
        <w:spacing w:before="0" w:after="140" w:line="300" w:lineRule="exact"/>
      </w:pPr>
      <w:r>
        <w:rPr>
          <w:rFonts w:ascii="Garamond" w:hAnsi="Garamond"/>
          <w:b w:val="0"/>
          <w:i w:val="0"/>
          <w:sz w:val="21"/>
        </w:rPr>
        <w:t>The model's limitation — visible in retrospect — is that it places the integration at the individual spiritual station level rather than at the institutional level. There is no mechanism for transmitting the ahl al-jamʿ integration into persistent social or political structures. Each generation must produce a qutb who achieves the integration personally. When the qutb is absent or his students fail to understand the integration, the tendency is for the zahir to collapse back into formalism and the batin to be dismissed as heretical innovation. This structural fragility is the key to understanding why the Shah Wali Allah project failed institutionally.</w:t>
      </w:r>
    </w:p>
    <w:p>
      <w:pPr>
        <w:spacing w:before="360" w:after="120"/>
      </w:pPr>
      <w:r>
        <w:rPr>
          <w:rFonts w:ascii="Garamond" w:hAnsi="Garamond"/>
          <w:b/>
          <w:i w:val="0"/>
          <w:color w:val="2E4A6E"/>
          <w:sz w:val="26"/>
        </w:rPr>
        <w:t>III. The Ḥujjat Allāh al-Bāligha: Rational Justification of the Shariʿa</w:t>
      </w:r>
    </w:p>
    <w:p>
      <w:pPr>
        <w:spacing w:before="0" w:after="140" w:line="300" w:lineRule="exact"/>
      </w:pPr>
      <w:r>
        <w:rPr>
          <w:rFonts w:ascii="Garamond" w:hAnsi="Garamond"/>
          <w:b w:val="0"/>
          <w:i w:val="0"/>
          <w:sz w:val="21"/>
        </w:rPr>
        <w:t>The Ḥujjat Allāh al-Bāligha (The Conclusive Argument of God) is Shah Wali Allah's magnum opus, composed between 1145 and 1160 AH (1732–1747 CE) and completed around the time of his return from the Hijaz. It represents the most sophisticated attempt in pre-modern Islamic thought to provide a rational justification for the revealed law through the concept of irtifaqat (civilizational stages) and the principle of tadbir (governance of the self, family, city, and civilization).</w:t>
      </w:r>
    </w:p>
    <w:p>
      <w:pPr>
        <w:spacing w:before="240" w:after="80"/>
      </w:pPr>
      <w:r>
        <w:rPr>
          <w:rFonts w:ascii="Garamond" w:hAnsi="Garamond"/>
          <w:b/>
          <w:i/>
          <w:color w:val="3D5E87"/>
          <w:sz w:val="23"/>
        </w:rPr>
        <w:t>The Irtifaqat Theory: Civilizational Stages</w:t>
      </w:r>
    </w:p>
    <w:p>
      <w:pPr>
        <w:spacing w:before="0" w:after="140" w:line="300" w:lineRule="exact"/>
      </w:pPr>
      <w:r>
        <w:rPr>
          <w:rFonts w:ascii="Garamond" w:hAnsi="Garamond"/>
          <w:b w:val="0"/>
          <w:i w:val="0"/>
          <w:sz w:val="21"/>
        </w:rPr>
        <w:t>Shah Wali Allah divided human civilization into four stages of irtifaq (civilizational achievement): (1) the individual stage — mastery of the bodily self; (2) the domestic stage — the family as the primary unit of social organization; (3) the urban stage — the city as the site of economic specialization and political organization; (4) the civilizational stage — the coordination of multiple cities and peoples under a single political-religious framework. Each stage of irtifaq generates specific requirements for both the zahir (legal rules governing social organization) and the batin (the inner virtues necessary for those rules to function).</w:t>
      </w:r>
    </w:p>
    <w:p>
      <w:pPr>
        <w:spacing w:before="0" w:after="140" w:line="300" w:lineRule="exact"/>
      </w:pPr>
      <w:r>
        <w:rPr>
          <w:rFonts w:ascii="Garamond" w:hAnsi="Garamond"/>
          <w:b w:val="0"/>
          <w:i w:val="0"/>
          <w:sz w:val="21"/>
        </w:rPr>
        <w:t>The theoretical move is significant: Shah Wali Allah is arguing that Islamic law is not an arbitrary divine command but a rational response to the requirements of civilizational flourishing. The shariʿa, properly understood, is the zahir expression of the civilizational logic that the batin tradition has always known through kashf (mystical unveiling). The scholar and the saint are, in principle, accessing the same reality through different epistemological modes: one through rational-textual analysis, the other through direct experiential knowledge.</w:t>
      </w:r>
    </w:p>
    <w:p>
      <w:pPr>
        <w:spacing w:before="0" w:after="140" w:line="300" w:lineRule="exact"/>
      </w:pPr>
      <w:r>
        <w:rPr>
          <w:rFonts w:ascii="Garamond" w:hAnsi="Garamond"/>
          <w:b w:val="0"/>
          <w:i w:val="0"/>
          <w:sz w:val="21"/>
        </w:rPr>
        <w:t>In SCRA terms, this is a genuine zahir-batin integration at the theoretical level. The Ḥujjat Allāh al-Bāligha is one of the most sophisticated pre-modern Islamic texts in the tradition of what we might call zahir-batin epistemology. But it remains at the theoretical level. The institutional question — how to build social structures that sustain this integration across generations — is not adequately addressed. The book is a philosophical achievement; it is not an institutional blueprint.</w:t>
      </w:r>
    </w:p>
    <w:p>
      <w:pPr>
        <w:spacing w:before="240" w:after="80"/>
      </w:pPr>
      <w:r>
        <w:rPr>
          <w:rFonts w:ascii="Garamond" w:hAnsi="Garamond"/>
          <w:b/>
          <w:i/>
          <w:color w:val="3D5E87"/>
          <w:sz w:val="23"/>
        </w:rPr>
        <w:t>The Maslaha Framework and Its Limits</w:t>
      </w:r>
    </w:p>
    <w:p>
      <w:pPr>
        <w:spacing w:before="0" w:after="140" w:line="300" w:lineRule="exact"/>
      </w:pPr>
      <w:r>
        <w:rPr>
          <w:rFonts w:ascii="Garamond" w:hAnsi="Garamond"/>
          <w:b w:val="0"/>
          <w:i w:val="0"/>
          <w:sz w:val="21"/>
        </w:rPr>
        <w:t>A second major contribution of the Ḥujjat Allāh al-Bāligha is its deployment of the concept of maṣlaḥa (public interest or human welfare) as the rational principle underlying Islamic legal rulings. Shah Wali Allah argued that every ruling of Islamic law serves either to promote human welfare (jalb al-manfaʿa) or to prevent harm (darʼ al-mafsada). This maslaha framework had been present in Islamic legal theory since al-Ghazali and al-Shatibi, but Shah Wali Allah's deployment of it was more systematic and more philosophically grounded.</w:t>
      </w:r>
    </w:p>
    <w:p>
      <w:pPr>
        <w:spacing w:before="0" w:after="140" w:line="300" w:lineRule="exact"/>
      </w:pPr>
      <w:r>
        <w:rPr>
          <w:rFonts w:ascii="Garamond" w:hAnsi="Garamond"/>
          <w:b w:val="0"/>
          <w:i w:val="0"/>
          <w:sz w:val="21"/>
        </w:rPr>
        <w:t>The limitation of the maslaha framework, as deployed by Shah Wali Allah, is that it is utilitarian-rational in character rather than theophanic. The batin dimension of the Ḥujjat Allāh al-Bāligha is ethical-rational: the inner virtues of courage, justice, wisdom, and temperance that the shariʿa aims to cultivate. This is valuable but insufficient. It lacks the ontological depth of the Shia walayah tradition (in which the Imam's presence is a cosmic necessity, not merely a social utility) and of the Akbarian synthesis (in which the zahir-batin integration is a theophanic encounter with divine reality, not merely a rational calculation of social benefit). Shah Wali Allah's batin is, in the end, a refined zahir — a more subtle legalism rather than a genuinely theophanic epistemology.</w:t>
      </w:r>
    </w:p>
    <w:p>
      <w:pPr>
        <w:spacing w:before="360" w:after="120"/>
      </w:pPr>
      <w:r>
        <w:rPr>
          <w:rFonts w:ascii="Garamond" w:hAnsi="Garamond"/>
          <w:b/>
          <w:i w:val="0"/>
          <w:color w:val="2E4A6E"/>
          <w:sz w:val="26"/>
        </w:rPr>
        <w:t>IV. The Shah Wali Allah Paradox: Synthesis and Baʼalist Tendency</w:t>
      </w:r>
    </w:p>
    <w:p>
      <w:pPr>
        <w:spacing w:before="0" w:after="140" w:line="300" w:lineRule="exact"/>
      </w:pPr>
      <w:r>
        <w:rPr>
          <w:rFonts w:ascii="Garamond" w:hAnsi="Garamond"/>
          <w:b w:val="0"/>
          <w:i w:val="0"/>
          <w:sz w:val="21"/>
        </w:rPr>
        <w:t>The Shah Wali Allah Paradox is the central analytical problem of this paper. The paradox is this: Shah Wali Allah was a thinker of genuine depth who achieved a zahir-batin integration at the theoretical level, yet his practical legacy was captured by the Baʼalist tendency he claimed to transcend. Understanding this paradox requires examining both the synthesis dimension and the Baʼalist dimension of his work.</w:t>
      </w:r>
    </w:p>
    <w:p>
      <w:pPr>
        <w:spacing w:before="240" w:after="80"/>
      </w:pPr>
      <w:r>
        <w:rPr>
          <w:rFonts w:ascii="Garamond" w:hAnsi="Garamond"/>
          <w:b/>
          <w:i/>
          <w:color w:val="3D5E87"/>
          <w:sz w:val="23"/>
        </w:rPr>
        <w:t>The Synthesis Dimension</w:t>
      </w:r>
    </w:p>
    <w:p>
      <w:pPr>
        <w:spacing w:before="0" w:after="140" w:line="300" w:lineRule="exact"/>
      </w:pPr>
      <w:r>
        <w:rPr>
          <w:rFonts w:ascii="Garamond" w:hAnsi="Garamond"/>
          <w:b w:val="0"/>
          <w:i w:val="0"/>
          <w:sz w:val="21"/>
        </w:rPr>
        <w:t>The synthesis dimension of Shah Wali Allah's project is most visible in four contributions: (1) The Ḥujjat Allāh al-Bāligha's rational-theological justification of shariʿa; (2) The Fath al-Rahman — his Persian translation of the Quran (1153 AH / 1740 CE), which broke the Arab-only access to the sacred text and made the Quran directly accessible to Persian-reading Indus basin Muslims; (3) the Tawil al-Ahadith, his allegorical interpretation of the hadith tradition that drew on the batin interpretive methodology; and (4) the Altaf al-Quds, his most mystical text, which drew directly on Ibn Arabi's concept of the Perfect Man (al-insan al-kamil) and the imaginal world (ʿalam al-mithal). These contributions place Shah Wali Allah firmly within the zahir-batin synthesis tradition.</w:t>
      </w:r>
    </w:p>
    <w:p>
      <w:pPr>
        <w:spacing w:before="0" w:after="140" w:line="300" w:lineRule="exact"/>
      </w:pPr>
      <w:r>
        <w:rPr>
          <w:rFonts w:ascii="Garamond" w:hAnsi="Garamond"/>
          <w:b w:val="0"/>
          <w:i w:val="0"/>
          <w:sz w:val="21"/>
        </w:rPr>
        <w:t>The Fath al-Rahman deserves particular attention. By translating the Quran into Persian, Shah Wali Allah was continuing the cultural work of Dara Shikoh (whose Sirr-e-Akbar had translated the Upanishads into Persian in 1067 AH / 1657 CE). The linguistic medium of Persian was, for the Indus basin, the carrier of the batin tradition — the language of Rumi, Hafiz, Saʼdi, and the entire Persian Sufi philosophical tradition. By making the Quran available in Persian, Shah Wali Allah was implicitly connecting the revealed text to the philosophical-mystical tradition it had been separated from by the Arabic-formalist Deobandi tendency.</w:t>
      </w:r>
    </w:p>
    <w:p>
      <w:pPr>
        <w:spacing w:before="240" w:after="80"/>
      </w:pPr>
      <w:r>
        <w:rPr>
          <w:rFonts w:ascii="Garamond" w:hAnsi="Garamond"/>
          <w:b/>
          <w:i/>
          <w:color w:val="3D5E87"/>
          <w:sz w:val="23"/>
        </w:rPr>
        <w:t>The Baʼalist Dimension: Anti-Shia Polemic and Hierarchical Legitimation</w:t>
      </w:r>
    </w:p>
    <w:p>
      <w:pPr>
        <w:spacing w:before="0" w:after="140" w:line="300" w:lineRule="exact"/>
      </w:pPr>
      <w:r>
        <w:rPr>
          <w:rFonts w:ascii="Garamond" w:hAnsi="Garamond"/>
          <w:b w:val="0"/>
          <w:i w:val="0"/>
          <w:sz w:val="21"/>
        </w:rPr>
        <w:t>Against the synthesis dimension must be set Shah Wali Allah's anti-Shia polemic. His Izalat al-Khafa wa-ʿUtrat al-Khulafaʼ (Removal of Obscurity and the Progeny of the Caliphs) is an explicit defense of Abu Bakr and ʿUmar against the Shia critique — the most sustained anti-Shia theological argument produced in the Indian subcontinent before the Deobandi period. The text defends the Saqifa decision, argues for the legitimacy of the first three caliphs, and positions the Shia doctrine of walayah as a theological error that corrupted the genuine Islamic tradition.</w:t>
      </w:r>
    </w:p>
    <w:p>
      <w:pPr>
        <w:spacing w:before="0" w:after="140" w:line="300" w:lineRule="exact"/>
      </w:pPr>
      <w:r>
        <w:rPr>
          <w:rFonts w:ascii="Garamond" w:hAnsi="Garamond"/>
          <w:b w:val="0"/>
          <w:i w:val="0"/>
          <w:sz w:val="21"/>
        </w:rPr>
        <w:t>In SCRA terms, the Izalat al-Khafa is a Baʼalist move: it defends the Saqifa rupture rather than diagnosing it as the civilizational wound that produced the zahir-batin split. By legitimating Saqifa, Shah Wali Allah cut off the very root from which the theophanic batin tradition grows — the Alid walayah tradition that the Shia preserved and that the Persian-Indus Sufi tradition had always drawn upon. The Ḥujjat Allāh al-Bāligha's rational batin is thus theoretically innovative but ontologically deficient: it lacks the Imamic walayah ground that the Akbarian synthesis had accessed through the Safavid-Chishti-Naqshbandi channels.</w:t>
      </w:r>
    </w:p>
    <w:p>
      <w:pPr>
        <w:spacing w:before="0" w:after="140" w:line="300" w:lineRule="exact"/>
      </w:pPr>
      <w:r>
        <w:rPr>
          <w:rFonts w:ascii="Garamond" w:hAnsi="Garamond"/>
          <w:b w:val="0"/>
          <w:i w:val="0"/>
          <w:sz w:val="21"/>
        </w:rPr>
        <w:t>The second Baʼalist dimension is Shah Wali Allah's hierarchical legitimation of Islamic political authority. His letter to Ahmad Shah Durrani calling for Panipat III (1174 AH / 1761 CE) was not merely a pragmatic political intervention but a theological claim: that the Maratha power represented kufr (unbelief) and that the Durrani intervention was a legitimate jihad for the defense of Islam. This framing of Hindu political power as kufr requiring military resistance would be directly inherited by Sayyid Ahmad Barelvi and Shah Ismaʼil Shahid's Tariqah-i-Muhammadiyah movement, and through them by the Deoband tradition.</w:t>
      </w:r>
    </w:p>
    <w:p>
      <w:pPr>
        <w:spacing w:before="360" w:after="120"/>
      </w:pPr>
      <w:r>
        <w:rPr>
          <w:rFonts w:ascii="Garamond" w:hAnsi="Garamond"/>
          <w:b/>
          <w:i w:val="0"/>
          <w:color w:val="2E4A6E"/>
          <w:sz w:val="26"/>
        </w:rPr>
        <w:t>V. The Two Inheritances: Shah ʿAbd al-ʿAziz and the Synthesis Track vs. Sayyid Aḥmad Barelvi and the Baʼalist Track</w:t>
      </w:r>
    </w:p>
    <w:p>
      <w:pPr>
        <w:spacing w:before="0" w:after="140" w:line="300" w:lineRule="exact"/>
      </w:pPr>
      <w:r>
        <w:rPr>
          <w:rFonts w:ascii="Garamond" w:hAnsi="Garamond"/>
          <w:b w:val="0"/>
          <w:i w:val="0"/>
          <w:sz w:val="21"/>
        </w:rPr>
        <w:t>Shah Wali Allah died in 1176 AH (1762 CE), leaving four sons: Shah ʿAbd al-ʿAziz (the eldest and primary intellectual heir), Shah Rafiʼ al-Din, Shah ʿAbd al-Qadir, and Shah ʿAbd al-Ghani. The eldest son's stewardship of the Rahimiyya madrasa represented the synthesis inheritance; the movement launched by Sayyid Ahmad Barelvi (1786–1831 CE), trained partly in the Rahimiyya tradition, represented the Baʼalist inheritance.</w:t>
      </w:r>
    </w:p>
    <w:p>
      <w:pPr>
        <w:spacing w:before="240" w:after="80"/>
      </w:pPr>
      <w:r>
        <w:rPr>
          <w:rFonts w:ascii="Garamond" w:hAnsi="Garamond"/>
          <w:b/>
          <w:i/>
          <w:color w:val="3D5E87"/>
          <w:sz w:val="23"/>
        </w:rPr>
        <w:t>Shah ʿAbd al-ʿAziz and the Partial Synthesis</w:t>
      </w:r>
    </w:p>
    <w:p>
      <w:pPr>
        <w:spacing w:before="0" w:after="140" w:line="300" w:lineRule="exact"/>
      </w:pPr>
      <w:r>
        <w:rPr>
          <w:rFonts w:ascii="Garamond" w:hAnsi="Garamond"/>
          <w:b w:val="0"/>
          <w:i w:val="0"/>
          <w:sz w:val="21"/>
        </w:rPr>
        <w:t>Shah ʿAbd al-ʿAziz (1159–1239 AH / 1746–1823 CE) was the most intellectually sophisticated of Shah Wali Allah's sons. His Tuhfa-i-Ithna ʿAshariyya (Gift to the Twelver Shia) is a detailed theological engagement with Shia doctrine — polemical in intent but genuinely learned in content. More significantly, he issued the famous fatwa declaring India under British rule to be Dar al-Harb (House of War), a ruling that would have profound political consequences for the subsequent generation. But Shah ʿAbd al-ʿAziz also sustained the Sufi-rational synthesis dimension of his father's project: the Rahimiyya madrasa continued to produce scholars trained in both legal sciences and Sufi epistemology.</w:t>
      </w:r>
    </w:p>
    <w:p>
      <w:pPr>
        <w:spacing w:before="0" w:after="140" w:line="300" w:lineRule="exact"/>
      </w:pPr>
      <w:r>
        <w:rPr>
          <w:rFonts w:ascii="Garamond" w:hAnsi="Garamond"/>
          <w:b w:val="0"/>
          <w:i w:val="0"/>
          <w:sz w:val="21"/>
        </w:rPr>
        <w:t>The synthesis track did not institutionalize beyond the Rahimiyya circle. There was no establishment of a systematic educational framework that embedded Shah Wali Allah's zahir-batin integration into a sustainable pedagogical structure. The personal transmission of the synthesis depended on the individual shaykh-student relationship — the same structural limitation that had always made Sufi transmission vulnerable to generational discontinuity.</w:t>
      </w:r>
    </w:p>
    <w:p>
      <w:pPr>
        <w:spacing w:before="240" w:after="80"/>
      </w:pPr>
      <w:r>
        <w:rPr>
          <w:rFonts w:ascii="Garamond" w:hAnsi="Garamond"/>
          <w:b/>
          <w:i/>
          <w:color w:val="3D5E87"/>
          <w:sz w:val="23"/>
        </w:rPr>
        <w:t>Sayyid Aḥmad Barelvi and the Weaponization</w:t>
      </w:r>
    </w:p>
    <w:p>
      <w:pPr>
        <w:spacing w:before="0" w:after="140" w:line="300" w:lineRule="exact"/>
      </w:pPr>
      <w:r>
        <w:rPr>
          <w:rFonts w:ascii="Garamond" w:hAnsi="Garamond"/>
          <w:b w:val="0"/>
          <w:i w:val="0"/>
          <w:sz w:val="21"/>
        </w:rPr>
        <w:t>Sayyid Ahmad Barelvi (1201–1246 AH / 1786–1831 CE) was trained partly in the Rahimiyya tradition but transformed its jihad dimension into a movement. His Tariqah-i-Muhammadiyah (the Muhammadan Path) combined Naqshbandi spiritual discipline with Wahhabi-adjacent theological puritanism: a systematic campaign against what he identified as bidʼa (innovation) in South Asian Muslim practice — specifically shrine veneration, Sufi intercession practices, and the elaborate devotional culture of the Barelvi Sufi tradition (confusingly named after him, by his opponents, despite representing what he opposed).</w:t>
      </w:r>
    </w:p>
    <w:p>
      <w:pPr>
        <w:spacing w:before="0" w:after="140" w:line="300" w:lineRule="exact"/>
      </w:pPr>
      <w:r>
        <w:rPr>
          <w:rFonts w:ascii="Garamond" w:hAnsi="Garamond"/>
          <w:b w:val="0"/>
          <w:i w:val="0"/>
          <w:sz w:val="21"/>
        </w:rPr>
        <w:t>With Shah Ismaʼil Shahid (the grandson of Shah Wali Allah through a daughter), Sayyid Ahmad launched the Peshawar-Punjab jihad campaign (1241–1246 AH / 1826–1831 CE) against Sikh rule in the northwest. The Balakot campaign (1246 AH / 1831 CE), in which both Sayyid Ahmad and Shah Ismaʼil were killed fighting the Sikh forces of Sher Singh, is commemorated in the Deoband tradition as shahada (martyrdom) — making the Tariqah-i-Muhammadiyah founders into the founding martyrs of the Deobandi institutional genealogy.</w:t>
      </w:r>
    </w:p>
    <w:p>
      <w:pPr>
        <w:spacing w:before="0" w:after="140" w:line="300" w:lineRule="exact"/>
      </w:pPr>
      <w:r>
        <w:rPr>
          <w:rFonts w:ascii="Garamond" w:hAnsi="Garamond"/>
          <w:b w:val="0"/>
          <w:i w:val="0"/>
          <w:sz w:val="21"/>
        </w:rPr>
        <w:t>The Tariqah-i-Muhammadiyah's Sirat al-Mustaqim (The Straight Path), co-authored by Sayyid Ahmad and Shah Ismaʼil, is the programmatic text of the Baʼalist inheritance. It systematically condemns: shirk (polytheism) — under which it classified shrine veneration and intercession through saints; bidʼa — under which it classified most of the devotional practices of the Indus Sufi tradition; and tawassul (seeking intercession) — under which it attacked the Chishti, Qadiri, and other silsila practices that had constituted the batin infrastructure of Mughal civilizational synthesis. In SCRA terms, the Sirat al-Mustaqim is a systematic demolition of the zahir-batin integration.</w:t>
      </w:r>
    </w:p>
    <w:p>
      <w:pPr>
        <w:spacing w:before="360" w:after="120"/>
      </w:pPr>
      <w:r>
        <w:rPr>
          <w:rFonts w:ascii="Garamond" w:hAnsi="Garamond"/>
          <w:b/>
          <w:i w:val="0"/>
          <w:color w:val="2E4A6E"/>
          <w:sz w:val="26"/>
        </w:rPr>
        <w:t>VI. Deoband 1867: The Institutionalization of the Baʼalist Inheritance</w:t>
      </w:r>
    </w:p>
    <w:p>
      <w:pPr>
        <w:spacing w:before="0" w:after="140" w:line="300" w:lineRule="exact"/>
      </w:pPr>
      <w:r>
        <w:rPr>
          <w:rFonts w:ascii="Garamond" w:hAnsi="Garamond"/>
          <w:b w:val="0"/>
          <w:i w:val="0"/>
          <w:sz w:val="21"/>
        </w:rPr>
        <w:t>The Darul Uloom Deoband was established in 1283 AH (1867 CE) in the town of Deoband, Saharanpur district, six years after the 1857 uprising and British suppression of the Indian mutiny. Its founders — Muhammad Qasim Nanotawi (1833–1879 CE) and Rashid Ahmad Gangohi (1829–1905 CE) — were disciples of the Tariqah-i-Muhammadiyah tradition and students of Shah ʿAbd al-Ghani Dihlawi (the youngest son of Shah Wali Allah). The institutional genealogy is direct: Deoband is the institutional crystallization of the Baʼalist inheritance from Shah Wali Allah's project.</w:t>
      </w:r>
    </w:p>
    <w:p>
      <w:pPr>
        <w:spacing w:before="240" w:after="80"/>
      </w:pPr>
      <w:r>
        <w:rPr>
          <w:rFonts w:ascii="Garamond" w:hAnsi="Garamond"/>
          <w:b/>
          <w:i/>
          <w:color w:val="3D5E87"/>
          <w:sz w:val="23"/>
        </w:rPr>
        <w:t>The Deobandi Charter: Text Without Batin</w:t>
      </w:r>
    </w:p>
    <w:p>
      <w:pPr>
        <w:spacing w:before="0" w:after="140" w:line="300" w:lineRule="exact"/>
      </w:pPr>
      <w:r>
        <w:rPr>
          <w:rFonts w:ascii="Garamond" w:hAnsi="Garamond"/>
          <w:b w:val="0"/>
          <w:i w:val="0"/>
          <w:sz w:val="21"/>
        </w:rPr>
        <w:t>The Deobandi educational model was revolutionary in the specific sense of breaking with the Mughal-era madrasa tradition. The Mughal madrasa curriculum (Dars-e-Nizami, established by Mulla Nizam al-Din Sihalawy in the early 18th century) had included philosophy (hikma), logic (mantiq), and rational sciences (ʿulam al-ʿaqliyya) alongside the transmitted sciences (ʿulam al-naqliyya). The Deobandi model systematically reduced or eliminated the philosophical-rational dimension in favor of text-based fiqh (jurisprudence) and hadith. The batin dimension of the curriculum — Sufi epistemology, the philosophy of the Perfect Man, the zahir-batin hermeneutics — was either eliminated or relegated to private individual Sufi practice, formally separated from the public institutional curriculum.</w:t>
      </w:r>
    </w:p>
    <w:p>
      <w:pPr>
        <w:spacing w:before="0" w:after="140" w:line="300" w:lineRule="exact"/>
      </w:pPr>
      <w:r>
        <w:rPr>
          <w:rFonts w:ascii="Garamond" w:hAnsi="Garamond"/>
          <w:b w:val="0"/>
          <w:i w:val="0"/>
          <w:sz w:val="21"/>
        </w:rPr>
        <w:t>The paradox here is that Deobandi scholars maintained formal Sufi affiliation (primarily Naqshbandi, with Chishti and Qadiri elements). Rashid Ahmad Gangohi was a Chishti shaykh; Muhammad Qasim Nanotawi was a Naqshbandi initiate. But the institutional logic of Deoband separated the Sufi affiliation from the educational curriculum: one could be a Sufi in one's personal practice while teaching a curriculum that systematically marginalized Sufi epistemology. This is precisely the structural manifestation of the Shah Wali Allah Paradox at the institutional level: the zahir and batin were formally maintained as parallel tracks but structurally separated rather than integrated.</w:t>
      </w:r>
    </w:p>
    <w:p>
      <w:pPr>
        <w:spacing w:before="240" w:after="80"/>
      </w:pPr>
      <w:r>
        <w:rPr>
          <w:rFonts w:ascii="Garamond" w:hAnsi="Garamond"/>
          <w:b/>
          <w:i/>
          <w:color w:val="3D5E87"/>
          <w:sz w:val="23"/>
        </w:rPr>
        <w:t>Anti-Shia Polemics and the Deobandi Institutional Identity</w:t>
      </w:r>
    </w:p>
    <w:p>
      <w:pPr>
        <w:spacing w:before="0" w:after="140" w:line="300" w:lineRule="exact"/>
      </w:pPr>
      <w:r>
        <w:rPr>
          <w:rFonts w:ascii="Garamond" w:hAnsi="Garamond"/>
          <w:b w:val="0"/>
          <w:i w:val="0"/>
          <w:sz w:val="21"/>
        </w:rPr>
        <w:t>The Deobandi institutional identity was defined in significant part through opposition to Shia Islam. The Izalat al-Khafa — Shah Wali Allah's anti-Shia text — became a canonical Deobandi reference. The Tuhfa-i-Ithna ʿAshariyya of Shah ʿAbd al-ʿAziz was taught as an authoritative refutation of Shia doctrine. The sectarian identity of Deoband as Sunni-Hanafi was constructed in explicit opposition to Shia theological claims.</w:t>
      </w:r>
    </w:p>
    <w:p>
      <w:pPr>
        <w:spacing w:before="0" w:after="140" w:line="300" w:lineRule="exact"/>
      </w:pPr>
      <w:r>
        <w:rPr>
          <w:rFonts w:ascii="Garamond" w:hAnsi="Garamond"/>
          <w:b w:val="0"/>
          <w:i w:val="0"/>
          <w:sz w:val="21"/>
        </w:rPr>
        <w:t>In the context of the Indus basin, this anti-Shia institutional identity had civilizational consequences. The Shia tradition — and specifically the walayah ontology that grounds the zahir-batin framework — is not merely a sectarian competitor but the theological root of the synthesis tradition that had produced the Akbarian synthesis and that was preserved (incompletely) in the Safavid Isfahan School. By institutionalizing an anti-Shia stance, Deoband cut off access to the very ontological ground from which a genuine zahir-batin integration could be rebuilt.</w:t>
      </w:r>
    </w:p>
    <w:p>
      <w:pPr>
        <w:spacing w:before="240" w:after="80"/>
      </w:pPr>
      <w:r>
        <w:rPr>
          <w:rFonts w:ascii="Garamond" w:hAnsi="Garamond"/>
          <w:b/>
          <w:i/>
          <w:color w:val="3D5E87"/>
          <w:sz w:val="23"/>
        </w:rPr>
        <w:t>The Saudi-Wahhabi Structural Parallel</w:t>
      </w:r>
    </w:p>
    <w:p>
      <w:pPr>
        <w:spacing w:before="0" w:after="140" w:line="300" w:lineRule="exact"/>
      </w:pPr>
      <w:r>
        <w:rPr>
          <w:rFonts w:ascii="Garamond" w:hAnsi="Garamond"/>
          <w:b w:val="0"/>
          <w:i w:val="0"/>
          <w:sz w:val="21"/>
        </w:rPr>
        <w:t>The parallel between the Deobandi movement and the Saudi-Wahhabi movement is not incidental. Both emerged in the same generation (mid-18th century CE), both responded to the same crisis of Islamic political authority, both deployed a purification rhetoric against bidʼa, both produced institutional structures that systematically eliminated the batin dimension of the Islamic tradition. The parallel was recognized by later scholars of both traditions.</w:t>
      </w:r>
    </w:p>
    <w:p>
      <w:pPr>
        <w:spacing w:before="0" w:after="140" w:line="300" w:lineRule="exact"/>
      </w:pPr>
      <w:r>
        <w:rPr>
          <w:rFonts w:ascii="Garamond" w:hAnsi="Garamond"/>
          <w:b w:val="0"/>
          <w:i w:val="0"/>
          <w:sz w:val="21"/>
        </w:rPr>
        <w:t>The structural connection became organizationally concrete in the 20th century, particularly after the 1973 oil shock made Saudi Arabia the dominant financial power in the Muslim world. Saudi funding of Deobandi madrasas in Pakistan — initially through the Zia al-Haq government (1977–1988 CE) as part of the anti-Soviet jihad infrastructure — produced a massive expansion of the Deobandi institutional network in the Punjab and NWFP. The JUI-F (Jamiat Ulama-i-Islam Fazl-ur-Rahman) became the political vehicle of this expanded Deobandi network. By the 1990s, the Taliban in Afghanistan were almost entirely products of Pakistani Deobandi madrasas funded through this Saudi-Deobandi nexus.</w:t>
      </w:r>
    </w:p>
    <w:p>
      <w:pPr>
        <w:spacing w:before="360" w:after="120"/>
      </w:pPr>
      <w:r>
        <w:rPr>
          <w:rFonts w:ascii="Garamond" w:hAnsi="Garamond"/>
          <w:b/>
          <w:i w:val="0"/>
          <w:color w:val="2E4A6E"/>
          <w:sz w:val="26"/>
        </w:rPr>
        <w:t>VII. The Genealogy Chain: Ahmad Sirhindi to Munir's Resistance</w:t>
      </w:r>
    </w:p>
    <w:p>
      <w:pPr>
        <w:spacing w:before="0" w:after="140" w:line="300" w:lineRule="exact"/>
      </w:pPr>
      <w:r>
        <w:rPr>
          <w:rFonts w:ascii="Garamond" w:hAnsi="Garamond"/>
          <w:b w:val="0"/>
          <w:i w:val="0"/>
          <w:sz w:val="21"/>
        </w:rPr>
        <w:t>The SCRA genealogy chain for Baʼalist Capture in the Indus basin can now be stated with precision. It is not a simple linear transmission but a branching structure in which the Baʼalist tendency consistently overtook the synthesis tendency at each generational juncture:</w:t>
      </w:r>
    </w:p>
    <w:p>
      <w:pPr>
        <w:spacing w:after="60"/>
        <w:ind w:left="720"/>
      </w:pPr>
      <w:r>
        <w:rPr>
          <w:rFonts w:ascii="Courier New" w:hAnsi="Courier New"/>
          <w:b w:val="0"/>
          <w:i w:val="0"/>
          <w:color w:val="2E4A6E"/>
          <w:sz w:val="19"/>
        </w:rPr>
        <w:t>Ahmad Sirhindi (1563–1624 CE)</w:t>
      </w:r>
    </w:p>
    <w:p>
      <w:pPr>
        <w:spacing w:after="60"/>
        <w:ind w:left="720"/>
      </w:pPr>
      <w:r>
        <w:rPr>
          <w:rFonts w:ascii="Courier New" w:hAnsi="Courier New"/>
          <w:b w:val="0"/>
          <w:i w:val="0"/>
          <w:color w:val="2E4A6E"/>
          <w:sz w:val="19"/>
        </w:rPr>
        <w:t xml:space="preserve">    └─ Theoretical anti-batin theology in Maktubat</w:t>
      </w:r>
    </w:p>
    <w:p>
      <w:pPr>
        <w:spacing w:after="60"/>
        <w:ind w:left="720"/>
      </w:pPr>
      <w:r>
        <w:rPr>
          <w:rFonts w:ascii="Courier New" w:hAnsi="Courier New"/>
          <w:b w:val="0"/>
          <w:i w:val="0"/>
          <w:color w:val="2E4A6E"/>
          <w:sz w:val="19"/>
        </w:rPr>
        <w:t xml:space="preserve">    └─ Naqshbandi-Mujaddidi silsila: opposition to Akbar's Din-e-Ilahi</w:t>
      </w:r>
    </w:p>
    <w:p>
      <w:pPr>
        <w:spacing w:after="60"/>
        <w:ind w:left="720"/>
      </w:pPr>
      <w:r>
        <w:rPr>
          <w:rFonts w:ascii="Courier New" w:hAnsi="Courier New"/>
          <w:b w:val="0"/>
          <w:i w:val="0"/>
          <w:color w:val="2E4A6E"/>
          <w:sz w:val="19"/>
        </w:rPr>
      </w:r>
    </w:p>
    <w:p>
      <w:pPr>
        <w:spacing w:after="60"/>
        <w:ind w:left="720"/>
      </w:pPr>
      <w:r>
        <w:rPr>
          <w:rFonts w:ascii="Courier New" w:hAnsi="Courier New"/>
          <w:b w:val="0"/>
          <w:i w:val="0"/>
          <w:color w:val="2E4A6E"/>
          <w:sz w:val="19"/>
        </w:rPr>
        <w:t>Aurangzeb ʿAlamgir (1618–1707 CE)</w:t>
      </w:r>
    </w:p>
    <w:p>
      <w:pPr>
        <w:spacing w:after="60"/>
        <w:ind w:left="720"/>
      </w:pPr>
      <w:r>
        <w:rPr>
          <w:rFonts w:ascii="Courier New" w:hAnsi="Courier New"/>
          <w:b w:val="0"/>
          <w:i w:val="0"/>
          <w:color w:val="2E4A6E"/>
          <w:sz w:val="19"/>
        </w:rPr>
        <w:t xml:space="preserve">    └─ Baʼalist Capture: execution of Dara Shikoh (1659 CE)</w:t>
      </w:r>
    </w:p>
    <w:p>
      <w:pPr>
        <w:spacing w:after="60"/>
        <w:ind w:left="720"/>
      </w:pPr>
      <w:r>
        <w:rPr>
          <w:rFonts w:ascii="Courier New" w:hAnsi="Courier New"/>
          <w:b w:val="0"/>
          <w:i w:val="0"/>
          <w:color w:val="2E4A6E"/>
          <w:sz w:val="19"/>
        </w:rPr>
        <w:t xml:space="preserve">    └─ Five reversals: Ibadat Khana, Din-e-Ilahi, Fatawa-e-Alamgiri</w:t>
      </w:r>
    </w:p>
    <w:p>
      <w:pPr>
        <w:spacing w:after="60"/>
        <w:ind w:left="720"/>
      </w:pPr>
      <w:r>
        <w:rPr>
          <w:rFonts w:ascii="Courier New" w:hAnsi="Courier New"/>
          <w:b w:val="0"/>
          <w:i w:val="0"/>
          <w:color w:val="2E4A6E"/>
          <w:sz w:val="19"/>
        </w:rPr>
      </w:r>
    </w:p>
    <w:p>
      <w:pPr>
        <w:spacing w:after="60"/>
        <w:ind w:left="720"/>
      </w:pPr>
      <w:r>
        <w:rPr>
          <w:rFonts w:ascii="Courier New" w:hAnsi="Courier New"/>
          <w:b w:val="0"/>
          <w:i w:val="0"/>
          <w:color w:val="2E4A6E"/>
          <w:sz w:val="19"/>
        </w:rPr>
        <w:t>Shah Wali Allah (1703–1762 CE)</w:t>
      </w:r>
    </w:p>
    <w:p>
      <w:pPr>
        <w:spacing w:after="60"/>
        <w:ind w:left="720"/>
      </w:pPr>
      <w:r>
        <w:rPr>
          <w:rFonts w:ascii="Courier New" w:hAnsi="Courier New"/>
          <w:b w:val="0"/>
          <w:i w:val="0"/>
          <w:color w:val="2E4A6E"/>
          <w:sz w:val="19"/>
        </w:rPr>
        <w:t xml:space="preserve">    └─ Synthesis track: Ḥujjat Allāh al-Bāligha, Fath al-Rahman</w:t>
      </w:r>
    </w:p>
    <w:p>
      <w:pPr>
        <w:spacing w:after="60"/>
        <w:ind w:left="720"/>
      </w:pPr>
      <w:r>
        <w:rPr>
          <w:rFonts w:ascii="Courier New" w:hAnsi="Courier New"/>
          <w:b w:val="0"/>
          <w:i w:val="0"/>
          <w:color w:val="2E4A6E"/>
          <w:sz w:val="19"/>
        </w:rPr>
        <w:t xml:space="preserve">    └─ Baʼalist track: Izalat al-Khafa, Panipat III letter</w:t>
      </w:r>
    </w:p>
    <w:p>
      <w:pPr>
        <w:spacing w:after="60"/>
        <w:ind w:left="720"/>
      </w:pPr>
      <w:r>
        <w:rPr>
          <w:rFonts w:ascii="Courier New" w:hAnsi="Courier New"/>
          <w:b w:val="0"/>
          <w:i w:val="0"/>
          <w:color w:val="2E4A6E"/>
          <w:sz w:val="19"/>
        </w:rPr>
      </w:r>
    </w:p>
    <w:p>
      <w:pPr>
        <w:spacing w:after="60"/>
        <w:ind w:left="720"/>
      </w:pPr>
      <w:r>
        <w:rPr>
          <w:rFonts w:ascii="Courier New" w:hAnsi="Courier New"/>
          <w:b w:val="0"/>
          <w:i w:val="0"/>
          <w:color w:val="2E4A6E"/>
          <w:sz w:val="19"/>
        </w:rPr>
        <w:t>Shah ʿAbd al-ʿAziz (1746–1823 CE) → [synthesis, partial]</w:t>
      </w:r>
    </w:p>
    <w:p>
      <w:pPr>
        <w:spacing w:after="60"/>
        <w:ind w:left="720"/>
      </w:pPr>
      <w:r>
        <w:rPr>
          <w:rFonts w:ascii="Courier New" w:hAnsi="Courier New"/>
          <w:b w:val="0"/>
          <w:i w:val="0"/>
          <w:color w:val="2E4A6E"/>
          <w:sz w:val="19"/>
        </w:rPr>
        <w:t>Sayyid Ahmad Barelvi + Shah Ismaʼil (1786–1831 CE) → [Baʼalist weaponization]</w:t>
      </w:r>
    </w:p>
    <w:p>
      <w:pPr>
        <w:spacing w:after="60"/>
        <w:ind w:left="720"/>
      </w:pPr>
      <w:r>
        <w:rPr>
          <w:rFonts w:ascii="Courier New" w:hAnsi="Courier New"/>
          <w:b w:val="0"/>
          <w:i w:val="0"/>
          <w:color w:val="2E4A6E"/>
          <w:sz w:val="19"/>
        </w:rPr>
        <w:t xml:space="preserve">    └─ Tariqah-i-Muhammadiyah: systematic demolition of Sufi zahir-batin</w:t>
      </w:r>
    </w:p>
    <w:p>
      <w:pPr>
        <w:spacing w:after="60"/>
        <w:ind w:left="720"/>
      </w:pPr>
      <w:r>
        <w:rPr>
          <w:rFonts w:ascii="Courier New" w:hAnsi="Courier New"/>
          <w:b w:val="0"/>
          <w:i w:val="0"/>
          <w:color w:val="2E4A6E"/>
          <w:sz w:val="19"/>
        </w:rPr>
      </w:r>
    </w:p>
    <w:p>
      <w:pPr>
        <w:spacing w:after="60"/>
        <w:ind w:left="720"/>
      </w:pPr>
      <w:r>
        <w:rPr>
          <w:rFonts w:ascii="Courier New" w:hAnsi="Courier New"/>
          <w:b w:val="0"/>
          <w:i w:val="0"/>
          <w:color w:val="2E4A6E"/>
          <w:sz w:val="19"/>
        </w:rPr>
        <w:t>Deoband 1867 CE (Nanotawi, Gangohi)</w:t>
      </w:r>
    </w:p>
    <w:p>
      <w:pPr>
        <w:spacing w:after="60"/>
        <w:ind w:left="720"/>
      </w:pPr>
      <w:r>
        <w:rPr>
          <w:rFonts w:ascii="Courier New" w:hAnsi="Courier New"/>
          <w:b w:val="0"/>
          <w:i w:val="0"/>
          <w:color w:val="2E4A6E"/>
          <w:sz w:val="19"/>
        </w:rPr>
        <w:t xml:space="preserve">    └─ Institutionalization: text-without-batin curriculum</w:t>
      </w:r>
    </w:p>
    <w:p>
      <w:pPr>
        <w:spacing w:after="60"/>
        <w:ind w:left="720"/>
      </w:pPr>
      <w:r>
        <w:rPr>
          <w:rFonts w:ascii="Courier New" w:hAnsi="Courier New"/>
          <w:b w:val="0"/>
          <w:i w:val="0"/>
          <w:color w:val="2E4A6E"/>
          <w:sz w:val="19"/>
        </w:rPr>
        <w:t xml:space="preserve">    └─ Anti-Shia institutional identity</w:t>
      </w:r>
    </w:p>
    <w:p>
      <w:pPr>
        <w:spacing w:after="60"/>
        <w:ind w:left="720"/>
      </w:pPr>
      <w:r>
        <w:rPr>
          <w:rFonts w:ascii="Courier New" w:hAnsi="Courier New"/>
          <w:b w:val="0"/>
          <w:i w:val="0"/>
          <w:color w:val="2E4A6E"/>
          <w:sz w:val="19"/>
        </w:rPr>
      </w:r>
    </w:p>
    <w:p>
      <w:pPr>
        <w:spacing w:after="60"/>
        <w:ind w:left="720"/>
      </w:pPr>
      <w:r>
        <w:rPr>
          <w:rFonts w:ascii="Courier New" w:hAnsi="Courier New"/>
          <w:b w:val="0"/>
          <w:i w:val="0"/>
          <w:color w:val="2E4A6E"/>
          <w:sz w:val="19"/>
        </w:rPr>
        <w:t>Zia al-Haq (1977–1988 CE)</w:t>
      </w:r>
    </w:p>
    <w:p>
      <w:pPr>
        <w:spacing w:after="60"/>
        <w:ind w:left="720"/>
      </w:pPr>
      <w:r>
        <w:rPr>
          <w:rFonts w:ascii="Courier New" w:hAnsi="Courier New"/>
          <w:b w:val="0"/>
          <w:i w:val="0"/>
          <w:color w:val="2E4A6E"/>
          <w:sz w:val="19"/>
        </w:rPr>
        <w:t xml:space="preserve">    └─ State capture: Islamization through Deobandi framework</w:t>
      </w:r>
    </w:p>
    <w:p>
      <w:pPr>
        <w:spacing w:after="60"/>
        <w:ind w:left="720"/>
      </w:pPr>
      <w:r>
        <w:rPr>
          <w:rFonts w:ascii="Courier New" w:hAnsi="Courier New"/>
          <w:b w:val="0"/>
          <w:i w:val="0"/>
          <w:color w:val="2E4A6E"/>
          <w:sz w:val="19"/>
        </w:rPr>
        <w:t xml:space="preserve">    └─ Saudi funding infrastructure: madrasa expansion</w:t>
      </w:r>
    </w:p>
    <w:p>
      <w:pPr>
        <w:spacing w:after="60"/>
        <w:ind w:left="720"/>
      </w:pPr>
      <w:r>
        <w:rPr>
          <w:rFonts w:ascii="Courier New" w:hAnsi="Courier New"/>
          <w:b w:val="0"/>
          <w:i w:val="0"/>
          <w:color w:val="2E4A6E"/>
          <w:sz w:val="19"/>
        </w:rPr>
      </w:r>
    </w:p>
    <w:p>
      <w:pPr>
        <w:spacing w:after="60"/>
        <w:ind w:left="720"/>
      </w:pPr>
      <w:r>
        <w:rPr>
          <w:rFonts w:ascii="Courier New" w:hAnsi="Courier New"/>
          <w:b w:val="0"/>
          <w:i w:val="0"/>
          <w:color w:val="2E4A6E"/>
          <w:sz w:val="19"/>
        </w:rPr>
        <w:t>JUI-F / PML-N–Saudi nexus (1988–present)</w:t>
      </w:r>
    </w:p>
    <w:p>
      <w:pPr>
        <w:spacing w:after="60"/>
        <w:ind w:left="720"/>
      </w:pPr>
      <w:r>
        <w:rPr>
          <w:rFonts w:ascii="Courier New" w:hAnsi="Courier New"/>
          <w:b w:val="0"/>
          <w:i w:val="0"/>
          <w:color w:val="2E4A6E"/>
          <w:sz w:val="19"/>
        </w:rPr>
        <w:t xml:space="preserve">    └─ Organized Deobandi political constituency</w:t>
      </w:r>
    </w:p>
    <w:p>
      <w:pPr>
        <w:spacing w:after="60"/>
        <w:ind w:left="720"/>
      </w:pPr>
      <w:r>
        <w:rPr>
          <w:rFonts w:ascii="Courier New" w:hAnsi="Courier New"/>
          <w:b w:val="0"/>
          <w:i w:val="0"/>
          <w:color w:val="2E4A6E"/>
          <w:sz w:val="19"/>
        </w:rPr>
        <w:t xml:space="preserve">    └─; External Baʼalist Capture mechanism against Pakistan Army</w:t>
      </w:r>
    </w:p>
    <w:p>
      <w:pPr>
        <w:spacing w:after="60"/>
        <w:ind w:left="720"/>
      </w:pPr>
      <w:r>
        <w:rPr>
          <w:rFonts w:ascii="Courier New" w:hAnsi="Courier New"/>
          <w:b w:val="0"/>
          <w:i w:val="0"/>
          <w:color w:val="2E4A6E"/>
          <w:sz w:val="19"/>
        </w:rPr>
      </w:r>
    </w:p>
    <w:p>
      <w:pPr>
        <w:spacing w:after="60"/>
        <w:ind w:left="720"/>
      </w:pPr>
      <w:r>
        <w:rPr>
          <w:rFonts w:ascii="Courier New" w:hAnsi="Courier New"/>
          <w:b w:val="0"/>
          <w:i w:val="0"/>
          <w:color w:val="2E4A6E"/>
          <w:sz w:val="19"/>
        </w:rPr>
        <w:t>Field Marshal Munir's Resistance (2024–present)</w:t>
      </w:r>
    </w:p>
    <w:p>
      <w:pPr>
        <w:spacing w:after="60"/>
        <w:ind w:left="720"/>
      </w:pPr>
      <w:r>
        <w:rPr>
          <w:rFonts w:ascii="Courier New" w:hAnsi="Courier New"/>
          <w:b w:val="0"/>
          <w:i w:val="0"/>
          <w:color w:val="2E4A6E"/>
          <w:sz w:val="19"/>
        </w:rPr>
        <w:t xml:space="preserve">    └─ Fitna al-Khawarij designation (July 2024)</w:t>
      </w:r>
    </w:p>
    <w:p>
      <w:pPr>
        <w:spacing w:after="60"/>
        <w:ind w:left="720"/>
      </w:pPr>
      <w:r>
        <w:rPr>
          <w:rFonts w:ascii="Courier New" w:hAnsi="Courier New"/>
          <w:b w:val="0"/>
          <w:i w:val="0"/>
          <w:color w:val="2E4A6E"/>
          <w:sz w:val="19"/>
        </w:rPr>
        <w:t xml:space="preserve">    └─ Riyasat-e-Tayyaba civilizational counter-framing</w:t>
      </w:r>
    </w:p>
    <w:p>
      <w:pPr>
        <w:spacing w:after="60"/>
        <w:ind w:left="720"/>
      </w:pPr>
      <w:r>
        <w:rPr>
          <w:rFonts w:ascii="Courier New" w:hAnsi="Courier New"/>
          <w:b w:val="0"/>
          <w:i w:val="0"/>
          <w:color w:val="2E4A6E"/>
          <w:sz w:val="19"/>
        </w:rPr>
        <w:t xml:space="preserve">    └─ Institutional self-recovery of Pakistan Army</w:t>
      </w:r>
    </w:p>
    <w:p/>
    <w:p>
      <w:pPr>
        <w:spacing w:before="0" w:after="140" w:line="300" w:lineRule="exact"/>
      </w:pPr>
      <w:r>
        <w:rPr>
          <w:rFonts w:ascii="Garamond" w:hAnsi="Garamond"/>
          <w:b w:val="0"/>
          <w:i w:val="0"/>
          <w:sz w:val="21"/>
        </w:rPr>
        <w:t>Several structural observations about this genealogy chain are necessary for SCRA analysis. First, the chain is not deterministic: at each juncture, the synthesis track was available and was partially pursued. The Baʼalist track did not win through inevitability but through specific institutional and political decisions. Second, Shah Wali Allah occupies a genuine pivot point: his project was the last serious attempt to rebuild the zahir-batin synthesis in the Indus basin before Deoband's institutionalization. The failure of that project — its inability to produce a synthesis institution capable of outlasting its founding figure — is the decisive moment in the genealogy.</w:t>
      </w:r>
    </w:p>
    <w:p>
      <w:pPr>
        <w:spacing w:before="0" w:after="140" w:line="300" w:lineRule="exact"/>
      </w:pPr>
      <w:r>
        <w:rPr>
          <w:rFonts w:ascii="Garamond" w:hAnsi="Garamond"/>
          <w:b w:val="0"/>
          <w:i w:val="0"/>
          <w:sz w:val="21"/>
        </w:rPr>
        <w:t>Third, the Zia al-Haq episode was not a genealogically novel capture but a reactivation of the existing Deobandi institutional infrastructure through state power. The Saudi-Deobandi funding architecture that Zia enabled did not create the Deobandi network — it massively expanded an existing structure. This is why the SCRA analysis (developed in WP-35: The Walayah Doctrine and the Pakistan Doctrine) characterizes the Zia episode as a historical glitch corrected by institutional self-recovery: the army institutionally recognized the Baʼalist capture mechanism and corrected it. The ongoing threat is the external Deobandi civilian political network (JUI-F, PML-N-Saudi nexus) that continues to operate as the Baʼalist pressure system on the Pakistani state.</w:t>
      </w:r>
    </w:p>
    <w:p>
      <w:pPr>
        <w:spacing w:before="360" w:after="120"/>
      </w:pPr>
      <w:r>
        <w:rPr>
          <w:rFonts w:ascii="Garamond" w:hAnsi="Garamond"/>
          <w:b/>
          <w:i w:val="0"/>
          <w:color w:val="2E4A6E"/>
          <w:sz w:val="26"/>
        </w:rPr>
        <w:t>VIII. SCRA Assessment: The Failed Synthesis Verdict</w:t>
      </w:r>
    </w:p>
    <w:p>
      <w:pPr>
        <w:spacing w:before="0" w:after="140" w:line="300" w:lineRule="exact"/>
      </w:pPr>
      <w:r>
        <w:rPr>
          <w:rFonts w:ascii="Garamond" w:hAnsi="Garamond"/>
          <w:b w:val="0"/>
          <w:i w:val="0"/>
          <w:sz w:val="21"/>
        </w:rPr>
        <w:t>The SCRA verdict on Shah Wali Allah is carefully calibrated. He was not a Baʼalist: the Ḥujjat Allāh al-Bāligha is a genuine intellectual achievement that deserves its place in the history of Islamic thought as the most sophisticated rational-theological justification of the shariʿa in the pre-modern period. His Fath al-Rahman was a democratic and civilizationally open act: making the Quran accessible to Persian speakers across the Indus basin. His Sufi training in both the Naqshbandi and Qadiri silsilas reflects a genuine commitment to the batin dimension of the tradition.</w:t>
      </w:r>
    </w:p>
    <w:p>
      <w:pPr>
        <w:spacing w:before="0" w:after="140" w:line="300" w:lineRule="exact"/>
      </w:pPr>
      <w:r>
        <w:rPr>
          <w:rFonts w:ascii="Garamond" w:hAnsi="Garamond"/>
          <w:b w:val="0"/>
          <w:i w:val="0"/>
          <w:sz w:val="21"/>
        </w:rPr>
        <w:t>But the SCRA verdict is nonetheless: Failed Synthesis. The failure has three dimensions:</w:t>
      </w:r>
    </w:p>
    <w:p>
      <w:pPr>
        <w:spacing w:before="0" w:after="140" w:line="300" w:lineRule="exact"/>
      </w:pPr>
      <w:r>
        <w:rPr>
          <w:rFonts w:ascii="Garamond" w:hAnsi="Garamond"/>
          <w:b w:val="0"/>
          <w:i w:val="0"/>
          <w:sz w:val="21"/>
        </w:rPr>
        <w:t>(1) Ontological Deficiency: The Ḥujjat Allāh al-Bāligha's batin is rational-ethical rather than theophanic. It produces a sophisticated utilitarian argument for the shariʿa but lacks the walayah ontology that grounds the zahir-batin integration in something deeper than rational calculation. Without the Imamic walayah ground — the recognition that the batin is not merely a more refined version of the zahir but an ontologically distinct modality of access to divine reality — the synthesis remains theoretically unstable. The anti-Shia polemic of the Izalat al-Khafa actively prevented Shah Wali Allah from accessing this ground.</w:t>
      </w:r>
    </w:p>
    <w:p>
      <w:pPr>
        <w:spacing w:before="0" w:after="140" w:line="300" w:lineRule="exact"/>
      </w:pPr>
      <w:r>
        <w:rPr>
          <w:rFonts w:ascii="Garamond" w:hAnsi="Garamond"/>
          <w:b w:val="0"/>
          <w:i w:val="0"/>
          <w:sz w:val="21"/>
        </w:rPr>
        <w:t>(2) Institutional Non-Transmission: Shah Wali Allah produced no institutional framework capable of transmitting the synthesis beyond his personal sphere of influence. The Rahimiyya madrasa did not institutionalize the zahir-batin integration in a form that could resist generational capture. When his most dynamic students — Sayyid Ahmad Barelvi and Shah Ismaʼil — selected the Baʼalist dimension of the project for activation, there was no institutional counter-structure that could sustain the synthesis alternative.</w:t>
      </w:r>
    </w:p>
    <w:p>
      <w:pPr>
        <w:spacing w:before="0" w:after="140" w:line="300" w:lineRule="exact"/>
      </w:pPr>
      <w:r>
        <w:rPr>
          <w:rFonts w:ascii="Garamond" w:hAnsi="Garamond"/>
          <w:b w:val="0"/>
          <w:i w:val="0"/>
          <w:sz w:val="21"/>
        </w:rPr>
        <w:t>(3) Political Complicity: The Panipat III letter — Shah Wali Allah's call to Ahmad Shah Durrani to launch a military campaign framed as jihad against Hindu political power — activated the jihad dimension of the tradition in a way that would become the dominant mode of the Baʼalist inheritance. The framing of the political problem as a military-religious jihad rather than a civilizational-synthesis challenge established a template that Sayyid Ahmad Barelvi, Deoband, and eventually the Taliban would all deploy.</w:t>
      </w:r>
    </w:p>
    <w:p>
      <w:pPr>
        <w:spacing w:before="0" w:after="140" w:line="300" w:lineRule="exact"/>
      </w:pPr>
      <w:r>
        <w:rPr>
          <w:rFonts w:ascii="Garamond" w:hAnsi="Garamond"/>
          <w:b w:val="0"/>
          <w:i w:val="0"/>
          <w:sz w:val="21"/>
        </w:rPr>
        <w:t>The contrast with Dara Shikoh is instructive. Dara Shikoh — executed by Aurangzeb in 1659 CE, two generations before Shah Wali Allah — attempted a zahir-batin synthesis that was ontologically grounded: the Majmaʿ al-Baḥrayn explicitly argued that the Sufi concept of al-bahr (the ocean) and the Vedantic concept of sagara (the ocean) are identical, grounding the synthesis in a theophanic reality that transcends both traditions. Shah Wali Allah's synthesis, by contrast, remained within the boundaries of Islamic legal rationalism. It was more defensible from within the Sunni mainstream but less capable of providing the civilizational breadth that the Indus basin required.</w:t>
      </w:r>
    </w:p>
    <w:p>
      <w:pPr>
        <w:spacing w:before="200" w:after="200"/>
        <w:ind w:left="504" w:right="504"/>
      </w:pPr>
      <w:r>
        <w:rPr>
          <w:rFonts w:ascii="Garamond" w:hAnsi="Garamond"/>
          <w:b w:val="0"/>
          <w:i/>
          <w:color w:val="2E4A6E"/>
          <w:sz w:val="21"/>
        </w:rPr>
        <w:t>SCRA Verdict (WP-39): Shah Wali Allah and the Failed Synthesis. A genuine intellectual achievement at the theoretical level — the most sophisticated rational-theological justification of the shariʿa in pre-modern Islamic thought — terminated institutionally by Baʼalist Capture from within his own school of students. The Quṭubiyya framework lacked the walayah ontological ground necessary to resist institutional capture. The anti-Shia polemic actively prevented access to that ground. The result: the most promising attempt to rebuild Indus basin civilizational synthesis after Aurangzeb became, through its Baʼalist inheritance, the intellectual genealogy of Deoband 1867 — the institution that would become the primary vehicle of Baʼalist Capture in the modern Indus basin. SCRA Assessment: Failed Synthesis — partial recovery, structural collapse.</w:t>
      </w:r>
    </w:p>
    <w:p>
      <w:pPr>
        <w:spacing w:before="360" w:after="120"/>
      </w:pPr>
      <w:r>
        <w:rPr>
          <w:rFonts w:ascii="Garamond" w:hAnsi="Garamond"/>
          <w:b/>
          <w:i w:val="0"/>
          <w:color w:val="2E4A6E"/>
          <w:sz w:val="26"/>
        </w:rPr>
        <w:t>IX. SCRA Cross-Reference Architecture</w:t>
      </w:r>
    </w:p>
    <w:p>
      <w:pPr>
        <w:spacing w:before="0" w:after="140" w:line="300" w:lineRule="exact"/>
      </w:pPr>
      <w:r>
        <w:rPr>
          <w:rFonts w:ascii="Garamond" w:hAnsi="Garamond"/>
          <w:b w:val="0"/>
          <w:i w:val="0"/>
          <w:sz w:val="21"/>
        </w:rPr>
        <w:t>This paper occupies a specific structural position in the SCRA working paper sequence. It is positioned as SCRA Pakistan Studies Series No. 2, bridging the historical civilizational analysis (Indus Basin Studies Series) and the contemporary applied analysis (Pakistan Studies contemporary papers).</w:t>
      </w:r>
    </w:p>
    <w:p>
      <w:pPr>
        <w:spacing w:before="0" w:after="140" w:line="300" w:lineRule="exact"/>
      </w:pPr>
      <w:r>
        <w:rPr>
          <w:rFonts w:ascii="Garamond" w:hAnsi="Garamond"/>
          <w:b w:val="0"/>
          <w:i w:val="0"/>
          <w:sz w:val="21"/>
        </w:rPr>
        <w:t>SCRA cross-references for this paper:</w:t>
      </w:r>
    </w:p>
    <w:p>
      <w:pPr>
        <w:spacing w:before="0" w:after="140" w:line="300" w:lineRule="exact"/>
      </w:pPr>
      <w:r>
        <w:rPr>
          <w:rFonts w:ascii="Garamond" w:hAnsi="Garamond"/>
          <w:b w:val="0"/>
          <w:i w:val="0"/>
          <w:sz w:val="21"/>
        </w:rPr>
        <w:t>WP-36 (Mughal Synthesis) — the direct antecedent: Aurangzeb's Baʼalist Capture of the Mughal synthesis is the civilizational wound that Shah Wali Allah was attempting to address. WP-36 provides the structural context for the Shah Wali Allah project.</w:t>
      </w:r>
    </w:p>
    <w:p>
      <w:pPr>
        <w:spacing w:before="0" w:after="140" w:line="300" w:lineRule="exact"/>
      </w:pPr>
      <w:r>
        <w:rPr>
          <w:rFonts w:ascii="Garamond" w:hAnsi="Garamond"/>
          <w:b w:val="0"/>
          <w:i w:val="0"/>
          <w:sz w:val="21"/>
        </w:rPr>
        <w:t>WP-06 (The Indus Thesis: Iqbal's Persian Synthesis) — the direct descendant: Iqbal's 20th-century attempt to rebuild Indus basin civilizational synthesis after the Deobandi institutionalization is the next episode in the synthesis-vs.-Baʼalist-capture sequence that this paper traces. WP-06 should be read as the continuation of WP-39.</w:t>
      </w:r>
    </w:p>
    <w:p>
      <w:pPr>
        <w:spacing w:before="0" w:after="140" w:line="300" w:lineRule="exact"/>
      </w:pPr>
      <w:r>
        <w:rPr>
          <w:rFonts w:ascii="Garamond" w:hAnsi="Garamond"/>
          <w:b w:val="0"/>
          <w:i w:val="0"/>
          <w:sz w:val="21"/>
        </w:rPr>
        <w:t>WP-07 (The Sealed Room: Ibn Taymiyyah's Jurisprudential Architecture) — the intellectual genealogy of the Baʼalist legal tradition that Deoband institutionalized.</w:t>
      </w:r>
    </w:p>
    <w:p>
      <w:pPr>
        <w:spacing w:before="0" w:after="140" w:line="300" w:lineRule="exact"/>
      </w:pPr>
      <w:r>
        <w:rPr>
          <w:rFonts w:ascii="Garamond" w:hAnsi="Garamond"/>
          <w:b w:val="0"/>
          <w:i w:val="0"/>
          <w:sz w:val="21"/>
        </w:rPr>
        <w:t>WP-35 (The Walayah Doctrine and the Pakistan Doctrine) — the contemporary resolution: the Munir Synthesis as the Pakistan Army's current civilizational counter-strategy against the Baʼalist inheritance of the JUI-F/PML-N-Saudi nexus.</w:t>
      </w:r>
    </w:p>
    <w:p>
      <w:pPr>
        <w:spacing w:before="0" w:after="140" w:line="300" w:lineRule="exact"/>
      </w:pPr>
      <w:r>
        <w:rPr>
          <w:rFonts w:ascii="Garamond" w:hAnsi="Garamond"/>
          <w:b w:val="0"/>
          <w:i w:val="0"/>
          <w:sz w:val="21"/>
        </w:rPr>
        <w:t>WP-31 (The Safavid Experiment) — the parallel Shia attempt to institutionalize the batin tradition in state form, contemporaneous with the Mughal synthesis and collapsing in the same generation as Shah Wali Allah's project.</w:t>
      </w:r>
    </w:p>
    <w:p>
      <w:pPr>
        <w:spacing w:before="360" w:after="120"/>
      </w:pPr>
      <w:r>
        <w:rPr>
          <w:rFonts w:ascii="Garamond" w:hAnsi="Garamond"/>
          <w:b/>
          <w:i w:val="0"/>
          <w:color w:val="2E4A6E"/>
          <w:sz w:val="24"/>
        </w:rPr>
        <w:t>Bibliography (Selected)</w:t>
      </w:r>
    </w:p>
    <w:p>
      <w:pPr>
        <w:spacing w:after="100"/>
        <w:ind w:left="432" w:hanging="432"/>
      </w:pPr>
      <w:r>
        <w:rPr>
          <w:rFonts w:ascii="Garamond" w:hAnsi="Garamond"/>
          <w:b w:val="0"/>
          <w:i w:val="0"/>
          <w:sz w:val="19"/>
        </w:rPr>
        <w:t>Shah Wali Allah Dihlawi. Ḥujjat Allāh al-Bāligha. (1747 CE). Trans. Marcia Hermansen. Leiden: Brill, 1996.</w:t>
      </w:r>
    </w:p>
    <w:p>
      <w:pPr>
        <w:spacing w:after="100"/>
        <w:ind w:left="432" w:hanging="432"/>
      </w:pPr>
      <w:r>
        <w:rPr>
          <w:rFonts w:ascii="Garamond" w:hAnsi="Garamond"/>
          <w:b w:val="0"/>
          <w:i w:val="0"/>
          <w:sz w:val="19"/>
        </w:rPr>
        <w:t>Shah Wali Allah Dihlawi. Altaf al-Quds (Subtle Sanctities of the Heart). Trans. G.N. Jalbani. Lahore: Muhammad Ashraf, 1964.</w:t>
      </w:r>
    </w:p>
    <w:p>
      <w:pPr>
        <w:spacing w:after="100"/>
        <w:ind w:left="432" w:hanging="432"/>
      </w:pPr>
      <w:r>
        <w:rPr>
          <w:rFonts w:ascii="Garamond" w:hAnsi="Garamond"/>
          <w:b w:val="0"/>
          <w:i w:val="0"/>
          <w:sz w:val="19"/>
        </w:rPr>
        <w:t>Shah Wali Allah Dihlawi. Izalat al-Khafa wa-ʿUtrat al-Khulafaʼ. Lahore: Maktaba Rahimiyya, n.d.</w:t>
      </w:r>
    </w:p>
    <w:p>
      <w:pPr>
        <w:spacing w:after="100"/>
        <w:ind w:left="432" w:hanging="432"/>
      </w:pPr>
      <w:r>
        <w:rPr>
          <w:rFonts w:ascii="Garamond" w:hAnsi="Garamond"/>
          <w:b w:val="0"/>
          <w:i w:val="0"/>
          <w:sz w:val="19"/>
        </w:rPr>
        <w:t>Shah Ismaʼil Shahid and Sayyid Ahmad Barelvi. Sirat al-Mustaqim (The Straight Path). Trans. M. Usha. Delhi, 1871.</w:t>
      </w:r>
    </w:p>
    <w:p>
      <w:pPr>
        <w:spacing w:after="100"/>
        <w:ind w:left="432" w:hanging="432"/>
      </w:pPr>
      <w:r>
        <w:rPr>
          <w:rFonts w:ascii="Garamond" w:hAnsi="Garamond"/>
          <w:b w:val="0"/>
          <w:i w:val="0"/>
          <w:sz w:val="19"/>
        </w:rPr>
        <w:t>Baljon, J.M.S. Religion and Thought of Shah Wali Allah Dihlawi 1703–1762. Leiden: Brill, 1986.</w:t>
      </w:r>
    </w:p>
    <w:p>
      <w:pPr>
        <w:spacing w:after="100"/>
        <w:ind w:left="432" w:hanging="432"/>
      </w:pPr>
      <w:r>
        <w:rPr>
          <w:rFonts w:ascii="Garamond" w:hAnsi="Garamond"/>
          <w:b w:val="0"/>
          <w:i w:val="0"/>
          <w:sz w:val="19"/>
        </w:rPr>
        <w:t>Hermansen, Marcia K. The Conclusive Argument from God: Shah Wali Allah's Hujjat Allah al-Baligha. Leiden: Brill, 1996.</w:t>
      </w:r>
    </w:p>
    <w:p>
      <w:pPr>
        <w:spacing w:after="100"/>
        <w:ind w:left="432" w:hanging="432"/>
      </w:pPr>
      <w:r>
        <w:rPr>
          <w:rFonts w:ascii="Garamond" w:hAnsi="Garamond"/>
          <w:b w:val="0"/>
          <w:i w:val="0"/>
          <w:sz w:val="19"/>
        </w:rPr>
        <w:t>Metcalf, Barbara. Islamic Revival in British India: Deoband, 1860–1900. Princeton: Princeton University Press, 1982.</w:t>
      </w:r>
    </w:p>
    <w:p>
      <w:pPr>
        <w:spacing w:after="100"/>
        <w:ind w:left="432" w:hanging="432"/>
      </w:pPr>
      <w:r>
        <w:rPr>
          <w:rFonts w:ascii="Garamond" w:hAnsi="Garamond"/>
          <w:b w:val="0"/>
          <w:i w:val="0"/>
          <w:sz w:val="19"/>
        </w:rPr>
        <w:t>Ahmad, Aziz. Islamic Modernism in India and Pakistan 1857–1964. London: Oxford University Press, 1967.</w:t>
      </w:r>
    </w:p>
    <w:p>
      <w:pPr>
        <w:spacing w:after="100"/>
        <w:ind w:left="432" w:hanging="432"/>
      </w:pPr>
      <w:r>
        <w:rPr>
          <w:rFonts w:ascii="Garamond" w:hAnsi="Garamond"/>
          <w:b w:val="0"/>
          <w:i w:val="0"/>
          <w:sz w:val="19"/>
        </w:rPr>
        <w:t>Rizvi, Sayyid Athar Abbas. Shah Wali Allah and His Times. Canberra: Maʼrifat Publishing, 1980.</w:t>
      </w:r>
    </w:p>
    <w:p>
      <w:pPr>
        <w:spacing w:after="100"/>
        <w:ind w:left="432" w:hanging="432"/>
      </w:pPr>
      <w:r>
        <w:rPr>
          <w:rFonts w:ascii="Garamond" w:hAnsi="Garamond"/>
          <w:b w:val="0"/>
          <w:i w:val="0"/>
          <w:sz w:val="19"/>
        </w:rPr>
        <w:t>Nasr, Seyyed Vali Reza. The Vanguard of the Islamic Revolution: The Jamaʼat-i Islami of Pakistan. Berkeley: University of California Press, 1994.</w:t>
      </w:r>
    </w:p>
    <w:p>
      <w:pPr>
        <w:spacing w:after="100"/>
        <w:ind w:left="432" w:hanging="432"/>
      </w:pPr>
      <w:r>
        <w:rPr>
          <w:rFonts w:ascii="Garamond" w:hAnsi="Garamond"/>
          <w:b w:val="0"/>
          <w:i w:val="0"/>
          <w:sz w:val="19"/>
        </w:rPr>
        <w:t>Devji, Faisal. Muslim Zion: Pakistan as a Political Idea. London: Hurst, 2013.</w:t>
      </w:r>
    </w:p>
    <w:p>
      <w:pPr>
        <w:spacing w:after="100"/>
        <w:ind w:left="432" w:hanging="432"/>
      </w:pPr>
      <w:r>
        <w:rPr>
          <w:rFonts w:ascii="Garamond" w:hAnsi="Garamond"/>
          <w:b w:val="0"/>
          <w:i w:val="0"/>
          <w:sz w:val="19"/>
        </w:rPr>
        <w:t>Brown, Daniel. Rethinking Tradition in Modern Islamic Thought. Cambridge: Cambridge University Press, 1996.</w:t>
      </w:r>
    </w:p>
    <w:p>
      <w:pPr>
        <w:spacing w:after="100"/>
        <w:ind w:left="432" w:hanging="432"/>
      </w:pPr>
      <w:r>
        <w:rPr>
          <w:rFonts w:ascii="Garamond" w:hAnsi="Garamond"/>
          <w:b w:val="0"/>
          <w:i w:val="0"/>
          <w:sz w:val="19"/>
        </w:rPr>
        <w:t>Bosal, S.K. (2026). The Mughal Synthesis and Its Collapse. SCRA Working Paper 36. DOI: 10.5281/zenodo.20548865.</w:t>
      </w:r>
    </w:p>
    <w:p>
      <w:pPr>
        <w:spacing w:after="100"/>
        <w:ind w:left="432" w:hanging="432"/>
      </w:pPr>
      <w:r>
        <w:rPr>
          <w:rFonts w:ascii="Garamond" w:hAnsi="Garamond"/>
          <w:b w:val="0"/>
          <w:i w:val="0"/>
          <w:sz w:val="19"/>
        </w:rPr>
        <w:t>Bosal, S.K. (2026). The Indus Thesis. SCRA Working Paper 06. DOI: 10.5281/zenodo.20467615.</w:t>
      </w:r>
    </w:p>
    <w:p>
      <w:pPr>
        <w:spacing w:after="100"/>
        <w:ind w:left="432" w:hanging="432"/>
      </w:pPr>
      <w:r>
        <w:rPr>
          <w:rFonts w:ascii="Garamond" w:hAnsi="Garamond"/>
          <w:b w:val="0"/>
          <w:i w:val="0"/>
          <w:sz w:val="19"/>
        </w:rPr>
        <w:t>Bosal, S.K. (2026). The Walayah Doctrine and the Pakistan Doctrine. SCRA Working Paper 35. DOI: 10.5281/zenodo.20548585.</w:t>
      </w:r>
    </w:p>
    <w:p/>
    <w:p>
      <w:pPr>
        <w:jc w:val="center"/>
      </w:pPr>
      <w:r>
        <w:rPr>
          <w:rFonts w:ascii="Garamond" w:hAnsi="Garamond"/>
          <w:b w:val="0"/>
          <w:i w:val="0"/>
          <w:color w:val="2E4A6E"/>
          <w:sz w:val="16"/>
        </w:rPr>
        <w:t>SCRA Working Paper 39 · Pakistan Studies Series No. 2 · Sacred Civilization Research Archive · 2026 CE</w:t>
      </w:r>
    </w:p>
    <w:sectPr w:rsidR="00FC693F" w:rsidRPr="0006063C" w:rsidSect="00034616">
      <w:pgSz w:w="12240" w:h="15840"/>
      <w:pgMar w:top="1800" w:right="1944" w:bottom="1800" w:left="194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