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0" w:after="80"/>
        <w:jc w:val="center"/>
      </w:pPr>
      <w:r>
        <w:rPr>
          <w:b/>
          <w:color w:val="1A1A2E"/>
          <w:sz w:val="32"/>
        </w:rPr>
        <w:t>The Mughal Synthesis and Its Collapse:</w:t>
        <w:br/>
        <w:t>Akbar’s Din-e-Ilahi, Dara Shikoh’s Majmaʾ al-Bahrayn,</w:t>
        <w:br/>
        <w:t>and Aurangzeb’s Ba’alist Capture of the Indus Batin</w:t>
        <w:br/>
        <w:t>(933–1118 AH / 1526–1707 CE)</w:t>
      </w:r>
    </w:p>
    <w:p>
      <w:pPr>
        <w:spacing w:after="40"/>
        <w:jc w:val="center"/>
      </w:pPr>
      <w:r>
        <w:rPr>
          <w:b/>
          <w:color w:val="0A6E3C"/>
          <w:sz w:val="22"/>
        </w:rPr>
        <w:t>SCRA Indus Basin Studies Series No. 3</w:t>
      </w:r>
    </w:p>
    <w:p>
      <w:pPr>
        <w:spacing w:after="40"/>
        <w:jc w:val="center"/>
      </w:pPr>
      <w:r>
        <w:rPr>
          <w:b/>
          <w:sz w:val="24"/>
        </w:rPr>
        <w:t>Saad Khizar Bosal</w:t>
      </w:r>
    </w:p>
    <w:p>
      <w:pPr>
        <w:spacing w:after="40"/>
        <w:jc w:val="center"/>
      </w:pPr>
      <w:r>
        <w:rPr>
          <w:color w:val="444444"/>
          <w:sz w:val="20"/>
        </w:rPr>
        <w:t>Sacred Civilization Research Archive (SCRA)</w:t>
        <w:br/>
        <w:t>Mandi Bahauddin, Punjab, Pakistan</w:t>
      </w:r>
    </w:p>
    <w:p>
      <w:pPr>
        <w:spacing w:after="40"/>
        <w:jc w:val="center"/>
      </w:pPr>
      <w:r>
        <w:rPr>
          <w:color w:val="777777"/>
          <w:sz w:val="19"/>
        </w:rPr>
        <w:t>ORCID: 0009-0004-9944-7378</w:t>
      </w:r>
    </w:p>
    <w:p>
      <w:pPr>
        <w:spacing w:after="40"/>
        <w:jc w:val="center"/>
      </w:pPr>
      <w:r>
        <w:rPr>
          <w:color w:val="777777"/>
          <w:sz w:val="19"/>
        </w:rPr>
        <w:t>DOI: pending Zenodo deposit · SCRA-2026-WP36</w:t>
      </w:r>
    </w:p>
    <w:p>
      <w:pPr>
        <w:spacing w:after="80"/>
      </w:pPr>
    </w:p>
    <w:p>
      <w:pPr>
        <w:spacing w:before="160" w:after="160"/>
      </w:pPr>
      <w:r>
        <w:rPr>
          <w:color w:val="BBBBBB"/>
          <w:sz w:val="18"/>
        </w:rPr>
        <w:t>――――――――――――――――――――――――――――――――――――――――――――――――――――――――――――</w:t>
      </w:r>
    </w:p>
    <w:p>
      <w:pPr>
        <w:spacing w:before="280" w:after="80"/>
      </w:pPr>
      <w:r>
        <w:rPr>
          <w:b/>
          <w:color w:val="0A6E3C"/>
          <w:sz w:val="24"/>
        </w:rPr>
        <w:t>Abstract</w:t>
      </w:r>
    </w:p>
    <w:p>
      <w:pPr>
        <w:spacing w:before="60" w:after="120"/>
      </w:pPr>
      <w:r>
        <w:rPr>
          <w:sz w:val="22"/>
        </w:rPr>
        <w:t>The Mughal Empire (933–1274 AH / 1526–1857 CE) constitutes the most sophisticated Islamic civilizational formation on the Indus basin — and the most consequential gap in the SCRA Indus Basin Studies arc. This paper examines the Mughal period as a three-act civilizational drama: (I) Babur and Humayun’s establishment of a Timurid-Safavid-Sufi inheritance on the Indus, positioning the empire within the Persian-speaking walayah field from its founding; (II) the zahir-batin synthesis culminating under Akbar’s Din-e-Ilahi (990 AH / 1582 CE) and Dara Shikoh’s Majmaʾ al-Bahrayn (1066 AH / 1655 CE) — the intellectual apex of the Indus batin tradition; and (III) Aurangzeb’s Ba’alist Capture (1069–1118 AH / 1658–1707 CE) — the systematic dismantling of the synthesis through reimposed jizyah, destruction of Sufi institutional networks, patronage of proto-Deobandi scholars, and the execution of Dara Shikoh (1069 AH / 1659 CE). The paper argues that Aurangzeb’s reversal is the direct civilizational precondition for both the Mughal collapse and the British colonization that followed, establishing the structural conditions in which Deoband 1867 became the dominant religious institution of the subcontinent. The Aurangzeb–Dara Shikoh execution is to South Asian Islamic civilization what Saqifa is to Islamic civilization globally: the definitive moment at which the zahir captures the batin authority and establishes the institutional conditions for all subsequent Ba’alist capture operations. SCRA Verdict: Dara Shikoh’s Majmaʾ al-Bahrayn is the authentic batin statement of Indus Islamic civilization; Aurangzeb is its Saqifa.</w:t>
      </w:r>
    </w:p>
    <w:p>
      <w:pPr>
        <w:spacing w:before="60" w:after="120"/>
      </w:pPr>
      <w:r>
        <w:rPr>
          <w:sz w:val="22"/>
        </w:rPr>
        <w:t>Keywords: Mughal Empire; Akbar; Din-e-Ilahi; Dara Shikoh; Majmaʾ al-Bahrayn; Aurangzeb; Ba’alist Capture; Indus basin; Sufi; walayah; zahir-batin; Deoband; Shah Wali Allah; Timurid; Islamic political theology; South Asian Islam; Safavid connection</w:t>
      </w:r>
    </w:p>
    <w:p>
      <w:pPr>
        <w:spacing w:before="160" w:after="160"/>
      </w:pPr>
      <w:r>
        <w:rPr>
          <w:color w:val="BBBBBB"/>
          <w:sz w:val="18"/>
        </w:rPr>
        <w:t>――――――――――――――――――――――――――――――――――――――――――――――――――――――――――――</w:t>
      </w:r>
    </w:p>
    <w:p>
      <w:pPr>
        <w:spacing w:before="400" w:after="120"/>
      </w:pPr>
      <w:r>
        <w:rPr>
          <w:b/>
          <w:color w:val="1A1A2E"/>
          <w:sz w:val="28"/>
        </w:rPr>
        <w:t>I. Introduction: The 800-Year Gap in the Indus Arc</w:t>
      </w:r>
    </w:p>
    <w:p>
      <w:pPr>
        <w:spacing w:before="60" w:after="120"/>
      </w:pPr>
      <w:r>
        <w:rPr>
          <w:sz w:val="22"/>
        </w:rPr>
        <w:t>The SCRA Indus Basin Studies arc begins with the Indus Valley Civilization (c. 3300–1300 BCE) through Buddhist Gandhara (c. 250 BCE–700 CE) to the Alid-Sufi tradition (WP-13: The Undivided River). It deepens through the metaphysical ground of Ibn Arabi’s Haqiqa Muhammadiyya and the Covenant of Alast (WP-14: The Noor Before the River). It then arrives, without chronological bridge, at Iqbal’s 20th century synthesis (WP-06: The Indus Thesis) and the contemporary Pakistan arc. Between the arrival of Islam on the Indus (8th century CE) and Iqbal (1877–1938), eight hundred years of the most sophisticated Islamic civilization on the subcontinent are invisible in the SCRA documentation. The Mughal period is the center of that gap.</w:t>
      </w:r>
    </w:p>
    <w:p>
      <w:pPr>
        <w:spacing w:before="60" w:after="120"/>
      </w:pPr>
      <w:r>
        <w:rPr>
          <w:sz w:val="22"/>
        </w:rPr>
        <w:t>This invisibility is not accidental in the Western scholarly tradition. The dominant historiography of the Mughal Empire (Richards, Habib, Farooqi, Mukhia) focuses on administrative history, revenue systems, and military organization. The theological and metaphysical dimension of Mughal civilizational identity — its Timurid-Safavid-Sufi inheritance, Akbar’s philosophical experiments, the Dara Shikoh–Aurangzeb confrontation as a Ba’alist Capture event — is systematically marginalized. This paper argues that the Mughal period is not administrative history with some theology attached. It is a civilizational theology with administrative expression, and the theology is the SCRA framework’s direct concern.</w:t>
      </w:r>
    </w:p>
    <w:p>
      <w:pPr>
        <w:spacing w:before="60" w:after="120"/>
      </w:pPr>
      <w:r>
        <w:rPr>
          <w:sz w:val="22"/>
        </w:rPr>
        <w:t>The paper proceeds in seven sections: the Timurid-Safavid-Sufi inheritance (II); Akbar’s Din-e-Ilahi as zahir-batin synthesis (III); Dara Shikoh as intellectual apex (IV); Aurangzeb’s Ba’alist Capture (V); the collapse and its civilizational consequences (VI); the Aurangzeb–Deoband genealogy (VII); and the SCRA assessment (VIII).</w:t>
      </w:r>
    </w:p>
    <w:p>
      <w:pPr>
        <w:spacing w:before="400" w:after="120"/>
      </w:pPr>
      <w:r>
        <w:rPr>
          <w:b/>
          <w:color w:val="1A1A2E"/>
          <w:sz w:val="28"/>
        </w:rPr>
        <w:t>II. The Timurid-Safavid-Sufi Inheritance: How the Mughals Arrived</w:t>
      </w:r>
    </w:p>
    <w:p>
      <w:pPr>
        <w:spacing w:before="60" w:after="120"/>
      </w:pPr>
      <w:r>
        <w:rPr>
          <w:sz w:val="22"/>
        </w:rPr>
        <w:t>The Mughal dynasty was not an Arab or Central Asian Sunni institution. It was a Timurid-Safavid-Sufi civilizational formation arriving at the Indus carrying the full weight of the Persian-speaking walayah tradition. Understanding this origin is the key to understanding why Akbar’s synthesis and Dara Shikoh’s metaphysics were not aberrations but authentic expressions of the institution’s civilizational DNA.</w:t>
      </w:r>
    </w:p>
    <w:p>
      <w:pPr>
        <w:spacing w:before="280" w:after="80"/>
      </w:pPr>
      <w:r>
        <w:rPr>
          <w:b/>
          <w:color w:val="0A6E3C"/>
          <w:sz w:val="24"/>
        </w:rPr>
        <w:t>Babur: The Timurid Foundation (930–937 AH / 1526–1530 CE)</w:t>
      </w:r>
    </w:p>
    <w:p>
      <w:pPr>
        <w:spacing w:before="60" w:after="120"/>
      </w:pPr>
      <w:r>
        <w:rPr>
          <w:sz w:val="22"/>
        </w:rPr>
        <w:t>Babur (Zahir ud-Din Muhammad, 888–937 AH / 1483–1530 CE) was a Timurid prince from Fergana (modern Uzbekistan), a direct descendant of both Timur (Tamerlane) and Genghis Khan. The Timurid cultural tradition he carried was the zenith of Persian Islamic civilization: Herat under the Timurids had been the cultural capital of the Islamic world, producing Al-Jami’ (the last great classical Persian poet), Bihzad (the master miniature painter), and a court culture saturated with the Persian Sufi literary tradition — Hafez, Rumi, Nizami.</w:t>
      </w:r>
    </w:p>
    <w:p>
      <w:pPr>
        <w:spacing w:before="60" w:after="120"/>
      </w:pPr>
      <w:r>
        <w:rPr>
          <w:sz w:val="22"/>
        </w:rPr>
        <w:t>Babur’s own Baburnama — written in Chaghatai Turkish, a document of remarkable literary sophistication — reveals a man formed by this tradition: a lover of Persian poetry (he wrote Persian verse himself), a Sufi-influenced thinker, and a political figure who understood legitimate authority in terms that were more Timurid than Sunni orthodoxy. His conquest of Hindustan (932 AH / 1526 CE) at the Battle of Panipat brought this civilizational formation to the Indus basin.</w:t>
      </w:r>
    </w:p>
    <w:p>
      <w:pPr>
        <w:spacing w:before="60" w:after="120"/>
      </w:pPr>
      <w:r>
        <w:rPr>
          <w:sz w:val="22"/>
        </w:rPr>
        <w:t>Crucially, Babur maintained deep personal connections to the Safavid court of Shah Ismail I (whose reign is analyzed in SCRA WP-31: The Safavid Experiment). At his lowest point — exiled from Samarkand, without a kingdom — Babur sent Shah Ismail a Persian qasida of supplication. The Safavid court received him with full honor. The Mughal founding is inseparable from the Safavid civilizational orbit.</w:t>
      </w:r>
    </w:p>
    <w:p>
      <w:pPr>
        <w:spacing w:before="280" w:after="80"/>
      </w:pPr>
      <w:r>
        <w:rPr>
          <w:b/>
          <w:color w:val="0A6E3C"/>
          <w:sz w:val="24"/>
        </w:rPr>
        <w:t>Humayun: The Safavid Reconnection (947–963 AH / 1540–1555 CE)</w:t>
      </w:r>
    </w:p>
    <w:p>
      <w:pPr>
        <w:spacing w:before="60" w:after="120"/>
      </w:pPr>
      <w:r>
        <w:rPr>
          <w:sz w:val="22"/>
        </w:rPr>
        <w:t>Humayun’s fifteen years in Persian exile (947–962 AH / 1540–1555 CE) — at the court of Shah Tahmasp I, the Safavid monarch who succeeded Shah Ismail I — were not a political embarrassment but a civilizational immersion. Humayun arrived at the Safavid court as a Sunni refugee; he engaged seriously with Shia theology, philosophy, and court culture during fifteen years of residence. The Safavid court at this time was the institutional center of the Isfahan School’s early development: Mir Damad and Mulla Sadra’s immediate intellectual precursors were active. Humayun returned to Hindustan in 962 AH / 1555 CE with Safavid military support and a Safavid-shaped cultural formation that he transmitted to his son.</w:t>
      </w:r>
    </w:p>
    <w:p>
      <w:pPr>
        <w:spacing w:before="60" w:after="120"/>
      </w:pPr>
      <w:r>
        <w:rPr>
          <w:sz w:val="22"/>
        </w:rPr>
        <w:t>The young Akbar — born in exile at Umarkot (Sindh), nursed by a Hindu wet-nurse, raised in the Timurid-Safavid cultural formation — absorbed none of the Arab Sunni orthodoxy. His theological formation was the zahir-batin Persian synthesis before he ever encountered the orthodox ulama who would later contest his experiments.</w:t>
      </w:r>
    </w:p>
    <w:p>
      <w:pPr>
        <w:spacing w:before="280" w:after="80"/>
      </w:pPr>
      <w:r>
        <w:rPr>
          <w:b/>
          <w:color w:val="0A6E3C"/>
          <w:sz w:val="24"/>
        </w:rPr>
        <w:t>The Chishti Silsila: The Indigenous Sufi Substrate</w:t>
      </w:r>
    </w:p>
    <w:p>
      <w:pPr>
        <w:spacing w:before="60" w:after="120"/>
      </w:pPr>
      <w:r>
        <w:rPr>
          <w:sz w:val="22"/>
        </w:rPr>
        <w:t>The Indus basin that the Mughals entered already carried a deep Sufi substrate. The Chishti Order — founded by Muinuddin Chishti (d. 633 AH / 1236 CE) at Ajmer — had been the dominant spiritual formation of the Indus basin for three centuries before the Mughal arrival. The Chishti silsila traced its transmission chain through Hasan al-Basri to Imam Ali ibn Abi Talib — the walayah chain in the Sunni institutional form (as established in SCRA WP-25: The Sufi Court Problem).</w:t>
      </w:r>
    </w:p>
    <w:p>
      <w:pPr>
        <w:spacing w:before="60" w:after="120"/>
      </w:pPr>
      <w:r>
        <w:rPr>
          <w:sz w:val="22"/>
        </w:rPr>
        <w:t>Akbar’s relationship with the Chishti Order was not political patronage. It was personal devotion. He walked barefoot from Agra to Ajmer to visit the dargah of Muinuddin Chishti to pray for the birth of a son. When Salim (later Jahangir) was born, Akbar named him after Shaykh Salim Chishti — the Chishti saint at Fatehpur Sikri whose intercession Akbar credited for the birth. The Mughal capital at Fatehpur Sikri was built around a Chishti shrine. This is not symbolic patronage. It is a civilizational statement about the source of legitimate authority: walayah, not Arab Sunni caliphate.</w:t>
      </w:r>
    </w:p>
    <w:p>
      <w:pPr>
        <w:spacing w:before="400" w:after="120"/>
      </w:pPr>
      <w:r>
        <w:rPr>
          <w:b/>
          <w:color w:val="1A1A2E"/>
          <w:sz w:val="28"/>
        </w:rPr>
        <w:t>III. Akbar’s Din-e-Ilahi: The Zahir-Batin Synthesis Attempt (990 AH / 1582 CE)</w:t>
      </w:r>
    </w:p>
    <w:p>
      <w:pPr>
        <w:spacing w:before="60" w:after="120"/>
      </w:pPr>
      <w:r>
        <w:rPr>
          <w:sz w:val="22"/>
        </w:rPr>
        <w:t>Akbar’s Din-e-Ilahi (“Divine Religion” or “Divine Faith”) — formally established around 990 AH / 1582 CE — has been consistently misread in Western scholarship as religious syncretism, eccentricity, or personal megalomania. Read through the SCRA zahir-batin framework, it is something more precise and more significant: the first state-level attempt in the Indus basin to articulate the batin principle of Islamic civilization — the walayah-Sufi inheritance that the Mughals carried — as an explicit governance doctrine accessible across sectarian lines.</w:t>
      </w:r>
    </w:p>
    <w:p>
      <w:pPr>
        <w:spacing w:before="280" w:after="80"/>
      </w:pPr>
      <w:r>
        <w:rPr>
          <w:b/>
          <w:color w:val="0A6E3C"/>
          <w:sz w:val="24"/>
        </w:rPr>
        <w:t>The Ibadat Khana: Structured Inter-Religious Inquiry</w:t>
      </w:r>
    </w:p>
    <w:p>
      <w:pPr>
        <w:spacing w:before="60" w:after="120"/>
      </w:pPr>
      <w:r>
        <w:rPr>
          <w:sz w:val="22"/>
        </w:rPr>
        <w:t>Akbar established the Ibadat Khana (House of Worship) at Fatehpur Sikri in 982 AH / 1575 CE as a structured forum for theological dialogue. The initial participants were Muslim scholars of different schools (Sunni, Shia, Sufi). By 984 AH / 1578 CE, the circle had expanded to include Hindu pandits, Jain monks (particularly the Digambara Jain scholar Hiravijaya Suri, whom Akbar greatly respected), Zoroastrian mobeds, and from 990 AH / 1582 CE, Jesuit priests from the Goa mission (Aquaviva and Monserrate, whose accounts provide detailed Western documentation of the sessions).</w:t>
      </w:r>
    </w:p>
    <w:p>
      <w:pPr>
        <w:spacing w:before="60" w:after="120"/>
      </w:pPr>
      <w:r>
        <w:rPr>
          <w:sz w:val="22"/>
        </w:rPr>
        <w:t>The Jesuit accounts are particularly revealing. They document Akbar questioning the foundations of each tradition systematically, not to synthesize them into a new religion, but to extract their batin principle: what is the divine reality that these zahir expressions are all pointing toward? This is the Quranic furqan inquiry — the use of the divine discriminating faculty (Q. 8:29) to perceive the batin beneath the zahir surfaces.</w:t>
      </w:r>
    </w:p>
    <w:p>
      <w:pPr>
        <w:spacing w:before="60" w:after="120"/>
      </w:pPr>
      <w:r>
        <w:rPr>
          <w:sz w:val="22"/>
        </w:rPr>
        <w:t>The orthodox ulama — particularly the Naqshbandi-influenced scholars at court, led by Abd al-Nabi Shattari and later the figure of Ahmad Sirhindi — read the Ibadat Khana sessions as theological contamination. Their resistance was organized, politically sophisticated, and ultimately expressed in the Aurangzeb reversal three generations later.</w:t>
      </w:r>
    </w:p>
    <w:p>
      <w:pPr>
        <w:spacing w:before="280" w:after="80"/>
      </w:pPr>
      <w:r>
        <w:rPr>
          <w:b/>
          <w:color w:val="0A6E3C"/>
          <w:sz w:val="24"/>
        </w:rPr>
        <w:t>The Mahzar of 987 AH / 1579 CE: The Constitutional Claim</w:t>
      </w:r>
    </w:p>
    <w:p>
      <w:pPr>
        <w:spacing w:before="60" w:after="120"/>
      </w:pPr>
      <w:r>
        <w:rPr>
          <w:sz w:val="22"/>
        </w:rPr>
        <w:t>In 987 AH / 1579 CE, Akbar issued the Mahzar — a declaration, signed by the leading ulama of the empire under varying degrees of pressure, establishing that in matters of Islamic jurisprudence where the scholars disagreed, the emperor’s judgment would be the deciding authority. His court historian Abuʾ l-Fazl framed this not as caesaropapism but as the recognition of the emperor’s spiritual authority: Akbar as the Insan-e-Kamil (Perfect Human Being, the Sufi concept of the spiritually complete person who reflects divine light), his governance as the expression of divine wisdom rather than mere political power.</w:t>
      </w:r>
    </w:p>
    <w:p>
      <w:pPr>
        <w:spacing w:before="60" w:after="120"/>
      </w:pPr>
      <w:r>
        <w:rPr>
          <w:sz w:val="22"/>
        </w:rPr>
        <w:t>The Mahzar is structurally parallel to the wilayat al-faqih doctrine (Khomeini) and the naʼib ʿamm doctrine (al-Karaki in Safavid Iran, WP-31): all three are attempts to articulate how legitimate authority functions in the absence of the Masum Imam. Akbar’s version grounds authority in the emperor’s personal spiritual perfection (zahir-batin integration); Khomeini’s grounds it in jurisprudential qualification; al-Karaki’s grounds it in Usuli delegation. All three are responses to the same post-Saqifa authority problem.</w:t>
      </w:r>
    </w:p>
    <w:p>
      <w:pPr>
        <w:spacing w:before="280" w:after="80"/>
      </w:pPr>
      <w:r>
        <w:rPr>
          <w:b/>
          <w:color w:val="0A6E3C"/>
          <w:sz w:val="24"/>
        </w:rPr>
        <w:t>Din-e-Ilahi: Content and Structure</w:t>
      </w:r>
    </w:p>
    <w:p>
      <w:pPr>
        <w:spacing w:before="60" w:after="120"/>
      </w:pPr>
      <w:r>
        <w:rPr>
          <w:sz w:val="22"/>
        </w:rPr>
        <w:t>The Din-e-Ilahi was not a formal religion with a creed or scripture. It was a court circle of approximately eighteen individuals — senior nobles, poets, scholars — who pledged personal devotion to the emperor as a spiritual guide. Its practices drew on multiple traditions: the Sufi bayʿah (the pledge of spiritual allegiance given to a shaykh), the philosophical concept of the Insan-e-Kamil, elements of Zoroastrian sun symbolism (the sajda to the rising sun, which Akbar practiced and which the orthodox found most offensive), and a dietary discipline drawn from Jain influence.</w:t>
      </w:r>
    </w:p>
    <w:p>
      <w:pPr>
        <w:spacing w:before="60" w:after="120"/>
      </w:pPr>
      <w:r>
        <w:rPr>
          <w:sz w:val="22"/>
        </w:rPr>
        <w:t>Abuʾ l-Fazl’s Ain-e-Akbari and Akbarnama are the primary theological articulation of the Din-e-Ilahi’s vision. Abuʾ l-Fazl’s brother Faizi — poet and philosopher — provided the literary expression. Together, they articulate a vision of the Mughal state as a vehicle for the actualization of the divine in the human: the emperor as the point at which zahir authority and batin spiritual reality are unified.</w:t>
      </w:r>
    </w:p>
    <w:p>
      <w:pPr>
        <w:spacing w:before="60" w:after="120"/>
      </w:pPr>
      <w:r>
        <w:rPr>
          <w:sz w:val="22"/>
        </w:rPr>
        <w:t>SCRA assessment of the Din-e-Ilahi: it was a genuine zahir-batin synthesis attempt, the most ambitious in the Indus basin’s history. Its structural weakness was the same as the Safavid experiment’s (WP-31): the synthesis was institutionalized through the emperor’s personal spiritual authority rather than through the Imam’s constitutionally established walayah. When Akbar died, the Din-e-Ilahi had no transmission mechanism. Jahangir continued the formal structures without the spiritual depth. Shah Jahan abandoned them. The zahir-batin integration was entirely dependent on one person’s spiritual state — the identical failure mode as the Safavid experiment’s dependence on the continuing legitimacy of the Shah’s claim to spiritual authority.</w:t>
      </w:r>
    </w:p>
    <w:p>
      <w:pPr>
        <w:spacing w:before="400" w:after="120"/>
      </w:pPr>
      <w:r>
        <w:rPr>
          <w:b/>
          <w:color w:val="1A1A2E"/>
          <w:sz w:val="28"/>
        </w:rPr>
        <w:t>IV. Dara Shikoh: The Intellectual Apex of the Indus Batin (1024–1069 AH / 1615–1659 CE)</w:t>
      </w:r>
    </w:p>
    <w:p>
      <w:pPr>
        <w:spacing w:before="60" w:after="120"/>
      </w:pPr>
      <w:r>
        <w:rPr>
          <w:sz w:val="22"/>
        </w:rPr>
        <w:t>Muhammad Dara Shikoh, eldest son of Shah Jahan and the designated heir to the Mughal throne, represents the intellectual apex of the Indus batin tradition. His execution by his brother Aurangzeb in 1069 AH / 1659 CE — on the charge of apostasy and heresy — is the definitive Ba’alist Capture event of South Asian Islamic history, and the moment at which the zahir permanently captured the institutional inheritance at the cost of destroying the batin.</w:t>
      </w:r>
    </w:p>
    <w:p>
      <w:pPr>
        <w:spacing w:before="280" w:after="80"/>
      </w:pPr>
      <w:r>
        <w:rPr>
          <w:b/>
          <w:color w:val="0A6E3C"/>
          <w:sz w:val="24"/>
        </w:rPr>
        <w:t>Sakinat al-Awliya’ and the Qadiri Initiation</w:t>
      </w:r>
    </w:p>
    <w:p>
      <w:pPr>
        <w:spacing w:before="60" w:after="120"/>
      </w:pPr>
      <w:r>
        <w:rPr>
          <w:sz w:val="22"/>
        </w:rPr>
        <w:t>Dara Shikoh’s spiritual formation was Qadiri Sufi. His initiation by Mian Mir of Lahore (d. 1045 AH / 1635 CE) and deep discipleship to Mulla Shah Badakhshi placed him within the Qadiri silsila — which traces its transmission through Abd al-Qadir al-Jilani through Junayd al-Baghdadi through Hasan al-Basri to Imam Ali ibn Abi Talib. Dara Shikoh’s first major work, Sakinat al-Awliya’ (Tranquility of the Saints), documents this spiritual formation and the biographies of his teachers. It is written in the genre of Sufi hagiography but with a philosophical depth that reveals a mind already pushing toward the synthesis of the Islamic and Indian metaphysical traditions.</w:t>
      </w:r>
    </w:p>
    <w:p>
      <w:pPr>
        <w:spacing w:before="280" w:after="80"/>
      </w:pPr>
      <w:r>
        <w:rPr>
          <w:b/>
          <w:color w:val="0A6E3C"/>
          <w:sz w:val="24"/>
        </w:rPr>
        <w:t>Majmaʾ al-Bahrayn: The Meeting of Two Oceans (1066 AH / 1655 CE)</w:t>
      </w:r>
    </w:p>
    <w:p>
      <w:pPr>
        <w:spacing w:before="60" w:after="120"/>
      </w:pPr>
      <w:r>
        <w:rPr>
          <w:sz w:val="22"/>
        </w:rPr>
        <w:t>Dara Shikoh’s Majmaʾ al-Bahrayn (The Meeting of Two Oceans) is the most important comparative metaphysical text produced in the Indus basin. The title is drawn from Q. 18:60 (Moses’s journey to the meeting of two oceans to find Khidr — the figure of esoteric knowledge). The two oceans Dara Shikoh identifies are the Islamic Sufi tradition (particularly the Fusus al-Hikam of Ibn Arabi) and the Vedantic tradition (particularly the Upanishads).</w:t>
      </w:r>
    </w:p>
    <w:p>
      <w:pPr>
        <w:spacing w:before="60" w:after="120"/>
      </w:pPr>
      <w:r>
        <w:rPr>
          <w:sz w:val="22"/>
        </w:rPr>
        <w:t>The thesis of Majmaʾ al-Bahrayn is precise: the fundamental metaphysical principles of Islamic Sufi irfan and Hindu Vedantic philosophy are not merely compatible but structurally identical at the level of their batin. The Sufi concept of wahdat al-wujud (Ibn Arabi’s unity of existence) corresponds to the Vedantic concept of Brahman as the single undifferentiated Absolute from which all manifestation proceeds. The Sufi concept of the Insan-e-Kamil (Perfect Human Being) as the mirror in which the divine knows itself corresponds to the Vedantic concept of the jiva (individual soul) achieving moksha through recognition of its identity with Brahman.</w:t>
      </w:r>
    </w:p>
    <w:p>
      <w:pPr>
        <w:spacing w:before="60" w:after="120"/>
      </w:pPr>
      <w:r>
        <w:rPr>
          <w:sz w:val="22"/>
        </w:rPr>
        <w:t>This is not syncretism in the sense of mixing incompatible elements. It is a claim about the universal batin structure that underlies multiple zahir traditions — precisely the Furqan Criterion methodology of SCRA (WP-24: The Furqan Criterion). The furqan faculty discriminates between batin truth and zahir surface across all traditions, recognizing the divine self-disclosure that operates through multiple cultural forms. Dara Shikoh’s methodology is the SCRA methodology avant la lettre.</w:t>
      </w:r>
    </w:p>
    <w:p>
      <w:pPr>
        <w:spacing w:before="60" w:after="120"/>
      </w:pPr>
      <w:r>
        <w:rPr>
          <w:sz w:val="22"/>
        </w:rPr>
        <w:t>The Majmaʾ al-Bahrayn identifies thirty-two key concepts and shows their correspondence between the two traditions. Among the most significant: Allahu Samad (Q. 112:2, the Absolute that nothing is like and that encompasses all) = Brahman (the Absolute); wahdat al-wujud = Advaita (non-duality); the Quranic ruh (spirit) = the Vedantic Atman; the Sufi fana (annihilation of the ego in the divine) = moksha; the Four Divine Names (Haqq, Hayy, ʿIlm, Irada) = the Vedantic four states of consciousness.</w:t>
      </w:r>
    </w:p>
    <w:p>
      <w:pPr>
        <w:spacing w:before="280" w:after="80"/>
      </w:pPr>
      <w:r>
        <w:rPr>
          <w:b/>
          <w:color w:val="0A6E3C"/>
          <w:sz w:val="24"/>
        </w:rPr>
        <w:t>Sirr-e-Akbar: The Quran and the Upanishads (1067 AH / 1657 CE)</w:t>
      </w:r>
    </w:p>
    <w:p>
      <w:pPr>
        <w:spacing w:before="60" w:after="120"/>
      </w:pPr>
      <w:r>
        <w:rPr>
          <w:sz w:val="22"/>
        </w:rPr>
        <w:t>Two years after Majmaʾ al-Bahrayn, Dara Shikoh completed Sirr-e-Akbar (The Greatest Secret), his Persian translation of fifty-two Upanishads. In the introduction, he makes a theological claim that the orthodox found most offensive: the Upanishads are the “hidden scripture” referred to in Q. 56:78 (“A hidden scripture, which none shall touch except the purified”). The Upanishads, Dara Shikoh argues, are kitab maknun — the concealed book of divine wisdom that the Quran itself references as existing.</w:t>
      </w:r>
    </w:p>
    <w:p>
      <w:pPr>
        <w:spacing w:before="60" w:after="120"/>
      </w:pPr>
      <w:r>
        <w:rPr>
          <w:sz w:val="22"/>
        </w:rPr>
        <w:t>The theological sophistication of this claim has been consistently underestimated. Dara Shikoh is not saying that Hinduism is equivalent to Islam. He is saying that the divine self-disclosure (tajalli) that the Islamic tradition documents through the prophetic chain also disclosed itself through the Vedantic tradition — through a different prophetic lineage. This is consistent with the Quranic teaching that God sent prophets to every community (Q. 10:47: “To every community, a messenger”; Q. 16:36: “We sent to every community a messenger”). Dara Shikoh is applying the Quranic principle of universal prophecy to the Hindu tradition. This is not apostasy. It is the consistent application of the Quran’s own universal revelation claim.</w:t>
      </w:r>
    </w:p>
    <w:p>
      <w:pPr>
        <w:spacing w:before="280" w:after="80"/>
      </w:pPr>
      <w:r>
        <w:rPr>
          <w:b/>
          <w:color w:val="0A6E3C"/>
          <w:sz w:val="24"/>
        </w:rPr>
        <w:t>Hasanat al-Arifin and the Quranic Grounding</w:t>
      </w:r>
    </w:p>
    <w:p>
      <w:pPr>
        <w:spacing w:before="60" w:after="120"/>
      </w:pPr>
      <w:r>
        <w:rPr>
          <w:sz w:val="22"/>
        </w:rPr>
        <w:t>Dara Shikoh’s Hasanat al-Arifin (Virtues of the Gnostics) is a defense of the Sufi tradition against its critics, drawing on Quranic proofs, hadith documentation, and the consensus of the Islamic scholarly tradition. It demonstrates that Dara Shikoh was not an ignorant dabbler in Hindu philosophy but a scholar with systematic command of the Islamic textual tradition who was making a deliberate methodological choice to read the Quran’s universal revelation claim as encompassing the Vedantic tradition.</w:t>
      </w:r>
    </w:p>
    <w:p>
      <w:pPr>
        <w:spacing w:before="60" w:after="120"/>
      </w:pPr>
      <w:r>
        <w:rPr>
          <w:sz w:val="22"/>
        </w:rPr>
        <w:t>The charge of apostasy that Aurangzeb and the orthodox ulama leveled against Dara Shikoh was jurisprudentially weak. No classical Islamic jurist had ruled that the attribution of divine revelation to the Hindu tradition constitutes apostasy — because no classical jurist had examined the question with Dara Shikoh’s depth. The apostasy charge was a political instrument in the hands of a faction that needed the zahir weapon of legal execution to terminate the batin threat that Dara Shikoh represented.</w:t>
      </w:r>
    </w:p>
    <w:p>
      <w:pPr>
        <w:spacing w:before="400" w:after="120"/>
      </w:pPr>
      <w:r>
        <w:rPr>
          <w:b/>
          <w:color w:val="1A1A2E"/>
          <w:sz w:val="28"/>
        </w:rPr>
        <w:t>V. Aurangzeb’s Ba’alist Capture: The Indus Saqifa (1069–1118 AH / 1658–1707 CE)</w:t>
      </w:r>
    </w:p>
    <w:p>
      <w:pPr>
        <w:spacing w:before="60" w:after="120"/>
      </w:pPr>
      <w:r>
        <w:rPr>
          <w:sz w:val="22"/>
        </w:rPr>
        <w:t>The War of Succession (1067–1069 AH / 1657–1659 CE) between Aurangzeb and his brothers (Dara Shikoh, Shah Shujaʼ, Murad Bakhsh) was not simply a political contest for the Mughal throne. It was a civilizational contest between two incompatible visions of Islamic identity on the Indus: the zahir-batin synthesis (Dara Shikoh) and the zahir-only orthodoxy (Aurangzeb). The victory of the second over the first is what SCRA designates the Indus Saqifa.</w:t>
      </w:r>
    </w:p>
    <w:p>
      <w:pPr>
        <w:spacing w:before="280" w:after="80"/>
      </w:pPr>
      <w:r>
        <w:rPr>
          <w:b/>
          <w:color w:val="0A6E3C"/>
          <w:sz w:val="24"/>
        </w:rPr>
        <w:t>The Execution of Dara Shikoh (1069 AH / August 1659 CE)</w:t>
      </w:r>
    </w:p>
    <w:p>
      <w:pPr>
        <w:spacing w:before="60" w:after="120"/>
      </w:pPr>
      <w:r>
        <w:rPr>
          <w:sz w:val="22"/>
        </w:rPr>
        <w:t>Aurangzeb defeated Dara Shikoh militarily at the Battle of Samugarh (1069 AH / May 1658 CE). Dara Shikoh fled, was captured, and brought to Delhi in chains. A council of orthodox ulama was convened to rule on his religious status. The council, under pressure from Aurangzeb’s court and led by scholars whose Naqshbandi formation had been hostile to the Akbari synthesis since Ahmad Sirhindi’s time, ruled that Dara Shikoh’s teachings constituted apostasy. He was executed on 9 Muharram 1069 AH (corresponding to 8 Muharram — the eve of Ashura, the martyrdom anniversary of Hussain ibn Ali). The date appears to have been chosen deliberately.</w:t>
      </w:r>
    </w:p>
    <w:p>
      <w:pPr>
        <w:spacing w:before="60" w:after="120"/>
      </w:pPr>
      <w:r>
        <w:rPr>
          <w:sz w:val="22"/>
        </w:rPr>
        <w:t>The parallel to Saqifa is structural, not merely rhetorical. At Saqifa, the assembly used procedural authority (the bayʿah to Abu Bakr) to neutralize the walayah claim of Imam Ali. At Dara Shikoh’s trial, the assembly used juridical authority (the apostasy ruling) to neutralize the walayah claim of the Indus batin tradition. In both cases, the zahir institutional mechanism (political assembly; religious court) was deployed to capture and then execute the batin heir. In both cases, the legitimate claimant was present, alive, and arguing — and was defeated not by theological refutation but by political force dressed in juridical language.</w:t>
      </w:r>
    </w:p>
    <w:p>
      <w:pPr>
        <w:spacing w:before="280" w:after="80"/>
      </w:pPr>
      <w:r>
        <w:rPr>
          <w:b/>
          <w:color w:val="0A6E3C"/>
          <w:sz w:val="24"/>
        </w:rPr>
        <w:t>The Systematic Dismantling: Five Reversals</w:t>
      </w:r>
    </w:p>
    <w:p>
      <w:pPr>
        <w:spacing w:before="60" w:after="120"/>
      </w:pPr>
      <w:r>
        <w:rPr>
          <w:sz w:val="22"/>
        </w:rPr>
        <w:t>Aurangzeb’s reign constitutes five systematic reversals of the Akbari synthesis:</w:t>
      </w:r>
    </w:p>
    <w:p>
      <w:pPr>
        <w:pStyle w:val="ListBullet"/>
        <w:spacing w:after="60"/>
        <w:ind w:left="504"/>
      </w:pPr>
      <w:r>
        <w:rPr>
          <w:sz w:val="22"/>
        </w:rPr>
        <w:t>Reimposition of Jizyah (1089 AH / 1679 CE): The discriminatory tax on non-Muslim subjects, abolished by Akbar in 981 AH / 1564 CE, was reimposed after a 115-year absence. The reimposition was framed in classical Sunni juridical language but its political function was the marking of the zahir-batin boundary: the Islamic zahir asserting supremacy over the non-Muslim zahir. It produced mass Hindu protests, the Rajput rebellions, and the first organized resistance to Mughal authority.</w:t>
      </w:r>
    </w:p>
    <w:p>
      <w:pPr>
        <w:pStyle w:val="ListBullet"/>
        <w:spacing w:after="60"/>
        <w:ind w:left="504"/>
      </w:pPr>
      <w:r>
        <w:rPr>
          <w:sz w:val="22"/>
        </w:rPr>
        <w:t>Destruction of Hindu Temples and Sufi Shrines: Aurangzeb’s orders for the destruction of specific temples (Kashi Vishwanath, Kesava Deo at Mathura) are documented in contemporary sources. Less documented but equally significant: the withdrawal of imperial patronage from Sufi shrines that had served as the primary interface between Mughal authority and the Indus batin tradition. The dargah culture — which Akbar had patronized as the authentic expression of Indus Islamic civilization — was systematically marginalized under Aurangzeb.</w:t>
      </w:r>
    </w:p>
    <w:p>
      <w:pPr>
        <w:pStyle w:val="ListBullet"/>
        <w:spacing w:after="60"/>
        <w:ind w:left="504"/>
      </w:pPr>
      <w:r>
        <w:rPr>
          <w:sz w:val="22"/>
        </w:rPr>
        <w:t>Prohibition of Music (Samaʼ) at Court: The Mughal court had been a major patron of the Indo-classical music tradition, which was the auditory expression of the Chishti-Sufi spiritual practice (samaʼ as the vehicle of dhikr). Aurangzeb, himself a skilled musician who had destroyed his instruments upon becoming emperor, banned musical performances from the imperial court. The symbolic importance of this act — silencing the primary aesthetic vehicle of the Indus batin tradition — was not lost on contemporaries.</w:t>
      </w:r>
    </w:p>
    <w:p>
      <w:pPr>
        <w:pStyle w:val="ListBullet"/>
        <w:spacing w:after="60"/>
        <w:ind w:left="504"/>
      </w:pPr>
      <w:r>
        <w:rPr>
          <w:sz w:val="22"/>
        </w:rPr>
        <w:t>Naqshbandi Ulama Patronage: Aurangzeb elevated scholars from the Naqshbandi tradition — the one major Sufi order with an Abu Bakr rather than an Ali silsila chain (WP-25: The Sufi Court Problem) — to prominent positions in the imperial religious establishment. Ahmad Sirhindi’s followers, who had organized intellectual resistance to Akbar’s synthesis for a century, now found institutional expression in Aurangzeb’s court. This is the Naqshbandi’s Mode III Sufi Capture (WP-25) being deployed at the imperial level.</w:t>
      </w:r>
    </w:p>
    <w:p>
      <w:pPr>
        <w:pStyle w:val="ListBullet"/>
        <w:spacing w:after="60"/>
        <w:ind w:left="504"/>
      </w:pPr>
      <w:r>
        <w:rPr>
          <w:sz w:val="22"/>
        </w:rPr>
        <w:t>Compilation of the Fatawa-e-Alamgiri: Aurangzeb commissioned a massive compilation of Hanafi fiqh rulings (the Fatawa-e-Alamgiri, completed c. 1082 AH / 1672 CE) as the authoritative legal code of the empire. This represented the formalization of the zahir-only jurisprudential framework as state law, displacing the Abuʾ l-Fazl / Akbari understanding of imperial authority as grounded in batin spiritual legitimacy. The zahir replaced the batin in the constitutional framework of the state.</w:t>
      </w:r>
    </w:p>
    <w:p>
      <w:pPr>
        <w:spacing w:before="280" w:after="80"/>
      </w:pPr>
      <w:r>
        <w:rPr>
          <w:b/>
          <w:color w:val="0A6E3C"/>
          <w:sz w:val="24"/>
        </w:rPr>
        <w:t>The Maratha Crisis and the Limits of Zahir Governance</w:t>
      </w:r>
    </w:p>
    <w:p>
      <w:pPr>
        <w:spacing w:before="60" w:after="120"/>
      </w:pPr>
      <w:r>
        <w:rPr>
          <w:sz w:val="22"/>
        </w:rPr>
        <w:t>The irony of Aurangzeb’s Ba’alist Capture is that it produced the conditions of the Mughal collapse it was designed to prevent. The reimposition of jizyah, the destruction of Hindu temples, and the alienation of the Rajput military class — upon whose martial support the Mughal military had depended for three generations — produced the Maratha resistance under Shivaji Maharaj (d. 1091 AH / 1680 CE) and his successors. Aurangzeb spent the last twenty-five years of his reign in continuous military campaigning in the Deccan, achieving territorial expansion at the cost of imperial coherence. When he died in 1118 AH / 1707 CE, the empire had already begun its terminal fragmentation.</w:t>
      </w:r>
    </w:p>
    <w:p>
      <w:pPr>
        <w:spacing w:before="60" w:after="120"/>
      </w:pPr>
      <w:r>
        <w:rPr>
          <w:sz w:val="22"/>
        </w:rPr>
        <w:t>The pattern is identical to the Safavid Ba’alist internal tensions analyzed in WP-31: the suppression of authentic batin expression (Nuqtavi persecution, Sufi marginalization) did not strengthen the state. It weakened the civilizational cohesion that had made the state possible. Aurangzeb’s zahir-only governance produced the Maratha empire, the Jat rebellions, the Rajput defections, and the Afghan invasions — the same collapse mechanism as the Afghan invasion that destroyed the Safavid state in 1135 AH / 1722 CE, exactly fifteen years after Aurangzeb’s death.</w:t>
      </w:r>
    </w:p>
    <w:p>
      <w:pPr>
        <w:spacing w:before="400" w:after="120"/>
      </w:pPr>
      <w:r>
        <w:rPr>
          <w:b/>
          <w:color w:val="1A1A2E"/>
          <w:sz w:val="28"/>
        </w:rPr>
        <w:t>VI. The Mughal Collapse and Its Civilizational Consequences</w:t>
      </w:r>
    </w:p>
    <w:p>
      <w:pPr>
        <w:spacing w:before="280" w:after="80"/>
      </w:pPr>
      <w:r>
        <w:rPr>
          <w:b/>
          <w:color w:val="0A6E3C"/>
          <w:sz w:val="24"/>
        </w:rPr>
        <w:t>The Eighteenth Century Fragmentation (1118–1274 AH / 1707–1857 CE)</w:t>
      </w:r>
    </w:p>
    <w:p>
      <w:pPr>
        <w:spacing w:before="60" w:after="120"/>
      </w:pPr>
      <w:r>
        <w:rPr>
          <w:sz w:val="22"/>
        </w:rPr>
        <w:t>The century and a half between Aurangzeb’s death and the formal British assumption of power in 1274 AH / 1857 CE witnessed the progressive territorial and institutional fragmentation of Mughal authority. The Maratha Confederacy, the Sikh Empire (Punjab), the Nawabs of Bengal and Awadh, the Nizam of Hyderabad — all emerged from the power vacuum that Aurangzeb’s zahir-only governance had created. The nominal Mughal emperors in Delhi increasingly became British clients, their authority reduced to ceremonial legitimacy.</w:t>
      </w:r>
    </w:p>
    <w:p>
      <w:pPr>
        <w:spacing w:before="60" w:after="120"/>
      </w:pPr>
      <w:r>
        <w:rPr>
          <w:sz w:val="22"/>
        </w:rPr>
        <w:t>The two figures most important for understanding this transition in civilizational terms are Shah Wali Allah Dehlawi (1114–1176 AH / 1703–1762 CE) and Ahmad Shah Durrani (1723–1773 CE). Shah Wali Allah — the subject of SCRA WP-39 in development — represents the most serious attempt to articulate a coherent Islamic governance theology for post-Mughal India. Crucially, his theology moves decisively away from the Akbari-Dara Shikoh zahir-batin synthesis and toward a reformed Hanafi zahir framework influenced by Ibn Taymiyyah’s architecture (WP-07: The Sealed Room). This theological choice determines the direction of Islamic thought on the subcontinent for the next 200 years: it produces Deoband rather than a continuation of the Akbari synthesis.</w:t>
      </w:r>
    </w:p>
    <w:p>
      <w:pPr>
        <w:spacing w:before="280" w:after="80"/>
      </w:pPr>
      <w:r>
        <w:rPr>
          <w:b/>
          <w:color w:val="0A6E3C"/>
          <w:sz w:val="24"/>
        </w:rPr>
        <w:t>The British Colonization as Post-Aurangzeb Consequence</w:t>
      </w:r>
    </w:p>
    <w:p>
      <w:pPr>
        <w:spacing w:before="60" w:after="120"/>
      </w:pPr>
      <w:r>
        <w:rPr>
          <w:sz w:val="22"/>
        </w:rPr>
        <w:t>The British conquest of India was not a sudden external event. It was a systematic exploitation of the political fragmentation that Aurangzeb’s governance had produced. The British East India Company operated within a political landscape of competing successor states, each of which was more willing to ally with the British against its rivals than to unite in defense of the Mughal civilizational inheritance. The Battle of Plassey (1757 CE) — fifty years after Aurangzeb’s death — established British paramountcy in Bengal. The rest followed through a combination of military conquest and diplomatic isolation of rival powers.</w:t>
      </w:r>
    </w:p>
    <w:p>
      <w:pPr>
        <w:spacing w:before="60" w:after="120"/>
      </w:pPr>
      <w:r>
        <w:rPr>
          <w:sz w:val="22"/>
        </w:rPr>
        <w:t>The SCRA reading of this sequence: the Aurangzeb Ba’alist Capture produced the civilizational fragmentation; the British colonization consolidated it; the British Double Constitution (Darin Agreement 1915 + Balfour Declaration 1917, WP-17) completed it at the level of the post-Ottoman Islamic world. The chain from Aurangzeb’s execution of Dara Shikoh to the creation of Saudi Arabia and the British Mandate for Palestine is not a metaphor. It is a documentable causal sequence: the destruction of the Indus batin synthesis produced the conditions in which the British could both colonize India and construct the Wahhabi client monarchy in Arabia.</w:t>
      </w:r>
    </w:p>
    <w:p>
      <w:pPr>
        <w:spacing w:before="400" w:after="120"/>
      </w:pPr>
      <w:r>
        <w:rPr>
          <w:b/>
          <w:color w:val="1A1A2E"/>
          <w:sz w:val="28"/>
        </w:rPr>
        <w:t>VII. The Aurangzeb–Deoband Genealogy: How the Ba’alist Capture Transmitted</w:t>
      </w:r>
    </w:p>
    <w:p>
      <w:pPr>
        <w:spacing w:before="60" w:after="120"/>
      </w:pPr>
      <w:r>
        <w:rPr>
          <w:sz w:val="22"/>
        </w:rPr>
        <w:t>The transmission chain from Aurangzeb’s 17th century Ba’alist Capture to the Deoband seminary of 1867 is documentable through three figures: Ahmad Sirhindi, Shah Wali Allah, and the Deoband founders.</w:t>
      </w:r>
    </w:p>
    <w:p>
      <w:pPr>
        <w:spacing w:before="200" w:after="60"/>
      </w:pPr>
      <w:r>
        <w:rPr>
          <w:b/>
          <w:i/>
          <w:color w:val="1B8A50"/>
          <w:sz w:val="22"/>
        </w:rPr>
        <w:t>Ahmad Sirhindi (971–1034 AH / 1564–1624 CE): The Intellectual Preparation</w:t>
      </w:r>
    </w:p>
    <w:p>
      <w:pPr>
        <w:spacing w:before="60" w:after="120"/>
      </w:pPr>
      <w:r>
        <w:rPr>
          <w:sz w:val="22"/>
        </w:rPr>
        <w:t>Ahmad Sirhindi — the Naqshbandi shaykh who organized systematic opposition to Akbar’s Din-e-Ilahi during Akbar’s lifetime and Jahangir’s reign — represents the intellectual preparation for Aurangzeb’s reversal. His Maktubat-i-Rabbani (three volumes of letters to disciples and nobles) constitutes the most systematic critique of the Akbari synthesis produced in its own time. Three elements of his critique were decisive:</w:t>
      </w:r>
    </w:p>
    <w:p>
      <w:pPr>
        <w:spacing w:before="60" w:after="120"/>
        <w:ind w:left="504"/>
      </w:pPr>
      <w:r>
        <w:rPr>
          <w:sz w:val="22"/>
        </w:rPr>
        <w:t>First, his attack on Ibn Arabi’s wahdat al-wujud (unity of existence), which Sirhindi replaced with wahdat al-shuhud (unity of witnessing) — a formulation that preserved the experiential dimension of mystical perception while denying the ontological claim that existence itself is divine. This distinction is philosophically important: wahdat al-shuhud permitted the Naqshbandi to maintain Sufi practice while rejecting the metaphysical foundation of the Akbari-Dara Shikoh synthesis.</w:t>
      </w:r>
    </w:p>
    <w:p>
      <w:pPr>
        <w:spacing w:before="60" w:after="120"/>
        <w:ind w:left="504"/>
      </w:pPr>
      <w:r>
        <w:rPr>
          <w:sz w:val="22"/>
        </w:rPr>
        <w:t>Second, his anti-Shia polemics — among the most systematic produced in South Asian Islamic history. Sirhindi’s letters explicitly attack Shia jurisprudence, theology, and the walayah doctrine. Given that the Mughal dynasty was Safavid-influenced and that Dara Shikoh’s Qadiri tradition traced its silsila through Imam Ali, Sirhindi’s anti-Shia program was also an anti-Mughal-batin program.</w:t>
      </w:r>
    </w:p>
    <w:p>
      <w:pPr>
        <w:spacing w:before="60" w:after="120"/>
        <w:ind w:left="504"/>
      </w:pPr>
      <w:r>
        <w:rPr>
          <w:sz w:val="22"/>
        </w:rPr>
        <w:t>Third, his political program: Sirhindi’s letters to Mughal nobles systematically argued for the reimposition of Sharia as the governing framework of the empire, the restoration of jizyah, and the exclusion of non-Muslims from positions of state authority. Every element of Aurangzeb’s program is pre-figured in Sirhindi’s letters, written two generations before Aurangzeb.</w:t>
      </w:r>
    </w:p>
    <w:p>
      <w:pPr>
        <w:spacing w:before="200" w:after="60"/>
      </w:pPr>
      <w:r>
        <w:rPr>
          <w:b/>
          <w:i/>
          <w:color w:val="1B8A50"/>
          <w:sz w:val="22"/>
        </w:rPr>
        <w:t>Shah Wali Allah Dehlawi (1114–1176 AH / 1703–1762 CE): The Theological Consolidation</w:t>
      </w:r>
    </w:p>
    <w:p>
      <w:pPr>
        <w:spacing w:before="60" w:after="120"/>
      </w:pPr>
      <w:r>
        <w:rPr>
          <w:sz w:val="22"/>
        </w:rPr>
        <w:t>Shah Wali Allah Dehlawi — the most important Islamic scholar produced on the subcontinent since the Mughal founding — operates in the immediate aftermath of Aurangzeb’s reign and the beginning of Mughal collapse. His theological project is a systematic attempt to provide Islamic civilization on the subcontinent with an intellectual foundation that can survive the coming political fragmentation. His major works (Hujjat Allah al-Baligha, Al-Tafhimat al-Ilahiyya, Al-Fawz al-Kabir) represent the most serious Islamic theological scholarship produced on the subcontinent in the 18th century.</w:t>
      </w:r>
    </w:p>
    <w:p>
      <w:pPr>
        <w:spacing w:before="60" w:after="120"/>
      </w:pPr>
      <w:r>
        <w:rPr>
          <w:sz w:val="22"/>
        </w:rPr>
        <w:t>The critical SCRA observation about Shah Wali Allah: he attempted a genuine zahir-batin synthesis that ultimately failed in the direction of zahir consolidation. His attempt to bridge the four Sunni legal schools through a higher-order jurisprudential methodology (ijtihad at the level of principles rather than rulings) was sophisticated. His serious engagement with Shia jurisprudence (unusual for a Sunni scholar of his period) suggests a genuine desire for Islamic unity. But his deep dependence on Ibn Taymiyyah’s framework for the critique of popular religious practice — the same framework that WP-07 (The Sealed Room) identifies as the jurisprudential architecture of Ba’alist Capture — means that his theological construction contained the Ba’alist Capture vector within its foundations.</w:t>
      </w:r>
    </w:p>
    <w:p>
      <w:pPr>
        <w:spacing w:before="60" w:after="120"/>
      </w:pPr>
      <w:r>
        <w:rPr>
          <w:sz w:val="22"/>
        </w:rPr>
        <w:t>Shah Wali Allah’s students bifurcated: those who preserved the mystical-philosophical dimension (Shah Abdul Aziz, who explicitly rejected the anti-Sufi excesses of Wahhabism) and those who radicalized the reformist dimension (Syed Ahmad Barelvi, who led a proto-Deobandi jihad movement against the Sikh Empire and was killed at Balakot in 1247 AH / 1831 CE). Deoband 1867 is the institutional crystallization of the second stream.</w:t>
      </w:r>
    </w:p>
    <w:p>
      <w:pPr>
        <w:spacing w:before="200" w:after="60"/>
      </w:pPr>
      <w:r>
        <w:rPr>
          <w:b/>
          <w:i/>
          <w:color w:val="1B8A50"/>
          <w:sz w:val="22"/>
        </w:rPr>
        <w:t>Deoband 1867: The Ba’alist Capture Institutionalized</w:t>
      </w:r>
    </w:p>
    <w:p>
      <w:pPr>
        <w:spacing w:before="60" w:after="120"/>
      </w:pPr>
      <w:r>
        <w:rPr>
          <w:sz w:val="22"/>
        </w:rPr>
        <w:t>The Dar ul-Ulum Deoband was founded in 1283 AH / 1867 CE — ten years after the failed 1857 uprising and the formal British assumption of the subcontinent. Its founders (Muhammad Qasim Nanautawi, Rashid Ahmad Gangohi) drew explicitly on Shah Wali Allah’s tradition but in the radicalized Syed Ahmad Barelvi direction, further consolidated by the Wahhabi influence of Arabian contacts made during Hajj pilgrimages.</w:t>
      </w:r>
    </w:p>
    <w:p>
      <w:pPr>
        <w:spacing w:before="60" w:after="120"/>
      </w:pPr>
      <w:r>
        <w:rPr>
          <w:sz w:val="22"/>
        </w:rPr>
        <w:t>The Deobandi curriculum systematically eliminated the elements of the Mughal educational tradition most connected to the batin: Islamic philosophy (hikma), Sufi metaphysics (irfan), and engagement with non-Islamic traditions. What remained was Hanafi fiqh, Hadith sciences, and a reformed kalam that excluded the philosophical-mystical tradition of the Isfahan School and the Akbari synthesis. The Aurangzeb program, institutionalized.</w:t>
      </w:r>
    </w:p>
    <w:p>
      <w:pPr>
        <w:spacing w:before="60" w:after="120"/>
      </w:pPr>
      <w:r>
        <w:rPr>
          <w:sz w:val="22"/>
        </w:rPr>
        <w:t>The genealogy is complete: Aurangzeb’s execution of Dara Shikoh (1069 AH / 1659 CE) → Ahmad Sirhindi’s Naqshbandi opposition framework → Shah Wali Allah’s Ibn Taymiyyah-influenced consolidation → Syed Ahmad Barelvi’s radicalization → Deoband 1867 → Zia ul-Haq’s Deobandization of Pakistan (1977–1988) → the external Ba’alist Capture mechanism analyzed in WP-35 (JUI-F, PML-N–Saudi nexus). The chain from the Indus Saqifa of 1659 to the contemporary Pakistan civilizational contest is 365 years, unbroken.</w:t>
      </w:r>
    </w:p>
    <w:p>
      <w:pPr>
        <w:spacing w:before="400" w:after="120"/>
      </w:pPr>
      <w:r>
        <w:rPr>
          <w:b/>
          <w:color w:val="1A1A2E"/>
          <w:sz w:val="28"/>
        </w:rPr>
        <w:t>VIII. SCRA Assessment: The Mughal Verdict</w:t>
      </w:r>
    </w:p>
    <w:p>
      <w:pPr>
        <w:spacing w:before="280" w:after="80"/>
      </w:pPr>
      <w:r>
        <w:rPr>
          <w:b/>
          <w:color w:val="0A6E3C"/>
          <w:sz w:val="24"/>
        </w:rPr>
        <w:t>Three Structural Achievements</w:t>
      </w:r>
    </w:p>
    <w:p>
      <w:pPr>
        <w:spacing w:before="60" w:after="120"/>
      </w:pPr>
      <w:r>
        <w:rPr>
          <w:sz w:val="22"/>
        </w:rPr>
        <w:t>The Mughal period produced three genuine civilizational achievements that require acknowledgment:</w:t>
      </w:r>
    </w:p>
    <w:p>
      <w:pPr>
        <w:pStyle w:val="ListBullet"/>
        <w:spacing w:after="60"/>
        <w:ind w:left="504"/>
      </w:pPr>
      <w:r>
        <w:rPr>
          <w:sz w:val="22"/>
        </w:rPr>
        <w:t>The Indus-Persian Synthesis: The Mughal court produced the most sophisticated synthesis of Persian Islamic and Indian cultural traditions in history, expressed in architecture (Taj Mahal, Red Fort, Fatehpur Sikri), painting (Mughal miniature tradition fusing Persian and Indian styles), music (development of Hindustani classical from the fusion of Persian modal system and Indian raga tradition), and literature (the urdu/rekhta literary tradition as a zahir vehicle for Sufi batin expression).</w:t>
      </w:r>
    </w:p>
    <w:p>
      <w:pPr>
        <w:pStyle w:val="ListBullet"/>
        <w:spacing w:after="60"/>
        <w:ind w:left="504"/>
      </w:pPr>
      <w:r>
        <w:rPr>
          <w:sz w:val="22"/>
        </w:rPr>
        <w:t>The Sufi Dargah Infrastructure: The Mughal period consolidated the dargah network across the Indus basin as the institutional vehicle of walayah expression. Data Ganj Bakhsh (Lahore), Lal Shahbaz Qalandar (Sehwan), Shah Abdul Latif Bhittai (Bhit Shah), Nizamuddin Auliya (Delhi) — all received Mughal patronage that enabled their institutionalization as permanent nodes in the Indus batin transmission network. This infrastructure survived Aurangzeb, British colonization, and Partition. It is what the Saudi-Deobandi network is currently attempting to dismantle (WP-35).</w:t>
      </w:r>
    </w:p>
    <w:p>
      <w:pPr>
        <w:pStyle w:val="ListBullet"/>
        <w:spacing w:after="60"/>
        <w:ind w:left="504"/>
      </w:pPr>
      <w:r>
        <w:rPr>
          <w:sz w:val="22"/>
        </w:rPr>
        <w:t>Dara Shikoh’s Intellectual Legacy: The Sirr-e-Akbar’s Persian translation of the Upanishads was the primary source through which the European Orientalists encountered Vedantic philosophy in the 18th century (Anquetil-Duperron’s Latin translation from Dara Shikoh’s Persian, which Schopenhauer read). Dara Shikoh’s comparative metaphysical methodology — the Majmaʾ al-Bahrayn approach — is an intellectual contribution of the first order, independently of its political fate.</w:t>
      </w:r>
    </w:p>
    <w:p>
      <w:pPr>
        <w:spacing w:before="280" w:after="80"/>
      </w:pPr>
      <w:r>
        <w:rPr>
          <w:b/>
          <w:color w:val="0A6E3C"/>
          <w:sz w:val="24"/>
        </w:rPr>
        <w:t>Three Structural Failures</w:t>
      </w:r>
    </w:p>
    <w:p>
      <w:pPr>
        <w:spacing w:before="60" w:after="120"/>
      </w:pPr>
      <w:r>
        <w:rPr>
          <w:sz w:val="22"/>
        </w:rPr>
        <w:t>The Mughal period also exhibits the same three structural failures as the Safavid experiment (WP-31):</w:t>
      </w:r>
    </w:p>
    <w:p>
      <w:pPr>
        <w:pStyle w:val="ListBullet"/>
        <w:spacing w:after="60"/>
        <w:ind w:left="504"/>
      </w:pPr>
      <w:r>
        <w:rPr>
          <w:sz w:val="22"/>
        </w:rPr>
        <w:t>Batin Dependent on Personal Authority: The Din-e-Ilahi, like the Safavid Shah’s spiritual claim, depended entirely on the continuing spiritual depth of one person. Akbar’s batin synthesis had no institutional transmission mechanism beyond the emperor’s personal example. Jahangir inherited the zahir without the batin. The collapse was inevitable.</w:t>
      </w:r>
    </w:p>
    <w:p>
      <w:pPr>
        <w:pStyle w:val="ListBullet"/>
        <w:spacing w:after="60"/>
        <w:ind w:left="504"/>
      </w:pPr>
      <w:r>
        <w:rPr>
          <w:sz w:val="22"/>
        </w:rPr>
        <w:t>The Imam’s Absence: Dara Shikoh’s synthesis — despite its extraordinary intellectual sophistication — could not articulate the walayah chain from which it drew. He could recognize the batin convergence between Sufi irfan and Vedantic philosophy. He could not ground this recognition in the constitutional authority of the Imam’s continuing walayah. The synthesis floated without institutional anchor.</w:t>
      </w:r>
    </w:p>
    <w:p>
      <w:pPr>
        <w:pStyle w:val="ListBullet"/>
        <w:spacing w:after="60"/>
        <w:ind w:left="504"/>
      </w:pPr>
      <w:r>
        <w:rPr>
          <w:sz w:val="22"/>
        </w:rPr>
        <w:t>The Zahir Vulnerability: Without an established walayah chain providing juridical protection, the batin synthesis was vulnerable to zahir capture at the first political opportunity. Aurangzeb provided that opportunity. The orthodox ulama provided the juridical instrument. The execution took six weeks from capture to beheading.</w:t>
      </w:r>
    </w:p>
    <w:p>
      <w:pPr>
        <w:spacing w:before="280" w:after="80"/>
      </w:pPr>
      <w:r>
        <w:rPr>
          <w:b/>
          <w:color w:val="0A6E3C"/>
          <w:sz w:val="24"/>
        </w:rPr>
        <w:t>The SCRA Verdict</w:t>
      </w:r>
    </w:p>
    <w:p>
      <w:pPr>
        <w:spacing w:before="60" w:after="120"/>
      </w:pPr>
      <w:r>
        <w:rPr>
          <w:sz w:val="22"/>
        </w:rPr>
        <w:t>Dara Shikoh’s Majmaʾ al-Bahrayn is the authentic batin statement of Indus Islamic civilization: the most articulate expression of what the Indus basin has always carried — the recognition that the divine self-disclosure operates through multiple zahir traditions, that the Sufi transmission through Hasan al-Basri through Imam Ali is the batin thread connecting Islamic and pre-Islamic Indus spirituality, and that the furqan criterion can discriminate this batin truth across the most apparently incompatible surface traditions.</w:t>
      </w:r>
    </w:p>
    <w:p>
      <w:pPr>
        <w:spacing w:before="60" w:after="120"/>
      </w:pPr>
      <w:r>
        <w:rPr>
          <w:sz w:val="22"/>
        </w:rPr>
        <w:t>Aurangzeb’s execution of Dara Shikoh is the Indus Saqifa: the definitive moment at which the zahir institutional mechanism captured, suppressed, and physically destroyed the batin heir. The civilizational consequences are still live. The Saudi-Deobandi external Ba’alist Capture mechanism analyzed in WP-35 is Aurangzeb’s legacy operating in the 21st century through Saudi petrodollar flows rather than imperial military force. The Munir Doctrine (WP-12) and the Fitna al-Khawarij designation (WP-35) are the institutional attempt to recover the authentic Indus batin after 365 years of accumulated suppression.</w:t>
      </w:r>
    </w:p>
    <w:p>
      <w:pPr>
        <w:spacing w:before="60" w:after="120"/>
      </w:pPr>
      <w:r>
        <w:rPr>
          <w:sz w:val="22"/>
        </w:rPr>
        <w:t>The recovery is real. The chain was never broken. The Chishti, Qadiri, and Suhrawardi dargahs survived. Iqbal’s synthesis preserved the intellectual tradition. The Munir Doctrine is its contemporary institutional expression. But the recovery is incomplete as long as the external Ba’alist Capture mechanism — the JUI-F network, the Saudi funding architecture, the PML-N–Saudi structural nexus — retains the capacity to replicate the Aurangzeb move through the civilian political domain: marshaling the zahir institutional instruments of parliamentary majority, street pressure, and media narrative against the batin claimant.</w:t>
      </w:r>
    </w:p>
    <w:p>
      <w:pPr>
        <w:spacing w:before="60" w:after="120"/>
      </w:pPr>
      <w:r>
        <w:rPr>
          <w:sz w:val="22"/>
        </w:rPr>
        <w:t>Dara Shikoh was executed. The Pakistan Army under Munir has five policy acts and a live DOI. The batin is stronger in 2026 than in 1659. But the structural vulnerability is the same: the zahir instruments of institutional capture remain available to the Aurangzeb faction.</w:t>
      </w:r>
    </w:p>
    <w:p>
      <w:pPr>
        <w:spacing w:before="160" w:after="160"/>
      </w:pPr>
      <w:r>
        <w:rPr>
          <w:color w:val="BBBBBB"/>
          <w:sz w:val="18"/>
        </w:rPr>
        <w:t>――――――――――――――――――――――――――――――――――――――――――――――――――――――――――――</w:t>
      </w:r>
    </w:p>
    <w:p>
      <w:pPr>
        <w:spacing w:before="400" w:after="120"/>
      </w:pPr>
      <w:r>
        <w:rPr>
          <w:b/>
          <w:color w:val="1A1A2E"/>
          <w:sz w:val="28"/>
        </w:rPr>
        <w:t>Bibliography</w:t>
      </w:r>
    </w:p>
    <w:p>
      <w:pPr>
        <w:spacing w:before="280" w:after="80"/>
      </w:pPr>
      <w:r>
        <w:rPr>
          <w:b/>
          <w:color w:val="0A6E3C"/>
          <w:sz w:val="24"/>
        </w:rPr>
        <w:t>Primary Sources</w:t>
      </w:r>
    </w:p>
    <w:p>
      <w:pPr>
        <w:spacing w:after="80"/>
        <w:ind w:left="576" w:hanging="576"/>
      </w:pPr>
      <w:r>
        <w:rPr>
          <w:sz w:val="19"/>
        </w:rPr>
        <w:t>Abuʾ l-Fazl ʿAllami. Ain-e-Akbari. 3 vols. Trans. H. Blochmann and H.S. Jarrett. Calcutta: Asiatic Society of Bengal, 1873-1907.</w:t>
      </w:r>
    </w:p>
    <w:p>
      <w:pPr>
        <w:spacing w:after="80"/>
        <w:ind w:left="576" w:hanging="576"/>
      </w:pPr>
      <w:r>
        <w:rPr>
          <w:sz w:val="19"/>
        </w:rPr>
        <w:t>Abuʾ l-Fazl ʿAllami. Akbarnama. 3 vols. Trans. H. Beveridge. Calcutta: Asiatic Society of Bengal, 1897-1921.</w:t>
      </w:r>
    </w:p>
    <w:p>
      <w:pPr>
        <w:spacing w:after="80"/>
        <w:ind w:left="576" w:hanging="576"/>
      </w:pPr>
      <w:r>
        <w:rPr>
          <w:sz w:val="19"/>
        </w:rPr>
        <w:t>Babur, Zahir ud-Din Muhammad. Baburnama (Memoirs of Babur). Trans. Annette Beveridge. London: Luzac, 1922.</w:t>
      </w:r>
    </w:p>
    <w:p>
      <w:pPr>
        <w:spacing w:after="80"/>
        <w:ind w:left="576" w:hanging="576"/>
      </w:pPr>
      <w:r>
        <w:rPr>
          <w:sz w:val="19"/>
        </w:rPr>
        <w:t>Dara Shikoh, Muhammad. Majmaʾ al-Bahrayn (Meeting of Two Oceans). 1655 CE. Ed. and trans. Hasrat, B.J. Visva-Bharati, 1953.</w:t>
      </w:r>
    </w:p>
    <w:p>
      <w:pPr>
        <w:spacing w:after="80"/>
        <w:ind w:left="576" w:hanging="576"/>
      </w:pPr>
      <w:r>
        <w:rPr>
          <w:sz w:val="19"/>
        </w:rPr>
        <w:t>Dara Shikoh, Muhammad. Sirr-e-Akbar (The Greatest Secret). 1657 CE. Persian translation of 52 Upanishads.</w:t>
      </w:r>
    </w:p>
    <w:p>
      <w:pPr>
        <w:spacing w:after="80"/>
        <w:ind w:left="576" w:hanging="576"/>
      </w:pPr>
      <w:r>
        <w:rPr>
          <w:sz w:val="19"/>
        </w:rPr>
        <w:t>Dara Shikoh, Muhammad. Sakinat al-Awliyaʼ. Ed. Tara Chand and S.M. Reza Jalali Naini. Tehran, 1965.</w:t>
      </w:r>
    </w:p>
    <w:p>
      <w:pPr>
        <w:spacing w:after="80"/>
        <w:ind w:left="576" w:hanging="576"/>
      </w:pPr>
      <w:r>
        <w:rPr>
          <w:sz w:val="19"/>
        </w:rPr>
        <w:t>Dara Shikoh, Muhammad. Hasanat al-ʿArifin. Ed. Sayyid Makhdoom Raheen. Tehran, 1973.</w:t>
      </w:r>
    </w:p>
    <w:p>
      <w:pPr>
        <w:spacing w:after="80"/>
        <w:ind w:left="576" w:hanging="576"/>
      </w:pPr>
      <w:r>
        <w:rPr>
          <w:sz w:val="19"/>
        </w:rPr>
        <w:t>Ahmad Sirhindi. Maktubat-i-Rabbani. 3 vols. Lucknow: Nawal Kishor, 1877. Key letters: vol. 1, nos. 36, 41, 251, 266; vol. 3, no. 41.</w:t>
      </w:r>
    </w:p>
    <w:p>
      <w:pPr>
        <w:spacing w:after="80"/>
        <w:ind w:left="576" w:hanging="576"/>
      </w:pPr>
      <w:r>
        <w:rPr>
          <w:sz w:val="19"/>
        </w:rPr>
        <w:t>Shah Wali Allah Dehlawi. Hujjat Allah al-Baligha. 2 vols. Trans. Marcia Hermansen. Leiden: Brill, 1996.</w:t>
      </w:r>
    </w:p>
    <w:p>
      <w:pPr>
        <w:spacing w:after="80"/>
        <w:ind w:left="576" w:hanging="576"/>
      </w:pPr>
      <w:r>
        <w:rPr>
          <w:sz w:val="19"/>
        </w:rPr>
        <w:t>Khwaja Nizam ud-Din Ahmad. Tabaqat-i-Akbari. Trans. B. De. Calcutta: Asiatic Society of Bengal, 1927.</w:t>
      </w:r>
    </w:p>
    <w:p>
      <w:pPr>
        <w:spacing w:after="80"/>
        <w:ind w:left="576" w:hanging="576"/>
      </w:pPr>
      <w:r>
        <w:rPr>
          <w:sz w:val="19"/>
        </w:rPr>
        <w:t>Jadunath Sarkar. Anecdotes of Aurangzeb. Calcutta: Sarkar and Sons, 1912.</w:t>
      </w:r>
    </w:p>
    <w:p>
      <w:pPr>
        <w:spacing w:after="80"/>
        <w:ind w:left="576" w:hanging="576"/>
      </w:pPr>
      <w:r>
        <w:rPr>
          <w:sz w:val="19"/>
        </w:rPr>
        <w:t>Monserrate, Antonio S.J. Commentary on His Journey to the Court of Akbar. Trans. J.S. Hoyland. Oxford: Oxford University Press, 1922.</w:t>
      </w:r>
    </w:p>
    <w:p>
      <w:pPr>
        <w:spacing w:before="280" w:after="80"/>
      </w:pPr>
      <w:r>
        <w:rPr>
          <w:b/>
          <w:color w:val="0A6E3C"/>
          <w:sz w:val="24"/>
        </w:rPr>
        <w:t>Secondary Sources</w:t>
      </w:r>
    </w:p>
    <w:p>
      <w:pPr>
        <w:spacing w:after="80"/>
        <w:ind w:left="576" w:hanging="576"/>
      </w:pPr>
      <w:r>
        <w:rPr>
          <w:sz w:val="19"/>
        </w:rPr>
        <w:t>Chandra, Satish. Medieval India: From Sultanat to the Mughals. 2 vols. New Delhi: Har-Anand, 1997.</w:t>
      </w:r>
    </w:p>
    <w:p>
      <w:pPr>
        <w:spacing w:after="80"/>
        <w:ind w:left="576" w:hanging="576"/>
      </w:pPr>
      <w:r>
        <w:rPr>
          <w:sz w:val="19"/>
        </w:rPr>
        <w:t>Dale, Stephen Frederic. The Muslim Empires of the Ottomans, Safavids, and Mughals. Cambridge: Cambridge University Press, 2010.</w:t>
      </w:r>
    </w:p>
    <w:p>
      <w:pPr>
        <w:spacing w:after="80"/>
        <w:ind w:left="576" w:hanging="576"/>
      </w:pPr>
      <w:r>
        <w:rPr>
          <w:sz w:val="19"/>
        </w:rPr>
        <w:t>Ernst, Carl W. and Bruce B. Lawrence. Sufi Martyrs of Love: The Chishti Order in South Asia and Beyond. New York: Palgrave, 2002.</w:t>
      </w:r>
    </w:p>
    <w:p>
      <w:pPr>
        <w:spacing w:after="80"/>
        <w:ind w:left="576" w:hanging="576"/>
      </w:pPr>
      <w:r>
        <w:rPr>
          <w:sz w:val="19"/>
        </w:rPr>
        <w:t>Faruqi, Munis D. Princes of the Mughal Empire, 1504-1719. Cambridge: Cambridge University Press, 2012.</w:t>
      </w:r>
    </w:p>
    <w:p>
      <w:pPr>
        <w:spacing w:after="80"/>
        <w:ind w:left="576" w:hanging="576"/>
      </w:pPr>
      <w:r>
        <w:rPr>
          <w:sz w:val="19"/>
        </w:rPr>
        <w:t>Habib, Irfan. Akbar and His India. Oxford: Oxford University Press, 1997.</w:t>
      </w:r>
    </w:p>
    <w:p>
      <w:pPr>
        <w:spacing w:after="80"/>
        <w:ind w:left="576" w:hanging="576"/>
      </w:pPr>
      <w:r>
        <w:rPr>
          <w:sz w:val="19"/>
        </w:rPr>
        <w:t>Hasrat, B.J. Dara Shikuh: Life and Works. New Delhi: Munshiram Manoharlal, 1982.</w:t>
      </w:r>
    </w:p>
    <w:p>
      <w:pPr>
        <w:spacing w:after="80"/>
        <w:ind w:left="576" w:hanging="576"/>
      </w:pPr>
      <w:r>
        <w:rPr>
          <w:sz w:val="19"/>
        </w:rPr>
        <w:t>Koch, Ebba. The Complete Taj Mahal. London: Thames &amp; Hudson, 2006.</w:t>
      </w:r>
    </w:p>
    <w:p>
      <w:pPr>
        <w:spacing w:after="80"/>
        <w:ind w:left="576" w:hanging="576"/>
      </w:pPr>
      <w:r>
        <w:rPr>
          <w:sz w:val="19"/>
        </w:rPr>
        <w:t>Moin, A. Azfar. The Millennial Sovereign: Sacred Kingship and Sainthood in Islam. New York: Columbia University Press, 2012.</w:t>
      </w:r>
    </w:p>
    <w:p>
      <w:pPr>
        <w:spacing w:after="80"/>
        <w:ind w:left="576" w:hanging="576"/>
      </w:pPr>
      <w:r>
        <w:rPr>
          <w:sz w:val="19"/>
        </w:rPr>
        <w:t>Mukhia, Harbans. The Mughals of India. Oxford: Blackwell, 2004.</w:t>
      </w:r>
    </w:p>
    <w:p>
      <w:pPr>
        <w:spacing w:after="80"/>
        <w:ind w:left="576" w:hanging="576"/>
      </w:pPr>
      <w:r>
        <w:rPr>
          <w:sz w:val="19"/>
        </w:rPr>
        <w:t>Richards, John F. The Mughal Empire. Cambridge: Cambridge University Press, 1993.</w:t>
      </w:r>
    </w:p>
    <w:p>
      <w:pPr>
        <w:spacing w:after="80"/>
        <w:ind w:left="576" w:hanging="576"/>
      </w:pPr>
      <w:r>
        <w:rPr>
          <w:sz w:val="19"/>
        </w:rPr>
        <w:t>Schimmel, Annemarie. The Empire of the Great Mughals. London: Reaktion Books, 2004.</w:t>
      </w:r>
    </w:p>
    <w:p>
      <w:pPr>
        <w:spacing w:after="80"/>
        <w:ind w:left="576" w:hanging="576"/>
      </w:pPr>
      <w:r>
        <w:rPr>
          <w:sz w:val="19"/>
        </w:rPr>
        <w:t>Streusand, Douglas E. Islamic Gunpowder Empires: Ottomans, Safavids, and Mughals. Boulder: Westview Press, 2011.</w:t>
      </w:r>
    </w:p>
    <w:p>
      <w:pPr>
        <w:spacing w:after="80"/>
        <w:ind w:left="576" w:hanging="576"/>
      </w:pPr>
      <w:r>
        <w:rPr>
          <w:sz w:val="19"/>
        </w:rPr>
        <w:t>Truschke, Audrey. Aurangzeb: The Life and Legacy of India’s Most Controversial King. Stanford: Stanford University Press, 2017.</w:t>
      </w:r>
    </w:p>
    <w:p>
      <w:pPr>
        <w:spacing w:after="80"/>
        <w:ind w:left="576" w:hanging="576"/>
      </w:pPr>
      <w:r>
        <w:rPr>
          <w:sz w:val="19"/>
        </w:rPr>
        <w:t>Truschke, Audrey. Culture of Encounters: Sanskrit at the Mughal Court. New York: Columbia University Press, 2016.</w:t>
      </w:r>
    </w:p>
    <w:p>
      <w:pPr>
        <w:spacing w:before="280" w:after="80"/>
      </w:pPr>
      <w:r>
        <w:rPr>
          <w:b/>
          <w:color w:val="0A6E3C"/>
          <w:sz w:val="24"/>
        </w:rPr>
        <w:t>SCRA Internal Cross-References</w:t>
      </w:r>
    </w:p>
    <w:p>
      <w:pPr>
        <w:spacing w:after="80"/>
        <w:ind w:left="576" w:hanging="576"/>
      </w:pPr>
      <w:r>
        <w:rPr>
          <w:sz w:val="19"/>
        </w:rPr>
        <w:t>SCRA WP-06. The Indus Thesis. DOI: 10.5281/zenodo.20467615.</w:t>
      </w:r>
    </w:p>
    <w:p>
      <w:pPr>
        <w:spacing w:after="80"/>
        <w:ind w:left="576" w:hanging="576"/>
      </w:pPr>
      <w:r>
        <w:rPr>
          <w:sz w:val="19"/>
        </w:rPr>
        <w:t>SCRA WP-07. The Sealed Room: Ibn Taymiyyah’s Jurisprudential Architecture. DOI: 10.5281/zenodo.20467617.</w:t>
      </w:r>
    </w:p>
    <w:p>
      <w:pPr>
        <w:spacing w:after="80"/>
        <w:ind w:left="576" w:hanging="576"/>
      </w:pPr>
      <w:r>
        <w:rPr>
          <w:sz w:val="19"/>
        </w:rPr>
        <w:t>SCRA WP-13. The Undivided River: Indus Valley Civilization, Buddhist Gandhara, and Sufi Continuity. DOI: 10.5281/zenodo.20543486.</w:t>
      </w:r>
    </w:p>
    <w:p>
      <w:pPr>
        <w:spacing w:after="80"/>
        <w:ind w:left="576" w:hanging="576"/>
      </w:pPr>
      <w:r>
        <w:rPr>
          <w:sz w:val="19"/>
        </w:rPr>
        <w:t>SCRA WP-14. The Noor Before the River: Ibn Arabi’s Haqiqa Muhammadiyya. DOI: 10.5281/zenodo.20543490.</w:t>
      </w:r>
    </w:p>
    <w:p>
      <w:pPr>
        <w:spacing w:after="80"/>
        <w:ind w:left="576" w:hanging="576"/>
      </w:pPr>
      <w:r>
        <w:rPr>
          <w:sz w:val="19"/>
        </w:rPr>
        <w:t>SCRA WP-16. The Jinnah Suppression. DOI: 10.5281/zenodo.20543496.</w:t>
      </w:r>
    </w:p>
    <w:p>
      <w:pPr>
        <w:spacing w:after="80"/>
        <w:ind w:left="576" w:hanging="576"/>
      </w:pPr>
      <w:r>
        <w:rPr>
          <w:sz w:val="19"/>
        </w:rPr>
        <w:t>SCRA WP-17. The British Double Constitution. DOI: 10.5281/zenodo.20543498.</w:t>
      </w:r>
    </w:p>
    <w:p>
      <w:pPr>
        <w:spacing w:after="80"/>
        <w:ind w:left="576" w:hanging="576"/>
      </w:pPr>
      <w:r>
        <w:rPr>
          <w:sz w:val="19"/>
        </w:rPr>
        <w:t>SCRA WP-24. The Furqan Criterion. DOI: 10.5281/zenodo.20543517.</w:t>
      </w:r>
    </w:p>
    <w:p>
      <w:pPr>
        <w:spacing w:after="80"/>
        <w:ind w:left="576" w:hanging="576"/>
      </w:pPr>
      <w:r>
        <w:rPr>
          <w:sz w:val="19"/>
        </w:rPr>
        <w:t>SCRA WP-25. The Sufi Court Problem: Three Modes of Ba’alist Sufi Management. DOI: 10.5281/zenodo.20543519.</w:t>
      </w:r>
    </w:p>
    <w:p>
      <w:pPr>
        <w:spacing w:after="80"/>
        <w:ind w:left="576" w:hanging="576"/>
      </w:pPr>
      <w:r>
        <w:rPr>
          <w:sz w:val="19"/>
        </w:rPr>
        <w:t>SCRA WP-31. The Safavid Experiment. DOI: pending.</w:t>
      </w:r>
    </w:p>
    <w:p>
      <w:pPr>
        <w:spacing w:after="80"/>
        <w:ind w:left="576" w:hanging="576"/>
      </w:pPr>
      <w:r>
        <w:rPr>
          <w:sz w:val="19"/>
        </w:rPr>
        <w:t>SCRA WP-35. The Walayah Doctrine and the Pakistan Doctrine. DOI: 10.5281/zenodo.20548585.</w:t>
      </w:r>
    </w:p>
    <w:p>
      <w:pPr>
        <w:spacing w:before="160" w:after="160"/>
      </w:pPr>
      <w:r>
        <w:rPr>
          <w:color w:val="BBBBBB"/>
          <w:sz w:val="18"/>
        </w:rPr>
        <w:t>――――――――――――――――――――――――――――――――――――――――――――――――――――――――――――</w:t>
      </w:r>
    </w:p>
    <w:p>
      <w:pPr>
        <w:spacing w:before="240"/>
        <w:jc w:val="center"/>
      </w:pPr>
      <w:r>
        <w:rPr>
          <w:color w:val="777777"/>
          <w:sz w:val="18"/>
        </w:rPr>
        <w:t>Sacred Civilization Research Archive (SCRA) · Indus Basin Studies Series No. 3</w:t>
        <w:br/>
        <w:t>alvidscriptorium.com · ORCID: 0009-0004-9944-7378</w:t>
        <w:br/>
        <w:t>CC BY 4.0 · © 2026 Saad Khizar Bosal</w:t>
      </w:r>
    </w:p>
    <w:sectPr w:rsidR="00FC693F" w:rsidRPr="0006063C" w:rsidSect="00034616">
      <w:pgSz w:w="12240" w:h="15840"/>
      <w:pgMar w:top="1584" w:right="1800" w:bottom="15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