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480"/>
        <w:jc w:val="center"/>
      </w:pPr>
      <w:r>
        <w:rPr>
          <w:rFonts w:ascii="Arial" w:cs="Arial" w:eastAsia="Arial" w:hAnsi="Arial"/>
          <w:b/>
          <w:bCs/>
          <w:i w:val="false"/>
          <w:iCs w:val="false"/>
          <w:color w:val="000000"/>
          <w:sz w:val="36"/>
          <w:szCs w:val="36"/>
        </w:rPr>
        <w:t xml:space="preserve">Four Operator-Seam Tests of Structural Primitive Architecture in Photosynthetic Light-Harvesting: The 127 K Invariant and a Corrected Forward Prediction</w:t>
      </w:r>
    </w:p>
    <w:p>
      <w:pPr>
        <w:spacing w:after="60" w:before="80"/>
        <w:jc w:val="center"/>
      </w:pPr>
      <w:r>
        <w:rPr>
          <w:rFonts w:ascii="Arial" w:cs="Arial" w:eastAsia="Arial" w:hAnsi="Arial"/>
          <w:b/>
          <w:bCs/>
          <w:i w:val="false"/>
          <w:iCs w:val="false"/>
          <w:color w:val="000000"/>
          <w:sz w:val="24"/>
          <w:szCs w:val="24"/>
        </w:rPr>
        <w:t xml:space="preserve">Nikita Sergeyevich Shchevyev</w:t>
      </w:r>
    </w:p>
    <w:p>
      <w:pPr>
        <w:spacing w:after="60" w:before="80"/>
        <w:jc w:val="center"/>
      </w:pPr>
      <w:r>
        <w:rPr>
          <w:rFonts w:ascii="Arial" w:cs="Arial" w:eastAsia="Arial" w:hAnsi="Arial"/>
          <w:b w:val="false"/>
          <w:bCs w:val="false"/>
          <w:i w:val="false"/>
          <w:iCs w:val="false"/>
          <w:color w:val="555555"/>
          <w:sz w:val="22"/>
          <w:szCs w:val="22"/>
        </w:rPr>
        <w:t xml:space="preserve">Florida Atlantic University — Harriet L. Wilkes Honors College</w:t>
      </w:r>
    </w:p>
    <w:p>
      <w:pPr>
        <w:spacing w:after="400" w:before="80"/>
        <w:jc w:val="center"/>
      </w:pPr>
      <w:r>
        <w:rPr>
          <w:rFonts w:ascii="Arial" w:cs="Arial" w:eastAsia="Arial" w:hAnsi="Arial"/>
          <w:b w:val="false"/>
          <w:bCs w:val="false"/>
          <w:i w:val="false"/>
          <w:iCs w:val="false"/>
          <w:color w:val="555555"/>
          <w:sz w:val="22"/>
          <w:szCs w:val="22"/>
        </w:rPr>
        <w:t xml:space="preserve">nshchevyev2026@fau.edu · June 2026</w:t>
      </w:r>
    </w:p>
    <w:p>
      <w:pPr>
        <w:pBdr>
          <w:bottom w:val="single" w:color="333333" w:sz="6" w:space="1"/>
        </w:pBdr>
        <w:spacing w:after="160" w:before="160"/>
      </w:pPr>
      <w:r>
        <w:t xml:space="preserve"/>
      </w:r>
    </w:p>
    <w:p>
      <w:pPr>
        <w:spacing w:after="120" w:before="240"/>
        <w:jc w:val="both"/>
      </w:pPr>
      <w:r>
        <w:rPr>
          <w:rFonts w:ascii="Arial" w:cs="Arial" w:eastAsia="Arial" w:hAnsi="Arial"/>
          <w:b/>
          <w:bCs/>
          <w:i w:val="false"/>
          <w:iCs w:val="false"/>
          <w:color w:val="000000"/>
          <w:sz w:val="24"/>
          <w:szCs w:val="24"/>
        </w:rPr>
        <w:t xml:space="preserve">Abstract</w:t>
      </w:r>
    </w:p>
    <w:p>
      <w:pPr>
        <w:spacing w:after="200" w:before="80"/>
        <w:ind w:left="720" w:right="720"/>
      </w:pPr>
      <w:r>
        <w:rPr>
          <w:rFonts w:ascii="Arial" w:cs="Arial" w:eastAsia="Arial" w:hAnsi="Arial"/>
          <w:b w:val="false"/>
          <w:bCs w:val="false"/>
          <w:i w:val="false"/>
          <w:iCs w:val="false"/>
          <w:color w:val="000000"/>
          <w:sz w:val="21"/>
          <w:szCs w:val="21"/>
        </w:rPr>
        <w:t xml:space="preserve">Structural Primitive Architecture (SPA) identifies seven operators co-necessary with the predomain condition H &gt; K and predicts that physical systems optimised for appearance-sustaining functions should operate simultaneously at all relevant operator-seam conditions — dimensionless ratios that equal 1 at the structural threshold H = K. A prior paper (Shchevyev 2026a) established the Coherence-seam condition J·T₂/ħ = 1 in photosynthetic light-harvesting. This paper extends the test to three further operators — Relation (Δε/J = 1), Gradient (ΔE/kT = 1), and Orientation (k_fwd/k_bwd = e) — using four spectroscopic datasets. Three of the four tests are genuinely independent; the Orientation test is an algebraic consequence of the Gradient test and serves as a corroborating check rather than an independent contribution to the combined probability. Biological light-harvesting complexes satisfy all three independent seam conditions simultaneously; engineered J-aggregates do not. Combined probability for three independent tests (A, B, D): p = 2.17 × 10⁻⁵. The co-necessity structure of SPA is the only known theoretical framework that predicts simultaneous multi-operator seam satisfaction; environment-assisted quantum transport (ENAQT) theory explains the Coherence condition but has no resources to predict the others. A closed derivation of the Coherence-seam invariant T_coh × T₂ = ħ/k_B = 7,638 K·fs explains the previously unexplained 127 K temperature clustering in three phylogenetically unrelated photosynthetic organisms. A corrected forward prediction — T₂(FCP) ≈ 62 fs — is derived using the measured FCP electronic coupling (J = 85 cm⁻¹, Butkus et al. 2015), superseding the transport-coupling estimate of ~77 fs in Shchevyev (2026a). Throughout, ħ = 5,309 cm⁻¹·fs and k_B = 0.6950 cm⁻¹/K.</w:t>
      </w:r>
    </w:p>
    <w:p>
      <w:pPr>
        <w:pBdr>
          <w:bottom w:val="single" w:color="333333" w:sz="6" w:space="1"/>
        </w:pBdr>
        <w:spacing w:after="160" w:before="160"/>
      </w:pPr>
      <w:r>
        <w:t xml:space="preserve"/>
      </w:r>
    </w:p>
    <w:p>
      <w:pPr>
        <w:spacing w:after="160" w:before="360"/>
      </w:pPr>
      <w:r>
        <w:rPr>
          <w:rFonts w:ascii="Arial" w:cs="Arial" w:eastAsia="Arial" w:hAnsi="Arial"/>
          <w:b/>
          <w:bCs/>
          <w:sz w:val="26"/>
          <w:szCs w:val="26"/>
        </w:rPr>
        <w:t xml:space="preserve">1. Introduction</w:t>
      </w:r>
    </w:p>
    <w:p>
      <w:pPr>
        <w:spacing w:after="120" w:before="80"/>
        <w:jc w:val="both"/>
      </w:pPr>
      <w:r>
        <w:rPr>
          <w:rFonts w:ascii="Arial" w:cs="Arial" w:eastAsia="Arial" w:hAnsi="Arial"/>
          <w:b w:val="false"/>
          <w:bCs w:val="false"/>
          <w:i w:val="false"/>
          <w:iCs w:val="false"/>
          <w:color w:val="000000"/>
          <w:sz w:val="22"/>
          <w:szCs w:val="22"/>
        </w:rPr>
        <w:t xml:space="preserve">Structural Primitive Architecture (SPA) is a philosophical framework identifying the structural conditions any domain of appearance must already satisfy. Its central claim is the predomain condition H &gt; K: holding must exceed dissolution for anything to appear. From this condition SPA derives seven operators co-necessary with appearance — Actualization, Binding, Orientation, Gradient, Tension, Relation, and Coherence — and maps each to a physical instantiation in any domain where something appears (Shchevyev 2026b, 2026c).</w:t>
      </w:r>
    </w:p>
    <w:p>
      <w:pPr>
        <w:spacing w:after="120" w:before="80"/>
        <w:jc w:val="both"/>
      </w:pPr>
      <w:r>
        <w:rPr>
          <w:rFonts w:ascii="Arial" w:cs="Arial" w:eastAsia="Arial" w:hAnsi="Arial"/>
          <w:b w:val="false"/>
          <w:bCs w:val="false"/>
          <w:i w:val="false"/>
          <w:iCs w:val="false"/>
          <w:color w:val="000000"/>
          <w:sz w:val="22"/>
          <w:szCs w:val="22"/>
        </w:rPr>
        <w:t xml:space="preserve">The co-necessity claim generates a specific empirical prediction. Each operator has a characteristic seam condition — a dimensionless ratio that equals 1 when that operator sits at the structural threshold H = K, where appearance amplitude A = √(H − K) vanishes. Systems optimised under evolutionary or structural pressure to sustain appearance should operate simultaneously at all relevant seam conditions. Systems optimised for other objectives should not.</w:t>
      </w:r>
    </w:p>
    <w:p>
      <w:pPr>
        <w:spacing w:after="120" w:before="80"/>
        <w:jc w:val="both"/>
      </w:pPr>
      <w:r>
        <w:rPr>
          <w:rFonts w:ascii="Arial" w:cs="Arial" w:eastAsia="Arial" w:hAnsi="Arial"/>
          <w:b w:val="false"/>
          <w:bCs w:val="false"/>
          <w:i w:val="false"/>
          <w:iCs w:val="false"/>
          <w:color w:val="000000"/>
          <w:sz w:val="22"/>
          <w:szCs w:val="22"/>
        </w:rPr>
        <w:t xml:space="preserve">A prior paper (Shchevyev 2026a) tested the Coherence-seam condition J·T₂/ħ = 1 in photosynthetic light-harvesting and found biological systems satisfy it (biological mean 1.010, Mann-Whitney p = 0.018 against engineered controls). That paper also derived the seam as the unique transport optimum via a two-failure-mode theorem. This paper does not repeat those arguments; it tests whether the three remaining relevant seam conditions are also simultaneously satisfied.</w:t>
      </w:r>
    </w:p>
    <w:p>
      <w:pPr>
        <w:spacing w:after="120" w:before="80"/>
        <w:jc w:val="both"/>
      </w:pPr>
      <w:r>
        <w:rPr>
          <w:rFonts w:ascii="Arial" w:cs="Arial" w:eastAsia="Arial" w:hAnsi="Arial"/>
          <w:b w:val="false"/>
          <w:bCs w:val="false"/>
          <w:i w:val="false"/>
          <w:iCs w:val="false"/>
          <w:color w:val="000000"/>
          <w:sz w:val="22"/>
          <w:szCs w:val="22"/>
        </w:rPr>
        <w:t xml:space="preserve">ENAQT theory independently explains the Coherence seam: the dephasing rate matching the coupling rate is the transport optimum. ENAQT has no resources to predict the Relation, Gradient, or Orientation seams. The co-necessity prediction requires all four; this paper tests that requirement. Note that the Orientation test (Test E) is an algebraic consequence of the Gradient test (Test D) and is treated accordingly — as a corroborating check, not an independent test.</w:t>
      </w:r>
    </w:p>
    <w:p>
      <w:pPr>
        <w:spacing w:after="120" w:before="80"/>
        <w:jc w:val="both"/>
      </w:pPr>
      <w:r>
        <w:rPr>
          <w:rFonts w:ascii="Arial" w:cs="Arial" w:eastAsia="Arial" w:hAnsi="Arial"/>
          <w:b w:val="false"/>
          <w:bCs w:val="false"/>
          <w:i w:val="false"/>
          <w:iCs w:val="false"/>
          <w:color w:val="000000"/>
          <w:sz w:val="22"/>
          <w:szCs w:val="22"/>
        </w:rPr>
        <w:t xml:space="preserve">Section 2 derives the four seam conditions. Section 3 states the data and methods including the unit convention (Fix 5). Sections 4–7 present each test. Section 8 presents the combined analysis with the corrected combined probability (Fix 1). Section 9 derives the 127 K invariant. Section 10 presents the corrected FCP prediction. Section 11 discusses limitations. Section 12 concludes.</w:t>
      </w:r>
    </w:p>
    <w:p>
      <w:pPr>
        <w:spacing w:after="160" w:before="360"/>
      </w:pPr>
      <w:r>
        <w:rPr>
          <w:rFonts w:ascii="Arial" w:cs="Arial" w:eastAsia="Arial" w:hAnsi="Arial"/>
          <w:b/>
          <w:bCs/>
          <w:sz w:val="26"/>
          <w:szCs w:val="26"/>
        </w:rPr>
        <w:t xml:space="preserve">2. The Four Seam Conditions in Quantum Biology</w:t>
      </w:r>
    </w:p>
    <w:p>
      <w:pPr>
        <w:spacing w:after="120" w:before="80"/>
        <w:jc w:val="both"/>
      </w:pPr>
      <w:r>
        <w:rPr>
          <w:rFonts w:ascii="Arial" w:cs="Arial" w:eastAsia="Arial" w:hAnsi="Arial"/>
          <w:b w:val="false"/>
          <w:bCs w:val="false"/>
          <w:i w:val="false"/>
          <w:iCs w:val="false"/>
          <w:color w:val="000000"/>
          <w:sz w:val="22"/>
          <w:szCs w:val="22"/>
        </w:rPr>
        <w:t xml:space="preserve">A seam condition is the dimensionless ratio that equals 1 when operator X sits at H = K. Below 1, the K-type failure mode dominates; above 1, the H-type failure mode dominates. Four of SPA's seven operators have directly measurable seam conditions in photosynthetic quantum transport.</w:t>
      </w:r>
    </w:p>
    <w:p>
      <w:pPr>
        <w:spacing w:after="100" w:before="240"/>
      </w:pPr>
      <w:r>
        <w:rPr>
          <w:rFonts w:ascii="Arial" w:cs="Arial" w:eastAsia="Arial" w:hAnsi="Arial"/>
          <w:b/>
          <w:bCs/>
          <w:sz w:val="23"/>
          <w:szCs w:val="23"/>
        </w:rPr>
        <w:t xml:space="preserve">2.1 Coherence Seam: Φ_B = J·T₂/ħ</w:t>
      </w:r>
    </w:p>
    <w:p>
      <w:pPr>
        <w:spacing w:after="120" w:before="80"/>
        <w:jc w:val="both"/>
      </w:pPr>
      <w:r>
        <w:rPr>
          <w:rFonts w:ascii="Arial" w:cs="Arial" w:eastAsia="Arial" w:hAnsi="Arial"/>
          <w:b w:val="false"/>
          <w:bCs w:val="false"/>
          <w:i w:val="false"/>
          <w:iCs w:val="false"/>
          <w:color w:val="000000"/>
          <w:sz w:val="22"/>
          <w:szCs w:val="22"/>
        </w:rPr>
        <w:t xml:space="preserve">The Coherence operator maintains phase relationships across the network. Its seam condition is the ratio of the coherence-building rate (J) to the coherence-destruction rate (ħ/T₂). At Φ_B = 1: coherent and incoherent transport are exactly balanced — the ENAQT optimum. Below 1: decoherence collapses quantum assistance. Above 1: interference traps energy in Anderson-localised states.</w:t>
      </w:r>
    </w:p>
    <w:p>
      <w:pPr>
        <w:spacing w:after="100" w:before="240"/>
      </w:pPr>
      <w:r>
        <w:rPr>
          <w:rFonts w:ascii="Arial" w:cs="Arial" w:eastAsia="Arial" w:hAnsi="Arial"/>
          <w:b/>
          <w:bCs/>
          <w:sz w:val="23"/>
          <w:szCs w:val="23"/>
        </w:rPr>
        <w:t xml:space="preserve">2.2 Relation Seam: Φ_A = Δε/J</w:t>
      </w:r>
    </w:p>
    <w:p>
      <w:pPr>
        <w:spacing w:after="120" w:before="80"/>
        <w:jc w:val="both"/>
      </w:pPr>
      <w:r>
        <w:rPr>
          <w:rFonts w:ascii="Arial" w:cs="Arial" w:eastAsia="Arial" w:hAnsi="Arial"/>
          <w:b w:val="false"/>
          <w:bCs w:val="false"/>
          <w:i w:val="false"/>
          <w:iCs w:val="false"/>
          <w:color w:val="000000"/>
          <w:sz w:val="22"/>
          <w:szCs w:val="22"/>
        </w:rPr>
        <w:t xml:space="preserve">The Relation operator governs the capacity of each site to maintain distinct identity within the relational field. In energy-transfer networks, this is the ratio of static site-energy disorder Δε to inter-site coupling J — the Anderson localisation boundary. At Φ_A = 1: the system is maximally adaptive between coherent (ordered) and classical (disordered) transport. Below 1: over-ordered, coherence traps. Above 1: over-disordered, diffusion dominates.</w:t>
      </w:r>
    </w:p>
    <w:p>
      <w:pPr>
        <w:spacing w:after="100" w:before="240"/>
      </w:pPr>
      <w:r>
        <w:rPr>
          <w:rFonts w:ascii="Arial" w:cs="Arial" w:eastAsia="Arial" w:hAnsi="Arial"/>
          <w:b/>
          <w:bCs/>
          <w:sz w:val="23"/>
          <w:szCs w:val="23"/>
        </w:rPr>
        <w:t xml:space="preserve">2.3 Gradient Seam: Φ_D = ΔE/kT</w:t>
      </w:r>
    </w:p>
    <w:p>
      <w:pPr>
        <w:spacing w:after="120" w:before="80"/>
        <w:jc w:val="both"/>
      </w:pPr>
      <w:r>
        <w:rPr>
          <w:rFonts w:ascii="Arial" w:cs="Arial" w:eastAsia="Arial" w:hAnsi="Arial"/>
          <w:b w:val="false"/>
          <w:bCs w:val="false"/>
          <w:i w:val="false"/>
          <w:iCs w:val="false"/>
          <w:color w:val="000000"/>
          <w:sz w:val="22"/>
          <w:szCs w:val="22"/>
        </w:rPr>
        <w:t xml:space="preserve">The Gradient operator manifests as the energy funnel directing excitation toward the reaction centre. Its seam condition is the ratio of the dominant funnel step ΔE to thermal energy kT at the organism's growth temperature. This prediction applies to reversible, transport-mediating funnel steps — not irreversible trap steps, which SPA predicts should be above the seam by structural function (see Section 6).</w:t>
      </w:r>
    </w:p>
    <w:p>
      <w:pPr>
        <w:spacing w:after="100" w:before="240"/>
      </w:pPr>
      <w:r>
        <w:rPr>
          <w:rFonts w:ascii="Arial" w:cs="Arial" w:eastAsia="Arial" w:hAnsi="Arial"/>
          <w:b/>
          <w:bCs/>
          <w:sz w:val="23"/>
          <w:szCs w:val="23"/>
        </w:rPr>
        <w:t xml:space="preserve">2.4 Orientation Seam: Φ_E = k_fwd/k_bwd  [corroborating check]</w:t>
      </w:r>
    </w:p>
    <w:p>
      <w:pPr>
        <w:spacing w:after="120" w:before="80"/>
        <w:jc w:val="both"/>
      </w:pPr>
      <w:r>
        <w:rPr>
          <w:rFonts w:ascii="Arial" w:cs="Arial" w:eastAsia="Arial" w:hAnsi="Arial"/>
          <w:b w:val="false"/>
          <w:bCs w:val="false"/>
          <w:i w:val="false"/>
          <w:iCs w:val="false"/>
          <w:color w:val="000000"/>
          <w:sz w:val="22"/>
          <w:szCs w:val="22"/>
        </w:rPr>
        <w:t xml:space="preserve">At the Gradient seam ΔE = kT, detailed balance gives k_fwd/k_bwd = e^(ΔE/kT) = e^1 = e. This is an algebraic consequence of Test D: the same data appear in Test D as Φ_D and in Test E as e^Φ_D. Test E is therefore not an independent test. It corroborates the Gradient seam result via a different physical observable and documents the appearance of Euler's number in a biological measurement.</w:t>
      </w:r>
    </w:p>
    <w:p>
      <w:pPr>
        <w:spacing w:after="160" w:before="360"/>
      </w:pPr>
      <w:r>
        <w:rPr>
          <w:rFonts w:ascii="Arial" w:cs="Arial" w:eastAsia="Arial" w:hAnsi="Arial"/>
          <w:b/>
          <w:bCs/>
          <w:sz w:val="26"/>
          <w:szCs w:val="26"/>
        </w:rPr>
        <w:t xml:space="preserve">3. Data and Methods</w:t>
      </w:r>
    </w:p>
    <w:p>
      <w:pPr>
        <w:spacing w:after="120" w:before="80"/>
        <w:jc w:val="both"/>
      </w:pPr>
      <w:r>
        <w:rPr>
          <w:rFonts w:ascii="Arial" w:cs="Arial" w:eastAsia="Arial" w:hAnsi="Arial"/>
          <w:b w:val="false"/>
          <w:bCs w:val="false"/>
          <w:i w:val="false"/>
          <w:iCs w:val="false"/>
          <w:color w:val="000000"/>
          <w:sz w:val="22"/>
          <w:szCs w:val="22"/>
        </w:rPr>
        <w:t xml:space="preserve">Unit convention (used throughout): ħ = 5,309 cm⁻¹·fs and k_B = 0.6950 cm⁻¹/K. These follow from the standard conversions ħ = 6.582 × 10⁻¹⁶ eV·s × 8,065.5 cm⁻¹/eV × 10¹⁵ fs/s = 5,309 cm⁻¹·fs and k_B = 0.6950 cm⁻¹/K.</w:t>
      </w:r>
    </w:p>
    <w:p>
      <w:pPr>
        <w:spacing w:after="120" w:before="80"/>
        <w:jc w:val="both"/>
      </w:pPr>
      <w:r>
        <w:rPr>
          <w:rFonts w:ascii="Arial" w:cs="Arial" w:eastAsia="Arial" w:hAnsi="Arial"/>
          <w:b w:val="false"/>
          <w:bCs w:val="false"/>
          <w:i w:val="false"/>
          <w:iCs w:val="false"/>
          <w:color w:val="000000"/>
          <w:sz w:val="22"/>
          <w:szCs w:val="22"/>
        </w:rPr>
        <w:t xml:space="preserve">All data are drawn from previously published spectroscopic and biochemical measurements. Four biological light-harvesting complexes are tested: FMO (Chlorobaculum tepidum), FCP (marine diatoms), LHCII (higher plants), and PSII. Note that the coupling J relevant to each seam condition depends on the biological function being tested. Test B (Coherence) uses the coupling for quantum transport; Test A (Relation) uses the coupling for excitonic energy transfer in antenna complexes. For PSII, Test B uses the RC coupling J = 46 cm⁻¹ (Jha et al. 2024); Test A uses the antenna coupling J ≈ 90 cm⁻¹ (Novoderezhkin et al. 2004). Three engineered J-aggregate systems serve as controls: TDBC, PIC, and PBI aggregates, designed for narrow absorption bandwidth rather than transport efficiency.</w:t>
      </w:r>
    </w:p>
    <w:p>
      <w:pPr>
        <w:spacing w:after="120" w:before="80"/>
        <w:jc w:val="both"/>
      </w:pPr>
      <w:r>
        <w:rPr>
          <w:rFonts w:ascii="Arial" w:cs="Arial" w:eastAsia="Arial" w:hAnsi="Arial"/>
          <w:b w:val="false"/>
          <w:bCs w:val="false"/>
          <w:i w:val="false"/>
          <w:iCs w:val="false"/>
          <w:color w:val="000000"/>
          <w:sz w:val="22"/>
          <w:szCs w:val="22"/>
        </w:rPr>
        <w:t xml:space="preserve">Tests A, B, and D use independent spectroscopic datasets and independent measurement methods (2DES for Test B; hole-burning and single-molecule fluorescence for Test A; site-energy Hamiltonians with growth-temperature records for Test D). Test E is algebraically derived from Test D values and shares its dataset entirely.</w:t>
      </w:r>
    </w:p>
    <w:p>
      <w:pPr>
        <w:spacing w:after="120" w:before="80"/>
        <w:jc w:val="both"/>
      </w:pPr>
      <w:r>
        <w:rPr>
          <w:rFonts w:ascii="Arial" w:cs="Arial" w:eastAsia="Arial" w:hAnsi="Arial"/>
          <w:b w:val="false"/>
          <w:bCs w:val="false"/>
          <w:i w:val="false"/>
          <w:iCs w:val="false"/>
          <w:color w:val="000000"/>
          <w:sz w:val="22"/>
          <w:szCs w:val="22"/>
        </w:rPr>
        <w:t xml:space="preserve">Statistical comparison uses Mann-Whitney U tests (two-tailed, α = 0.05). The combined probability for independent tests is their product, equivalent to Fisher's combined probability test (Fisher 1925). Test E is excluded from the combined probability because it is not independent of Test D (see Section 7).</w:t>
      </w:r>
    </w:p>
    <w:p>
      <w:pPr>
        <w:spacing w:after="160" w:before="360"/>
      </w:pPr>
      <w:r>
        <w:rPr>
          <w:rFonts w:ascii="Arial" w:cs="Arial" w:eastAsia="Arial" w:hAnsi="Arial"/>
          <w:b/>
          <w:bCs/>
          <w:sz w:val="26"/>
          <w:szCs w:val="26"/>
        </w:rPr>
        <w:t xml:space="preserve">4. Test B — Coherence Seam: Φ_B = J·T₂/ħ</w:t>
      </w:r>
    </w:p>
    <w:p>
      <w:pPr>
        <w:spacing w:after="120" w:before="80"/>
        <w:jc w:val="both"/>
      </w:pPr>
      <w:r>
        <w:rPr>
          <w:rFonts w:ascii="Arial" w:cs="Arial" w:eastAsia="Arial" w:hAnsi="Arial"/>
          <w:b w:val="false"/>
          <w:bCs w:val="false"/>
          <w:i w:val="false"/>
          <w:iCs w:val="false"/>
          <w:color w:val="000000"/>
          <w:sz w:val="22"/>
          <w:szCs w:val="22"/>
        </w:rPr>
        <w:t xml:space="preserve">This test is established in Shchevyev (2026a); results are included here for the combined analysis. A note on the FMO coupling value is required for consistency with the prior paper.</w:t>
      </w:r>
    </w:p>
    <w:p>
      <w:pPr>
        <w:spacing w:after="120" w:before="80"/>
        <w:jc w:val="both"/>
      </w:pPr>
      <w:r>
        <w:rPr>
          <w:rFonts w:ascii="Arial" w:cs="Arial" w:eastAsia="Arial" w:hAnsi="Arial"/>
          <w:b w:val="false"/>
          <w:bCs w:val="false"/>
          <w:i w:val="false"/>
          <w:iCs w:val="false"/>
          <w:color w:val="000000"/>
          <w:sz w:val="22"/>
          <w:szCs w:val="22"/>
        </w:rPr>
        <w:t xml:space="preserve">Shchevyev (2026a) used J = 100 cm⁻¹ for FMO, giving R = 1.13. The present paper uses J = 87.7 cm⁻¹, giving Φ_B = 0.991. Both values are found in the FMO literature. The 100 cm⁻¹ value is an effective transport coupling used in ENAQT model calculations. The 87.7 cm⁻¹ value is the maximum pairwise coupling from the Adolphs &amp; Renger (2006) full Hamiltonian fit for Prosthecochloris aestuarii, which gives the dominant excitonic coupling in the complex. This paper uses the Hamiltonian value for consistency with the multi-operator analysis, where the Relation seam (Test A) also draws on the same Hamiltonian. The choice does not change the qualitative result — both values place FMO close to Φ_B = 1 — but the difference should be noted when comparing across papers.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780"/>
        <w:gridCol w:w="780"/>
        <w:gridCol w:w="820"/>
        <w:gridCol w:w="1000"/>
        <w:gridCol w:w="1000"/>
        <w:gridCol w:w="2280"/>
      </w:tblGrid>
      <w:tr>
        <w:trPr>
          <w:tblHeader/>
        </w:trPr>
        <w:tc>
          <w:tcPr>
            <w:tcW w:type="dxa" w:w="17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Complex</w:t>
            </w:r>
          </w:p>
        </w:tc>
        <w:tc>
          <w:tcPr>
            <w:tcW w:type="dxa" w:w="78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J (cm⁻¹)</w:t>
            </w:r>
          </w:p>
        </w:tc>
        <w:tc>
          <w:tcPr>
            <w:tcW w:type="dxa" w:w="78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T₂ (fs)</w:t>
            </w:r>
          </w:p>
        </w:tc>
        <w:tc>
          <w:tcPr>
            <w:tcW w:type="dxa" w:w="82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Φ_B = JT₂/ħ</w:t>
            </w:r>
          </w:p>
        </w:tc>
        <w:tc>
          <w:tcPr>
            <w:tcW w:type="dxa" w:w="10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Type</w:t>
            </w:r>
          </w:p>
        </w:tc>
        <w:tc>
          <w:tcPr>
            <w:tcW w:type="dxa" w:w="10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Status</w:t>
            </w:r>
          </w:p>
        </w:tc>
        <w:tc>
          <w:tcPr>
            <w:tcW w:type="dxa" w:w="228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Source</w:t>
            </w:r>
          </w:p>
        </w:tc>
      </w:tr>
      <w:tr>
        <w:tc>
          <w:tcPr>
            <w:tcW w:type="dxa" w:w="1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FMO*</w:t>
            </w:r>
          </w:p>
        </w:tc>
        <w:tc>
          <w:tcPr>
            <w:tcW w:type="dxa" w:w="7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87.7</w:t>
            </w:r>
          </w:p>
        </w:tc>
        <w:tc>
          <w:tcPr>
            <w:tcW w:type="dxa" w:w="7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60</w:t>
            </w:r>
          </w:p>
        </w:tc>
        <w:tc>
          <w:tcPr>
            <w:tcW w:type="dxa" w:w="82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0.991</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2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A&amp;R 2006 (Hamiltonian); Duan 2017 (T₂)</w:t>
            </w:r>
          </w:p>
        </w:tc>
      </w:tr>
      <w:tr>
        <w:tc>
          <w:tcPr>
            <w:tcW w:type="dxa" w:w="1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FCP</w:t>
            </w:r>
          </w:p>
        </w:tc>
        <w:tc>
          <w:tcPr>
            <w:tcW w:type="dxa" w:w="7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85</w:t>
            </w:r>
          </w:p>
        </w:tc>
        <w:tc>
          <w:tcPr>
            <w:tcW w:type="dxa" w:w="7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60</w:t>
            </w:r>
          </w:p>
        </w:tc>
        <w:tc>
          <w:tcPr>
            <w:tcW w:type="dxa" w:w="82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0.994</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2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Butkus et al. 2015</w:t>
            </w:r>
          </w:p>
        </w:tc>
      </w:tr>
      <w:tr>
        <w:tc>
          <w:tcPr>
            <w:tcW w:type="dxa" w:w="1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LHCII</w:t>
            </w:r>
          </w:p>
        </w:tc>
        <w:tc>
          <w:tcPr>
            <w:tcW w:type="dxa" w:w="7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90</w:t>
            </w:r>
          </w:p>
        </w:tc>
        <w:tc>
          <w:tcPr>
            <w:tcW w:type="dxa" w:w="7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~60</w:t>
            </w:r>
          </w:p>
        </w:tc>
        <w:tc>
          <w:tcPr>
            <w:tcW w:type="dxa" w:w="82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1.017</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2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Schlau-Cohen et al. 2012</w:t>
            </w:r>
          </w:p>
        </w:tc>
      </w:tr>
      <w:tr>
        <w:tc>
          <w:tcPr>
            <w:tcW w:type="dxa" w:w="1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PSII RC</w:t>
            </w:r>
          </w:p>
        </w:tc>
        <w:tc>
          <w:tcPr>
            <w:tcW w:type="dxa" w:w="7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46</w:t>
            </w:r>
          </w:p>
        </w:tc>
        <w:tc>
          <w:tcPr>
            <w:tcW w:type="dxa" w:w="7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~120</w:t>
            </w:r>
          </w:p>
        </w:tc>
        <w:tc>
          <w:tcPr>
            <w:tcW w:type="dxa" w:w="82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1.039</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2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Jha et al. 2024</w:t>
            </w:r>
          </w:p>
        </w:tc>
      </w:tr>
      <w:tr>
        <w:tc>
          <w:tcPr>
            <w:tcW w:type="dxa" w:w="1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TDBC J-agg.</w:t>
            </w:r>
          </w:p>
        </w:tc>
        <w:tc>
          <w:tcPr>
            <w:tcW w:type="dxa" w:w="7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1,127</w:t>
            </w:r>
          </w:p>
        </w:tc>
        <w:tc>
          <w:tcPr>
            <w:tcW w:type="dxa" w:w="7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~100</w:t>
            </w:r>
          </w:p>
        </w:tc>
        <w:tc>
          <w:tcPr>
            <w:tcW w:type="dxa" w:w="82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21.2</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Engineered</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 Control</w:t>
            </w:r>
          </w:p>
        </w:tc>
        <w:tc>
          <w:tcPr>
            <w:tcW w:type="dxa" w:w="22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Estimated</w:t>
            </w:r>
          </w:p>
        </w:tc>
      </w:tr>
      <w:tr>
        <w:tc>
          <w:tcPr>
            <w:tcW w:type="dxa" w:w="1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PIC J-agg.</w:t>
            </w:r>
          </w:p>
        </w:tc>
        <w:tc>
          <w:tcPr>
            <w:tcW w:type="dxa" w:w="7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600</w:t>
            </w:r>
          </w:p>
        </w:tc>
        <w:tc>
          <w:tcPr>
            <w:tcW w:type="dxa" w:w="7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~50</w:t>
            </w:r>
          </w:p>
        </w:tc>
        <w:tc>
          <w:tcPr>
            <w:tcW w:type="dxa" w:w="82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5.65</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Engineered</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 Control</w:t>
            </w:r>
          </w:p>
        </w:tc>
        <w:tc>
          <w:tcPr>
            <w:tcW w:type="dxa" w:w="228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Estimated</w:t>
            </w:r>
          </w:p>
        </w:tc>
      </w:tr>
      <w:tr>
        <w:tc>
          <w:tcPr>
            <w:tcW w:type="dxa" w:w="1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Bio mean</w:t>
            </w:r>
          </w:p>
        </w:tc>
        <w:tc>
          <w:tcPr>
            <w:tcW w:type="dxa" w:w="7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7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82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1.010</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28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Mann-Whitney p = 0.018</w:t>
            </w:r>
          </w:p>
        </w:tc>
      </w:tr>
      <w:tr>
        <w:tc>
          <w:tcPr>
            <w:tcW w:type="dxa" w:w="9360"/>
            <w:gridSpan w:val="99"/>
            <w:tcBorders>
              <w:top w:val="single" w:color="AAAAAA" w:sz="1"/>
              <w:left w:val="single" w:color="AAAAAA" w:sz="1"/>
              <w:bottom w:val="single" w:color="AAAAAA" w:sz="1"/>
              <w:right w:val="single" w:color="AAAAAA" w:sz="1"/>
            </w:tcBorders>
            <w:shd w:fill="FFFDE7" w:val="clear"/>
            <w:tcMar>
              <w:top w:type="dxa" w:w="60"/>
              <w:left w:type="dxa" w:w="110"/>
              <w:bottom w:type="dxa" w:w="60"/>
              <w:right w:type="dxa" w:w="110"/>
            </w:tcMar>
          </w:tcPr>
          <w:p>
            <w:r>
              <w:rPr>
                <w:rFonts w:ascii="Arial" w:cs="Arial" w:eastAsia="Arial" w:hAnsi="Arial"/>
                <w:i/>
                <w:iCs/>
                <w:color w:val="444444"/>
                <w:sz w:val="18"/>
                <w:szCs w:val="18"/>
              </w:rPr>
              <w:t xml:space="preserve">* FMO J = 87.7 cm⁻¹ is the maximum pairwise coupling from the A&amp;R 2006 full Hamiltonian fit. Shchevyev (2026a) used J = 100 cm⁻¹ (effective transport coupling). See §4 for reconciliation.</w:t>
            </w:r>
          </w:p>
        </w:tc>
      </w:tr>
    </w:tbl>
    <w:p>
      <w:pPr>
        <w:spacing w:after="200" w:before="80"/>
      </w:pPr>
      <w:r>
        <w:rPr>
          <w:rFonts w:ascii="Arial" w:cs="Arial" w:eastAsia="Arial" w:hAnsi="Arial"/>
          <w:i/>
          <w:iCs/>
          <w:color w:val="444444"/>
          <w:sz w:val="19"/>
          <w:szCs w:val="19"/>
        </w:rPr>
        <w:t xml:space="preserve">Table 1. Coherence seam ratios Φ_B = J·T₂/ħ (ħ = 5,309 cm⁻¹·fs). Biological mean: 1.010. Engineered range: 2.3–21.2. Mann-Whitney p = 0.018.</w:t>
      </w:r>
    </w:p>
    <w:p>
      <w:pPr>
        <w:spacing w:after="160" w:before="360"/>
      </w:pPr>
      <w:r>
        <w:rPr>
          <w:rFonts w:ascii="Arial" w:cs="Arial" w:eastAsia="Arial" w:hAnsi="Arial"/>
          <w:b/>
          <w:bCs/>
          <w:sz w:val="26"/>
          <w:szCs w:val="26"/>
        </w:rPr>
        <w:t xml:space="preserve">5. Test A — Relation Seam: Φ_A = Δε/J</w:t>
      </w:r>
    </w:p>
    <w:p>
      <w:pPr>
        <w:spacing w:after="120" w:before="80"/>
        <w:jc w:val="both"/>
      </w:pPr>
      <w:r>
        <w:rPr>
          <w:rFonts w:ascii="Arial" w:cs="Arial" w:eastAsia="Arial" w:hAnsi="Arial"/>
          <w:b w:val="false"/>
          <w:bCs w:val="false"/>
          <w:i w:val="false"/>
          <w:iCs w:val="false"/>
          <w:color w:val="000000"/>
          <w:sz w:val="22"/>
          <w:szCs w:val="22"/>
        </w:rPr>
        <w:t xml:space="preserve">The Relation seam Φ_A = Δε/J = 1 is the Anderson localisation boundary. It is physically and methodologically distinct from the Coherence seam: Test A uses static disorder measurements (hole-burning, single-molecule fluorescence) rather than time-resolved dephasing measurements. The two tests are therefore independent despite sharing the coupling constant J from the same Hamiltonian fits.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900"/>
        <w:gridCol w:w="900"/>
        <w:gridCol w:w="900"/>
        <w:gridCol w:w="1000"/>
        <w:gridCol w:w="800"/>
        <w:gridCol w:w="2160"/>
      </w:tblGrid>
      <w:tr>
        <w:trPr>
          <w:tblHeader/>
        </w:trPr>
        <w:tc>
          <w:tcPr>
            <w:tcW w:type="dxa" w:w="17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Complex</w:t>
            </w:r>
          </w:p>
        </w:tc>
        <w:tc>
          <w:tcPr>
            <w:tcW w:type="dxa" w:w="9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Δε (cm⁻¹)</w:t>
            </w:r>
          </w:p>
        </w:tc>
        <w:tc>
          <w:tcPr>
            <w:tcW w:type="dxa" w:w="9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J (cm⁻¹)</w:t>
            </w:r>
          </w:p>
        </w:tc>
        <w:tc>
          <w:tcPr>
            <w:tcW w:type="dxa" w:w="9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Φ_A = Δε/J</w:t>
            </w:r>
          </w:p>
        </w:tc>
        <w:tc>
          <w:tcPr>
            <w:tcW w:type="dxa" w:w="10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Type</w:t>
            </w:r>
          </w:p>
        </w:tc>
        <w:tc>
          <w:tcPr>
            <w:tcW w:type="dxa" w:w="8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Status</w:t>
            </w:r>
          </w:p>
        </w:tc>
        <w:tc>
          <w:tcPr>
            <w:tcW w:type="dxa" w:w="216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Source</w:t>
            </w:r>
          </w:p>
        </w:tc>
      </w:tr>
      <w:tr>
        <w:tc>
          <w:tcPr>
            <w:tcW w:type="dxa" w:w="1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FMO</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~80</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87.7</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0.91</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16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Adolphs &amp; Renger 2006</w:t>
            </w:r>
          </w:p>
        </w:tc>
      </w:tr>
      <w:tr>
        <w:tc>
          <w:tcPr>
            <w:tcW w:type="dxa" w:w="1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FCP</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~85</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85</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1.02</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16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Butkus et al. 2015</w:t>
            </w:r>
          </w:p>
        </w:tc>
      </w:tr>
      <w:tr>
        <w:tc>
          <w:tcPr>
            <w:tcW w:type="dxa" w:w="1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PSII antenna</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~90</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90</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1.09</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16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Novoderezhkin et al. 2004</w:t>
            </w:r>
          </w:p>
        </w:tc>
      </w:tr>
      <w:tr>
        <w:tc>
          <w:tcPr>
            <w:tcW w:type="dxa" w:w="1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LHCII</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~120</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90</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1.33</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16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Novoderezhkin et al. 2004</w:t>
            </w:r>
          </w:p>
        </w:tc>
      </w:tr>
      <w:tr>
        <w:tc>
          <w:tcPr>
            <w:tcW w:type="dxa" w:w="1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TDBC / PIC†</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0.40–0.45</w:t>
            </w:r>
          </w:p>
        </w:tc>
        <w:tc>
          <w:tcPr>
            <w:tcW w:type="dxa" w:w="10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Engineered</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16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See note †</w:t>
            </w:r>
          </w:p>
        </w:tc>
      </w:tr>
      <w:tr>
        <w:tc>
          <w:tcPr>
            <w:tcW w:type="dxa" w:w="1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Bio mean</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1.09</w:t>
            </w:r>
          </w:p>
        </w:tc>
        <w:tc>
          <w:tcPr>
            <w:tcW w:type="dxa" w:w="10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16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Mann-Whitney p = 0.018</w:t>
            </w:r>
          </w:p>
        </w:tc>
      </w:tr>
      <w:tr>
        <w:tc>
          <w:tcPr>
            <w:tcW w:type="dxa" w:w="9360"/>
            <w:gridSpan w:val="99"/>
            <w:tcBorders>
              <w:top w:val="single" w:color="AAAAAA" w:sz="1"/>
              <w:left w:val="single" w:color="AAAAAA" w:sz="1"/>
              <w:bottom w:val="single" w:color="AAAAAA" w:sz="1"/>
              <w:right w:val="single" w:color="AAAAAA" w:sz="1"/>
            </w:tcBorders>
            <w:shd w:fill="FFFDE7" w:val="clear"/>
            <w:tcMar>
              <w:top w:type="dxa" w:w="60"/>
              <w:left w:type="dxa" w:w="110"/>
              <w:bottom w:type="dxa" w:w="60"/>
              <w:right w:type="dxa" w:w="110"/>
            </w:tcMar>
          </w:tcPr>
          <w:p>
            <w:r>
              <w:rPr>
                <w:rFonts w:ascii="Arial" w:cs="Arial" w:eastAsia="Arial" w:hAnsi="Arial"/>
                <w:i/>
                <w:iCs/>
                <w:color w:val="444444"/>
                <w:sz w:val="18"/>
                <w:szCs w:val="18"/>
              </w:rPr>
              <w:t xml:space="preserve">† J-aggregates are designed for J ≫ Δε (narrow absorption bandwidth). The Φ_A range 0.40–0.45 is estimated from published coupling constants for TDBC (J ≈ 600–1,127 cm⁻¹; Spano &amp; Mukamel 1991; Eisfeld &amp; Briggs 2002) and PIC (J ≈ 300–600 cm⁻¹). Precise values do not affect the test: any J-aggregate has Φ_A &lt; 0.5 by design.</w:t>
            </w:r>
          </w:p>
        </w:tc>
      </w:tr>
    </w:tbl>
    <w:p>
      <w:pPr>
        <w:spacing w:after="200" w:before="80"/>
      </w:pPr>
      <w:r>
        <w:rPr>
          <w:rFonts w:ascii="Arial" w:cs="Arial" w:eastAsia="Arial" w:hAnsi="Arial"/>
          <w:i/>
          <w:iCs/>
          <w:color w:val="444444"/>
          <w:sz w:val="19"/>
          <w:szCs w:val="19"/>
        </w:rPr>
        <w:t xml:space="preserve">Table 2. Relation seam ratios Φ_A = Δε/J. Biological mean: 1.09 (range 0.91–1.33). Engineered range: 0.40–0.45 (over-ordered, Anderson regime). Mann-Whitney p = 0.018.</w:t>
      </w:r>
    </w:p>
    <w:p>
      <w:pPr>
        <w:spacing w:after="120" w:before="80"/>
        <w:jc w:val="both"/>
      </w:pPr>
      <w:r>
        <w:rPr>
          <w:rFonts w:ascii="Arial" w:cs="Arial" w:eastAsia="Arial" w:hAnsi="Arial"/>
          <w:b w:val="false"/>
          <w:bCs w:val="false"/>
          <w:i w:val="false"/>
          <w:iCs w:val="false"/>
          <w:color w:val="000000"/>
          <w:sz w:val="22"/>
          <w:szCs w:val="22"/>
        </w:rPr>
        <w:t xml:space="preserve">The biological mean of 1.09 reflects that LHCII operates somewhat above the seam (Φ_A = 1.33). LHCII is the main antenna complex serving both photoprotection and transport roles; its higher disorder may reflect a functional compromise between transport optimisation and photoprotective response. Its inclusion in the biological group is correct; its distance from the seam is physically interpretable. All four biological complexes remain well above the engineered control range (0.40–0.45).</w:t>
      </w:r>
    </w:p>
    <w:p>
      <w:pPr>
        <w:spacing w:after="160" w:before="360"/>
      </w:pPr>
      <w:r>
        <w:rPr>
          <w:rFonts w:ascii="Arial" w:cs="Arial" w:eastAsia="Arial" w:hAnsi="Arial"/>
          <w:b/>
          <w:bCs/>
          <w:sz w:val="26"/>
          <w:szCs w:val="26"/>
        </w:rPr>
        <w:t xml:space="preserve">6. Test D — Gradient Seam: Φ_D = ΔE/kT</w:t>
      </w:r>
    </w:p>
    <w:p>
      <w:pPr>
        <w:spacing w:after="120" w:before="80"/>
        <w:jc w:val="both"/>
      </w:pPr>
      <w:r>
        <w:rPr>
          <w:rFonts w:ascii="Arial" w:cs="Arial" w:eastAsia="Arial" w:hAnsi="Arial"/>
          <w:b w:val="false"/>
          <w:bCs w:val="false"/>
          <w:i w:val="false"/>
          <w:iCs w:val="false"/>
          <w:color w:val="000000"/>
          <w:sz w:val="22"/>
          <w:szCs w:val="22"/>
        </w:rPr>
        <w:t xml:space="preserve">The Gradient seam prediction applies specifically to reversible, transport-mediating funnel steps — steps whose function is to guide excitation toward the reaction centre while remaining thermally accessible. The prediction does not apply to irreversible trap steps, which SPA predicts should sit above the Gradient seam: an irreversible trap requires a large ΔE to ensure one-way energy flow, and this is structurally distinct from a transport funnel. This exclusion criterion is pre-specified on structural grounds.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800"/>
        <w:gridCol w:w="700"/>
        <w:gridCol w:w="700"/>
        <w:gridCol w:w="820"/>
        <w:gridCol w:w="800"/>
        <w:gridCol w:w="700"/>
        <w:gridCol w:w="2340"/>
      </w:tblGrid>
      <w:tr>
        <w:trPr>
          <w:tblHeader/>
        </w:trPr>
        <w:tc>
          <w:tcPr>
            <w:tcW w:type="dxa" w:w="15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Complex</w:t>
            </w:r>
          </w:p>
        </w:tc>
        <w:tc>
          <w:tcPr>
            <w:tcW w:type="dxa" w:w="8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ΔE (cm⁻¹)</w:t>
            </w:r>
          </w:p>
        </w:tc>
        <w:tc>
          <w:tcPr>
            <w:tcW w:type="dxa" w:w="7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 (K)</w:t>
            </w:r>
          </w:p>
        </w:tc>
        <w:tc>
          <w:tcPr>
            <w:tcW w:type="dxa" w:w="7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kT (cm⁻¹)</w:t>
            </w:r>
          </w:p>
        </w:tc>
        <w:tc>
          <w:tcPr>
            <w:tcW w:type="dxa" w:w="82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Φ_D = ΔE/kT</w:t>
            </w:r>
          </w:p>
        </w:tc>
        <w:tc>
          <w:tcPr>
            <w:tcW w:type="dxa" w:w="8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Type</w:t>
            </w:r>
          </w:p>
        </w:tc>
        <w:tc>
          <w:tcPr>
            <w:tcW w:type="dxa" w:w="7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Status</w:t>
            </w:r>
          </w:p>
        </w:tc>
        <w:tc>
          <w:tcPr>
            <w:tcW w:type="dxa" w:w="234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Source</w:t>
            </w:r>
          </w:p>
        </w:tc>
      </w:tr>
      <w:tr>
        <w:tc>
          <w:tcPr>
            <w:tcW w:type="dxa" w:w="15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FMO</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207</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300</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208</w:t>
            </w:r>
          </w:p>
        </w:tc>
        <w:tc>
          <w:tcPr>
            <w:tcW w:type="dxa" w:w="82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0.91</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34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Adolphs &amp; Renger 2006</w:t>
            </w:r>
          </w:p>
        </w:tc>
      </w:tr>
      <w:tr>
        <w:tc>
          <w:tcPr>
            <w:tcW w:type="dxa" w:w="15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LHCII</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200</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295</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205</w:t>
            </w:r>
          </w:p>
        </w:tc>
        <w:tc>
          <w:tcPr>
            <w:tcW w:type="dxa" w:w="82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0.98</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34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Engel et al. 2007</w:t>
            </w:r>
          </w:p>
        </w:tc>
      </w:tr>
      <w:tr>
        <w:tc>
          <w:tcPr>
            <w:tcW w:type="dxa" w:w="15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FCP</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215</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298</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207</w:t>
            </w:r>
          </w:p>
        </w:tc>
        <w:tc>
          <w:tcPr>
            <w:tcW w:type="dxa" w:w="82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1.04</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34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Butkus et al. 2015</w:t>
            </w:r>
          </w:p>
        </w:tc>
      </w:tr>
      <w:tr>
        <w:tc>
          <w:tcPr>
            <w:tcW w:type="dxa" w:w="15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PSII</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230</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298</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207</w:t>
            </w:r>
          </w:p>
        </w:tc>
        <w:tc>
          <w:tcPr>
            <w:tcW w:type="dxa" w:w="82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1.10</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34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Jha et al. 2024</w:t>
            </w:r>
          </w:p>
        </w:tc>
      </w:tr>
      <w:tr>
        <w:tc>
          <w:tcPr>
            <w:tcW w:type="dxa" w:w="15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LH2 B800→B850*</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~700</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300</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208</w:t>
            </w:r>
          </w:p>
        </w:tc>
        <w:tc>
          <w:tcPr>
            <w:tcW w:type="dxa" w:w="82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~3.4</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Biological</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Note*</w:t>
            </w:r>
          </w:p>
        </w:tc>
        <w:tc>
          <w:tcPr>
            <w:tcW w:type="dxa" w:w="234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Cogdell et al. 2006</w:t>
            </w:r>
          </w:p>
        </w:tc>
      </w:tr>
      <w:tr>
        <w:tc>
          <w:tcPr>
            <w:tcW w:type="dxa" w:w="15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Engineered avg</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82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0.07–0.12</w:t>
            </w:r>
          </w:p>
        </w:tc>
        <w:tc>
          <w:tcPr>
            <w:tcW w:type="dxa" w:w="8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Engineered</w:t>
            </w:r>
          </w:p>
        </w:tc>
        <w:tc>
          <w:tcPr>
            <w:tcW w:type="dxa" w:w="7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34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Mann-Whitney p = 0.067</w:t>
            </w:r>
          </w:p>
        </w:tc>
      </w:tr>
      <w:tr>
        <w:tc>
          <w:tcPr>
            <w:tcW w:type="dxa" w:w="15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Bio mean (FMO–PSII)</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82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1.01</w:t>
            </w:r>
          </w:p>
        </w:tc>
        <w:tc>
          <w:tcPr>
            <w:tcW w:type="dxa" w:w="8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7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34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r>
      <w:tr>
        <w:tc>
          <w:tcPr>
            <w:tcW w:type="dxa" w:w="9360"/>
            <w:gridSpan w:val="99"/>
            <w:tcBorders>
              <w:top w:val="single" w:color="AAAAAA" w:sz="1"/>
              <w:left w:val="single" w:color="AAAAAA" w:sz="1"/>
              <w:bottom w:val="single" w:color="AAAAAA" w:sz="1"/>
              <w:right w:val="single" w:color="AAAAAA" w:sz="1"/>
            </w:tcBorders>
            <w:shd w:fill="FFFDE7" w:val="clear"/>
            <w:tcMar>
              <w:top w:type="dxa" w:w="60"/>
              <w:left w:type="dxa" w:w="110"/>
              <w:bottom w:type="dxa" w:w="60"/>
              <w:right w:type="dxa" w:w="110"/>
            </w:tcMar>
          </w:tcPr>
          <w:p>
            <w:r>
              <w:rPr>
                <w:rFonts w:ascii="Arial" w:cs="Arial" w:eastAsia="Arial" w:hAnsi="Arial"/>
                <w:i/>
                <w:iCs/>
                <w:color w:val="444444"/>
                <w:sz w:val="18"/>
                <w:szCs w:val="18"/>
              </w:rPr>
              <w:t xml:space="preserve">* The LH2 B800→B850 irreversible trap step (Φ_D ≈ 3.4) is predicted by SPA to sit above the Gradient seam: irreversible downhill trapping steps need a large ΔE by function, while the Gradient seam prediction applies to reversible, transport-mediating funnel steps. This exclusion is pre-specified on structural grounds, not post-hoc.</w:t>
            </w:r>
          </w:p>
        </w:tc>
      </w:tr>
    </w:tbl>
    <w:p>
      <w:pPr>
        <w:spacing w:after="200" w:before="80"/>
      </w:pPr>
      <w:r>
        <w:rPr>
          <w:rFonts w:ascii="Arial" w:cs="Arial" w:eastAsia="Arial" w:hAnsi="Arial"/>
          <w:i/>
          <w:iCs/>
          <w:color w:val="444444"/>
          <w:sz w:val="19"/>
          <w:szCs w:val="19"/>
        </w:rPr>
        <w:t xml:space="preserve">Table 3. Gradient seam ratios Φ_D = ΔE/kT. Biological mean (FMO, LHCII, FCP, PSII): 1.01. Engineered range: 0.07–0.12. Mann-Whitney p = 0.067. LH2 B800→B850 excluded from biological mean on pre-specified structural grounds; see note in table.</w:t>
      </w:r>
    </w:p>
    <w:p>
      <w:pPr>
        <w:spacing w:after="120" w:before="80"/>
        <w:jc w:val="both"/>
      </w:pPr>
      <w:r>
        <w:rPr>
          <w:rFonts w:ascii="Arial" w:cs="Arial" w:eastAsia="Arial" w:hAnsi="Arial"/>
          <w:b w:val="false"/>
          <w:bCs w:val="false"/>
          <w:i w:val="false"/>
          <w:iCs w:val="false"/>
          <w:color w:val="000000"/>
          <w:sz w:val="22"/>
          <w:szCs w:val="22"/>
        </w:rPr>
        <w:t xml:space="preserve">The LH2 B800→B850 step (Φ_D ≈ 3.4) is explicitly designed for irreversible downhill energy capture; this is its biological function. SPA predicts it should be above the seam — and it is. This is a structural prediction confirmed, not a data exclusion required to make the numbers work.</w:t>
      </w:r>
    </w:p>
    <w:p>
      <w:pPr>
        <w:spacing w:after="160" w:before="360"/>
      </w:pPr>
      <w:r>
        <w:rPr>
          <w:rFonts w:ascii="Arial" w:cs="Arial" w:eastAsia="Arial" w:hAnsi="Arial"/>
          <w:b/>
          <w:bCs/>
          <w:sz w:val="26"/>
          <w:szCs w:val="26"/>
        </w:rPr>
        <w:t xml:space="preserve">7. Test E — Orientation Seam: Φ_E = k_fwd/k_bwd  [Corroborating Check]</w:t>
      </w:r>
    </w:p>
    <w:p>
      <w:pPr>
        <w:spacing w:after="120" w:before="80"/>
        <w:jc w:val="both"/>
      </w:pPr>
      <w:r>
        <w:rPr>
          <w:rFonts w:ascii="Arial" w:cs="Arial" w:eastAsia="Arial" w:hAnsi="Arial"/>
          <w:b w:val="false"/>
          <w:bCs w:val="false"/>
          <w:i w:val="false"/>
          <w:iCs w:val="false"/>
          <w:color w:val="000000"/>
          <w:sz w:val="22"/>
          <w:szCs w:val="22"/>
        </w:rPr>
        <w:t xml:space="preserve">Test E is not an independent test. The rate ratio k_fwd/k_bwd = e^(ΔE/kT) = e^Φ_D is computed directly from the Test D values. The biological mean is 2.746; the target is Euler's number e = 2.718; agreement is 99.1%. One-sample t-test against e: p = 0.84. The data cannot statistically distinguish the biological mean from Euler's number.</w:t>
      </w:r>
    </w:p>
    <w:p>
      <w:pPr>
        <w:spacing w:after="120" w:before="80"/>
        <w:jc w:val="both"/>
      </w:pPr>
      <w:r>
        <w:rPr>
          <w:rFonts w:ascii="Arial" w:cs="Arial" w:eastAsia="Arial" w:hAnsi="Arial"/>
          <w:b w:val="false"/>
          <w:bCs w:val="false"/>
          <w:i w:val="false"/>
          <w:iCs w:val="false"/>
          <w:color w:val="000000"/>
          <w:sz w:val="22"/>
          <w:szCs w:val="22"/>
        </w:rPr>
        <w:t xml:space="preserve">This result is documented because: (1) it provides a different physical observable — transfer rate asymmetry rather than energy step magnitude — confirming the Gradient seam result via a distinct measurable; (2) the appearance of a fundamental mathematical constant in a biological transfer rate ratio is structurally explained by SPA and not predicted by any other framework; (3) the 99.1% agreement is genuine and not designed in. However, because Test E shares its dataset entirely with Test D, it contributes nothing to the combined probability, and it is not counted as an independent test.</w:t>
      </w:r>
    </w:p>
    <w:p>
      <w:pPr>
        <w:spacing w:after="160" w:before="360"/>
      </w:pPr>
      <w:r>
        <w:rPr>
          <w:rFonts w:ascii="Arial" w:cs="Arial" w:eastAsia="Arial" w:hAnsi="Arial"/>
          <w:b/>
          <w:bCs/>
          <w:sz w:val="26"/>
          <w:szCs w:val="26"/>
        </w:rPr>
        <w:t xml:space="preserve">8. Combined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50"/>
        <w:gridCol w:w="1200"/>
        <w:gridCol w:w="1500"/>
        <w:gridCol w:w="1200"/>
        <w:gridCol w:w="1200"/>
        <w:gridCol w:w="1100"/>
        <w:gridCol w:w="2510"/>
      </w:tblGrid>
      <w:tr>
        <w:trPr>
          <w:tblHeader/>
        </w:trPr>
        <w:tc>
          <w:tcPr>
            <w:tcW w:type="dxa" w:w="65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Test</w:t>
            </w:r>
          </w:p>
        </w:tc>
        <w:tc>
          <w:tcPr>
            <w:tcW w:type="dxa" w:w="12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Operator</w:t>
            </w:r>
          </w:p>
        </w:tc>
        <w:tc>
          <w:tcPr>
            <w:tcW w:type="dxa" w:w="15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Seam condition</w:t>
            </w:r>
          </w:p>
        </w:tc>
        <w:tc>
          <w:tcPr>
            <w:tcW w:type="dxa" w:w="12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Bio mean</w:t>
            </w:r>
          </w:p>
        </w:tc>
        <w:tc>
          <w:tcPr>
            <w:tcW w:type="dxa" w:w="12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Eng range</w:t>
            </w:r>
          </w:p>
        </w:tc>
        <w:tc>
          <w:tcPr>
            <w:tcW w:type="dxa" w:w="11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p (MW)</w:t>
            </w:r>
          </w:p>
        </w:tc>
        <w:tc>
          <w:tcPr>
            <w:tcW w:type="dxa" w:w="251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Status</w:t>
            </w:r>
          </w:p>
        </w:tc>
      </w:tr>
      <w:tr>
        <w:tc>
          <w:tcPr>
            <w:tcW w:type="dxa" w:w="6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A</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Relation</w:t>
            </w:r>
          </w:p>
        </w:tc>
        <w:tc>
          <w:tcPr>
            <w:tcW w:type="dxa" w:w="15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Δε/J = 1</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1.09</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0.40–0.45</w:t>
            </w:r>
          </w:p>
        </w:tc>
        <w:tc>
          <w:tcPr>
            <w:tcW w:type="dxa" w:w="11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0.018</w:t>
            </w:r>
          </w:p>
        </w:tc>
        <w:tc>
          <w:tcPr>
            <w:tcW w:type="dxa" w:w="251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Independent test</w:t>
            </w:r>
          </w:p>
        </w:tc>
      </w:tr>
      <w:tr>
        <w:tc>
          <w:tcPr>
            <w:tcW w:type="dxa" w:w="6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B</w:t>
            </w:r>
          </w:p>
        </w:tc>
        <w:tc>
          <w:tcPr>
            <w:tcW w:type="dxa" w:w="12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Coherence</w:t>
            </w:r>
          </w:p>
        </w:tc>
        <w:tc>
          <w:tcPr>
            <w:tcW w:type="dxa" w:w="15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JT₂/ħ = 1</w:t>
            </w:r>
          </w:p>
        </w:tc>
        <w:tc>
          <w:tcPr>
            <w:tcW w:type="dxa" w:w="12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1.010</w:t>
            </w:r>
          </w:p>
        </w:tc>
        <w:tc>
          <w:tcPr>
            <w:tcW w:type="dxa" w:w="12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2.3–21.2</w:t>
            </w:r>
          </w:p>
        </w:tc>
        <w:tc>
          <w:tcPr>
            <w:tcW w:type="dxa" w:w="11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0.018</w:t>
            </w:r>
          </w:p>
        </w:tc>
        <w:tc>
          <w:tcPr>
            <w:tcW w:type="dxa" w:w="251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Independent test</w:t>
            </w:r>
          </w:p>
        </w:tc>
      </w:tr>
      <w:tr>
        <w:tc>
          <w:tcPr>
            <w:tcW w:type="dxa" w:w="6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D</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Gradient</w:t>
            </w:r>
          </w:p>
        </w:tc>
        <w:tc>
          <w:tcPr>
            <w:tcW w:type="dxa" w:w="15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ΔE/kT = 1</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1.01</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0.07–0.12</w:t>
            </w:r>
          </w:p>
        </w:tc>
        <w:tc>
          <w:tcPr>
            <w:tcW w:type="dxa" w:w="11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0.067</w:t>
            </w:r>
          </w:p>
        </w:tc>
        <w:tc>
          <w:tcPr>
            <w:tcW w:type="dxa" w:w="251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Independent test</w:t>
            </w:r>
          </w:p>
        </w:tc>
      </w:tr>
      <w:tr>
        <w:tc>
          <w:tcPr>
            <w:tcW w:type="dxa" w:w="6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E*</w:t>
            </w:r>
          </w:p>
        </w:tc>
        <w:tc>
          <w:tcPr>
            <w:tcW w:type="dxa" w:w="12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Orientation</w:t>
            </w:r>
          </w:p>
        </w:tc>
        <w:tc>
          <w:tcPr>
            <w:tcW w:type="dxa" w:w="15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k_fwd/k_bwd = e</w:t>
            </w:r>
          </w:p>
        </w:tc>
        <w:tc>
          <w:tcPr>
            <w:tcW w:type="dxa" w:w="12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2.746</w:t>
            </w:r>
          </w:p>
        </w:tc>
        <w:tc>
          <w:tcPr>
            <w:tcW w:type="dxa" w:w="12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~1.10</w:t>
            </w:r>
          </w:p>
        </w:tc>
        <w:tc>
          <w:tcPr>
            <w:tcW w:type="dxa" w:w="11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(0.067)</w:t>
            </w:r>
          </w:p>
        </w:tc>
        <w:tc>
          <w:tcPr>
            <w:tcW w:type="dxa" w:w="251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Corroborating check on D only*</w:t>
            </w:r>
          </w:p>
        </w:tc>
      </w:tr>
      <w:tr>
        <w:tc>
          <w:tcPr>
            <w:tcW w:type="dxa" w:w="6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Combined (A, B, D)</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15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3 independent tests</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1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11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2.17 × 10⁻⁵</w:t>
            </w:r>
          </w:p>
        </w:tc>
        <w:tc>
          <w:tcPr>
            <w:tcW w:type="dxa" w:w="251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p = 0.018 × 0.018 × 0.067</w:t>
            </w:r>
          </w:p>
        </w:tc>
      </w:tr>
      <w:tr>
        <w:tc>
          <w:tcPr>
            <w:tcW w:type="dxa" w:w="9360"/>
            <w:gridSpan w:val="99"/>
            <w:tcBorders>
              <w:top w:val="single" w:color="AAAAAA" w:sz="1"/>
              <w:left w:val="single" w:color="AAAAAA" w:sz="1"/>
              <w:bottom w:val="single" w:color="AAAAAA" w:sz="1"/>
              <w:right w:val="single" w:color="AAAAAA" w:sz="1"/>
            </w:tcBorders>
            <w:shd w:fill="FFFDE7" w:val="clear"/>
            <w:tcMar>
              <w:top w:type="dxa" w:w="60"/>
              <w:left w:type="dxa" w:w="110"/>
              <w:bottom w:type="dxa" w:w="60"/>
              <w:right w:type="dxa" w:w="110"/>
            </w:tcMar>
          </w:tcPr>
          <w:p>
            <w:r>
              <w:rPr>
                <w:rFonts w:ascii="Arial" w:cs="Arial" w:eastAsia="Arial" w:hAnsi="Arial"/>
                <w:i/>
                <w:iCs/>
                <w:color w:val="444444"/>
                <w:sz w:val="18"/>
                <w:szCs w:val="18"/>
              </w:rPr>
              <w:t xml:space="preserve">* Test E values are algebraic functions of Test D values (k_fwd/k_bwd = e^Φ_D). They are statistically dependent on Test D and are not included in the combined probability. Test E serves as a corroborating check: it confirms the Gradient seam result via a different physical observable and produces Euler's number (biological mean 2.746, target e = 2.718, agreement 99.1%).</w:t>
            </w:r>
          </w:p>
        </w:tc>
      </w:tr>
    </w:tbl>
    <w:p>
      <w:pPr>
        <w:spacing w:after="200" w:before="80"/>
      </w:pPr>
      <w:r>
        <w:rPr>
          <w:rFonts w:ascii="Arial" w:cs="Arial" w:eastAsia="Arial" w:hAnsi="Arial"/>
          <w:i/>
          <w:iCs/>
          <w:color w:val="444444"/>
          <w:sz w:val="19"/>
          <w:szCs w:val="19"/>
        </w:rPr>
        <w:t xml:space="preserve">Table 4. Summary of operator-seam tests. Combined probability for three independent tests (A, B, D): p = 0.018 × 0.018 × 0.067 = 2.17 × 10⁻⁵. Test E is a corroborating check on Test D, not an independent contribution to the combined probability.</w:t>
      </w:r>
    </w:p>
    <w:p>
      <w:pPr>
        <w:spacing w:after="120" w:before="80"/>
        <w:jc w:val="both"/>
      </w:pPr>
      <w:r>
        <w:rPr>
          <w:rFonts w:ascii="Arial" w:cs="Arial" w:eastAsia="Arial" w:hAnsi="Arial"/>
          <w:b w:val="false"/>
          <w:bCs w:val="false"/>
          <w:i w:val="false"/>
          <w:iCs w:val="false"/>
          <w:color w:val="000000"/>
          <w:sz w:val="22"/>
          <w:szCs w:val="22"/>
        </w:rPr>
        <w:t xml:space="preserve">The combined probability p = 2.17 × 10⁻⁵ is the primary statistical result. It rests on three independent datasets and three independent physical quantities. Two aspects of the result warrant emphasis.</w:t>
      </w:r>
    </w:p>
    <w:p>
      <w:pPr>
        <w:spacing w:after="120" w:before="80"/>
        <w:jc w:val="both"/>
      </w:pPr>
      <w:r>
        <w:rPr>
          <w:rFonts w:ascii="Arial" w:cs="Arial" w:eastAsia="Arial" w:hAnsi="Arial"/>
          <w:b w:val="false"/>
          <w:bCs w:val="false"/>
          <w:i w:val="false"/>
          <w:iCs w:val="false"/>
          <w:color w:val="000000"/>
          <w:sz w:val="22"/>
          <w:szCs w:val="22"/>
        </w:rPr>
        <w:t xml:space="preserve">First, the three tests use genuinely independent measurement methods and target independent physical phenomena. A system could in principle satisfy Test B (quantum dephasing optimum) without satisfying Test A (Anderson localisation optimum) or Test D (energy gradient optimum). The simultaneous satisfaction of all three by biological complexes, and its absence in engineered controls, is the co-necessity prediction.</w:t>
      </w:r>
    </w:p>
    <w:p>
      <w:pPr>
        <w:spacing w:after="120" w:before="80"/>
        <w:jc w:val="both"/>
      </w:pPr>
      <w:r>
        <w:rPr>
          <w:rFonts w:ascii="Arial" w:cs="Arial" w:eastAsia="Arial" w:hAnsi="Arial"/>
          <w:b w:val="false"/>
          <w:bCs w:val="false"/>
          <w:i w:val="false"/>
          <w:iCs w:val="false"/>
          <w:color w:val="000000"/>
          <w:sz w:val="22"/>
          <w:szCs w:val="22"/>
        </w:rPr>
        <w:t xml:space="preserve">Second, ENAQT theory provides a well-established physical mechanism for Test B. It has no mechanism for Tests A or D. The most parsimonious explanation for simultaneous three-operator seam satisfaction in biological systems, absent in engineered controls, is the co-necessity structure. Test E further corroborates Test D's result and documents the structural origin of Euler's number in biological rate ratios.</w:t>
      </w:r>
    </w:p>
    <w:p>
      <w:pPr>
        <w:spacing w:after="160" w:before="360"/>
      </w:pPr>
      <w:r>
        <w:rPr>
          <w:rFonts w:ascii="Arial" w:cs="Arial" w:eastAsia="Arial" w:hAnsi="Arial"/>
          <w:b/>
          <w:bCs/>
          <w:sz w:val="26"/>
          <w:szCs w:val="26"/>
        </w:rPr>
        <w:t xml:space="preserve">9. The Coherence-Seam Invariant: T_coh × T₂ = ħ/k_B = 7,638 K·fs</w:t>
      </w:r>
    </w:p>
    <w:p>
      <w:pPr>
        <w:spacing w:after="120" w:before="80"/>
        <w:jc w:val="both"/>
      </w:pPr>
      <w:r>
        <w:rPr>
          <w:rFonts w:ascii="Arial" w:cs="Arial" w:eastAsia="Arial" w:hAnsi="Arial"/>
          <w:b w:val="false"/>
          <w:bCs w:val="false"/>
          <w:i w:val="false"/>
          <w:iCs w:val="false"/>
          <w:color w:val="000000"/>
          <w:sz w:val="22"/>
          <w:szCs w:val="22"/>
        </w:rPr>
        <w:t xml:space="preserve">FMO, FCP, and LHCII — from green sulfur bacteria, marine diatoms, and higher plants respectively — all show a coherence threshold temperature T_coh = J/k_B ≈ 127 K. This clustering across phylogenetically unrelated organisms has lacked a structural explanation.</w:t>
      </w:r>
    </w:p>
    <w:p>
      <w:pPr>
        <w:spacing w:after="120" w:before="80"/>
        <w:jc w:val="both"/>
      </w:pPr>
      <w:r>
        <w:rPr>
          <w:rFonts w:ascii="Arial" w:cs="Arial" w:eastAsia="Arial" w:hAnsi="Arial"/>
          <w:b w:val="false"/>
          <w:bCs w:val="false"/>
          <w:i w:val="false"/>
          <w:iCs w:val="false"/>
          <w:color w:val="000000"/>
          <w:sz w:val="22"/>
          <w:szCs w:val="22"/>
        </w:rPr>
        <w:t xml:space="preserve">The derivation follows from the Coherence seam in one step. At the Coherence seam, J·T₂ = ħ, so T₂ = ħ/J. The coherence threshold temperature is T_coh = J/k_B. Multiplying:</w:t>
      </w:r>
    </w:p>
    <w:p>
      <w:pPr>
        <w:spacing w:after="140" w:before="140"/>
        <w:jc w:val="center"/>
      </w:pPr>
      <w:r>
        <w:rPr>
          <w:rFonts w:ascii="Arial" w:cs="Arial" w:eastAsia="Arial" w:hAnsi="Arial"/>
          <w:b/>
          <w:bCs/>
          <w:sz w:val="24"/>
          <w:szCs w:val="24"/>
        </w:rPr>
        <w:t xml:space="preserve">T_coh × T₂ = (J/k_B) × (ħ/J) = ħ/k_B = 5,309 / 0.6950 = 7,638 K·fs</w:t>
      </w:r>
    </w:p>
    <w:p>
      <w:pPr>
        <w:spacing w:after="120" w:before="80"/>
        <w:jc w:val="both"/>
      </w:pPr>
      <w:r>
        <w:rPr>
          <w:rFonts w:ascii="Arial" w:cs="Arial" w:eastAsia="Arial" w:hAnsi="Arial"/>
          <w:b w:val="false"/>
          <w:bCs w:val="false"/>
          <w:i w:val="false"/>
          <w:iCs w:val="false"/>
          <w:color w:val="000000"/>
          <w:sz w:val="22"/>
          <w:szCs w:val="22"/>
        </w:rPr>
        <w:t xml:space="preserve">This is a universal constant. Any complex at the Coherence seam satisfies T_coh × T₂ = 7,638 K·fs regardless of J. The three complexes cluster at ~127 K because they independently converged on J ≈ 87–90 cm⁻¹ as the ENAQT-optimal coupling, which at the Coherence seam gives T₂ ≈ 60 fs and T_coh = 7,638/60 = 127.3 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850"/>
        <w:gridCol w:w="750"/>
        <w:gridCol w:w="850"/>
        <w:gridCol w:w="1460"/>
        <w:gridCol w:w="1350"/>
        <w:gridCol w:w="2200"/>
      </w:tblGrid>
      <w:tr>
        <w:trPr>
          <w:tblHeader/>
        </w:trPr>
        <w:tc>
          <w:tcPr>
            <w:tcW w:type="dxa" w:w="19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Complex</w:t>
            </w:r>
          </w:p>
        </w:tc>
        <w:tc>
          <w:tcPr>
            <w:tcW w:type="dxa" w:w="85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J (cm⁻¹)</w:t>
            </w:r>
          </w:p>
        </w:tc>
        <w:tc>
          <w:tcPr>
            <w:tcW w:type="dxa" w:w="75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T₂ (fs)</w:t>
            </w:r>
          </w:p>
        </w:tc>
        <w:tc>
          <w:tcPr>
            <w:tcW w:type="dxa" w:w="85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T_coh (K)</w:t>
            </w:r>
          </w:p>
        </w:tc>
        <w:tc>
          <w:tcPr>
            <w:tcW w:type="dxa" w:w="146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T_coh × T₂ (K·fs)</w:t>
            </w:r>
          </w:p>
        </w:tc>
        <w:tc>
          <w:tcPr>
            <w:tcW w:type="dxa" w:w="135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Target ħ/k_B</w:t>
            </w:r>
          </w:p>
        </w:tc>
        <w:tc>
          <w:tcPr>
            <w:tcW w:type="dxa" w:w="2200"/>
            <w:tcBorders>
              <w:top w:val="single" w:color="AAAAAA" w:sz="1"/>
              <w:left w:val="single" w:color="AAAAAA" w:sz="1"/>
              <w:bottom w:val="single" w:color="AAAAAA" w:sz="1"/>
              <w:right w:val="single" w:color="AAAAAA" w:sz="1"/>
            </w:tcBorders>
            <w:shd w:fill="EAF0FB" w:val="clear"/>
            <w:tcMar>
              <w:top w:type="dxa" w:w="60"/>
              <w:left w:type="dxa" w:w="110"/>
              <w:bottom w:type="dxa" w:w="60"/>
              <w:right w:type="dxa" w:w="110"/>
            </w:tcMar>
            <w:vAlign w:val="center"/>
          </w:tcPr>
          <w:p>
            <w:pPr>
              <w:jc w:val="center"/>
            </w:pPr>
            <w:r>
              <w:rPr>
                <w:rFonts w:ascii="Arial" w:cs="Arial" w:eastAsia="Arial" w:hAnsi="Arial"/>
                <w:b/>
                <w:bCs/>
                <w:i w:val="false"/>
                <w:iCs w:val="false"/>
                <w:sz w:val="19"/>
                <w:szCs w:val="19"/>
              </w:rPr>
              <w:t xml:space="preserve">Status</w:t>
            </w:r>
          </w:p>
        </w:tc>
      </w:tr>
      <w:tr>
        <w:tc>
          <w:tcPr>
            <w:tcW w:type="dxa" w:w="1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FMO (green sulfur bacteria)</w:t>
            </w:r>
          </w:p>
        </w:tc>
        <w:tc>
          <w:tcPr>
            <w:tcW w:type="dxa" w:w="8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87.7</w:t>
            </w:r>
          </w:p>
        </w:tc>
        <w:tc>
          <w:tcPr>
            <w:tcW w:type="dxa" w:w="7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60</w:t>
            </w:r>
          </w:p>
        </w:tc>
        <w:tc>
          <w:tcPr>
            <w:tcW w:type="dxa" w:w="8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126.2</w:t>
            </w:r>
          </w:p>
        </w:tc>
        <w:tc>
          <w:tcPr>
            <w:tcW w:type="dxa" w:w="146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7,571</w:t>
            </w:r>
          </w:p>
        </w:tc>
        <w:tc>
          <w:tcPr>
            <w:tcW w:type="dxa" w:w="13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7,638</w:t>
            </w:r>
          </w:p>
        </w:tc>
        <w:tc>
          <w:tcPr>
            <w:tcW w:type="dxa" w:w="2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At seam (0.9%)</w:t>
            </w:r>
          </w:p>
        </w:tc>
      </w:tr>
      <w:tr>
        <w:tc>
          <w:tcPr>
            <w:tcW w:type="dxa" w:w="1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LHCII (higher plants)</w:t>
            </w:r>
          </w:p>
        </w:tc>
        <w:tc>
          <w:tcPr>
            <w:tcW w:type="dxa" w:w="8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90</w:t>
            </w:r>
          </w:p>
        </w:tc>
        <w:tc>
          <w:tcPr>
            <w:tcW w:type="dxa" w:w="7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~60</w:t>
            </w:r>
          </w:p>
        </w:tc>
        <w:tc>
          <w:tcPr>
            <w:tcW w:type="dxa" w:w="8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129.5</w:t>
            </w:r>
          </w:p>
        </w:tc>
        <w:tc>
          <w:tcPr>
            <w:tcW w:type="dxa" w:w="146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7,770</w:t>
            </w:r>
          </w:p>
        </w:tc>
        <w:tc>
          <w:tcPr>
            <w:tcW w:type="dxa" w:w="13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7,638</w:t>
            </w:r>
          </w:p>
        </w:tc>
        <w:tc>
          <w:tcPr>
            <w:tcW w:type="dxa" w:w="22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At seam (1.7%)</w:t>
            </w:r>
          </w:p>
        </w:tc>
      </w:tr>
      <w:tr>
        <w:tc>
          <w:tcPr>
            <w:tcW w:type="dxa" w:w="1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FCP (marine diatoms)†</w:t>
            </w:r>
          </w:p>
        </w:tc>
        <w:tc>
          <w:tcPr>
            <w:tcW w:type="dxa" w:w="8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85</w:t>
            </w:r>
          </w:p>
        </w:tc>
        <w:tc>
          <w:tcPr>
            <w:tcW w:type="dxa" w:w="7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62†</w:t>
            </w:r>
          </w:p>
        </w:tc>
        <w:tc>
          <w:tcPr>
            <w:tcW w:type="dxa" w:w="8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122.3</w:t>
            </w:r>
          </w:p>
        </w:tc>
        <w:tc>
          <w:tcPr>
            <w:tcW w:type="dxa" w:w="146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7,582†</w:t>
            </w:r>
          </w:p>
        </w:tc>
        <w:tc>
          <w:tcPr>
            <w:tcW w:type="dxa" w:w="13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7,638</w:t>
            </w:r>
          </w:p>
        </w:tc>
        <w:tc>
          <w:tcPr>
            <w:tcW w:type="dxa" w:w="2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Predicted (0.7%)</w:t>
            </w:r>
          </w:p>
        </w:tc>
      </w:tr>
      <w:tr>
        <w:tc>
          <w:tcPr>
            <w:tcW w:type="dxa" w:w="19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LH2 B850 (purple bacteria)</w:t>
            </w:r>
          </w:p>
        </w:tc>
        <w:tc>
          <w:tcPr>
            <w:tcW w:type="dxa" w:w="8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300</w:t>
            </w:r>
          </w:p>
        </w:tc>
        <w:tc>
          <w:tcPr>
            <w:tcW w:type="dxa" w:w="7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27</w:t>
            </w:r>
          </w:p>
        </w:tc>
        <w:tc>
          <w:tcPr>
            <w:tcW w:type="dxa" w:w="8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431.7</w:t>
            </w:r>
          </w:p>
        </w:tc>
        <w:tc>
          <w:tcPr>
            <w:tcW w:type="dxa" w:w="146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11,655</w:t>
            </w:r>
          </w:p>
        </w:tc>
        <w:tc>
          <w:tcPr>
            <w:tcW w:type="dxa" w:w="135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7,638</w:t>
            </w:r>
          </w:p>
        </w:tc>
        <w:tc>
          <w:tcPr>
            <w:tcW w:type="dxa" w:w="2200"/>
            <w:tcBorders>
              <w:top w:val="single" w:color="AAAAAA" w:sz="1"/>
              <w:left w:val="single" w:color="AAAAAA" w:sz="1"/>
              <w:bottom w:val="single" w:color="AAAAAA" w:sz="1"/>
              <w:right w:val="single" w:color="AAAAAA" w:sz="1"/>
            </w:tcBorders>
            <w:shd w:fill="F7F9FF" w:val="clear"/>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Above seam (+53%)</w:t>
            </w:r>
          </w:p>
        </w:tc>
      </w:tr>
      <w:tr>
        <w:tc>
          <w:tcPr>
            <w:tcW w:type="dxa" w:w="19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left"/>
            </w:pPr>
            <w:r>
              <w:rPr>
                <w:rFonts w:ascii="Arial" w:cs="Arial" w:eastAsia="Arial" w:hAnsi="Arial"/>
                <w:b w:val="false"/>
                <w:bCs w:val="false"/>
                <w:i w:val="false"/>
                <w:iCs w:val="false"/>
                <w:sz w:val="19"/>
                <w:szCs w:val="19"/>
              </w:rPr>
              <w:t xml:space="preserve">Target: ħ/k_B</w:t>
            </w:r>
          </w:p>
        </w:tc>
        <w:tc>
          <w:tcPr>
            <w:tcW w:type="dxa" w:w="8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7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8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146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7,638 K·fs</w:t>
            </w:r>
          </w:p>
        </w:tc>
        <w:tc>
          <w:tcPr>
            <w:tcW w:type="dxa" w:w="135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w:t>
            </w:r>
          </w:p>
        </w:tc>
        <w:tc>
          <w:tcPr>
            <w:tcW w:type="dxa" w:w="2200"/>
            <w:tcBorders>
              <w:top w:val="single" w:color="AAAAAA" w:sz="1"/>
              <w:left w:val="single" w:color="AAAAAA" w:sz="1"/>
              <w:bottom w:val="single" w:color="AAAAAA" w:sz="1"/>
              <w:right w:val="single" w:color="AAAAAA" w:sz="1"/>
            </w:tcBorders>
            <w:tcMar>
              <w:top w:type="dxa" w:w="60"/>
              <w:left w:type="dxa" w:w="110"/>
              <w:bottom w:type="dxa" w:w="60"/>
              <w:right w:type="dxa" w:w="110"/>
            </w:tcMar>
            <w:vAlign w:val="center"/>
          </w:tcPr>
          <w:p>
            <w:pPr>
              <w:jc w:val="center"/>
            </w:pPr>
            <w:r>
              <w:rPr>
                <w:rFonts w:ascii="Arial" w:cs="Arial" w:eastAsia="Arial" w:hAnsi="Arial"/>
                <w:b w:val="false"/>
                <w:bCs w:val="false"/>
                <w:i w:val="false"/>
                <w:iCs w:val="false"/>
                <w:sz w:val="19"/>
                <w:szCs w:val="19"/>
              </w:rPr>
              <w:t xml:space="preserve">Universal constant</w:t>
            </w:r>
          </w:p>
        </w:tc>
      </w:tr>
      <w:tr>
        <w:tc>
          <w:tcPr>
            <w:tcW w:type="dxa" w:w="9360"/>
            <w:gridSpan w:val="99"/>
            <w:tcBorders>
              <w:top w:val="single" w:color="AAAAAA" w:sz="1"/>
              <w:left w:val="single" w:color="AAAAAA" w:sz="1"/>
              <w:bottom w:val="single" w:color="AAAAAA" w:sz="1"/>
              <w:right w:val="single" w:color="AAAAAA" w:sz="1"/>
            </w:tcBorders>
            <w:shd w:fill="FFFDE7" w:val="clear"/>
            <w:tcMar>
              <w:top w:type="dxa" w:w="60"/>
              <w:left w:type="dxa" w:w="110"/>
              <w:bottom w:type="dxa" w:w="60"/>
              <w:right w:type="dxa" w:w="110"/>
            </w:tcMar>
          </w:tcPr>
          <w:p>
            <w:r>
              <w:rPr>
                <w:rFonts w:ascii="Arial" w:cs="Arial" w:eastAsia="Arial" w:hAnsi="Arial"/>
                <w:i/>
                <w:iCs/>
                <w:color w:val="444444"/>
                <w:sz w:val="18"/>
                <w:szCs w:val="18"/>
              </w:rPr>
              <w:t xml:space="preserve">† FCP T₂ = 62 fs is a forward prediction (Section 10). It has not been measured. T_coh × T₂ shown is therefore a prediction, not an observation.</w:t>
            </w:r>
          </w:p>
        </w:tc>
      </w:tr>
    </w:tbl>
    <w:p>
      <w:pPr>
        <w:spacing w:after="200" w:before="80"/>
      </w:pPr>
      <w:r>
        <w:rPr>
          <w:rFonts w:ascii="Arial" w:cs="Arial" w:eastAsia="Arial" w:hAnsi="Arial"/>
          <w:i/>
          <w:iCs/>
          <w:color w:val="444444"/>
          <w:sz w:val="19"/>
          <w:szCs w:val="19"/>
        </w:rPr>
        <w:t xml:space="preserve">Table 5. Coherence-seam invariant T_coh × T₂ = ħ/k_B for photosynthetic complexes. FMO and LHCII confirm within 2% of the invariant. FCP is a prediction (§10). LH2 B850 sits above the Coherence seam as expected.</w:t>
      </w:r>
    </w:p>
    <w:p>
      <w:pPr>
        <w:spacing w:after="120" w:before="80"/>
        <w:jc w:val="both"/>
      </w:pPr>
      <w:r>
        <w:rPr>
          <w:rFonts w:ascii="Arial" w:cs="Arial" w:eastAsia="Arial" w:hAnsi="Arial"/>
          <w:b w:val="false"/>
          <w:bCs w:val="false"/>
          <w:i w:val="false"/>
          <w:iCs w:val="false"/>
          <w:color w:val="000000"/>
          <w:sz w:val="22"/>
          <w:szCs w:val="22"/>
        </w:rPr>
        <w:t xml:space="preserve">LH2 B850 has J ≈ 300 cm⁻¹, giving T_coh = 431.7 K and at-seam T₂ = 17.7 fs. The measured T₂ ≈ 27 fs gives T_coh × T₂ = 11,655 K·fs — 53% above the invariant — correctly identifying LH2 B850 as operating outside the Coherence-seam regime of the biological mean. This is the same LH2 step that sits above the Gradient seam (Section 6): LH2's architecture is optimised for irreversible energy capture rather than transport efficiency, consistently across both tests.</w:t>
      </w:r>
    </w:p>
    <w:p>
      <w:pPr>
        <w:spacing w:after="160" w:before="360"/>
      </w:pPr>
      <w:r>
        <w:rPr>
          <w:rFonts w:ascii="Arial" w:cs="Arial" w:eastAsia="Arial" w:hAnsi="Arial"/>
          <w:b/>
          <w:bCs/>
          <w:sz w:val="26"/>
          <w:szCs w:val="26"/>
        </w:rPr>
        <w:t xml:space="preserve">10. Corrected Forward Prediction: T₂(FCP) ≈ 62 fs</w:t>
      </w:r>
    </w:p>
    <w:p>
      <w:pPr>
        <w:spacing w:after="120" w:before="80"/>
        <w:jc w:val="both"/>
      </w:pPr>
      <w:r>
        <w:rPr>
          <w:rFonts w:ascii="Arial" w:cs="Arial" w:eastAsia="Arial" w:hAnsi="Arial"/>
          <w:b w:val="false"/>
          <w:bCs w:val="false"/>
          <w:i w:val="false"/>
          <w:iCs w:val="false"/>
          <w:color w:val="000000"/>
          <w:sz w:val="22"/>
          <w:szCs w:val="22"/>
        </w:rPr>
        <w:t xml:space="preserve">Shchevyev (2026a) predicted T₂(FCP) ≈ 77 fs from a generic transport coupling estimate. Butkus et al. (2015) provide direct 2DES measurements of the FCP Chl-a electronic coupling: J_FCP = 85 cm⁻¹. Applying the Coherence seam condition:</w:t>
      </w:r>
    </w:p>
    <w:p>
      <w:pPr>
        <w:spacing w:after="140" w:before="140"/>
        <w:jc w:val="center"/>
      </w:pPr>
      <w:r>
        <w:rPr>
          <w:rFonts w:ascii="Arial" w:cs="Arial" w:eastAsia="Arial" w:hAnsi="Arial"/>
          <w:b/>
          <w:bCs/>
          <w:sz w:val="24"/>
          <w:szCs w:val="24"/>
        </w:rPr>
        <w:t xml:space="preserve">T₂(FCP) = ħ/J = 5,309 / 85 = 62.5 ≈ 62 fs</w:t>
      </w:r>
    </w:p>
    <w:p>
      <w:pPr>
        <w:spacing w:after="120" w:before="80"/>
        <w:jc w:val="both"/>
      </w:pPr>
      <w:r>
        <w:rPr>
          <w:rFonts w:ascii="Arial" w:cs="Arial" w:eastAsia="Arial" w:hAnsi="Arial"/>
          <w:b w:val="false"/>
          <w:bCs w:val="false"/>
          <w:i w:val="false"/>
          <w:iCs w:val="false"/>
          <w:color w:val="000000"/>
          <w:sz w:val="22"/>
          <w:szCs w:val="22"/>
        </w:rPr>
        <w:t xml:space="preserve">This supersedes the prior estimate. The corrected value gives T_coh × T₂ = 122.3 × 62.5 = 7,643 K·fs, within 0.07% of ħ/k_B = 7,638 K·fs.</w:t>
      </w:r>
    </w:p>
    <w:p>
      <w:pPr>
        <w:spacing w:after="120" w:before="80"/>
        <w:jc w:val="both"/>
      </w:pPr>
      <w:r>
        <w:rPr>
          <w:rFonts w:ascii="Arial" w:cs="Arial" w:eastAsia="Arial" w:hAnsi="Arial"/>
          <w:b w:val="false"/>
          <w:bCs w:val="false"/>
          <w:i w:val="false"/>
          <w:iCs w:val="false"/>
          <w:color w:val="000000"/>
          <w:sz w:val="22"/>
          <w:szCs w:val="22"/>
        </w:rPr>
        <w:t xml:space="preserve">Falsification: a measured T₂ significantly different from 62 fs falsifies the Coherence seam as the structural explanation for FCP transport efficiency. The test is achievable by two-dimensional electronic spectroscopy on diatom extracts (Phaeodactylum tricornutum or Cyclotella meneghiniana) with sub-10 fs pump pulses using existing instrumentation.</w:t>
      </w:r>
    </w:p>
    <w:p>
      <w:pPr>
        <w:spacing w:after="160" w:before="360"/>
      </w:pPr>
      <w:r>
        <w:rPr>
          <w:rFonts w:ascii="Arial" w:cs="Arial" w:eastAsia="Arial" w:hAnsi="Arial"/>
          <w:b/>
          <w:bCs/>
          <w:sz w:val="26"/>
          <w:szCs w:val="26"/>
        </w:rPr>
        <w:t xml:space="preserve">11. Discussion and Limitations</w:t>
      </w:r>
    </w:p>
    <w:p>
      <w:pPr>
        <w:spacing w:after="120" w:before="80"/>
        <w:jc w:val="both"/>
      </w:pPr>
      <w:r>
        <w:rPr>
          <w:rFonts w:ascii="Arial" w:cs="Arial" w:eastAsia="Arial" w:hAnsi="Arial"/>
          <w:b w:val="false"/>
          <w:bCs w:val="false"/>
          <w:i w:val="false"/>
          <w:iCs w:val="false"/>
          <w:color w:val="000000"/>
          <w:sz w:val="22"/>
          <w:szCs w:val="22"/>
        </w:rPr>
        <w:t xml:space="preserve">The central result — simultaneous satisfaction of three independent operator-seam conditions at p = 2.17 × 10⁻⁵ — requires careful interpretation.</w:t>
      </w:r>
    </w:p>
    <w:p>
      <w:pPr>
        <w:spacing w:after="120" w:before="80"/>
        <w:jc w:val="both"/>
      </w:pPr>
      <w:r>
        <w:rPr>
          <w:rFonts w:ascii="Arial" w:cs="Arial" w:eastAsia="Arial" w:hAnsi="Arial"/>
          <w:b w:val="false"/>
          <w:bCs w:val="false"/>
          <w:i w:val="false"/>
          <w:iCs w:val="false"/>
          <w:color w:val="000000"/>
          <w:sz w:val="22"/>
          <w:szCs w:val="22"/>
        </w:rPr>
        <w:t xml:space="preserve">ENAQT theory provides a mechanistic explanation for Test B. The Mohseni-Rebentrost ENAQT framework specifically predicts that the dephasing rate matching the coupling rate maximises transport efficiency. Test B confirms this. Tests A and D are not predictions of ENAQT; they are predictions of the co-necessity structure. The fact that biological complexes satisfy all three simultaneously — while engineered controls do not — is consistent with the co-necessity claim and has no explanation within ENAQT or standard evolutionary optimisation theory.</w:t>
      </w:r>
    </w:p>
    <w:p>
      <w:pPr>
        <w:spacing w:after="120" w:before="80"/>
        <w:jc w:val="both"/>
      </w:pPr>
      <w:r>
        <w:rPr>
          <w:rFonts w:ascii="Arial" w:cs="Arial" w:eastAsia="Arial" w:hAnsi="Arial"/>
          <w:b w:val="false"/>
          <w:bCs w:val="false"/>
          <w:i w:val="false"/>
          <w:iCs w:val="false"/>
          <w:color w:val="000000"/>
          <w:sz w:val="22"/>
          <w:szCs w:val="22"/>
        </w:rPr>
        <w:t xml:space="preserve">Three limitations are noted. First, Tests A and B are not fully statistically independent because both use J values from the same Hamiltonian fits. The Mann-Whitney tests on the ratios are independent, but shared underlying data reduce the effective degree of independence. The A conservative bound treats A and B as a single composite test, giving p_conservative = 0.018 × 0.067 ≈ 1.2 × 10⁻³. The true combined probability lies between this conservative bound and the full-independence value of 2.17 × 10⁻⁵. Even under the conservative bound the result is significant at p &lt; 0.002, and the conclusion that biological complexes simultaneously satisfy all three seam conditions survives honest accounting of the dependence. Second, the engineered control data for Test A (J-aggregate Φ_A values) are estimated rather than directly measured; precise values would strengthen the test. Third, the LH2 exclusion from Test D, while structurally pre-specified and physically well-motivated, requires accepting the structural distinction between transport-mediating funnel steps and irreversible trap steps — a distinction that is part of SPA's framework, not external to it. Test D therefore confirms internal structural consistency rather than providing an independent test of the framework.</w:t>
      </w:r>
    </w:p>
    <w:p>
      <w:pPr>
        <w:spacing w:after="160" w:before="360"/>
      </w:pPr>
      <w:r>
        <w:rPr>
          <w:rFonts w:ascii="Arial" w:cs="Arial" w:eastAsia="Arial" w:hAnsi="Arial"/>
          <w:b/>
          <w:bCs/>
          <w:sz w:val="26"/>
          <w:szCs w:val="26"/>
        </w:rPr>
        <w:t xml:space="preserve">12. Conclusion</w:t>
      </w:r>
    </w:p>
    <w:p>
      <w:pPr>
        <w:spacing w:after="120" w:before="80"/>
        <w:jc w:val="both"/>
      </w:pPr>
      <w:r>
        <w:rPr>
          <w:rFonts w:ascii="Arial" w:cs="Arial" w:eastAsia="Arial" w:hAnsi="Arial"/>
          <w:b w:val="false"/>
          <w:bCs w:val="false"/>
          <w:i w:val="false"/>
          <w:iCs w:val="false"/>
          <w:color w:val="000000"/>
          <w:sz w:val="22"/>
          <w:szCs w:val="22"/>
        </w:rPr>
        <w:t xml:space="preserve">SPA predicts simultaneous multi-operator seam satisfaction in systems optimised for appearance-sustaining functions. Three independent operator-seam tests — Relation (Δε/J = 1), Coherence (JT₂/ħ = 1), and Gradient (ΔE/kT = 1) — confirm this prediction in photosynthetic light-harvesting at combined p = 2.17 × 10⁻⁵. Engineered J-aggregates, optimised for narrow absorption bandwidth rather than transport, do not satisfy the seam conditions. A fourth test (Orientation) corroborates the Gradient result and documents the structural origin of Euler's number in biological transfer rate ratios, but is not an independent test.</w:t>
      </w:r>
    </w:p>
    <w:p>
      <w:pPr>
        <w:spacing w:after="120" w:before="80"/>
        <w:jc w:val="both"/>
      </w:pPr>
      <w:r>
        <w:rPr>
          <w:rFonts w:ascii="Arial" w:cs="Arial" w:eastAsia="Arial" w:hAnsi="Arial"/>
          <w:b w:val="false"/>
          <w:bCs w:val="false"/>
          <w:i w:val="false"/>
          <w:iCs w:val="false"/>
          <w:color w:val="000000"/>
          <w:sz w:val="22"/>
          <w:szCs w:val="22"/>
        </w:rPr>
        <w:t xml:space="preserve">The Coherence-seam invariant T_coh × T₂ = ħ/k_B = 7,638 K·fs resolves the unexplained 127 K temperature clustering across phylogenetically unrelated photosynthetic organisms. The corrected forward prediction T₂(FCP) ≈ 62 fs, using the measured FCP coupling, supersedes the prior transport-coupling estimate and is testable by existing spectroscopic instrumentation.</w:t>
      </w:r>
    </w:p>
    <w:p>
      <w:pPr>
        <w:spacing w:after="160" w:before="360"/>
      </w:pPr>
      <w:r>
        <w:rPr>
          <w:rFonts w:ascii="Arial" w:cs="Arial" w:eastAsia="Arial" w:hAnsi="Arial"/>
          <w:b/>
          <w:bCs/>
          <w:sz w:val="26"/>
          <w:szCs w:val="26"/>
        </w:rPr>
        <w:t xml:space="preserve">References</w:t>
      </w:r>
    </w:p>
    <w:p>
      <w:pPr>
        <w:spacing w:after="80" w:before="80"/>
        <w:ind w:left="480" w:hanging="480"/>
      </w:pPr>
      <w:r>
        <w:rPr>
          <w:rFonts w:ascii="Arial" w:cs="Arial" w:eastAsia="Arial" w:hAnsi="Arial"/>
          <w:sz w:val="20"/>
          <w:szCs w:val="20"/>
        </w:rPr>
        <w:t xml:space="preserve">Adolphs, J. &amp; Renger, T. (2006). How proteins trigger excitation energy transfer in the FMO complex of green sulfur bacteria. Biophysical Journal 91, 2778–2797.</w:t>
      </w:r>
    </w:p>
    <w:p>
      <w:pPr>
        <w:spacing w:after="80" w:before="80"/>
        <w:ind w:left="480" w:hanging="480"/>
      </w:pPr>
      <w:r>
        <w:rPr>
          <w:rFonts w:ascii="Arial" w:cs="Arial" w:eastAsia="Arial" w:hAnsi="Arial"/>
          <w:sz w:val="20"/>
          <w:szCs w:val="20"/>
        </w:rPr>
        <w:t xml:space="preserve">Butkus, V. et al. (2015). Coherence and population dynamics of chlorophyll excitations in FCP complex. Journal of Chemical Physics 142(21), 212414.</w:t>
      </w:r>
    </w:p>
    <w:p>
      <w:pPr>
        <w:spacing w:after="80" w:before="80"/>
        <w:ind w:left="480" w:hanging="480"/>
      </w:pPr>
      <w:r>
        <w:rPr>
          <w:rFonts w:ascii="Arial" w:cs="Arial" w:eastAsia="Arial" w:hAnsi="Arial"/>
          <w:sz w:val="20"/>
          <w:szCs w:val="20"/>
        </w:rPr>
        <w:t xml:space="preserve">Cogdell, R.J. et al. (2006). The architecture and function of the light-harvesting apparatus of purple bacteria. Quarterly Reviews of Biophysics 39(3), 227–324.</w:t>
      </w:r>
    </w:p>
    <w:p>
      <w:pPr>
        <w:spacing w:after="80" w:before="80"/>
        <w:ind w:left="480" w:hanging="480"/>
      </w:pPr>
      <w:r>
        <w:rPr>
          <w:rFonts w:ascii="Arial" w:cs="Arial" w:eastAsia="Arial" w:hAnsi="Arial"/>
          <w:sz w:val="20"/>
          <w:szCs w:val="20"/>
        </w:rPr>
        <w:t xml:space="preserve">Duan, H.-G. et al. (2017). Nature does not rely on long-lived electronic quantum coherence for photosynthetic energy transfer. PNAS 114, 8493–8498.</w:t>
      </w:r>
    </w:p>
    <w:p>
      <w:pPr>
        <w:spacing w:after="80" w:before="80"/>
        <w:ind w:left="480" w:hanging="480"/>
      </w:pPr>
      <w:r>
        <w:rPr>
          <w:rFonts w:ascii="Arial" w:cs="Arial" w:eastAsia="Arial" w:hAnsi="Arial"/>
          <w:sz w:val="20"/>
          <w:szCs w:val="20"/>
        </w:rPr>
        <w:t xml:space="preserve">Eisfeld, A. &amp; Briggs, J.S. (2002). The J- and H-bands of organic dye aggregates. Chemical Physics 281, 61–70.</w:t>
      </w:r>
    </w:p>
    <w:p>
      <w:pPr>
        <w:spacing w:after="80" w:before="80"/>
        <w:ind w:left="480" w:hanging="480"/>
      </w:pPr>
      <w:r>
        <w:rPr>
          <w:rFonts w:ascii="Arial" w:cs="Arial" w:eastAsia="Arial" w:hAnsi="Arial"/>
          <w:sz w:val="20"/>
          <w:szCs w:val="20"/>
        </w:rPr>
        <w:t xml:space="preserve">Engel, G.S. et al. (2007). Evidence for wavelike energy transfer through quantum coherence in photosynthetic systems. Nature 446, 782–786.</w:t>
      </w:r>
    </w:p>
    <w:p>
      <w:pPr>
        <w:spacing w:after="80" w:before="80"/>
        <w:ind w:left="480" w:hanging="480"/>
      </w:pPr>
      <w:r>
        <w:rPr>
          <w:rFonts w:ascii="Arial" w:cs="Arial" w:eastAsia="Arial" w:hAnsi="Arial"/>
          <w:sz w:val="20"/>
          <w:szCs w:val="20"/>
        </w:rPr>
        <w:t xml:space="preserve">Fisher, R.A. (1925). Statistical Methods for Research Workers. Oliver &amp; Boyd.</w:t>
      </w:r>
    </w:p>
    <w:p>
      <w:pPr>
        <w:spacing w:after="80" w:before="80"/>
        <w:ind w:left="480" w:hanging="480"/>
      </w:pPr>
      <w:r>
        <w:rPr>
          <w:rFonts w:ascii="Arial" w:cs="Arial" w:eastAsia="Arial" w:hAnsi="Arial"/>
          <w:sz w:val="20"/>
          <w:szCs w:val="20"/>
        </w:rPr>
        <w:t xml:space="preserve">Jha, A. et al. (2024). Unraveling quantum coherences mediating primary charge transfer processes in photosystem II reaction center. Science Advances 10, eadk1312.</w:t>
      </w:r>
    </w:p>
    <w:p>
      <w:pPr>
        <w:spacing w:after="80" w:before="80"/>
        <w:ind w:left="480" w:hanging="480"/>
      </w:pPr>
      <w:r>
        <w:rPr>
          <w:rFonts w:ascii="Arial" w:cs="Arial" w:eastAsia="Arial" w:hAnsi="Arial"/>
          <w:sz w:val="20"/>
          <w:szCs w:val="20"/>
        </w:rPr>
        <w:t xml:space="preserve">Mohseni, M. et al. (2008). Environment-assisted quantum walks in photosynthetic energy transfer. Journal of Chemical Physics 129, 174106.</w:t>
      </w:r>
    </w:p>
    <w:p>
      <w:pPr>
        <w:spacing w:after="80" w:before="80"/>
        <w:ind w:left="480" w:hanging="480"/>
      </w:pPr>
      <w:r>
        <w:rPr>
          <w:rFonts w:ascii="Arial" w:cs="Arial" w:eastAsia="Arial" w:hAnsi="Arial"/>
          <w:sz w:val="20"/>
          <w:szCs w:val="20"/>
        </w:rPr>
        <w:t xml:space="preserve">Novoderezhkin, V.I. et al. (2004). Exciton modeling of energy-transfer dynamics in the LHCII complex of higher plants. Biophysical Journal 86, 3655–3671.</w:t>
      </w:r>
    </w:p>
    <w:p>
      <w:pPr>
        <w:spacing w:after="80" w:before="80"/>
        <w:ind w:left="480" w:hanging="480"/>
      </w:pPr>
      <w:r>
        <w:rPr>
          <w:rFonts w:ascii="Arial" w:cs="Arial" w:eastAsia="Arial" w:hAnsi="Arial"/>
          <w:sz w:val="20"/>
          <w:szCs w:val="20"/>
        </w:rPr>
        <w:t xml:space="preserve">Rebentrost, P. et al. (2009). Environment-assisted quantum transport. New Journal of Physics 11, 033003.</w:t>
      </w:r>
    </w:p>
    <w:p>
      <w:pPr>
        <w:spacing w:after="80" w:before="80"/>
        <w:ind w:left="480" w:hanging="480"/>
      </w:pPr>
      <w:r>
        <w:rPr>
          <w:rFonts w:ascii="Arial" w:cs="Arial" w:eastAsia="Arial" w:hAnsi="Arial"/>
          <w:sz w:val="20"/>
          <w:szCs w:val="20"/>
        </w:rPr>
        <w:t xml:space="preserve">Schlau-Cohen, G.S. et al. (2012). Elucidation of the timescales and origins of quantum electronic coherence in LHCII. Nature Chemistry 4, 389–395.</w:t>
      </w:r>
    </w:p>
    <w:p>
      <w:pPr>
        <w:spacing w:after="80" w:before="80"/>
        <w:ind w:left="480" w:hanging="480"/>
      </w:pPr>
      <w:r>
        <w:rPr>
          <w:rFonts w:ascii="Arial" w:cs="Arial" w:eastAsia="Arial" w:hAnsi="Arial"/>
          <w:sz w:val="20"/>
          <w:szCs w:val="20"/>
        </w:rPr>
        <w:t xml:space="preserve">Shchevyev, N. (2026a). Coherence-Decoherence Rate Matching in Photosynthetic Quantum Transport. PhilArchive. DOI: 10.5281/zenodo.20287650.</w:t>
      </w:r>
    </w:p>
    <w:p>
      <w:pPr>
        <w:spacing w:after="80" w:before="80"/>
        <w:ind w:left="480" w:hanging="480"/>
      </w:pPr>
      <w:r>
        <w:rPr>
          <w:rFonts w:ascii="Arial" w:cs="Arial" w:eastAsia="Arial" w:hAnsi="Arial"/>
          <w:sz w:val="20"/>
          <w:szCs w:val="20"/>
        </w:rPr>
        <w:t xml:space="preserve">Shchevyev, N. (2026b). Archontologic Conditions: A Structural Account of Appearance and Reality. PhilArchive. DOI: 10.5281/zenodo.20367178.</w:t>
      </w:r>
    </w:p>
    <w:p>
      <w:pPr>
        <w:spacing w:after="80" w:before="80"/>
        <w:ind w:left="480" w:hanging="480"/>
      </w:pPr>
      <w:r>
        <w:rPr>
          <w:rFonts w:ascii="Arial" w:cs="Arial" w:eastAsia="Arial" w:hAnsi="Arial"/>
          <w:sz w:val="20"/>
          <w:szCs w:val="20"/>
        </w:rPr>
        <w:t xml:space="preserve">Shchevyev, N. (2026c). Scientifica Metaphysica: A Critique of Pure Appearance. PhilArchive.</w:t>
      </w:r>
    </w:p>
    <w:p>
      <w:pPr>
        <w:spacing w:after="80" w:before="80"/>
        <w:ind w:left="480" w:hanging="480"/>
      </w:pPr>
      <w:r>
        <w:rPr>
          <w:rFonts w:ascii="Arial" w:cs="Arial" w:eastAsia="Arial" w:hAnsi="Arial"/>
          <w:sz w:val="20"/>
          <w:szCs w:val="20"/>
        </w:rPr>
        <w:t xml:space="preserve">Spano, F.C. &amp; Mukamel, S. (1991). Nonlinear susceptibilities of molecular aggregates. Physical Review A 40, 5783.</w:t>
      </w:r>
    </w:p>
    <w:sectPr>
      <w:head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888888"/>
        <w:sz w:val="18"/>
        <w:szCs w:val="18"/>
      </w:rPr>
      <w:t xml:space="preserve">Shchevyev — Four Operator-Seam Tests in Quantum Biology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2026-06-03T17:34:16.835Z</dcterms:created>
  <dcterms:modified xsi:type="dcterms:W3CDTF">2026-06-03T17:34:16.842Z</dcterms:modified>
</cp:coreProperties>
</file>

<file path=docProps/custom.xml><?xml version="1.0" encoding="utf-8"?>
<Properties xmlns="http://schemas.openxmlformats.org/officeDocument/2006/custom-properties" xmlns:vt="http://schemas.openxmlformats.org/officeDocument/2006/docPropsVTypes"/>
</file>