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400"/>
        <w:jc w:val="center"/>
      </w:pPr>
      <w:r>
        <w:rPr>
          <w:rFonts w:ascii="Arial" w:cs="Arial" w:eastAsia="Arial" w:hAnsi="Arial"/>
          <w:b/>
          <w:bCs/>
          <w:color w:val="1A3565"/>
          <w:sz w:val="36"/>
          <w:szCs w:val="36"/>
        </w:rPr>
        <w:t xml:space="preserve">Continuity Frames and the Machinery Fallacy</w:t>
      </w:r>
    </w:p>
    <w:p>
      <w:pPr>
        <w:spacing w:after="320"/>
        <w:jc w:val="center"/>
      </w:pPr>
      <w:r>
        <w:rPr>
          <w:rFonts w:ascii="Arial" w:cs="Arial" w:eastAsia="Arial" w:hAnsi="Arial"/>
          <w:i/>
          <w:iCs/>
          <w:color w:val="2E4D7B"/>
          <w:sz w:val="28"/>
          <w:szCs w:val="28"/>
        </w:rPr>
        <w:t xml:space="preserve">A Material-Oscillator Reinterpretation of Relativistic Clock Experiments</w:t>
      </w:r>
    </w:p>
    <w:p>
      <w:pPr>
        <w:spacing w:after="80"/>
        <w:jc w:val="center"/>
      </w:pPr>
      <w:r>
        <w:rPr>
          <w:b/>
          <w:bCs/>
          <w:sz w:val="26"/>
          <w:szCs w:val="26"/>
        </w:rPr>
        <w:t xml:space="preserve">Alim ul Haq Khan</w:t>
      </w:r>
    </w:p>
    <w:p>
      <w:pPr>
        <w:spacing w:after="80"/>
        <w:jc w:val="center"/>
      </w:pPr>
      <w:r>
        <w:rPr>
          <w:i/>
          <w:iCs/>
          <w:sz w:val="22"/>
          <w:szCs w:val="22"/>
        </w:rPr>
        <w:t xml:space="preserve">Independent Researcher, AURA-X Ω Research Cell</w:t>
      </w:r>
    </w:p>
    <w:p>
      <w:pPr>
        <w:spacing w:after="80"/>
        <w:jc w:val="center"/>
      </w:pPr>
      <w:r>
        <w:rPr>
          <w:i/>
          <w:iCs/>
          <w:sz w:val="22"/>
          <w:szCs w:val="22"/>
        </w:rPr>
        <w:t xml:space="preserve">Timergara, Khyber Pakhtunkhwa, Pakistan</w:t>
      </w:r>
    </w:p>
    <w:p>
      <w:pPr>
        <w:spacing w:after="200"/>
        <w:jc w:val="center"/>
      </w:pPr>
      <w:r>
        <w:rPr>
          <w:sz w:val="20"/>
          <w:szCs w:val="20"/>
        </w:rPr>
        <w:t xml:space="preserve">ORCID: 0009-0001-4708-0365  |  alimulhaqkhan@gmail.com</w:t>
      </w:r>
    </w:p>
    <w:p>
      <w:pPr>
        <w:spacing w:after="400"/>
        <w:jc w:val="center"/>
      </w:pPr>
      <w:r>
        <w:rPr>
          <w:b/>
          <w:bCs/>
          <w:sz w:val="20"/>
          <w:szCs w:val="20"/>
        </w:rPr>
        <w:t xml:space="preserve">Version 3.0</w:t>
      </w:r>
    </w:p>
    <w:p>
      <w:pPr>
        <w:pBdr>
          <w:bottom w:val="single" w:color="2E4D7B" w:sz="6" w:space="1"/>
        </w:pBdr>
        <w:spacing w:after="200" w:before="200"/>
      </w:pPr>
    </w:p>
    <w:p>
      <w:pPr>
        <w:spacing w:after="120" w:before="240"/>
      </w:pPr>
      <w:r>
        <w:rPr>
          <w:rFonts w:ascii="Arial" w:cs="Arial" w:eastAsia="Arial" w:hAnsi="Arial"/>
          <w:b/>
          <w:bCs/>
          <w:sz w:val="26"/>
          <w:szCs w:val="26"/>
        </w:rPr>
        <w:t xml:space="preserve">Abstract</w:t>
      </w:r>
    </w:p>
    <w:p>
      <w:pPr>
        <w:spacing w:after="120"/>
        <w:ind w:left="360" w:right="360"/>
        <w:jc w:val="both"/>
      </w:pPr>
      <w:r>
        <w:rPr>
          <w:sz w:val="22"/>
          <w:szCs w:val="22"/>
        </w:rPr>
        <w:t xml:space="preserve">Atomic clock experiments — including the Hafele–Keating aeroplane tests and the Global Positioning System satellite clock corrections — establish beyond doubt that physically separated clocks accumulate different oscillation counts when exposed to different gravitational potentials and velocities. These results are not in dispute. The question addressed in this paper is interpretive: what exactly do such experiments establish ontologically? The standard reading holds that clock-rate differences are evidence that time, as a physical dimension of spacetime, flows at variable rates. This paper argues that this inference contains an ontological commitment not uniquely forced by the clock data themselves. The same observations are fully consistent with a material-oscillator account: clocks are physical systems whose oscillation rates respond to gravitational and kinematic conditions, and their accumulated readings are path-integrated physical histories rather than direct readouts of a dilating temporal substance.</w:t>
      </w:r>
    </w:p>
    <w:p>
      <w:pPr>
        <w:spacing w:after="120"/>
        <w:ind w:left="360" w:right="360"/>
        <w:jc w:val="both"/>
      </w:pPr>
      <w:r>
        <w:rPr>
          <w:sz w:val="22"/>
          <w:szCs w:val="22"/>
        </w:rPr>
        <w:t xml:space="preserve">Three theoretical contributions formalise this claim: the Machinery Fallacy, which identifies the interpretive error of treating a material oscillator as a neutral temporal detector; the Nested Continuity Frame (NCF) model, which provides a hierarchical ontological structure for reading clock-rate factors as frame-relative material responses; and the Physical Gap Non-Universality Principle, which reframes gravitational redshift as physical-gap modulation rather than temporal-flow evidence. The mathematical formalism recovers the standard weak-field clock-rate factor of General Relativity exactly, but reads it as a material-oscillator response function rather than a temporal-dilation coefficient. Three computational demonstrations — a clock-swap test, an adversarial multi-path model comparison, and a GPS epoch drift and cancellation test — illustrate the necessity and sufficiency of path-history integration for reconstructing differential clock readings.</w:t>
      </w:r>
    </w:p>
    <w:p>
      <w:pPr>
        <w:spacing w:after="120"/>
        <w:ind w:left="360" w:right="360"/>
        <w:jc w:val="both"/>
      </w:pPr>
      <w:r>
        <w:rPr>
          <w:sz w:val="22"/>
          <w:szCs w:val="22"/>
        </w:rPr>
        <w:t xml:space="preserve">These demonstrations do not disprove General Relativity and do not constitute new empirical predictions in tested weak-field regimes. Their role is to clarify the ontological underdetermination of clock experiments: relativistic clock-rate differences are experimentally confirmed, but temporal substantivalism — the view that an independently dilating temporal dimension is the entity being measured — is not uniquely established by those differences alone.</w:t>
      </w:r>
    </w:p>
    <w:p>
      <w:pPr>
        <w:spacing w:after="320"/>
        <w:ind w:left="360" w:right="360"/>
      </w:pPr>
      <w:r>
        <w:rPr>
          <w:b/>
          <w:bCs/>
          <w:i/>
          <w:iCs/>
          <w:sz w:val="22"/>
          <w:szCs w:val="22"/>
        </w:rPr>
        <w:t xml:space="preserve">Keywords: </w:t>
      </w:r>
      <w:r>
        <w:rPr>
          <w:i/>
          <w:iCs/>
          <w:sz w:val="22"/>
          <w:szCs w:val="22"/>
        </w:rPr>
        <w:t xml:space="preserve">atomic clocks; material oscillator; clock-rate difference; gravitational redshift; GPS; Hafele–Keating; ontology of time; temporal substantivalism; underdetermination; philosophy of measurement; Machinery Fallacy; path-history accumulation</w:t>
      </w:r>
    </w:p>
    <w:p>
      <w:pPr>
        <w:pBdr>
          <w:bottom w:val="single" w:color="2E4D7B" w:sz="6" w:space="1"/>
        </w:pBdr>
        <w:spacing w:after="200" w:before="200"/>
      </w:pPr>
    </w:p>
    <w:p>
      <w:pPr>
        <w:pStyle w:val="Heading1"/>
        <w:spacing w:after="200" w:before="400"/>
      </w:pPr>
      <w:r>
        <w:rPr>
          <w:rFonts w:ascii="Arial" w:cs="Arial" w:eastAsia="Arial" w:hAnsi="Arial"/>
          <w:b/>
          <w:bCs/>
          <w:color w:val="1A3565"/>
          <w:sz w:val="28"/>
          <w:szCs w:val="28"/>
        </w:rPr>
        <w:t xml:space="preserve">1. Introduction</w:t>
      </w:r>
    </w:p>
    <w:p>
      <w:pPr>
        <w:spacing w:after="160"/>
        <w:jc w:val="both"/>
      </w:pPr>
      <w:r>
        <w:t xml:space="preserve">Relativistic clock experiments are among the most precise and practically consequential results in modern physics. Atomic clocks transported around the Earth in aircraft, clocks placed at different altitudes in gravitational towers, and caesium oscillators carried by GPS satellites accumulate readings that differ by measurable amounts. These differences match, with extraordinary precision, the predictions of General Relativity. The GPS system, which corrects its satellite clocks by approximately +38.4 microseconds per day relative to ground references, depends on these corrections for metre-level positional accuracy.</w:t>
      </w:r>
    </w:p>
    <w:p>
      <w:pPr>
        <w:spacing w:after="160"/>
        <w:jc w:val="both"/>
      </w:pPr>
      <w:r>
        <w:t xml:space="preserve">This paper does not dispute any of those results. What it questions is the ontological interpretation customarily attached to them. The conventional reading holds that clock experiments directly reveal the differential flow of time itself: that time, as a physical dimension of spacetime, passes more slowly in stronger gravitational fields and at higher velocities. Under this reading, the clock difference is not an artefact of instrument behaviour; it is a readout of how fast an entity called ‘time’ is passing.</w:t>
      </w:r>
    </w:p>
    <w:p>
      <w:pPr>
        <w:spacing w:after="160"/>
        <w:jc w:val="both"/>
      </w:pPr>
      <w:r>
        <w:t xml:space="preserve">The argument developed here is that this reading involves an additional inferential step not warranted by the data alone. A clock is a physical system. A pendulum clock counts pendulum swings; a quartz clock counts crystal oscillations; an atomic clock counts quantum transition events in a caesium atom. The step from “different counts were accumulated” to “an independent substance called time flowed at a different rate” is not a direct measurement. It is an ontological interpretation imposed on a measurement result.</w:t>
      </w:r>
    </w:p>
    <w:p>
      <w:pPr>
        <w:spacing w:after="160"/>
        <w:jc w:val="both"/>
      </w:pPr>
      <w:r>
        <w:t xml:space="preserve">The central thesis is therefore not that General Relativity is computationally wrong. In all currently tested weak-field regimes, the present framework uses mathematically identical clock-rate factors. The contribution is specifically interpretive: clock experiments exhibit ontological underdetermination. They confirm relativistic clock-rate differences; they do not by themselves uniquely establish that those differences constitute evidence for a physically real, dilating temporal dimension.</w:t>
      </w:r>
    </w:p>
    <w:p>
      <w:pPr>
        <w:spacing w:after="200"/>
        <w:jc w:val="both"/>
      </w:pPr>
      <w:r>
        <w:t xml:space="preserve">The paper is organised as follows. Section 2 situates the clock measurement problem in the existing literature. Section 3 introduces the Nested Continuity Frame model. Section 4 defines the Machinery Fallacy. Section 5 presents the Physical Gap Non-Universality Principle. Section 6 presents the mathematical formalism. Section 7 reinterprets key clock experiments. Section 8 describes three computational demonstrations. Section 9 develops the ontological underdetermination argument. Section 10 positions the work within the existing literature. Section 11 reviews potential distinguishing implications. Section 12 states the limitations. Section 13 concludes.</w:t>
      </w:r>
    </w:p>
    <w:p>
      <w:pPr>
        <w:pStyle w:val="Heading1"/>
        <w:spacing w:after="200" w:before="400"/>
      </w:pPr>
      <w:r>
        <w:rPr>
          <w:rFonts w:ascii="Arial" w:cs="Arial" w:eastAsia="Arial" w:hAnsi="Arial"/>
          <w:b/>
          <w:bCs/>
          <w:color w:val="1A3565"/>
          <w:sz w:val="28"/>
          <w:szCs w:val="28"/>
        </w:rPr>
        <w:t xml:space="preserve">2. The Measurement Problem of Clocks</w:t>
      </w:r>
    </w:p>
    <w:p>
      <w:pPr>
        <w:spacing w:after="160"/>
        <w:jc w:val="both"/>
      </w:pPr>
      <w:r>
        <w:t xml:space="preserve">Every clock, regardless of precision, operates through a physical process. It accumulates a count of discrete events — swings, oscillations, quantum transitions — and presents that count as a number. The number is then interpreted as elapsed time. This interpretive step is so automatic in practice that it is seldom examined. Yet it contains the critical inferential move: from “this physical system has undergone N events” to “N units of time have passed.”</w:t>
      </w:r>
    </w:p>
    <w:p>
      <w:pPr>
        <w:spacing w:after="160"/>
        <w:jc w:val="both"/>
      </w:pPr>
      <w:r>
        <w:t xml:space="preserve">The operationalist tradition in philosophy of physics, beginning with Bridgman (1927) and Mach’s critique of absolute time, insists that physical concepts must be grounded in definite physical operations. Applied to clocks, this tradition demands that we ask: what physical operation does a clock actually perform? The answer is unambiguous: it counts physical events in a physical system. What remains underdetermined by that operation alone is whether those counted events are ticks of an independently existing temporal substrate or responses of a material system to its physical environment.</w:t>
      </w:r>
    </w:p>
    <w:p>
      <w:pPr>
        <w:spacing w:after="160"/>
        <w:jc w:val="both"/>
      </w:pPr>
      <w:r>
        <w:t xml:space="preserve">Rovelli (2004, 2018) has emphasised that all clocks measure correlations between physical processes, never time itself. Barbour (1999) has argued that a relational description of physics requires no fundamental time parameter. These positions share the view that clock readings are relational facts about physical systems, not readouts of an independent temporal substance. The present paper adds a specific mechanism to this programme: the Machinery Fallacy, which pinpoints the interpretive move that goes beyond the measurement data.</w:t>
      </w:r>
    </w:p>
    <w:p>
      <w:pPr>
        <w:spacing w:after="100"/>
        <w:jc w:val="both"/>
      </w:pPr>
      <w:r>
        <w:t xml:space="preserve">The strongest safe claim of this paper, stated once and clearly, is:</w:t>
      </w:r>
    </w:p>
    <w:p>
      <w:pPr>
        <w:pBdr>
          <w:left w:val="single" w:color="2E4D7B" w:sz="16" w:space="10"/>
        </w:pBdr>
        <w:spacing w:after="200" w:before="160"/>
        <w:ind w:left="720" w:right="720"/>
      </w:pPr>
      <w:r>
        <w:rPr>
          <w:b/>
          <w:bCs/>
          <w:i/>
          <w:iCs/>
        </w:rPr>
        <w:t xml:space="preserve">Clock experiments confirm real relativistic clock-rate differences. They do not uniquely prove that time is an independently dilating physical substance. The same experimental results are fully consistent with a material-oscillator account in which differential clock readings encode accumulated path-integrated physical histories.</w:t>
      </w:r>
    </w:p>
    <w:p>
      <w:pPr>
        <w:pStyle w:val="Heading1"/>
        <w:spacing w:after="200" w:before="400"/>
      </w:pPr>
      <w:r>
        <w:rPr>
          <w:rFonts w:ascii="Arial" w:cs="Arial" w:eastAsia="Arial" w:hAnsi="Arial"/>
          <w:b/>
          <w:bCs/>
          <w:color w:val="1A3565"/>
          <w:sz w:val="28"/>
          <w:szCs w:val="28"/>
        </w:rPr>
        <w:t xml:space="preserve">3. The Nested Continuity Frame Model</w:t>
      </w:r>
    </w:p>
    <w:p>
      <w:pPr>
        <w:pStyle w:val="Heading2"/>
        <w:spacing w:after="160" w:before="300"/>
      </w:pPr>
      <w:r>
        <w:rPr>
          <w:rFonts w:ascii="Arial" w:cs="Arial" w:eastAsia="Arial" w:hAnsi="Arial"/>
          <w:b/>
          <w:bCs/>
          <w:color w:val="2E4D7B"/>
          <w:sz w:val="24"/>
          <w:szCs w:val="24"/>
        </w:rPr>
        <w:t xml:space="preserve">3.1  Hierarchical Frame Structure</w:t>
      </w:r>
    </w:p>
    <w:p>
      <w:pPr>
        <w:spacing w:after="160"/>
        <w:jc w:val="both"/>
      </w:pPr>
      <w:r>
        <w:t xml:space="preserve">The Nested Continuity Frame (NCF) model, developed within the Continuity Primacy framework (Khan, 2026a), treats physical reality as organised in hierarchically nested gravitational environments. Each gravitationally bound system constitutes a continuity frame — a region in which the prevailing gravitational potential determines the conditions under which material oscillators accumulate counts. The principal levels are the galactic frame, the solar frame, the planetary frame, and the local object frame (which additionally carries a velocity v relative to the comparison frame).</w:t>
      </w:r>
    </w:p>
    <w:p>
      <w:pPr>
        <w:spacing w:after="80"/>
        <w:jc w:val="both"/>
      </w:pPr>
      <w:r>
        <w:t xml:space="preserve">The total potential experienced by a material system is the sum of contributions from all hierarchical levels:</w:t>
      </w:r>
    </w:p>
    <w:p>
      <w:pPr>
        <w:spacing w:after="80" w:before="80"/>
      </w:pPr>
      <w:r>
        <w:rPr>
          <w:rFonts w:ascii="Courier New" w:cs="Courier New" w:eastAsia="Courier New" w:hAnsi="Courier New"/>
          <w:sz w:val="22"/>
          <w:szCs w:val="22"/>
        </w:rPr>
        <w:t xml:space="preserve">          Φ_total = Φ_gal + Φ_sol + Φ_earth + Φ_local</w:t>
      </w:r>
    </w:p>
    <w:p>
      <w:pPr>
        <w:spacing w:after="160"/>
        <w:jc w:val="both"/>
      </w:pPr>
      <w:r>
        <w:t xml:space="preserve">For two clocks both on Earth or both in Earth orbit, the galactic and solar contributions are nearly identical for both instruments and cancel in any differential measurement. Only the local differences in gravitational potential and velocity remain observationally significant. This is why local clock-comparison experiments do not require modelling galactic gravity: it is present, but it affects both instruments equally.</w:t>
      </w:r>
    </w:p>
    <w:p>
      <w:pPr>
        <w:pStyle w:val="Heading2"/>
        <w:spacing w:after="160" w:before="300"/>
      </w:pPr>
      <w:r>
        <w:rPr>
          <w:rFonts w:ascii="Arial" w:cs="Arial" w:eastAsia="Arial" w:hAnsi="Arial"/>
          <w:b/>
          <w:bCs/>
          <w:color w:val="2E4D7B"/>
          <w:sz w:val="24"/>
          <w:szCs w:val="24"/>
        </w:rPr>
        <w:t xml:space="preserve">3.2  Relation to Standard Formalism</w:t>
      </w:r>
    </w:p>
    <w:p>
      <w:pPr>
        <w:spacing w:after="200"/>
        <w:jc w:val="both"/>
      </w:pPr>
      <w:r>
        <w:t xml:space="preserve">The NCF model is not presented as a replacement for the metric tensor formalism of General Relativity. It is an interpretive structure: a way of reading clock-rate factors as arising from the material conditions of nested gravitational environments, rather than from the curvature of a temporal dimension. In all currently tested weak-field regimes, the NCF model and GR produce identical numerical predictions. The difference is ontological, not operational.</w:t>
      </w:r>
    </w:p>
    <w:p>
      <w:pPr>
        <w:pStyle w:val="Heading1"/>
        <w:spacing w:after="200" w:before="400"/>
      </w:pPr>
      <w:r>
        <w:rPr>
          <w:rFonts w:ascii="Arial" w:cs="Arial" w:eastAsia="Arial" w:hAnsi="Arial"/>
          <w:b/>
          <w:bCs/>
          <w:color w:val="1A3565"/>
          <w:sz w:val="28"/>
          <w:szCs w:val="28"/>
        </w:rPr>
        <w:t xml:space="preserve">4. The Machinery Fallacy</w:t>
      </w:r>
    </w:p>
    <w:p>
      <w:pPr>
        <w:pStyle w:val="Heading2"/>
        <w:spacing w:after="160" w:before="300"/>
      </w:pPr>
      <w:r>
        <w:rPr>
          <w:rFonts w:ascii="Arial" w:cs="Arial" w:eastAsia="Arial" w:hAnsi="Arial"/>
          <w:b/>
          <w:bCs/>
          <w:color w:val="2E4D7B"/>
          <w:sz w:val="24"/>
          <w:szCs w:val="24"/>
        </w:rPr>
        <w:t xml:space="preserve">4.1  Definition</w:t>
      </w:r>
    </w:p>
    <w:p>
      <w:pPr>
        <w:spacing w:after="100"/>
      </w:pPr>
      <w:r>
        <w:t xml:space="preserve">We define the Machinery Fallacy as follows:</w:t>
      </w:r>
    </w:p>
    <w:p>
      <w:pPr>
        <w:pBdr>
          <w:left w:val="single" w:color="2E4D7B" w:sz="16" w:space="10"/>
        </w:pBdr>
        <w:spacing w:after="200" w:before="120"/>
        <w:ind w:left="720" w:right="720"/>
      </w:pPr>
      <w:r>
        <w:rPr>
          <w:i/>
          <w:iCs/>
        </w:rPr>
        <w:t xml:space="preserve">Machinery Fallacy: The error of treating a time-measuring instrument as a neutral observer of temporal flow, when the instrument is in fact a material system embedded in physical conditions — gravitational, kinematic, and structural — that modulate its oscillation dynamics. A differential clock reading is evidence of differential material-oscillator response, not necessarily of differential temporal flow.</w:t>
      </w:r>
    </w:p>
    <w:p>
      <w:pPr>
        <w:pStyle w:val="Heading2"/>
        <w:spacing w:after="160" w:before="300"/>
      </w:pPr>
      <w:r>
        <w:rPr>
          <w:rFonts w:ascii="Arial" w:cs="Arial" w:eastAsia="Arial" w:hAnsi="Arial"/>
          <w:b/>
          <w:bCs/>
          <w:color w:val="2E4D7B"/>
          <w:sz w:val="24"/>
          <w:szCs w:val="24"/>
        </w:rPr>
        <w:t xml:space="preserve">4.2  The Thermometer Analogy</w:t>
      </w:r>
    </w:p>
    <w:p>
      <w:pPr>
        <w:spacing w:after="160"/>
        <w:jc w:val="both"/>
      </w:pPr>
      <w:r>
        <w:t xml:space="preserve">A thermometer placed in a warm room does not prove that time accelerates in warmth. It proves that temperature affects the physical state of mercury or a bimetallic strip. The thermometer is a material system responding to physical conditions, and its reading is a fact about those conditions, not about an independent temporal entity.</w:t>
      </w:r>
    </w:p>
    <w:p>
      <w:pPr>
        <w:spacing w:after="160"/>
        <w:jc w:val="both"/>
      </w:pPr>
      <w:r>
        <w:t xml:space="preserve">By exactly the same interpretive discipline, a caesium clock that accumulates fewer counts in a strong gravitational field does not, by that fact alone, prove that time flows more slowly there. The observed or compared caesium transition count is modulated by gravitational and kinematic conditions relative to a chosen comparison frame; in the clock’s own local frame the transition proceeds normally. This comparative effect is the phenomenon of gravitational redshift, which is observed in photons and atomic spectra alike and is universally accepted as a physical-field effect on compared oscillation rates. The Machinery Fallacy asks only that we apply the same interpretive discipline to clock-count differences that we apply to spectral shifts: both are comparison-frame material responses to physical conditions.</w:t>
      </w:r>
    </w:p>
    <w:p>
      <w:pPr>
        <w:pStyle w:val="Heading2"/>
        <w:spacing w:after="160" w:before="300"/>
      </w:pPr>
      <w:r>
        <w:rPr>
          <w:rFonts w:ascii="Arial" w:cs="Arial" w:eastAsia="Arial" w:hAnsi="Arial"/>
          <w:b/>
          <w:bCs/>
          <w:color w:val="2E4D7B"/>
          <w:sz w:val="24"/>
          <w:szCs w:val="24"/>
        </w:rPr>
        <w:t xml:space="preserve">4.3  Precision Does Not Resolve the Fallacy</w:t>
      </w:r>
    </w:p>
    <w:p>
      <w:pPr>
        <w:spacing w:after="160"/>
        <w:jc w:val="both"/>
      </w:pPr>
      <w:r>
        <w:t xml:space="preserve">The most common objection to the Machinery Fallacy is that atomic clocks are so precisely engineered, and so thoroughly screened from environmental noise, that their rate differences must reflect something fundamental about the structure of spacetime rather than mere instrument response. This objection misidentifies the argument.</w:t>
      </w:r>
    </w:p>
    <w:p>
      <w:pPr>
        <w:spacing w:after="200"/>
        <w:jc w:val="both"/>
      </w:pPr>
      <w:r>
        <w:t xml:space="preserve">The Machinery Fallacy does not claim that atomic clocks are imprecise or poorly calibrated. It claims that the physical processes they exploit — quantum transitions in caesium atoms — are themselves subject to gravitational modulation. Precision amplifies the observable effect of that modulation; it does not convert a material oscillator into a non-material detector of temporal substance. An extraordinarily precise thermometer placed in a gravitational gradient would show altitude-dependent readings with extraordinary precision; nobody would infer that time accelerates with altitude. The interpretive point is identical for caesium clocks.</w:t>
      </w:r>
    </w:p>
    <w:p>
      <w:pPr>
        <w:pStyle w:val="Heading1"/>
        <w:spacing w:after="200" w:before="400"/>
      </w:pPr>
      <w:r>
        <w:rPr>
          <w:rFonts w:ascii="Arial" w:cs="Arial" w:eastAsia="Arial" w:hAnsi="Arial"/>
          <w:b/>
          <w:bCs/>
          <w:color w:val="1A3565"/>
          <w:sz w:val="28"/>
          <w:szCs w:val="28"/>
        </w:rPr>
        <w:t xml:space="preserve">5. Physical Gap Non-Universality</w:t>
      </w:r>
    </w:p>
    <w:p>
      <w:pPr>
        <w:spacing w:after="160"/>
        <w:jc w:val="both"/>
      </w:pPr>
      <w:r>
        <w:t xml:space="preserve">The SI second fixes a label: the duration of 9,192,631,770 transitions between two hyperfine levels of the ground state of the caesium-133 atom. This definition appears to make the second a universal constant. The material-oscillator account draws attention to a hidden assumption: that the realised gap duration relative to a chosen comparison frame is globally uniform. Locally, every caesium clock ticks normally; the point is comparative.</w:t>
      </w:r>
    </w:p>
    <w:p>
      <w:pPr>
        <w:spacing w:after="100"/>
      </w:pPr>
      <w:r>
        <w:t xml:space="preserve">The Physical Gap Non-Universality Principle states that this assumption does not hold in varying gravitational environments:</w:t>
      </w:r>
    </w:p>
    <w:p>
      <w:pPr>
        <w:pBdr>
          <w:left w:val="single" w:color="2E4D7B" w:sz="16" w:space="10"/>
        </w:pBdr>
        <w:spacing w:after="200" w:before="120"/>
        <w:ind w:left="720" w:right="720"/>
      </w:pPr>
      <w:r>
        <w:rPr>
          <w:i/>
          <w:iCs/>
        </w:rPr>
        <w:t xml:space="preserve">Physical Gap Non-Universality Principle: The physical realisation of the counted interval is frame-dependent when compared across gravitational and kinematic environments. The realised gap duration relative to a chosen comparison frame is not globally uniform. Temporal units are locally realised physical counting protocols; they do not measure a universal temporal substrate.</w:t>
      </w:r>
    </w:p>
    <w:p>
      <w:pPr>
        <w:spacing w:after="200"/>
        <w:jc w:val="both"/>
      </w:pPr>
      <w:r>
        <w:t xml:space="preserve">This principle should not be overstated. In weak-field regimes, this principle reframes gravitational redshift as comparison-frame physical-gap modulation rather than extending it empirically; it introduces no new weak-field prediction. Its contribution is an ontology/measurement interpretation: it describes a second as a locally realised physical counting protocol rather than as a universal temporal quantum flowing uniformly everywhere. The GPS correction that practitioners already apply compensates for a difference in compared material oscillation rates between the two gravitational environments; the ontological reading of that correction is what differs.</w:t>
      </w:r>
    </w:p>
    <w:p>
      <w:pPr>
        <w:pStyle w:val="Heading1"/>
        <w:spacing w:after="200" w:before="400"/>
      </w:pPr>
      <w:r>
        <w:rPr>
          <w:rFonts w:ascii="Arial" w:cs="Arial" w:eastAsia="Arial" w:hAnsi="Arial"/>
          <w:b/>
          <w:bCs/>
          <w:color w:val="1A3565"/>
          <w:sz w:val="28"/>
          <w:szCs w:val="28"/>
        </w:rPr>
        <w:t xml:space="preserve">6. Mathematical Formalism</w:t>
      </w:r>
    </w:p>
    <w:p>
      <w:pPr>
        <w:pStyle w:val="Heading2"/>
        <w:spacing w:after="160" w:before="300"/>
      </w:pPr>
      <w:r>
        <w:rPr>
          <w:rFonts w:ascii="Arial" w:cs="Arial" w:eastAsia="Arial" w:hAnsi="Arial"/>
          <w:b/>
          <w:bCs/>
          <w:color w:val="2E4D7B"/>
          <w:sz w:val="24"/>
          <w:szCs w:val="24"/>
        </w:rPr>
        <w:t xml:space="preserve">6.1  The Machinery-Response Factor</w:t>
      </w:r>
    </w:p>
    <w:p>
      <w:pPr>
        <w:spacing w:after="80"/>
        <w:jc w:val="both"/>
      </w:pPr>
      <w:r>
        <w:t xml:space="preserve">Let f₀ denote the natural oscillation frequency of a material clock in a near-zero-gradient reference environment. When placed in a gravitational potential Φ and moving at velocity v relative to the comparison frame, the observed frequency is:</w:t>
      </w:r>
    </w:p>
    <w:p>
      <w:pPr>
        <w:spacing w:after="80" w:before="80"/>
      </w:pPr>
      <w:r>
        <w:rPr>
          <w:rFonts w:ascii="Courier New" w:cs="Courier New" w:eastAsia="Courier New" w:hAnsi="Courier New"/>
          <w:sz w:val="22"/>
          <w:szCs w:val="22"/>
        </w:rPr>
        <w:t xml:space="preserve">          f_obs = f₀ · ℳ(Φ, v)</w:t>
      </w:r>
    </w:p>
    <w:p>
      <w:pPr>
        <w:spacing w:after="80"/>
      </w:pPr>
      <w:r>
        <w:t xml:space="preserve">where the machinery-response factor ℳ is:</w:t>
      </w:r>
    </w:p>
    <w:p>
      <w:pPr>
        <w:spacing w:after="80" w:before="80"/>
      </w:pPr>
      <w:r>
        <w:rPr>
          <w:rFonts w:ascii="Courier New" w:cs="Courier New" w:eastAsia="Courier New" w:hAnsi="Courier New"/>
          <w:sz w:val="22"/>
          <w:szCs w:val="22"/>
        </w:rPr>
        <w:t xml:space="preserve">          ℳ(Φ, v) = √(1 + 2Φ/c² − v²/c²)</w:t>
      </w:r>
    </w:p>
    <w:p>
      <w:pPr>
        <w:spacing w:after="80"/>
      </w:pPr>
      <w:r>
        <w:t xml:space="preserve">In the weak-field, low-velocity limit (ℳ ≈ 1 + Φ/c² − v²/(2c²)):</w:t>
      </w:r>
    </w:p>
    <w:p>
      <w:pPr>
        <w:spacing w:after="160" w:before="80"/>
      </w:pPr>
      <w:r>
        <w:rPr>
          <w:rFonts w:ascii="Courier New" w:cs="Courier New" w:eastAsia="Courier New" w:hAnsi="Courier New"/>
          <w:sz w:val="22"/>
          <w:szCs w:val="22"/>
        </w:rPr>
        <w:t xml:space="preserve">          ℳ(Φ, v) ≈ 1 + Φ/c² − v²/(2c²)</w:t>
      </w:r>
    </w:p>
    <w:p>
      <w:pPr>
        <w:spacing w:after="200"/>
        <w:ind w:left="360"/>
        <w:jc w:val="both"/>
      </w:pPr>
      <w:r>
        <w:rPr>
          <w:b/>
          <w:bCs/>
        </w:rPr>
        <w:t xml:space="preserve">Critical note: </w:t>
      </w:r>
      <w:r>
        <w:t xml:space="preserve">ℳ(Φ, v) is numerically identical to the standard weak-field relativistic time-dilation factor of General Relativity. This factor is not independently derived from first principles in the present paper. It is adopted from standard GR and reread as a material-oscillator response function. This limitation is explicitly acknowledged: the present framework is a reinterpretive contribution in tested regimes, not a new dynamical theory.</w:t>
      </w:r>
    </w:p>
    <w:p>
      <w:pPr>
        <w:pStyle w:val="Heading2"/>
        <w:spacing w:after="160" w:before="300"/>
      </w:pPr>
      <w:r>
        <w:rPr>
          <w:rFonts w:ascii="Arial" w:cs="Arial" w:eastAsia="Arial" w:hAnsi="Arial"/>
          <w:b/>
          <w:bCs/>
          <w:color w:val="2E4D7B"/>
          <w:sz w:val="24"/>
          <w:szCs w:val="24"/>
        </w:rPr>
        <w:t xml:space="preserve">6.2  Oscillation Count and Count Differences</w:t>
      </w:r>
    </w:p>
    <w:p>
      <w:pPr>
        <w:spacing w:after="80"/>
      </w:pPr>
      <w:r>
        <w:t xml:space="preserve">Over a coordinate interval T, the total count accumulated by the clock is:</w:t>
      </w:r>
    </w:p>
    <w:p>
      <w:pPr>
        <w:spacing w:after="80" w:before="80"/>
      </w:pPr>
      <w:r>
        <w:rPr>
          <w:rFonts w:ascii="Courier New" w:cs="Courier New" w:eastAsia="Courier New" w:hAnsi="Courier New"/>
          <w:sz w:val="22"/>
          <w:szCs w:val="22"/>
        </w:rPr>
        <w:t xml:space="preserve">          N = ∫₀ᵀ f₀ ℳ(Φ(t), v(t)) dt</w:t>
      </w:r>
    </w:p>
    <w:p>
      <w:pPr>
        <w:spacing w:after="80"/>
      </w:pPr>
      <w:r>
        <w:t xml:space="preserve">For two clocks A and B compared over the same coordinate duration T, the differential count is:</w:t>
      </w:r>
    </w:p>
    <w:p>
      <w:pPr>
        <w:spacing w:after="160" w:before="80"/>
      </w:pPr>
      <w:r>
        <w:rPr>
          <w:rFonts w:ascii="Courier New" w:cs="Courier New" w:eastAsia="Courier New" w:hAnsi="Courier New"/>
          <w:sz w:val="22"/>
          <w:szCs w:val="22"/>
        </w:rPr>
        <w:t xml:space="preserve">          ΔN_AB ≈ f₀ T [ (Φ_A − Φ_B)/c² − (v_A² − v_B²)/(2c²) ]    … (1)</w:t>
      </w:r>
    </w:p>
    <w:p>
      <w:pPr>
        <w:spacing w:after="200"/>
        <w:jc w:val="both"/>
      </w:pPr>
      <w:r>
        <w:t xml:space="preserve">Equation (1) reproduces the standard weak-field relativistic clock-comparison formula. It is derived here as an expression for differential material-oscillator response, not for differential temporal flow. The mathematical identity is intentional: the claim is not numerical but ontological.</w:t>
      </w:r>
    </w:p>
    <w:p>
      <w:pPr>
        <w:pStyle w:val="Heading1"/>
        <w:spacing w:after="200" w:before="400"/>
      </w:pPr>
      <w:r>
        <w:rPr>
          <w:rFonts w:ascii="Arial" w:cs="Arial" w:eastAsia="Arial" w:hAnsi="Arial"/>
          <w:b/>
          <w:bCs/>
          <w:color w:val="1A3565"/>
          <w:sz w:val="28"/>
          <w:szCs w:val="28"/>
        </w:rPr>
        <w:t xml:space="preserve">7. Reinterpretation of Key Clock Experiments</w:t>
      </w:r>
    </w:p>
    <w:p>
      <w:pPr>
        <w:spacing w:after="160"/>
        <w:jc w:val="both"/>
      </w:pPr>
      <w:r>
        <w:t xml:space="preserve">Table 1 summarises the standard and material-oscillator readings for the principal clock experiments. Mathematical predictions are identical in both columns; the ontological interpretation differs.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3400"/>
        <w:gridCol w:w="3400"/>
      </w:tblGrid>
      <w:tr>
        <w:tc>
          <w:tcPr>
            <w:tcW w:type="dxa" w:w="24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Observation</w:t>
            </w:r>
          </w:p>
        </w:tc>
        <w:tc>
          <w:tcPr>
            <w:tcW w:type="dxa" w:w="34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Standard GR Reading</w:t>
            </w:r>
          </w:p>
        </w:tc>
        <w:tc>
          <w:tcPr>
            <w:tcW w:type="dxa" w:w="34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Material-Oscillator Reading</w:t>
            </w:r>
          </w:p>
        </w:tc>
      </w:tr>
      <w:tr>
        <w:tc>
          <w:tcPr>
            <w:tcW w:type="dxa" w:w="2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Fast aircraft clock loses counts relative to ground</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Different proper-time accumulation along different worldlines.</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Different oscillation-count accumulation under a different velocity history.</w:t>
            </w:r>
          </w:p>
        </w:tc>
      </w:tr>
      <w:tr>
        <w:tc>
          <w:tcPr>
            <w:tcW w:type="dxa" w:w="2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Higher altitude clock runs faster than ground clock</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Weaker gravitational potential changes the rate of proper-time accumulation.</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Lower continuity-gradient pressure allows faster material-oscillator rate accumulation.</w:t>
            </w:r>
          </w:p>
        </w:tc>
      </w:tr>
      <w:tr>
        <w:tc>
          <w:tcPr>
            <w:tcW w:type="dxa" w:w="2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GPS satellite clocks require +38.4 µs/day correction</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Satellite proper time exceeds ground coordinate time by that rate.</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Space-borne oscillators accumulate counts at a different material rate; correction reconstructs Earth-like time.</w:t>
            </w:r>
          </w:p>
        </w:tc>
      </w:tr>
      <w:tr>
        <w:tc>
          <w:tcPr>
            <w:tcW w:type="dxa" w:w="2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Clocks ending at the same location can disagree</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Worldline history determines proper-time accumulation.</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A clock is a path-integrating physical oscillator, not a final-position detector.</w:t>
            </w:r>
          </w:p>
        </w:tc>
      </w:tr>
      <w:tr>
        <w:tc>
          <w:tcPr>
            <w:tcW w:type="dxa" w:w="2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All clock species give consistent dilation ratios (WEP)</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Spacetime geometry acts identically on all oscillators.</w:t>
            </w:r>
          </w:p>
        </w:tc>
        <w:tc>
          <w:tcPr>
            <w:tcW w:type="dxa" w:w="3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All standard oscillators respond proportionally to the same gravitational potential; species-dependent deviations are not predicted in weak-field regimes.</w:t>
            </w:r>
          </w:p>
        </w:tc>
      </w:tr>
    </w:tbl>
    <w:p>
      <w:pPr>
        <w:spacing w:after="280" w:before="100"/>
        <w:jc w:val="center"/>
      </w:pPr>
      <w:r>
        <w:rPr>
          <w:i/>
          <w:iCs/>
          <w:sz w:val="20"/>
          <w:szCs w:val="20"/>
        </w:rPr>
        <w:t xml:space="preserve">Table 1. Standard relativistic and material-oscillator interpretations of key clock-experiment observations. Mathematical predictions are identical in both columns.</w:t>
      </w:r>
    </w:p>
    <w:p>
      <w:pPr>
        <w:pStyle w:val="Heading2"/>
        <w:spacing w:after="160" w:before="300"/>
      </w:pPr>
      <w:r>
        <w:rPr>
          <w:rFonts w:ascii="Arial" w:cs="Arial" w:eastAsia="Arial" w:hAnsi="Arial"/>
          <w:b/>
          <w:bCs/>
          <w:color w:val="2E4D7B"/>
          <w:sz w:val="24"/>
          <w:szCs w:val="24"/>
        </w:rPr>
        <w:t xml:space="preserve">7.1  Hafele–Keating (1971–72)</w:t>
      </w:r>
    </w:p>
    <w:p>
      <w:pPr>
        <w:spacing w:after="160"/>
        <w:jc w:val="both"/>
      </w:pPr>
      <w:r>
        <w:t xml:space="preserve">Hafele and Keating flew caesium clocks eastward and westward around the world and compared them to ground standards. Eastward-flying clocks accumulated fewer counts (approximately −59 ns relative to ground); westward-flying clocks accumulated more (approximately +273 ns). These results matched GR predictions within stated uncertainties.</w:t>
      </w:r>
    </w:p>
    <w:p>
      <w:pPr>
        <w:spacing w:after="160"/>
        <w:jc w:val="both"/>
      </w:pPr>
      <w:r>
        <w:t xml:space="preserve">Material-oscillator reading: The eastward-flying clock moved with Earth’s rotational direction (higher inertial speed); its oscillation rate was reduced by the velocity term in Eq. (1). The westward-flying clock moved against the rotation (lower inertial speed); its oscillation rate was relatively enhanced. The numerical expression follows from the velocity terms in Appendix A. The numbers are the same; only the ontological reading differs.</w:t>
      </w:r>
    </w:p>
    <w:p>
      <w:pPr>
        <w:pStyle w:val="Heading2"/>
        <w:spacing w:after="160" w:before="300"/>
      </w:pPr>
      <w:r>
        <w:rPr>
          <w:rFonts w:ascii="Arial" w:cs="Arial" w:eastAsia="Arial" w:hAnsi="Arial"/>
          <w:b/>
          <w:bCs/>
          <w:color w:val="2E4D7B"/>
          <w:sz w:val="24"/>
          <w:szCs w:val="24"/>
        </w:rPr>
        <w:t xml:space="preserve">7.2  GPS Satellite Clock Corrections</w:t>
      </w:r>
    </w:p>
    <w:p>
      <w:pPr>
        <w:spacing w:after="160"/>
        <w:jc w:val="both"/>
      </w:pPr>
      <w:r>
        <w:t xml:space="preserve">GPS satellites orbit at approximately 20,200 km altitude. Their on-board caesium clocks experience two competing effects: reduced gravitational-potential pressure at altitude, which increases the oscillation rate (+45.9 μs/day gravitational effect), and higher orbital velocity, which reduces it (−7.2 μs/day kinematic effect). The net result is +38.4 μs/day fast relative to ground. Without systematic correction, positional errors would accumulate at approximately 11 km per day.</w:t>
      </w:r>
    </w:p>
    <w:p>
      <w:pPr>
        <w:spacing w:after="200"/>
        <w:jc w:val="both"/>
      </w:pPr>
      <w:r>
        <w:t xml:space="preserve">Material-oscillator reading: The satellite-borne oscillators operate in lower gravitational-potential conditions. Their physical gap durations are shorter — each caesium transition is completed slightly faster. The velocity effect partially offsets this. The GPS correction is a material oscillator calibration that reconstructs Earth-equivalent counting rates. It does not require the existence of a dilating temporal dimension; it requires knowledge of the two competing physical-rate factors and their net effect.</w:t>
      </w:r>
    </w:p>
    <w:p>
      <w:pPr>
        <w:pStyle w:val="Heading1"/>
        <w:spacing w:after="200" w:before="400"/>
      </w:pPr>
      <w:r>
        <w:rPr>
          <w:rFonts w:ascii="Arial" w:cs="Arial" w:eastAsia="Arial" w:hAnsi="Arial"/>
          <w:b/>
          <w:bCs/>
          <w:color w:val="1A3565"/>
          <w:sz w:val="28"/>
          <w:szCs w:val="28"/>
        </w:rPr>
        <w:t xml:space="preserve">8. Computational Demonstrations</w:t>
      </w:r>
    </w:p>
    <w:p>
      <w:pPr>
        <w:spacing w:after="160"/>
        <w:jc w:val="both"/>
      </w:pPr>
      <w:r>
        <w:t xml:space="preserve">The three computational demonstrations described below are operational illustrations of path-history integration, not empirical proofs of a novel ontology. Standard GR proper-time integration predicts identical clock-count results. The value of the demonstrations is diagnostic: they expose the insufficiency of partial descriptions and clarify that the physically sufficient operational description is full path-history integration. All notebooks and result archives are available as supplementary materials S1–S3.</w:t>
      </w:r>
    </w:p>
    <w:p>
      <w:pPr>
        <w:pStyle w:val="Heading2"/>
        <w:spacing w:after="160" w:before="300"/>
      </w:pPr>
      <w:r>
        <w:rPr>
          <w:rFonts w:ascii="Arial" w:cs="Arial" w:eastAsia="Arial" w:hAnsi="Arial"/>
          <w:b/>
          <w:bCs/>
          <w:color w:val="2E4D7B"/>
          <w:sz w:val="24"/>
          <w:szCs w:val="24"/>
        </w:rPr>
        <w:t xml:space="preserve">8.1  S1: Clock Swap Test</w:t>
      </w:r>
    </w:p>
    <w:p>
      <w:pPr>
        <w:spacing w:after="80"/>
      </w:pPr>
      <w:r>
        <w:t xml:space="preserve">Two ideal clocks are exchanged between ground and space. Clock A spends duration T₁ on the ground and T₂ in space; Clock B spends T₁ in space and T₂ on the ground. In the ideal symmetric case, the final reading difference is:</w:t>
      </w:r>
    </w:p>
    <w:p>
      <w:pPr>
        <w:spacing w:after="80" w:before="80"/>
      </w:pPr>
      <w:r>
        <w:rPr>
          <w:rFonts w:ascii="Courier New" w:cs="Courier New" w:eastAsia="Courier New" w:hAnsi="Courier New"/>
          <w:sz w:val="22"/>
          <w:szCs w:val="22"/>
        </w:rPr>
        <w:t xml:space="preserve">          R_B − R_A = (T₁ − T₂)(r_S − r_G)</w:t>
      </w:r>
    </w:p>
    <w:p>
      <w:pPr>
        <w:spacing w:after="160"/>
        <w:jc w:val="both"/>
      </w:pPr>
      <w:r>
        <w:t xml:space="preserve">where r_S and r_G are the rate factors for the space and ground environments. When T₁ = T₂, the residual cancels. When T₁ ≠ T₂, a residual proportional to the exposure imbalance remains. The benchmark notebook recovered a GPS-like net drift of +38.56 μs/day (gravitational: +45.66, kinematic: −7.10) and a LEO/ISS-like drift of −24.37 μs/day. These values confirm the expected sign conventions and the dependence of final readings on path history.</w:t>
      </w:r>
    </w:p>
    <w:p>
      <w:pPr>
        <w:spacing w:after="200"/>
        <w:jc w:val="both"/>
      </w:pPr>
      <w:r>
        <w:t xml:space="preserve">Interpretation boundary: These results confirm that the final clock reading depends on the duration of exposure in each environment, not merely on the final position of the clock. They are consistent with GR proper-time integration and with the material-oscillator account. They do not distinguish between the two.</w:t>
      </w:r>
    </w:p>
    <w:p>
      <w:pPr>
        <w:pStyle w:val="Heading2"/>
        <w:spacing w:after="160" w:before="300"/>
      </w:pPr>
      <w:r>
        <w:rPr>
          <w:rFonts w:ascii="Arial" w:cs="Arial" w:eastAsia="Arial" w:hAnsi="Arial"/>
          <w:b/>
          <w:bCs/>
          <w:color w:val="2E4D7B"/>
          <w:sz w:val="24"/>
          <w:szCs w:val="24"/>
        </w:rPr>
        <w:t xml:space="preserve">8.2  S2: Adversarial Multi-Path Test</w:t>
      </w:r>
    </w:p>
    <w:p>
      <w:pPr>
        <w:spacing w:after="120"/>
      </w:pPr>
      <w:r>
        <w:t xml:space="preserve">Five competing predictive models were compared on a synthetic dataset of random multi-segment clock paths: (1) universal/no-environment, (2) final-position-only, (3) gravity-only path, (4) velocity-only path, and (5) full path-history. Key results: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800"/>
        <w:gridCol w:w="1800"/>
        <w:gridCol w:w="1400"/>
        <w:gridCol w:w="1400"/>
        <w:gridCol w:w="1800"/>
      </w:tblGrid>
      <w:tr>
        <w:tc>
          <w:tcPr>
            <w:tcW w:type="dxa" w:w="28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Model</w:t>
            </w:r>
          </w:p>
        </w:tc>
        <w:tc>
          <w:tcPr>
            <w:tcW w:type="dxa" w:w="18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RMSE (μs)</w:t>
            </w:r>
          </w:p>
        </w:tc>
        <w:tc>
          <w:tcPr>
            <w:tcW w:type="dxa" w:w="14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R²</w:t>
            </w:r>
          </w:p>
        </w:tc>
        <w:tc>
          <w:tcPr>
            <w:tcW w:type="dxa" w:w="14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Sign Acc.</w:t>
            </w:r>
          </w:p>
        </w:tc>
        <w:tc>
          <w:tcPr>
            <w:tcW w:type="dxa" w:w="18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Verdict</w:t>
            </w:r>
          </w:p>
        </w:tc>
      </w:tr>
      <w:tr>
        <w:tc>
          <w:tcPr>
            <w:tcW w:type="dxa" w:w="2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Full path-history</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0.00196</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1.0000</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100%</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 Exact</w:t>
            </w:r>
          </w:p>
        </w:tc>
      </w:tr>
      <w:tr>
        <w:tc>
          <w:tcPr>
            <w:tcW w:type="dxa" w:w="2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Gravity-only path</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45.73</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0.828</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83.4%</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Partial</w:t>
            </w:r>
          </w:p>
        </w:tc>
      </w:tr>
      <w:tr>
        <w:tc>
          <w:tcPr>
            <w:tcW w:type="dxa" w:w="2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Velocity-only path</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108.70</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0.027</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48.1%</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Weak</w:t>
            </w:r>
          </w:p>
        </w:tc>
      </w:tr>
      <w:tr>
        <w:tc>
          <w:tcPr>
            <w:tcW w:type="dxa" w:w="2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Universal / no environment</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110.24</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−0.0004</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 Fail</w:t>
            </w:r>
          </w:p>
        </w:tc>
      </w:tr>
      <w:tr>
        <w:tc>
          <w:tcPr>
            <w:tcW w:type="dxa" w:w="2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Final-position-only</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201.22</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−2.33</w:t>
            </w:r>
          </w:p>
        </w:tc>
        <w:tc>
          <w:tcPr>
            <w:tcW w:type="dxa" w:w="14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59.5%</w:t>
            </w:r>
          </w:p>
        </w:tc>
        <w:tc>
          <w:tcPr>
            <w:tcW w:type="dxa" w:w="18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 Worst</w:t>
            </w:r>
          </w:p>
        </w:tc>
      </w:tr>
    </w:tbl>
    <w:p>
      <w:pPr>
        <w:spacing w:after="200" w:before="100"/>
        <w:jc w:val="center"/>
      </w:pPr>
      <w:r>
        <w:rPr>
          <w:i/>
          <w:iCs/>
          <w:sz w:val="20"/>
          <w:szCs w:val="20"/>
        </w:rPr>
        <w:t xml:space="preserve">Table 2. Model comparison results from the Adversarial Multi-Path Test (n = 1,500 random path scenarios). RMSE and R² evaluate predicted versus true accumulated clock difference.</w:t>
      </w:r>
    </w:p>
    <w:p>
      <w:pPr>
        <w:spacing w:after="160"/>
        <w:jc w:val="both"/>
      </w:pPr>
      <w:r>
        <w:t xml:space="preserve">Of particular note: in 219 cases where both clocks ended in the same environmental position, the full path-history model still achieved RMSE = 0.00207 μs, R² = 1.000; the final-position-only and universal models failed completely (RMSE = 103.9 μs, R² = −0.002). This subset directly illustrates that clock readings cannot be determined from final position alone.</w:t>
      </w:r>
    </w:p>
    <w:p>
      <w:pPr>
        <w:spacing w:after="200"/>
        <w:jc w:val="both"/>
      </w:pPr>
      <w:r>
        <w:t xml:space="preserve">Interpretation boundary: The synthetic dataset was generated from the same weak-field formula used by the full model. The test therefore confirms the formula and demonstrates partial-model inadequacy; it does not constitute an independent empirical proof of the material-oscillator ontology over the GR proper-time formalism. Both use identical path-integration.</w:t>
      </w:r>
    </w:p>
    <w:p>
      <w:pPr>
        <w:pStyle w:val="Heading2"/>
        <w:spacing w:after="160" w:before="300"/>
      </w:pPr>
      <w:r>
        <w:rPr>
          <w:rFonts w:ascii="Arial" w:cs="Arial" w:eastAsia="Arial" w:hAnsi="Arial"/>
          <w:b/>
          <w:bCs/>
          <w:color w:val="2E4D7B"/>
          <w:sz w:val="24"/>
          <w:szCs w:val="24"/>
        </w:rPr>
        <w:t xml:space="preserve">8.3  S3: GPS Epoch Drift and Cancellation</w:t>
      </w:r>
    </w:p>
    <w:p>
      <w:pPr>
        <w:spacing w:after="120"/>
      </w:pPr>
      <w:r>
        <w:t xml:space="preserve">In a counterfactual demonstration, an Earth clock and a GPS-like space clock were aligned at 1990-01-01, and the space clock was allowed to run without applying any relativistic correction. The predicted uncorrected offset was tracked at five-year intervals through to 2026. Selected results:</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1600"/>
        <w:gridCol w:w="1600"/>
        <w:gridCol w:w="2200"/>
        <w:gridCol w:w="2200"/>
        <w:gridCol w:w="1600"/>
      </w:tblGrid>
      <w:tr>
        <w:tc>
          <w:tcPr>
            <w:tcW w:type="dxa" w:w="16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Epoch</w:t>
            </w:r>
          </w:p>
        </w:tc>
        <w:tc>
          <w:tcPr>
            <w:tcW w:type="dxa" w:w="16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Days Since 1990</w:t>
            </w:r>
          </w:p>
        </w:tc>
        <w:tc>
          <w:tcPr>
            <w:tcW w:type="dxa" w:w="22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Uncorrected Offset</w:t>
            </w:r>
          </w:p>
        </w:tc>
        <w:tc>
          <w:tcPr>
            <w:tcW w:type="dxa" w:w="22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Equiv. Light Error</w:t>
            </w:r>
          </w:p>
        </w:tc>
        <w:tc>
          <w:tcPr>
            <w:tcW w:type="dxa" w:w="16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After Full Correction</w:t>
            </w:r>
          </w:p>
        </w:tc>
      </w:tr>
      <w:tr>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1990-01-01</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 ms</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 km</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 ms</w:t>
            </w:r>
          </w:p>
        </w:tc>
      </w:tr>
      <w:tr>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1995-01-01</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1,826</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+70.40 ms</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21,107 km</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 ms</w:t>
            </w:r>
          </w:p>
        </w:tc>
      </w:tr>
      <w:tr>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2000-01-01</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3,652</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+140.81 ms</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42,213 km</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 ms</w:t>
            </w:r>
          </w:p>
        </w:tc>
      </w:tr>
      <w:tr>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2010-01-01</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7,305</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+281.65 ms</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84,438 km</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 ms</w:t>
            </w:r>
          </w:p>
        </w:tc>
      </w:tr>
      <w:tr>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2020-01-01</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10,957</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+422.46 ms</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126,651 km</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 ms</w:t>
            </w:r>
          </w:p>
        </w:tc>
      </w:tr>
      <w:tr>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2026-01-01</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13,149</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+506.98 ms</w:t>
            </w:r>
          </w:p>
        </w:tc>
        <w:tc>
          <w:tcPr>
            <w:tcW w:type="dxa" w:w="2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151,988 km</w:t>
            </w:r>
          </w:p>
        </w:tc>
        <w:tc>
          <w:tcPr>
            <w:tcW w:type="dxa" w:w="1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0 ms</w:t>
            </w:r>
          </w:p>
        </w:tc>
      </w:tr>
    </w:tbl>
    <w:p>
      <w:pPr>
        <w:spacing w:after="160" w:before="100"/>
        <w:jc w:val="center"/>
      </w:pPr>
      <w:r>
        <w:rPr>
          <w:i/>
          <w:iCs/>
          <w:sz w:val="20"/>
          <w:szCs w:val="20"/>
        </w:rPr>
        <w:t xml:space="preserve">Table 3. GPS Epoch Drift: uncorrected offset accumulated from 1990 to 2026 at GPS-like net rate of +38.56 μs/day. After full gravitational + kinematic correction, residual = 0 ms in the ideal model.</w:t>
      </w:r>
    </w:p>
    <w:p>
      <w:pPr>
        <w:spacing w:after="160"/>
        <w:jc w:val="both"/>
      </w:pPr>
      <w:r>
        <w:t xml:space="preserve">The demonstration further showed that gravity-only correction leaves a residual of −93.42 ms by 2026, and velocity-only correction leaves a residual of +600.40 ms. Only the combined full correction cancels the drift. A separate application of current GPS TLE orbital parameters for 32 active satellites recovered a mean net drift of +38.54 μs/day, consistent with the theoretical value of +38.56 μs/day.</w:t>
      </w:r>
    </w:p>
    <w:p>
      <w:pPr>
        <w:spacing w:after="200"/>
        <w:jc w:val="both"/>
      </w:pPr>
      <w:r>
        <w:t xml:space="preserve">Interpretation boundary: The TLE application uses orbital parameters and standard formulas; it is not direct satellite clock telemetry. It should be described as an independent orbital-parameter application, not as an independent empirical validation of the material-oscillator ontology.</w:t>
      </w:r>
    </w:p>
    <w:p>
      <w:pPr>
        <w:pStyle w:val="Heading1"/>
        <w:spacing w:after="200" w:before="400"/>
      </w:pPr>
      <w:r>
        <w:rPr>
          <w:rFonts w:ascii="Arial" w:cs="Arial" w:eastAsia="Arial" w:hAnsi="Arial"/>
          <w:b/>
          <w:bCs/>
          <w:color w:val="1A3565"/>
          <w:sz w:val="28"/>
          <w:szCs w:val="28"/>
        </w:rPr>
        <w:t xml:space="preserve">9. Ontological Underdetermination of Clock Experiments</w:t>
      </w:r>
    </w:p>
    <w:p>
      <w:pPr>
        <w:spacing w:after="160"/>
        <w:jc w:val="both"/>
      </w:pPr>
      <w:r>
        <w:t xml:space="preserve">The central philosophical argument of this paper can now be stated precisely. Clock experiments produce the following unambiguous empirical result: clocks exposed to different gravitational potentials and velocities accumulate different numbers of oscillation events. This result is not in dispute and is confirmed to extraordinary precision.</w:t>
      </w:r>
    </w:p>
    <w:p>
      <w:pPr>
        <w:spacing w:after="160"/>
        <w:jc w:val="both"/>
      </w:pPr>
      <w:r>
        <w:t xml:space="preserve">The standard interpretation adds a further claim: these count differences are direct measurements of differential temporal flow. Time, as a physical dimension, flows at different rates in different environments, and clocks read those rates out.</w:t>
      </w:r>
    </w:p>
    <w:p>
      <w:pPr>
        <w:spacing w:after="160"/>
        <w:jc w:val="both"/>
      </w:pPr>
      <w:r>
        <w:t xml:space="preserve">The material-oscillator account offers an alternative: count differences are differential material-oscillator responses to physical conditions. No independent temporal substance is required; only physical oscillators, gravitational potentials, velocities, and the accumulated counts those conditions produce.</w:t>
      </w:r>
    </w:p>
    <w:p>
      <w:pPr>
        <w:spacing w:after="100"/>
      </w:pPr>
      <w:r>
        <w:t xml:space="preserve">The underdetermination thesis is that these two accounts are empirically indistinguishable in currently tested weak-field regimes:</w:t>
      </w:r>
    </w:p>
    <w:p>
      <w:pPr>
        <w:pBdr>
          <w:left w:val="single" w:color="2E4D7B" w:sz="16" w:space="10"/>
        </w:pBdr>
        <w:spacing w:after="200" w:before="120"/>
        <w:ind w:left="720" w:right="720"/>
      </w:pPr>
      <w:r>
        <w:rPr>
          <w:i/>
          <w:iCs/>
        </w:rPr>
        <w:t xml:space="preserve">Both accounts use mathematically identical rate factors. Both predict identical clock readings for any given path history. Both are fully consistent with all clock-experiment data. No experiment in any currently tested weak-field regime can discriminate between them on empirical grounds alone.</w:t>
      </w:r>
    </w:p>
    <w:p>
      <w:pPr>
        <w:spacing w:after="160"/>
        <w:jc w:val="both"/>
      </w:pPr>
      <w:r>
        <w:t xml:space="preserve">This neutrality is not trivial. Popular scientific presentations routinely describe clock experiments as ‘proving that time slows down’ near massive bodies or at high speeds. The present argument insists on a stricter measurement ontology: clock experiments establish correlations between physical conditions and oscillation counts. The ontological interpretation of those counts — whether they constitute evidence for a dilating temporal dimension or for a modulated material process — is a further philosophical step that the experimental data do not compel.</w:t>
      </w:r>
    </w:p>
    <w:p>
      <w:pPr>
        <w:spacing w:after="200"/>
        <w:jc w:val="both"/>
      </w:pPr>
      <w:r>
        <w:t xml:space="preserve">The material-oscillator account is therefore offered as a parsimonious alternative, not as a falsification of General Relativity. Its advantage is ontological economy: it requires no entity beyond physical oscillators and physical fields. Its limitation is that it provides no new weak-field predictions — a limitation explicitly acknowledged throughout this paper.</w:t>
      </w:r>
    </w:p>
    <w:p>
      <w:pPr>
        <w:pStyle w:val="Heading1"/>
        <w:spacing w:after="200" w:before="400"/>
      </w:pPr>
      <w:r>
        <w:rPr>
          <w:rFonts w:ascii="Arial" w:cs="Arial" w:eastAsia="Arial" w:hAnsi="Arial"/>
          <w:b/>
          <w:bCs/>
          <w:color w:val="1A3565"/>
          <w:sz w:val="28"/>
          <w:szCs w:val="28"/>
        </w:rPr>
        <w:t xml:space="preserve">10. Positioning Within Existing Literature</w:t>
      </w:r>
    </w:p>
    <w:p>
      <w:pPr>
        <w:spacing w:after="160"/>
        <w:jc w:val="both"/>
      </w:pPr>
      <w:r>
        <w:t xml:space="preserve">This paper aligns with several strands of the philosophy of physics. Bridgman’s (1927) operationalism insists that physical concepts must be grounded in definite operations. A temporal concept grounded in the operation ‘count oscillation events in a material system’ is a concept that inherits all the physical conditionality of that system. Reichenbach’s (1958) conventionalism about simultaneity extends, under the present argument, to a conventionalism about the ontological reading of clock outputs.</w:t>
      </w:r>
    </w:p>
    <w:p>
      <w:pPr>
        <w:spacing w:after="160"/>
        <w:jc w:val="both"/>
      </w:pPr>
      <w:r>
        <w:t xml:space="preserve">Rovelli’s (2004, 2018) relational programme holds that clocks measure correlations between physical processes, not time itself. The material-oscillator account adds a specific mechanism to this programme: it identifies the Machinery Fallacy as the systematic error by which a material correlation is misread as a temporal readout.</w:t>
      </w:r>
    </w:p>
    <w:p>
      <w:pPr>
        <w:spacing w:after="160"/>
        <w:jc w:val="both"/>
      </w:pPr>
      <w:r>
        <w:t xml:space="preserve">Barbour’s (1999) timeless physics eliminates time from the fundamental description of the universe. The NCF model is less radical: it does not claim that time is unreal in some global sense, but that clock readings in particular are not direct evidence for a physically real, independently dilating time dimension. The claim is specific to the interpretation of clock experiments, not a global rejection of temporal concepts.</w:t>
      </w:r>
    </w:p>
    <w:p>
      <w:pPr>
        <w:spacing w:after="200"/>
        <w:jc w:val="both"/>
      </w:pPr>
      <w:r>
        <w:t xml:space="preserve">The substantivalism–relationism debate in the philosophy of spacetime (Earman, 1989; Maudlin, 2012) provides the broader ontological context. The NCF model is a relational position: what we call ‘clock-rate differences’ are relational facts about material systems in gravitational environments, not readouts of an absolute, independently existing temporal substrate. The contribution of the present paper to this debate is specific: it provides a measurement-level mechanism — the Machinery Fallacy — that the broader philosophical literature has not systematically articulated.</w:t>
      </w:r>
    </w:p>
    <w:p>
      <w:pPr>
        <w:pStyle w:val="Heading1"/>
        <w:spacing w:after="200" w:before="400"/>
      </w:pPr>
      <w:r>
        <w:rPr>
          <w:rFonts w:ascii="Arial" w:cs="Arial" w:eastAsia="Arial" w:hAnsi="Arial"/>
          <w:b/>
          <w:bCs/>
          <w:color w:val="1A3565"/>
          <w:sz w:val="28"/>
          <w:szCs w:val="28"/>
        </w:rPr>
        <w:t xml:space="preserve">11. Potential Distinguishing Implications</w:t>
      </w:r>
    </w:p>
    <w:p>
      <w:pPr>
        <w:spacing w:after="160"/>
        <w:jc w:val="both"/>
      </w:pPr>
      <w:r>
        <w:t xml:space="preserve">No unique weak-field empirical prediction is claimed in this paper. In standard tested regimes, the framework is mathematically equivalent to GR and cannot be distinguished from it by any currently available clock experiment. This limitation is fundamental to the present version of the framework, which adopts GR’s rate factor rather than deriving it independently.</w:t>
      </w:r>
    </w:p>
    <w:p>
      <w:pPr>
        <w:spacing w:after="160"/>
        <w:jc w:val="both"/>
      </w:pPr>
      <w:r>
        <w:t xml:space="preserve">The following should be understood as research directions only, not established predictions: (1) Extreme gravitational regimes near compact objects, where the Anti-Shape framework (Khan, 2026b) suggests material-structure saturation effects that may differ from GR singularity predictions. (2) Quantum-gravity contexts, where the role of clocks in measurement collapse may be reconsidered under a material-oscillator account of measurement. (3) Cross-standard oscillator comparisons near compact objects: in weak-field regimes all oscillator species must behave consistently with the Weak Equivalence Principle; any species-dependent deviation would require a novel theoretical derivation.</w:t>
      </w:r>
    </w:p>
    <w:p>
      <w:pPr>
        <w:spacing w:after="200"/>
        <w:jc w:val="both"/>
      </w:pPr>
      <w:r>
        <w:t xml:space="preserve">The absence of new weak-field predictions is honestly presented as a limitation, not disguised as a feature. A future programme that derives ℳ(Φ, v) from first-principles continuity dynamics would be required to claim predictive novelty.</w:t>
      </w:r>
    </w:p>
    <w:p>
      <w:pPr>
        <w:pStyle w:val="Heading1"/>
        <w:spacing w:after="200" w:before="400"/>
      </w:pPr>
      <w:r>
        <w:rPr>
          <w:rFonts w:ascii="Arial" w:cs="Arial" w:eastAsia="Arial" w:hAnsi="Arial"/>
          <w:b/>
          <w:bCs/>
          <w:color w:val="1A3565"/>
          <w:sz w:val="28"/>
          <w:szCs w:val="28"/>
        </w:rPr>
        <w:t xml:space="preserve">12. Limitations</w:t>
      </w:r>
    </w:p>
    <w:p>
      <w:pPr>
        <w:spacing w:after="160"/>
      </w:pPr>
      <w:r>
        <w:t xml:space="preserve">The following limitations are stated explicitly and must be considered when evaluating the paper’s claims.</w:t>
      </w:r>
    </w:p>
    <w:p>
      <w:pPr>
        <w:spacing w:after="120"/>
        <w:jc w:val="both"/>
      </w:pPr>
      <w:r>
        <w:rPr>
          <w:b/>
          <w:bCs/>
        </w:rPr>
        <w:t xml:space="preserve">1. The machinery-response factor is not independently derived. </w:t>
      </w:r>
      <w:r>
        <w:t xml:space="preserve">ℳ(Φ, v) is the standard weak-field GR time-dilation factor, borrowed and reread ontologically. No new dynamical law is introduced. The present paper is therefore a reinterpretation in tested regimes, not a competing physical theory.</w:t>
      </w:r>
    </w:p>
    <w:p>
      <w:pPr>
        <w:spacing w:after="120"/>
        <w:jc w:val="both"/>
      </w:pPr>
      <w:r>
        <w:rPr>
          <w:b/>
          <w:bCs/>
        </w:rPr>
        <w:t xml:space="preserve">2. No unique falsifiable prediction is offered in tested regimes. </w:t>
      </w:r>
      <w:r>
        <w:t xml:space="preserve">Any future empirical discrimination must arise in extreme gravitational or quantum-gravity contexts. Until then, the framework is empirically equivalent to GR.</w:t>
      </w:r>
    </w:p>
    <w:p>
      <w:pPr>
        <w:spacing w:after="120"/>
        <w:jc w:val="both"/>
      </w:pPr>
      <w:r>
        <w:rPr>
          <w:b/>
          <w:bCs/>
        </w:rPr>
        <w:t xml:space="preserve">3. The computational demonstrations are illustrations, not independent proofs. </w:t>
      </w:r>
      <w:r>
        <w:t xml:space="preserve">The synthetic data in S2 were generated from the same formula used by the winning model. The S3 TLE application uses standard formulas, not raw satellite telemetry. Neither demonstration distinguishes the material-oscillator ontology from GR proper-time language.</w:t>
      </w:r>
    </w:p>
    <w:p>
      <w:pPr>
        <w:spacing w:after="120"/>
        <w:jc w:val="both"/>
      </w:pPr>
      <w:r>
        <w:rPr>
          <w:b/>
          <w:bCs/>
        </w:rPr>
        <w:t xml:space="preserve">4. Physical Gap Non-Universality reframes, not extends, gravitational redshift. </w:t>
      </w:r>
      <w:r>
        <w:t xml:space="preserve">The principle is an interpretive restatement of well-established physics, not a new empirical prediction in weak-field regimes.</w:t>
      </w:r>
    </w:p>
    <w:p>
      <w:pPr>
        <w:spacing w:after="200"/>
        <w:jc w:val="both"/>
      </w:pPr>
      <w:r>
        <w:rPr>
          <w:b/>
          <w:bCs/>
        </w:rPr>
        <w:t xml:space="preserve">5. The broader Continuity Primacy framework is underdeveloped as a formal theory. </w:t>
      </w:r>
      <w:r>
        <w:t xml:space="preserve">The CPP and NCF model are not yet embedded in a complete mathematical theory with independently derivable predictions. References to the broader series (Anti-Shape, dark matter, quantum gravity) involve multiple additional theoretical steps and should be treated as speculative.</w:t>
      </w:r>
    </w:p>
    <w:p>
      <w:pPr>
        <w:pStyle w:val="Heading1"/>
        <w:spacing w:after="200" w:before="400"/>
      </w:pPr>
      <w:r>
        <w:rPr>
          <w:rFonts w:ascii="Arial" w:cs="Arial" w:eastAsia="Arial" w:hAnsi="Arial"/>
          <w:b/>
          <w:bCs/>
          <w:color w:val="1A3565"/>
          <w:sz w:val="28"/>
          <w:szCs w:val="28"/>
        </w:rPr>
        <w:t xml:space="preserve">13. Conclusion</w:t>
      </w:r>
    </w:p>
    <w:p>
      <w:pPr>
        <w:spacing w:after="160"/>
        <w:jc w:val="both"/>
      </w:pPr>
      <w:r>
        <w:t xml:space="preserve">Atomic clock experiments establish real differential clock readings with extraordinary precision. Clocks exposed to different gravitational potentials and velocities accumulate different oscillation counts. These facts are secure. What this paper has argued is that the ontological conclusion commonly drawn from them — that the differences constitute direct evidence for a physically real, dilating temporal dimension — involves an additional inferential step not uniquely forced by the data.</w:t>
      </w:r>
    </w:p>
    <w:p>
      <w:pPr>
        <w:spacing w:after="160"/>
        <w:jc w:val="both"/>
      </w:pPr>
      <w:r>
        <w:t xml:space="preserve">The Machinery Fallacy identifies this step: the error of reading a material-oscillator count difference as a direct temporal readout rather than as a differential physical response. The Nested Continuity Frame model provides an ontological alternative structure. The Physical Gap Non-Universality Principle reframes gravitational redshift as evidence for locally realised gap-duration modulation rather than for temporal-flow variation. The mathematical formalism recovers standard GR results exactly while applying them under a more parsimonious ontological description.</w:t>
      </w:r>
    </w:p>
    <w:p>
      <w:pPr>
        <w:spacing w:after="160"/>
        <w:jc w:val="both"/>
      </w:pPr>
      <w:r>
        <w:t xml:space="preserve">The framework is a contribution to the philosophy and foundations of physics. It does not replace General Relativity as a computational framework. It offers a measurement-level argument: clock experiments underdetermine temporal ontology. Temporal substantivalism is not the uniquely forced reading of the data, and the material-oscillator account deserves equal standing as a parsimonious alternative.</w:t>
      </w:r>
    </w:p>
    <w:p>
      <w:pPr>
        <w:pBdr>
          <w:left w:val="single" w:color="2E4D7B" w:sz="16" w:space="10"/>
        </w:pBdr>
        <w:spacing w:after="400" w:before="160"/>
        <w:ind w:left="720" w:right="720"/>
      </w:pPr>
      <w:r>
        <w:rPr>
          <w:b/>
          <w:bCs/>
          <w:i/>
          <w:iCs/>
        </w:rPr>
        <w:t xml:space="preserve">One-line thesis: Atomic clocks count physical oscillation events accumulated across their path histories. Time is the label written on those counts afterward — not the substance those counts directly measure.</w:t>
      </w:r>
    </w:p>
    <w:p>
      <w:pPr>
        <w:pBdr>
          <w:bottom w:val="single" w:color="2E4D7B" w:sz="6" w:space="1"/>
        </w:pBdr>
        <w:spacing w:after="200" w:before="200"/>
      </w:pPr>
    </w:p>
    <w:p>
      <w:pPr>
        <w:pStyle w:val="Heading1"/>
        <w:spacing w:after="200" w:before="400"/>
      </w:pPr>
      <w:r>
        <w:rPr>
          <w:rFonts w:ascii="Arial" w:cs="Arial" w:eastAsia="Arial" w:hAnsi="Arial"/>
          <w:b/>
          <w:bCs/>
          <w:color w:val="1A3565"/>
          <w:sz w:val="28"/>
          <w:szCs w:val="28"/>
        </w:rPr>
        <w:t xml:space="preserve">Appendix A. Hafele–Keating Velocity Terms</w:t>
      </w:r>
    </w:p>
    <w:p>
      <w:pPr>
        <w:spacing w:after="80"/>
        <w:jc w:val="both"/>
      </w:pPr>
      <w:r>
        <w:t xml:space="preserve">Let Ω be Earth’s angular rotation rate and R the equatorial radius, so the surface speed is v_g = ΩR ≈ 465 m/s at the equator, and v_g cosλ at latitude λ. For an aircraft at altitude h, flying eastward or westward at speed u (relative to ground surface), the inertial speeds are:</w:t>
      </w:r>
    </w:p>
    <w:p>
      <w:pPr>
        <w:spacing w:after="80" w:before="80"/>
      </w:pPr>
      <w:r>
        <w:rPr>
          <w:rFonts w:ascii="Courier New" w:cs="Courier New" w:eastAsia="Courier New" w:hAnsi="Courier New"/>
          <w:sz w:val="22"/>
          <w:szCs w:val="22"/>
        </w:rPr>
        <w:t xml:space="preserve">          v_E = v_g cosλ + u  (eastward)      v_W = v_g cosλ − u  (westward)</w:t>
      </w:r>
    </w:p>
    <w:p>
      <w:pPr>
        <w:spacing w:after="80"/>
      </w:pPr>
      <w:r>
        <w:t xml:space="preserve">Applying Eq. (1) with gravitational term gh/c²:</w:t>
      </w:r>
    </w:p>
    <w:p>
      <w:pPr>
        <w:spacing w:after="40" w:before="80"/>
      </w:pPr>
      <w:r>
        <w:rPr>
          <w:rFonts w:ascii="Courier New" w:cs="Courier New" w:eastAsia="Courier New" w:hAnsi="Courier New"/>
          <w:sz w:val="22"/>
          <w:szCs w:val="22"/>
        </w:rPr>
        <w:t xml:space="preserve">          Δ_E / (f₀T) ≈ gh/c² − (2v_g u cosλ + u²)/(2c²)</w:t>
      </w:r>
    </w:p>
    <w:p>
      <w:pPr>
        <w:spacing w:after="160" w:before="40"/>
      </w:pPr>
      <w:r>
        <w:rPr>
          <w:rFonts w:ascii="Courier New" w:cs="Courier New" w:eastAsia="Courier New" w:hAnsi="Courier New"/>
          <w:sz w:val="22"/>
          <w:szCs w:val="22"/>
        </w:rPr>
        <w:t xml:space="preserve">          Δ_W / (f₀T) ≈ gh/c² + (2v_g u cosλ − u²)/(2c²)</w:t>
      </w:r>
    </w:p>
    <w:p>
      <w:pPr>
        <w:spacing w:after="200"/>
        <w:jc w:val="both"/>
      </w:pPr>
      <w:r>
        <w:t xml:space="preserve">For the 1971 Hafele–Keating parameters (h ≈ 9 km, u ≈ 250 m/s, mean latitude ≈ 40°), these expressions yield eastward deficit ≈ −59 ns and westward surplus ≈ +273 ns, consistent with published measurements within stated uncertainties. The expressions are mathematically identical to those derived from relativistic kinematics.</w:t>
      </w:r>
    </w:p>
    <w:p>
      <w:pPr>
        <w:pBdr>
          <w:bottom w:val="single" w:color="2E4D7B" w:sz="6" w:space="1"/>
        </w:pBdr>
        <w:spacing w:after="200" w:before="200"/>
      </w:pPr>
    </w:p>
    <w:p>
      <w:pPr>
        <w:sectPr>
          <w:pgSz w:w="11906" w:h="16838" w:orient="portrait"/>
          <w:pgMar w:top="1440" w:right="1440" w:bottom="1440" w:left="1440" w:header="708" w:footer="708" w:gutter="0"/>
          <w:pgNumType/>
          <w:docGrid w:linePitch="360"/>
        </w:sectPr>
      </w:pPr>
    </w:p>
    <w:p>
      <w:pPr>
        <w:pStyle w:val="Heading1"/>
        <w:spacing w:after="200" w:before="200"/>
      </w:pPr>
      <w:r>
        <w:rPr>
          <w:rFonts w:ascii="Arial" w:cs="Arial" w:eastAsia="Arial" w:hAnsi="Arial"/>
          <w:b/>
          <w:bCs/>
          <w:color w:val="1A3565"/>
          <w:sz w:val="28"/>
          <w:szCs w:val="28"/>
        </w:rPr>
        <w:t xml:space="preserve">Appendix B. Claim-Control Statement</w:t>
      </w:r>
    </w:p>
    <w:p>
      <w:pPr>
        <w:spacing w:after="160"/>
        <w:jc w:val="both"/>
      </w:pPr>
      <w:r>
        <w:t xml:space="preserve">This appendix records the claim-control discipline applied throughout the manuscript. It distinguishes the claims the paper advances from those it explicitly does not, in order to keep the contribution interpretive and to avoid overstatement.</w:t>
      </w:r>
    </w:p>
    <w:tbl>
      <w:tblPr>
        <w:tblW w:type="dxa" w:w="14400"/>
        <w:tblBorders>
          <w:top w:val="single" w:color="auto" w:sz="4"/>
          <w:left w:val="single" w:color="auto" w:sz="4"/>
          <w:bottom w:val="single" w:color="auto" w:sz="4"/>
          <w:right w:val="single" w:color="auto" w:sz="4"/>
          <w:insideH w:val="single" w:color="auto" w:sz="4"/>
          <w:insideV w:val="single" w:color="auto" w:sz="4"/>
        </w:tblBorders>
      </w:tblPr>
      <w:tblGrid>
        <w:gridCol w:w="3600"/>
        <w:gridCol w:w="1400"/>
        <w:gridCol w:w="4200"/>
        <w:gridCol w:w="5200"/>
      </w:tblGrid>
      <w:tr>
        <w:tc>
          <w:tcPr>
            <w:tcW w:type="dxa" w:w="36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Candidate Claim</w:t>
            </w:r>
          </w:p>
        </w:tc>
        <w:tc>
          <w:tcPr>
            <w:tcW w:type="dxa" w:w="14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Status</w:t>
            </w:r>
          </w:p>
        </w:tc>
        <w:tc>
          <w:tcPr>
            <w:tcW w:type="dxa" w:w="42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Rationale</w:t>
            </w:r>
          </w:p>
        </w:tc>
        <w:tc>
          <w:tcPr>
            <w:tcW w:type="dxa" w:w="5200"/>
            <w:tcBorders>
              <w:top w:val="single" w:color="CCCCCC" w:sz="1"/>
              <w:left w:val="single" w:color="CCCCCC" w:sz="1"/>
              <w:bottom w:val="single" w:color="CCCCCC" w:sz="1"/>
              <w:right w:val="single" w:color="CCCCCC" w:sz="1"/>
            </w:tcBorders>
            <w:shd w:fill="D0DAF0" w:val="clear"/>
            <w:tcMar>
              <w:top w:type="dxa" w:w="100"/>
              <w:left w:type="dxa" w:w="120"/>
              <w:bottom w:type="dxa" w:w="100"/>
              <w:right w:type="dxa" w:w="120"/>
            </w:tcMar>
          </w:tcPr>
          <w:p>
            <w:pPr>
              <w:jc w:val="left"/>
            </w:pPr>
            <w:r>
              <w:rPr>
                <w:b/>
                <w:bCs/>
                <w:i w:val="false"/>
                <w:iCs w:val="false"/>
                <w:sz w:val="20"/>
                <w:szCs w:val="20"/>
              </w:rPr>
              <w:t xml:space="preserve">Adopted Wording</w:t>
            </w:r>
          </w:p>
        </w:tc>
      </w:tr>
      <w:tr>
        <w:tc>
          <w:tcPr>
            <w:tcW w:type="dxa" w:w="3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Clock experiments prove time dilation</w:t>
            </w:r>
          </w:p>
        </w:tc>
        <w:tc>
          <w:tcPr>
            <w:tcW w:type="dxa" w:w="1400"/>
            <w:tcBorders>
              <w:top w:val="single" w:color="CCCCCC" w:sz="1"/>
              <w:left w:val="single" w:color="CCCCCC" w:sz="1"/>
              <w:bottom w:val="single" w:color="CCCCCC" w:sz="1"/>
              <w:right w:val="single" w:color="CCCCCC" w:sz="1"/>
            </w:tcBorders>
            <w:shd w:fill="FFE8C0" w:val="clear"/>
            <w:tcMar>
              <w:top w:type="dxa" w:w="100"/>
              <w:left w:type="dxa" w:w="120"/>
              <w:bottom w:type="dxa" w:w="100"/>
              <w:right w:type="dxa" w:w="120"/>
            </w:tcMar>
          </w:tcPr>
          <w:p>
            <w:pPr>
              <w:jc w:val="left"/>
            </w:pPr>
            <w:r>
              <w:rPr>
                <w:b w:val="false"/>
                <w:bCs w:val="false"/>
                <w:i w:val="false"/>
                <w:iCs w:val="false"/>
                <w:sz w:val="20"/>
                <w:szCs w:val="20"/>
              </w:rPr>
              <w:t xml:space="preserve">Risky</w:t>
            </w:r>
          </w:p>
        </w:tc>
        <w:tc>
          <w:tcPr>
            <w:tcW w:type="dxa" w:w="4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Conflates count difference with temporal ontology.</w:t>
            </w:r>
          </w:p>
        </w:tc>
        <w:tc>
          <w:tcPr>
            <w:tcW w:type="dxa" w:w="5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Clock experiments confirm relativistic clock-rate differences.</w:t>
            </w:r>
          </w:p>
        </w:tc>
      </w:tr>
      <w:tr>
        <w:tc>
          <w:tcPr>
            <w:tcW w:type="dxa" w:w="3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General Relativity is wrong</w:t>
            </w:r>
          </w:p>
        </w:tc>
        <w:tc>
          <w:tcPr>
            <w:tcW w:type="dxa" w:w="1400"/>
            <w:tcBorders>
              <w:top w:val="single" w:color="CCCCCC" w:sz="1"/>
              <w:left w:val="single" w:color="CCCCCC" w:sz="1"/>
              <w:bottom w:val="single" w:color="CCCCCC" w:sz="1"/>
              <w:right w:val="single" w:color="CCCCCC" w:sz="1"/>
            </w:tcBorders>
            <w:shd w:fill="FFD0D0" w:val="clear"/>
            <w:tcMar>
              <w:top w:type="dxa" w:w="100"/>
              <w:left w:type="dxa" w:w="120"/>
              <w:bottom w:type="dxa" w:w="100"/>
              <w:right w:type="dxa" w:w="120"/>
            </w:tcMar>
          </w:tcPr>
          <w:p>
            <w:pPr>
              <w:jc w:val="left"/>
            </w:pPr>
            <w:r>
              <w:rPr>
                <w:b w:val="false"/>
                <w:bCs w:val="false"/>
                <w:i w:val="false"/>
                <w:iCs w:val="false"/>
                <w:sz w:val="20"/>
                <w:szCs w:val="20"/>
              </w:rPr>
              <w:t xml:space="preserve">Excluded</w:t>
            </w:r>
          </w:p>
        </w:tc>
        <w:tc>
          <w:tcPr>
            <w:tcW w:type="dxa" w:w="4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Contradicts the paper’s explicit boundary; the framework uses GR mathematics identically.</w:t>
            </w:r>
          </w:p>
        </w:tc>
        <w:tc>
          <w:tcPr>
            <w:tcW w:type="dxa" w:w="5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Not used anywhere in the manuscript.</w:t>
            </w:r>
          </w:p>
        </w:tc>
      </w:tr>
      <w:tr>
        <w:tc>
          <w:tcPr>
            <w:tcW w:type="dxa" w:w="3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The simulations prove the material-oscillator ontology over GR</w:t>
            </w:r>
          </w:p>
        </w:tc>
        <w:tc>
          <w:tcPr>
            <w:tcW w:type="dxa" w:w="1400"/>
            <w:tcBorders>
              <w:top w:val="single" w:color="CCCCCC" w:sz="1"/>
              <w:left w:val="single" w:color="CCCCCC" w:sz="1"/>
              <w:bottom w:val="single" w:color="CCCCCC" w:sz="1"/>
              <w:right w:val="single" w:color="CCCCCC" w:sz="1"/>
            </w:tcBorders>
            <w:shd w:fill="FFD0D0" w:val="clear"/>
            <w:tcMar>
              <w:top w:type="dxa" w:w="100"/>
              <w:left w:type="dxa" w:w="120"/>
              <w:bottom w:type="dxa" w:w="100"/>
              <w:right w:type="dxa" w:w="120"/>
            </w:tcMar>
          </w:tcPr>
          <w:p>
            <w:pPr>
              <w:jc w:val="left"/>
            </w:pPr>
            <w:r>
              <w:rPr>
                <w:b w:val="false"/>
                <w:bCs w:val="false"/>
                <w:i w:val="false"/>
                <w:iCs w:val="false"/>
                <w:sz w:val="20"/>
                <w:szCs w:val="20"/>
              </w:rPr>
              <w:t xml:space="preserve">Excluded</w:t>
            </w:r>
          </w:p>
        </w:tc>
        <w:tc>
          <w:tcPr>
            <w:tcW w:type="dxa" w:w="4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Synthetic data were generated from the same formula as the winning model; the result is not independent.</w:t>
            </w:r>
          </w:p>
        </w:tc>
        <w:tc>
          <w:tcPr>
            <w:tcW w:type="dxa" w:w="5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The demonstrations illustrate path-history sufficiency and the inadequacy of partial models.</w:t>
            </w:r>
          </w:p>
        </w:tc>
      </w:tr>
      <w:tr>
        <w:tc>
          <w:tcPr>
            <w:tcW w:type="dxa" w:w="3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Path-history determines the final clock reading</w:t>
            </w:r>
          </w:p>
        </w:tc>
        <w:tc>
          <w:tcPr>
            <w:tcW w:type="dxa" w:w="1400"/>
            <w:tcBorders>
              <w:top w:val="single" w:color="CCCCCC" w:sz="1"/>
              <w:left w:val="single" w:color="CCCCCC" w:sz="1"/>
              <w:bottom w:val="single" w:color="CCCCCC" w:sz="1"/>
              <w:right w:val="single" w:color="CCCCCC" w:sz="1"/>
            </w:tcBorders>
            <w:shd w:fill="D0F0D0" w:val="clear"/>
            <w:tcMar>
              <w:top w:type="dxa" w:w="100"/>
              <w:left w:type="dxa" w:w="120"/>
              <w:bottom w:type="dxa" w:w="100"/>
              <w:right w:type="dxa" w:w="120"/>
            </w:tcMar>
          </w:tcPr>
          <w:p>
            <w:pPr>
              <w:jc w:val="left"/>
            </w:pPr>
            <w:r>
              <w:rPr>
                <w:b w:val="false"/>
                <w:bCs w:val="false"/>
                <w:i w:val="false"/>
                <w:iCs w:val="false"/>
                <w:sz w:val="20"/>
                <w:szCs w:val="20"/>
              </w:rPr>
              <w:t xml:space="preserve">Safe</w:t>
            </w:r>
          </w:p>
        </w:tc>
        <w:tc>
          <w:tcPr>
            <w:tcW w:type="dxa" w:w="4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Shown by the swap test; consistent with both accounts.</w:t>
            </w:r>
          </w:p>
        </w:tc>
        <w:tc>
          <w:tcPr>
            <w:tcW w:type="dxa" w:w="5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A clock’s accumulated reading depends on its complete gravitational and kinematic history, not merely its final position.</w:t>
            </w:r>
          </w:p>
        </w:tc>
      </w:tr>
      <w:tr>
        <w:tc>
          <w:tcPr>
            <w:tcW w:type="dxa" w:w="3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Final-position-only models are insufficient</w:t>
            </w:r>
          </w:p>
        </w:tc>
        <w:tc>
          <w:tcPr>
            <w:tcW w:type="dxa" w:w="1400"/>
            <w:tcBorders>
              <w:top w:val="single" w:color="CCCCCC" w:sz="1"/>
              <w:left w:val="single" w:color="CCCCCC" w:sz="1"/>
              <w:bottom w:val="single" w:color="CCCCCC" w:sz="1"/>
              <w:right w:val="single" w:color="CCCCCC" w:sz="1"/>
            </w:tcBorders>
            <w:shd w:fill="D0F0D0" w:val="clear"/>
            <w:tcMar>
              <w:top w:type="dxa" w:w="100"/>
              <w:left w:type="dxa" w:w="120"/>
              <w:bottom w:type="dxa" w:w="100"/>
              <w:right w:type="dxa" w:w="120"/>
            </w:tcMar>
          </w:tcPr>
          <w:p>
            <w:pPr>
              <w:jc w:val="left"/>
            </w:pPr>
            <w:r>
              <w:rPr>
                <w:b w:val="false"/>
                <w:bCs w:val="false"/>
                <w:i w:val="false"/>
                <w:iCs w:val="false"/>
                <w:sz w:val="20"/>
                <w:szCs w:val="20"/>
              </w:rPr>
              <w:t xml:space="preserve">Safe</w:t>
            </w:r>
          </w:p>
        </w:tc>
        <w:tc>
          <w:tcPr>
            <w:tcW w:type="dxa" w:w="4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Demonstrated by the adversarial multi-path test.</w:t>
            </w:r>
          </w:p>
        </w:tc>
        <w:tc>
          <w:tcPr>
            <w:tcW w:type="dxa" w:w="5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Partial models that use only final position, only gravity, or only velocity cannot reproduce observed clock differences.</w:t>
            </w:r>
          </w:p>
        </w:tc>
      </w:tr>
      <w:tr>
        <w:tc>
          <w:tcPr>
            <w:tcW w:type="dxa" w:w="3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GPS correction is a material-oscillator calibration</w:t>
            </w:r>
          </w:p>
        </w:tc>
        <w:tc>
          <w:tcPr>
            <w:tcW w:type="dxa" w:w="1400"/>
            <w:tcBorders>
              <w:top w:val="single" w:color="CCCCCC" w:sz="1"/>
              <w:left w:val="single" w:color="CCCCCC" w:sz="1"/>
              <w:bottom w:val="single" w:color="CCCCCC" w:sz="1"/>
              <w:right w:val="single" w:color="CCCCCC" w:sz="1"/>
            </w:tcBorders>
            <w:shd w:fill="D0F0D0" w:val="clear"/>
            <w:tcMar>
              <w:top w:type="dxa" w:w="100"/>
              <w:left w:type="dxa" w:w="120"/>
              <w:bottom w:type="dxa" w:w="100"/>
              <w:right w:type="dxa" w:w="120"/>
            </w:tcMar>
          </w:tcPr>
          <w:p>
            <w:pPr>
              <w:jc w:val="left"/>
            </w:pPr>
            <w:r>
              <w:rPr>
                <w:b w:val="false"/>
                <w:bCs w:val="false"/>
                <w:i w:val="false"/>
                <w:iCs w:val="false"/>
                <w:sz w:val="20"/>
                <w:szCs w:val="20"/>
              </w:rPr>
              <w:t xml:space="preserve">Safe</w:t>
            </w:r>
          </w:p>
        </w:tc>
        <w:tc>
          <w:tcPr>
            <w:tcW w:type="dxa" w:w="4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Operationally accurate; requires no temporal-substance claim.</w:t>
            </w:r>
          </w:p>
        </w:tc>
        <w:tc>
          <w:tcPr>
            <w:tcW w:type="dxa" w:w="5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The GPS relativistic correction compensates for differential material oscillation dynamics between gravitational environments.</w:t>
            </w:r>
          </w:p>
        </w:tc>
      </w:tr>
      <w:tr>
        <w:tc>
          <w:tcPr>
            <w:tcW w:type="dxa" w:w="3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Clock experiments underdetermine temporal ontology</w:t>
            </w:r>
          </w:p>
        </w:tc>
        <w:tc>
          <w:tcPr>
            <w:tcW w:type="dxa" w:w="1400"/>
            <w:tcBorders>
              <w:top w:val="single" w:color="CCCCCC" w:sz="1"/>
              <w:left w:val="single" w:color="CCCCCC" w:sz="1"/>
              <w:bottom w:val="single" w:color="CCCCCC" w:sz="1"/>
              <w:right w:val="single" w:color="CCCCCC" w:sz="1"/>
            </w:tcBorders>
            <w:shd w:fill="D0F0D0" w:val="clear"/>
            <w:tcMar>
              <w:top w:type="dxa" w:w="100"/>
              <w:left w:type="dxa" w:w="120"/>
              <w:bottom w:type="dxa" w:w="100"/>
              <w:right w:type="dxa" w:w="120"/>
            </w:tcMar>
          </w:tcPr>
          <w:p>
            <w:pPr>
              <w:jc w:val="left"/>
            </w:pPr>
            <w:r>
              <w:rPr>
                <w:b w:val="false"/>
                <w:bCs w:val="false"/>
                <w:i w:val="false"/>
                <w:iCs w:val="false"/>
                <w:sz w:val="20"/>
                <w:szCs w:val="20"/>
              </w:rPr>
              <w:t xml:space="preserve">Strongest</w:t>
            </w:r>
          </w:p>
        </w:tc>
        <w:tc>
          <w:tcPr>
            <w:tcW w:type="dxa" w:w="4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Both accounts use identical mathematics; the data cannot discriminate.</w:t>
            </w:r>
          </w:p>
        </w:tc>
        <w:tc>
          <w:tcPr>
            <w:tcW w:type="dxa" w:w="5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Clock experiments exhibit ontological underdetermination: both temporal substantivalism and the material-oscillator account predict identical readings.</w:t>
            </w:r>
          </w:p>
        </w:tc>
      </w:tr>
      <w:tr>
        <w:tc>
          <w:tcPr>
            <w:tcW w:type="dxa" w:w="3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TLE results are independent empirical validation</w:t>
            </w:r>
          </w:p>
        </w:tc>
        <w:tc>
          <w:tcPr>
            <w:tcW w:type="dxa" w:w="1400"/>
            <w:tcBorders>
              <w:top w:val="single" w:color="CCCCCC" w:sz="1"/>
              <w:left w:val="single" w:color="CCCCCC" w:sz="1"/>
              <w:bottom w:val="single" w:color="CCCCCC" w:sz="1"/>
              <w:right w:val="single" w:color="CCCCCC" w:sz="1"/>
            </w:tcBorders>
            <w:shd w:fill="FFE8C0" w:val="clear"/>
            <w:tcMar>
              <w:top w:type="dxa" w:w="100"/>
              <w:left w:type="dxa" w:w="120"/>
              <w:bottom w:type="dxa" w:w="100"/>
              <w:right w:type="dxa" w:w="120"/>
            </w:tcMar>
          </w:tcPr>
          <w:p>
            <w:pPr>
              <w:jc w:val="left"/>
            </w:pPr>
            <w:r>
              <w:rPr>
                <w:b w:val="false"/>
                <w:bCs w:val="false"/>
                <w:i w:val="false"/>
                <w:iCs w:val="false"/>
                <w:sz w:val="20"/>
                <w:szCs w:val="20"/>
              </w:rPr>
              <w:t xml:space="preserve">Risky</w:t>
            </w:r>
          </w:p>
        </w:tc>
        <w:tc>
          <w:tcPr>
            <w:tcW w:type="dxa" w:w="4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TLE analysis uses orbital parameters and the standard formula, not raw telemetry.</w:t>
            </w:r>
          </w:p>
        </w:tc>
        <w:tc>
          <w:tcPr>
            <w:tcW w:type="dxa" w:w="5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A GPS TLE orbital-parameter application recovered a mean drift consistent with the theoretical prediction.</w:t>
            </w:r>
          </w:p>
        </w:tc>
      </w:tr>
      <w:tr>
        <w:tc>
          <w:tcPr>
            <w:tcW w:type="dxa" w:w="36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Species-dependent oscillator deviations in weak-field tests</w:t>
            </w:r>
          </w:p>
        </w:tc>
        <w:tc>
          <w:tcPr>
            <w:tcW w:type="dxa" w:w="1400"/>
            <w:tcBorders>
              <w:top w:val="single" w:color="CCCCCC" w:sz="1"/>
              <w:left w:val="single" w:color="CCCCCC" w:sz="1"/>
              <w:bottom w:val="single" w:color="CCCCCC" w:sz="1"/>
              <w:right w:val="single" w:color="CCCCCC" w:sz="1"/>
            </w:tcBorders>
            <w:shd w:fill="FFD0D0" w:val="clear"/>
            <w:tcMar>
              <w:top w:type="dxa" w:w="100"/>
              <w:left w:type="dxa" w:w="120"/>
              <w:bottom w:type="dxa" w:w="100"/>
              <w:right w:type="dxa" w:w="120"/>
            </w:tcMar>
          </w:tcPr>
          <w:p>
            <w:pPr>
              <w:jc w:val="left"/>
            </w:pPr>
            <w:r>
              <w:rPr>
                <w:b w:val="false"/>
                <w:bCs w:val="false"/>
                <w:i w:val="false"/>
                <w:iCs w:val="false"/>
                <w:sz w:val="20"/>
                <w:szCs w:val="20"/>
              </w:rPr>
              <w:t xml:space="preserve">Excluded</w:t>
            </w:r>
          </w:p>
        </w:tc>
        <w:tc>
          <w:tcPr>
            <w:tcW w:type="dxa" w:w="4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No WEP violation is predicted in weak-field regimes; this would require an independent derivation.</w:t>
            </w:r>
          </w:p>
        </w:tc>
        <w:tc>
          <w:tcPr>
            <w:tcW w:type="dxa" w:w="5200"/>
            <w:tcBorders>
              <w:top w:val="single" w:color="CCCCCC" w:sz="1"/>
              <w:left w:val="single" w:color="CCCCCC" w:sz="1"/>
              <w:bottom w:val="single" w:color="CCCCCC" w:sz="1"/>
              <w:right w:val="single" w:color="CCCCCC" w:sz="1"/>
            </w:tcBorders>
            <w:shd w:fill="FFFFFF" w:val="clear"/>
            <w:tcMar>
              <w:top w:type="dxa" w:w="100"/>
              <w:left w:type="dxa" w:w="120"/>
              <w:bottom w:type="dxa" w:w="100"/>
              <w:right w:type="dxa" w:w="120"/>
            </w:tcMar>
          </w:tcPr>
          <w:p>
            <w:pPr>
              <w:jc w:val="left"/>
            </w:pPr>
            <w:r>
              <w:rPr>
                <w:b w:val="false"/>
                <w:bCs w:val="false"/>
                <w:i w:val="false"/>
                <w:iCs w:val="false"/>
                <w:sz w:val="20"/>
                <w:szCs w:val="20"/>
              </w:rPr>
              <w:t xml:space="preserve">Retained only as a speculative strong-field future direction.</w:t>
            </w:r>
          </w:p>
        </w:tc>
      </w:tr>
    </w:tbl>
    <w:p>
      <w:pPr>
        <w:spacing w:after="320"/>
      </w:pPr>
      <w:r>
        <w:t xml:space="preserve"/>
      </w:r>
    </w:p>
    <w:p>
      <w:pPr>
        <w:sectPr>
          <w:pgSz w:w="16838" w:h="11906" w:orient="landscape"/>
          <w:pgMar w:top="1080" w:right="1080" w:bottom="1080" w:left="1080" w:header="708" w:footer="708" w:gutter="0"/>
          <w:pgNumType/>
          <w:docGrid w:linePitch="360"/>
        </w:sectPr>
      </w:pPr>
    </w:p>
    <w:p>
      <w:pPr>
        <w:pStyle w:val="Heading1"/>
        <w:spacing w:after="200" w:before="400"/>
      </w:pPr>
      <w:r>
        <w:rPr>
          <w:rFonts w:ascii="Arial" w:cs="Arial" w:eastAsia="Arial" w:hAnsi="Arial"/>
          <w:b/>
          <w:bCs/>
          <w:color w:val="1A3565"/>
          <w:sz w:val="28"/>
          <w:szCs w:val="28"/>
        </w:rPr>
        <w:t xml:space="preserve">Declarations</w:t>
      </w:r>
    </w:p>
    <w:p>
      <w:pPr>
        <w:spacing w:after="120"/>
      </w:pPr>
      <w:r>
        <w:t xml:space="preserve">Funding. This research received no external funding.</w:t>
      </w:r>
    </w:p>
    <w:p>
      <w:pPr>
        <w:spacing w:after="120"/>
      </w:pPr>
      <w:r>
        <w:t xml:space="preserve">Conflicts of Interest. The author declares no competing financial, professional, or institutional interests.</w:t>
      </w:r>
    </w:p>
    <w:p>
      <w:pPr>
        <w:spacing w:after="120"/>
      </w:pPr>
      <w:r>
        <w:t xml:space="preserve">Ethical Approval. Not applicable. This study is theoretical and computational; it does not involve human participants, animals, or personal data.</w:t>
      </w:r>
    </w:p>
    <w:p>
      <w:pPr>
        <w:spacing w:after="120"/>
      </w:pPr>
      <w:r>
        <w:t xml:space="preserve">Data and Code Availability. Computational notebooks and final results archives are provided as supplementary materials S1–S3, including CSV tables, plots, manifests, and interpretation summaries.</w:t>
      </w:r>
    </w:p>
    <w:p>
      <w:pPr>
        <w:spacing w:after="200"/>
      </w:pPr>
      <w:r>
        <w:t xml:space="preserve">AI Assistance. AI tools were used for language refinement, code assistance, and editorial review. All theoretical claims, interpretations, and final scientific responsibility remain with the author.</w:t>
      </w:r>
    </w:p>
    <w:p>
      <w:pPr>
        <w:pBdr>
          <w:bottom w:val="single" w:color="2E4D7B" w:sz="6" w:space="1"/>
        </w:pBdr>
        <w:spacing w:after="200" w:before="200"/>
      </w:pPr>
    </w:p>
    <w:p>
      <w:pPr>
        <w:pStyle w:val="Heading1"/>
        <w:spacing w:after="200" w:before="400"/>
      </w:pPr>
      <w:r>
        <w:rPr>
          <w:rFonts w:ascii="Arial" w:cs="Arial" w:eastAsia="Arial" w:hAnsi="Arial"/>
          <w:b/>
          <w:bCs/>
          <w:color w:val="1A3565"/>
          <w:sz w:val="28"/>
          <w:szCs w:val="28"/>
        </w:rPr>
        <w:t xml:space="preserve">References</w:t>
      </w:r>
    </w:p>
    <w:p>
      <w:pPr>
        <w:spacing w:after="80"/>
        <w:ind w:left="360" w:hanging="360"/>
      </w:pPr>
      <w:r>
        <w:rPr>
          <w:sz w:val="22"/>
          <w:szCs w:val="22"/>
        </w:rPr>
        <w:t xml:space="preserve">[1]  Ashby, N. (2003). Relativity in the Global Positioning System. Living Reviews in Relativity, 6(1), 1.</w:t>
      </w:r>
    </w:p>
    <w:p>
      <w:pPr>
        <w:spacing w:after="80"/>
        <w:ind w:left="360" w:hanging="360"/>
      </w:pPr>
      <w:r>
        <w:rPr>
          <w:sz w:val="22"/>
          <w:szCs w:val="22"/>
        </w:rPr>
        <w:t xml:space="preserve">[2]  Barbour, J. (1999). The End of Time: The Next Revolution in Physics. Oxford University Press.</w:t>
      </w:r>
    </w:p>
    <w:p>
      <w:pPr>
        <w:spacing w:after="80"/>
        <w:ind w:left="360" w:hanging="360"/>
      </w:pPr>
      <w:r>
        <w:rPr>
          <w:sz w:val="22"/>
          <w:szCs w:val="22"/>
        </w:rPr>
        <w:t xml:space="preserve">[3]  Bridgman, P.W. (1927). The Logic of Modern Physics. Macmillan.</w:t>
      </w:r>
    </w:p>
    <w:p>
      <w:pPr>
        <w:spacing w:after="80"/>
        <w:ind w:left="360" w:hanging="360"/>
      </w:pPr>
      <w:r>
        <w:rPr>
          <w:sz w:val="22"/>
          <w:szCs w:val="22"/>
        </w:rPr>
        <w:t xml:space="preserve">[4]  Chou, C.W., Hume, D.B., Rosenband, T., &amp; Wineland, D.J. (2010). Optical clocks and relativity. Science, 329(5999), 1630–1633.</w:t>
      </w:r>
    </w:p>
    <w:p>
      <w:pPr>
        <w:spacing w:after="80"/>
        <w:ind w:left="360" w:hanging="360"/>
      </w:pPr>
      <w:r>
        <w:rPr>
          <w:sz w:val="22"/>
          <w:szCs w:val="22"/>
        </w:rPr>
        <w:t xml:space="preserve">[5]  Earman, J. (1989). World Enough and Space-Time. MIT Press.</w:t>
      </w:r>
    </w:p>
    <w:p>
      <w:pPr>
        <w:spacing w:after="80"/>
        <w:ind w:left="360" w:hanging="360"/>
      </w:pPr>
      <w:r>
        <w:rPr>
          <w:sz w:val="22"/>
          <w:szCs w:val="22"/>
        </w:rPr>
        <w:t xml:space="preserve">[6]  Hafele, J.C., &amp; Keating, R.E. (1972a). Around-the-world atomic clocks: Predicted relativistic time gains. Science, 177(4044), 166–168.</w:t>
      </w:r>
    </w:p>
    <w:p>
      <w:pPr>
        <w:spacing w:after="80"/>
        <w:ind w:left="360" w:hanging="360"/>
      </w:pPr>
      <w:r>
        <w:rPr>
          <w:sz w:val="22"/>
          <w:szCs w:val="22"/>
        </w:rPr>
        <w:t xml:space="preserve">[7]  Hafele, J.C., &amp; Keating, R.E. (1972b). Around-the-world atomic clocks: Observed relativistic time gains. Science, 177(4044), 168–170.</w:t>
      </w:r>
    </w:p>
    <w:p>
      <w:pPr>
        <w:spacing w:after="80"/>
        <w:ind w:left="360" w:hanging="360"/>
      </w:pPr>
      <w:r>
        <w:rPr>
          <w:sz w:val="22"/>
          <w:szCs w:val="22"/>
        </w:rPr>
        <w:t xml:space="preserve">[8]  Khan, A.U.H. (2026a). Before Time: Continuity as the True Carrier of Change. AURA-X Ω Research Cell.</w:t>
      </w:r>
    </w:p>
    <w:p>
      <w:pPr>
        <w:spacing w:after="80"/>
        <w:ind w:left="360" w:hanging="360"/>
      </w:pPr>
      <w:r>
        <w:rPr>
          <w:sz w:val="22"/>
          <w:szCs w:val="22"/>
        </w:rPr>
        <w:t xml:space="preserve">[9]  Maudlin, T. (2012). Philosophy of Physics: Space and Time. Princeton University Press.</w:t>
      </w:r>
    </w:p>
    <w:p>
      <w:pPr>
        <w:spacing w:after="80"/>
        <w:ind w:left="360" w:hanging="360"/>
      </w:pPr>
      <w:r>
        <w:rPr>
          <w:sz w:val="22"/>
          <w:szCs w:val="22"/>
        </w:rPr>
        <w:t xml:space="preserve">[10] Pound, R.V., &amp; Rebka, G.A. (1959). Gravitational red-shift in nuclear resonance. Physical Review Letters, 3(9), 439–441.</w:t>
      </w:r>
    </w:p>
    <w:p>
      <w:pPr>
        <w:spacing w:after="80"/>
        <w:ind w:left="360" w:hanging="360"/>
      </w:pPr>
      <w:r>
        <w:rPr>
          <w:sz w:val="22"/>
          <w:szCs w:val="22"/>
        </w:rPr>
        <w:t xml:space="preserve">[11] Reichenbach, H. (1958). The Philosophy of Space and Time. Dover Publications.</w:t>
      </w:r>
    </w:p>
    <w:p>
      <w:pPr>
        <w:spacing w:after="80"/>
        <w:ind w:left="360" w:hanging="360"/>
      </w:pPr>
      <w:r>
        <w:rPr>
          <w:sz w:val="22"/>
          <w:szCs w:val="22"/>
        </w:rPr>
        <w:t xml:space="preserve">[12] Rovelli, C. (2004). Quantum Gravity. Cambridge University Press.</w:t>
      </w:r>
    </w:p>
    <w:p>
      <w:pPr>
        <w:spacing w:after="80"/>
        <w:ind w:left="360" w:hanging="360"/>
      </w:pPr>
      <w:r>
        <w:rPr>
          <w:sz w:val="22"/>
          <w:szCs w:val="22"/>
        </w:rPr>
        <w:t xml:space="preserve">[13] Rovelli, C. (2018). The Order of Time. Riverhead Books.</w:t>
      </w:r>
    </w:p>
    <w:p>
      <w:pPr>
        <w:spacing w:after="80"/>
        <w:ind w:left="360" w:hanging="360"/>
      </w:pPr>
      <w:r>
        <w:rPr>
          <w:sz w:val="22"/>
          <w:szCs w:val="22"/>
        </w:rPr>
        <w:t xml:space="preserve">[14] Will, C.M. (2014). The confrontation between general relativity and experiment. Living Reviews in Relativity, 17(1), 4.</w:t>
      </w:r>
    </w:p>
    <w:p>
      <w:pPr>
        <w:spacing w:after="80"/>
        <w:ind w:left="360" w:hanging="360"/>
      </w:pPr>
      <w:r>
        <w:rPr>
          <w:sz w:val="22"/>
          <w:szCs w:val="22"/>
        </w:rPr>
        <w:t xml:space="preserve">[15] Mach, E. (1883). The Science of Mechanics. [Trans. T.J. McCormack]. Open Court, 1893.</w:t>
      </w:r>
    </w:p>
    <w:p>
      <w:pPr>
        <w:spacing w:after="80"/>
        <w:ind w:left="360" w:hanging="360"/>
      </w:pPr>
      <w:r>
        <w:rPr>
          <w:sz w:val="22"/>
          <w:szCs w:val="22"/>
        </w:rPr>
        <w:t xml:space="preserve">[16] Poincaré, H. (1898). The measure of time. Revue de Métaphysique et de Morale, 6, 1–13.</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00"/>
      <w:outlineLvl w:val="0"/>
    </w:pPr>
    <w:rPr>
      <w:rFonts w:ascii="Arial" w:cs="Arial" w:eastAsia="Arial" w:hAnsi="Arial"/>
      <w:b/>
      <w:bCs/>
      <w:color w:val="1A3565"/>
      <w:sz w:val="28"/>
      <w:szCs w:val="28"/>
    </w:rPr>
  </w:style>
  <w:style w:type="paragraph" w:styleId="Heading2">
    <w:name w:val="Heading 2"/>
    <w:basedOn w:val="Normal"/>
    <w:next w:val="Normal"/>
    <w:qFormat/>
    <w:pPr>
      <w:spacing w:after="160" w:before="300"/>
      <w:outlineLvl w:val="1"/>
    </w:pPr>
    <w:rPr>
      <w:rFonts w:ascii="Arial" w:cs="Arial" w:eastAsia="Arial" w:hAnsi="Arial"/>
      <w:b/>
      <w:bCs/>
      <w:color w:val="2E4D7B"/>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2026-06-03T10:43:12.719Z</dcterms:created>
  <dcterms:modified xsi:type="dcterms:W3CDTF">2026-06-03T10:43:12.735Z</dcterms:modified>
</cp:coreProperties>
</file>

<file path=docProps/custom.xml><?xml version="1.0" encoding="utf-8"?>
<Properties xmlns="http://schemas.openxmlformats.org/officeDocument/2006/custom-properties" xmlns:vt="http://schemas.openxmlformats.org/officeDocument/2006/docPropsVTypes"/>
</file>