
<file path=[Content_Types].xml><?xml version="1.0" encoding="utf-8"?>
<Types xmlns="http://schemas.openxmlformats.org/package/2006/content-types">
  <Default Extension="fntdata" ContentType="application/x-fontdata"/>
  <Default Extension="jpeg" ContentType="image/jpeg"/>
  <Default Extension="png" ContentType="image/png"/>
  <Default Extension="rels" ContentType="application/vnd.openxmlformats-package.relationships+xml"/>
  <Default Extension="xml" ContentType="application/xml"/>
  <Override PartName="/word/header3.xml" ContentType="application/vnd.openxmlformats-officedocument.wordprocessingml.header+xml"/>
  <Override PartName="/word/styles.xml" ContentType="application/vnd.openxmlformats-officedocument.wordprocessingml.styles+xml"/>
  <Override PartName="/word/footer1.xml" ContentType="application/vnd.openxmlformats-officedocument.wordprocessingml.footer+xml"/>
  <Override PartName="/word/document.xml" ContentType="application/vnd.openxmlformats-officedocument.wordprocessingml.document.main+xml"/>
  <Override PartName="/word/header2.xml" ContentType="application/vnd.openxmlformats-officedocument.wordprocessingml.header+xml"/>
  <Override PartName="/word/numbering.xml" ContentType="application/vnd.openxmlformats-officedocument.wordprocessingml.numbering+xml"/>
  <Override PartName="/word/header1.xml" ContentType="application/vnd.openxmlformats-officedocument.wordprocessingml.header+xml"/>
  <Override PartName="/word/footer3.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before="0" w:after="120"/>
        <w:jc w:val="center"/>
        <w:rPr/>
      </w:pPr>
      <w:r>
        <w:rPr>
          <w:rFonts w:eastAsia="Arial" w:cs="Arial" w:ascii="Arial" w:hAnsi="Arial"/>
          <w:b/>
          <w:bCs/>
          <w:sz w:val="32"/>
          <w:szCs w:val="32"/>
        </w:rPr>
        <w:t>Observational Characterization of Self-Reported SR-17018 Exposure and Outcomes in Individuals With Prior Opioid Use Histories</w:t>
      </w:r>
    </w:p>
    <w:p>
      <w:pPr>
        <w:pStyle w:val="Normal"/>
        <w:spacing w:before="0" w:after="80"/>
        <w:jc w:val="center"/>
        <w:rPr/>
      </w:pPr>
      <w:r>
        <w:rPr>
          <w:rFonts w:eastAsia="Times New Roman" w:cs="Times New Roman"/>
          <w:b/>
          <w:bCs/>
          <w:i w:val="false"/>
          <w:iCs w:val="false"/>
          <w:sz w:val="24"/>
          <w:szCs w:val="24"/>
        </w:rPr>
        <w:t>Mark Picard</w:t>
      </w:r>
    </w:p>
    <w:p>
      <w:pPr>
        <w:pStyle w:val="Normal"/>
        <w:spacing w:before="0" w:after="80"/>
        <w:jc w:val="center"/>
        <w:rPr>
          <w:rFonts w:ascii="Times New Roman" w:hAnsi="Times New Roman" w:eastAsia="Times New Roman" w:cs="Times New Roman"/>
          <w:b w:val="false"/>
          <w:bCs w:val="false"/>
          <w:i w:val="false"/>
          <w:iCs w:val="false"/>
          <w:sz w:val="24"/>
          <w:szCs w:val="24"/>
        </w:rPr>
      </w:pPr>
      <w:r>
        <w:rPr>
          <w:rFonts w:eastAsia="Times New Roman" w:cs="Times New Roman"/>
          <w:b w:val="false"/>
          <w:bCs w:val="false"/>
          <w:i w:val="false"/>
          <w:iCs w:val="false"/>
          <w:sz w:val="24"/>
          <w:szCs w:val="24"/>
        </w:rPr>
        <w:t>Independent Researcher, Denver, Colorado, USA</w:t>
      </w:r>
    </w:p>
    <w:p>
      <w:pPr>
        <w:pStyle w:val="Normal"/>
        <w:spacing w:before="0" w:after="80"/>
        <w:jc w:val="center"/>
        <w:rPr/>
      </w:pPr>
      <w:hyperlink r:id="rId2">
        <w:r>
          <w:rPr>
            <w:rStyle w:val="Hyperlink"/>
            <w:rFonts w:eastAsia="Times New Roman" w:cs="Times New Roman"/>
            <w:sz w:val="24"/>
            <w:szCs w:val="24"/>
          </w:rPr>
          <w:t>ORCID: 0009-0004-5138-0637</w:t>
        </w:r>
      </w:hyperlink>
    </w:p>
    <w:p>
      <w:pPr>
        <w:pStyle w:val="Normal"/>
        <w:spacing w:before="0" w:after="80"/>
        <w:jc w:val="center"/>
        <w:rPr/>
      </w:pPr>
      <w:r>
        <w:rPr>
          <w:rFonts w:eastAsia="Times New Roman" w:cs="Times New Roman"/>
          <w:b w:val="false"/>
          <w:bCs w:val="false"/>
          <w:i w:val="false"/>
          <w:iCs w:val="false"/>
          <w:sz w:val="24"/>
          <w:szCs w:val="24"/>
        </w:rPr>
        <w:t>Email: mark@sr17018study.com</w:t>
      </w:r>
    </w:p>
    <w:p>
      <w:pPr>
        <w:pStyle w:val="Normal"/>
        <w:spacing w:before="0" w:after="80"/>
        <w:jc w:val="center"/>
        <w:rPr>
          <w:rFonts w:ascii="Times New Roman" w:hAnsi="Times New Roman" w:eastAsia="Times New Roman" w:cs="Times New Roman"/>
          <w:b w:val="false"/>
          <w:bCs w:val="false"/>
          <w:i w:val="false"/>
          <w:iCs w:val="false"/>
          <w:sz w:val="24"/>
          <w:szCs w:val="24"/>
        </w:rPr>
      </w:pPr>
      <w:r>
        <w:rPr>
          <w:rFonts w:eastAsia="Times New Roman" w:cs="Times New Roman"/>
          <w:b w:val="false"/>
          <w:bCs w:val="false"/>
          <w:i w:val="false"/>
          <w:iCs w:val="false"/>
          <w:sz w:val="24"/>
          <w:szCs w:val="24"/>
        </w:rPr>
        <w:t>Version 3.0 | N = 55 | May 2026</w:t>
      </w:r>
    </w:p>
    <w:p>
      <w:pPr>
        <w:pStyle w:val="Normal"/>
        <w:spacing w:before="0" w:after="80"/>
        <w:jc w:val="center"/>
        <w:rPr>
          <w:rFonts w:ascii="Times New Roman" w:hAnsi="Times New Roman" w:eastAsia="Times New Roman" w:cs="Times New Roman"/>
          <w:b w:val="false"/>
          <w:bCs w:val="false"/>
          <w:i w:val="false"/>
          <w:iCs w:val="false"/>
          <w:sz w:val="24"/>
          <w:szCs w:val="24"/>
        </w:rPr>
      </w:pPr>
      <w:r>
        <w:rPr>
          <w:rFonts w:eastAsia="Times New Roman" w:cs="Times New Roman" w:ascii="Times New Roman" w:hAnsi="Times New Roman"/>
          <w:b w:val="false"/>
          <w:bCs w:val="false"/>
          <w:i w:val="false"/>
          <w:iCs w:val="false"/>
          <w:caps w:val="false"/>
          <w:smallCaps w:val="false"/>
          <w:color w:val="000000"/>
          <w:spacing w:val="0"/>
          <w:sz w:val="24"/>
          <w:szCs w:val="24"/>
          <w14:textFill>
            <w14:solidFill>
              <w14:srgbClr w14:val="000000">
                <w14:alpha w14:val="13000"/>
              </w14:srgbClr>
            </w14:solidFill>
          </w14:textFill>
        </w:rPr>
        <w:t xml:space="preserve">DOI: </w:t>
      </w:r>
      <w:r>
        <w:rPr>
          <w:rFonts w:eastAsia="Times New Roman" w:cs="Times New Roman" w:ascii="Times New Roman" w:hAnsi="Times New Roman"/>
          <w:b w:val="false"/>
          <w:bCs w:val="false"/>
          <w:i w:val="false"/>
          <w:iCs w:val="false"/>
          <w:caps w:val="false"/>
          <w:smallCaps w:val="false"/>
          <w:color w:val="000000"/>
          <w:spacing w:val="0"/>
          <w:sz w:val="24"/>
          <w:szCs w:val="24"/>
          <w14:textFill>
            <w14:solidFill>
              <w14:srgbClr w14:val="000000">
                <w14:alpha w14:val="13000"/>
              </w14:srgbClr>
            </w14:solidFill>
          </w14:textFill>
        </w:rPr>
        <w:t>10.5281/zenodo.20525155</w:t>
      </w:r>
      <w:r>
        <w:rPr>
          <w:rFonts w:eastAsia="Times New Roman" w:cs="Times New Roman" w:ascii="Times New Roman" w:hAnsi="Times New Roman"/>
          <w:b w:val="false"/>
          <w:bCs w:val="false"/>
          <w:i w:val="false"/>
          <w:iCs w:val="false"/>
          <w:sz w:val="24"/>
          <w:szCs w:val="24"/>
        </w:rPr>
        <w:t xml:space="preserve"> </w:t>
      </w:r>
    </w:p>
    <w:p>
      <w:pPr>
        <w:pStyle w:val="Normal"/>
        <w:spacing w:before="0" w:after="200"/>
        <w:jc w:val="center"/>
        <w:rPr>
          <w:rFonts w:ascii="Times New Roman" w:hAnsi="Times New Roman" w:eastAsia="Times New Roman" w:cs="Times New Roman"/>
          <w:b w:val="false"/>
          <w:bCs w:val="false"/>
          <w:i w:val="false"/>
          <w:iCs w:val="false"/>
          <w:sz w:val="24"/>
          <w:szCs w:val="24"/>
        </w:rPr>
      </w:pPr>
      <w:r>
        <w:rPr>
          <w:rFonts w:eastAsia="Times New Roman" w:cs="Times New Roman"/>
          <w:b w:val="false"/>
          <w:bCs w:val="false"/>
          <w:i w:val="false"/>
          <w:iCs w:val="false"/>
          <w:sz w:val="24"/>
          <w:szCs w:val="24"/>
        </w:rPr>
        <w:t>Submitted to Frontiers in Pharmacology</w:t>
      </w:r>
    </w:p>
    <w:p>
      <w:pPr>
        <w:pStyle w:val="Normal"/>
        <w:pBdr>
          <w:bottom w:val="single" w:sz="4" w:space="1" w:color="999999"/>
        </w:pBdr>
        <w:spacing w:before="0" w:after="80"/>
        <w:rPr/>
      </w:pPr>
      <w:r>
        <w:rPr/>
      </w:r>
    </w:p>
    <w:p>
      <w:pPr>
        <w:pStyle w:val="Normal"/>
        <w:spacing w:before="0" w:after="160"/>
        <w:rPr/>
      </w:pPr>
      <w:r>
        <w:rPr/>
      </w:r>
    </w:p>
    <w:p>
      <w:pPr>
        <w:pStyle w:val="Normal"/>
        <w:spacing w:before="0" w:after="80"/>
        <w:rPr/>
      </w:pPr>
      <w:r>
        <w:rPr>
          <w:rFonts w:eastAsia="Times New Roman" w:cs="Times New Roman"/>
          <w:b/>
          <w:bCs/>
          <w:i w:val="false"/>
          <w:iCs w:val="false"/>
          <w:sz w:val="24"/>
          <w:szCs w:val="24"/>
        </w:rPr>
        <w:t xml:space="preserve">Keywords: </w:t>
      </w:r>
      <w:r>
        <w:rPr>
          <w:rFonts w:eastAsia="Times New Roman" w:cs="Times New Roman"/>
          <w:b w:val="false"/>
          <w:bCs w:val="false"/>
          <w:i w:val="false"/>
          <w:iCs w:val="false"/>
          <w:sz w:val="24"/>
          <w:szCs w:val="24"/>
        </w:rPr>
        <w:t>SR-17018; opioid withdrawal; harm reduction; observational study; μ-opioid receptor; biased agonism; opioid dependence</w:t>
      </w:r>
    </w:p>
    <w:p>
      <w:pPr>
        <w:pStyle w:val="Normal"/>
        <w:spacing w:before="0" w:after="80"/>
        <w:rPr/>
      </w:pPr>
      <w:r>
        <w:rPr>
          <w:rFonts w:eastAsia="Times New Roman" w:cs="Times New Roman"/>
          <w:b/>
          <w:bCs/>
          <w:i w:val="false"/>
          <w:iCs w:val="false"/>
          <w:sz w:val="24"/>
          <w:szCs w:val="24"/>
        </w:rPr>
        <w:t xml:space="preserve">Conflict of Interest: </w:t>
      </w:r>
      <w:r>
        <w:rPr>
          <w:rFonts w:eastAsia="Times New Roman" w:cs="Times New Roman"/>
          <w:b w:val="false"/>
          <w:bCs w:val="false"/>
          <w:i w:val="false"/>
          <w:iCs w:val="false"/>
          <w:sz w:val="24"/>
          <w:szCs w:val="24"/>
        </w:rPr>
        <w:t>The author reports no commercial or financial relationships related to SR-17018 at the time of submission.</w:t>
      </w:r>
    </w:p>
    <w:p>
      <w:pPr>
        <w:pStyle w:val="Normal"/>
        <w:spacing w:before="0" w:after="200"/>
        <w:rPr/>
      </w:pPr>
      <w:r>
        <w:rPr>
          <w:rFonts w:eastAsia="Times New Roman" w:cs="Times New Roman"/>
          <w:b/>
          <w:bCs/>
          <w:i w:val="false"/>
          <w:iCs w:val="false"/>
          <w:sz w:val="24"/>
          <w:szCs w:val="24"/>
        </w:rPr>
        <w:t xml:space="preserve">Ethical Statement: </w:t>
      </w:r>
      <w:r>
        <w:rPr>
          <w:rFonts w:eastAsia="Times New Roman" w:cs="Times New Roman"/>
          <w:b w:val="false"/>
          <w:bCs w:val="false"/>
          <w:i w:val="false"/>
          <w:iCs w:val="false"/>
          <w:sz w:val="24"/>
          <w:szCs w:val="24"/>
        </w:rPr>
        <w:t>This study involved anonymous, voluntary self-reported survey responses. No personally identifying information was collected.</w:t>
      </w:r>
    </w:p>
    <w:p>
      <w:pPr>
        <w:pStyle w:val="Normal"/>
        <w:pBdr>
          <w:bottom w:val="single" w:sz="4" w:space="1" w:color="999999"/>
        </w:pBdr>
        <w:spacing w:before="0" w:after="80"/>
        <w:rPr/>
      </w:pPr>
      <w:r>
        <w:rPr/>
      </w:r>
    </w:p>
    <w:p>
      <w:pPr>
        <w:pStyle w:val="Normal"/>
        <w:spacing w:before="0" w:after="160"/>
        <w:rPr/>
      </w:pPr>
      <w:r>
        <w:rPr/>
      </w:r>
    </w:p>
    <w:p>
      <w:pPr>
        <w:pStyle w:val="Heading1"/>
        <w:spacing w:before="320" w:after="160"/>
        <w:rPr/>
      </w:pPr>
      <w:r>
        <w:rPr>
          <w:rFonts w:eastAsia="Arial" w:cs="Arial" w:ascii="Arial" w:hAnsi="Arial"/>
          <w:b/>
          <w:bCs/>
          <w:color w:val="1F4E79"/>
          <w:sz w:val="26"/>
          <w:szCs w:val="26"/>
        </w:rPr>
        <w:t>Abstract</w:t>
      </w:r>
    </w:p>
    <w:p>
      <w:pPr>
        <w:pStyle w:val="Normal"/>
        <w:spacing w:lineRule="auto" w:line="276" w:before="0" w:after="160"/>
        <w:rPr/>
      </w:pPr>
      <w:r>
        <w:rPr>
          <w:rFonts w:eastAsia="Times New Roman" w:cs="Times New Roman"/>
          <w:b w:val="false"/>
          <w:bCs w:val="false"/>
          <w:i w:val="false"/>
          <w:iCs w:val="false"/>
          <w:sz w:val="24"/>
          <w:szCs w:val="24"/>
        </w:rPr>
        <w:t>Opioid withdrawal remains a significant barrier to cessation, particularly in treatment-experienced populations who have made repeated unsuccessful attempts using established pharmacotherapies. SR-17018 is a μ-opioid receptor agonist with atypical signaling properties characterized in preclinical studies, including reduced β-arrestin2 recruitment and altered receptor regulatory dynamics relative to conventional opioids. Whether these properties translate into clinically meaningful differences in humans remains unknown.</w:t>
      </w:r>
    </w:p>
    <w:p>
      <w:pPr>
        <w:pStyle w:val="Normal"/>
        <w:spacing w:lineRule="auto" w:line="276" w:before="0" w:after="160"/>
        <w:rPr/>
      </w:pPr>
      <w:r>
        <w:rPr>
          <w:rFonts w:eastAsia="Times New Roman" w:cs="Times New Roman"/>
          <w:b w:val="false"/>
          <w:bCs w:val="false"/>
          <w:i w:val="false"/>
          <w:iCs w:val="false"/>
          <w:sz w:val="24"/>
          <w:szCs w:val="24"/>
        </w:rPr>
        <w:t>This report presents a descriptive analysis of a self-reported observational registry (N = 55) characterizing SR-17018 exposure patterns, perceived outcomes, and adverse effects in individuals with prior opioid use histories. Participants represented a heterogeneous population with varied prior substance exposure, including kratom-derived 7-hydroxymitragynine products, fentanyl-associated street opioids, buprenorphine, methadone, oxycodone, heroin, and research chemical opioids. The majority of participants (69.1%) reported three or more prior detoxification attempts using other methods, characterizing the cohort as treatment-experienced and refractory.</w:t>
      </w:r>
    </w:p>
    <w:p>
      <w:pPr>
        <w:pStyle w:val="Normal"/>
        <w:spacing w:lineRule="auto" w:line="276" w:before="0" w:after="160"/>
        <w:rPr/>
      </w:pPr>
      <w:r>
        <w:rPr>
          <w:rFonts w:eastAsia="Times New Roman" w:cs="Times New Roman"/>
          <w:b w:val="false"/>
          <w:bCs w:val="false"/>
          <w:i w:val="false"/>
          <w:iCs w:val="false"/>
          <w:sz w:val="24"/>
          <w:szCs w:val="24"/>
        </w:rPr>
        <w:t>54.5% of participants reported full cessation of opioid use during SR-17018 exposure and 32.7% reported meaningful reduction in use. Smaller proportions reported no change (5.5%) or relapse (7.3%). Collectively, 87.3% reported some form of improvement. These outcomes are self-reported and were not independently verified.</w:t>
      </w:r>
    </w:p>
    <w:p>
      <w:pPr>
        <w:pStyle w:val="Normal"/>
        <w:spacing w:lineRule="auto" w:line="276" w:before="0" w:after="160"/>
        <w:rPr/>
      </w:pPr>
      <w:r>
        <w:rPr>
          <w:rFonts w:eastAsia="Times New Roman" w:cs="Times New Roman"/>
          <w:b w:val="false"/>
          <w:bCs w:val="false"/>
          <w:i w:val="false"/>
          <w:iCs w:val="false"/>
          <w:sz w:val="24"/>
          <w:szCs w:val="24"/>
        </w:rPr>
        <w:t>Most participants reported dosing SR-17018 three or more times daily (76.4%), with perceived effects lasting approximately 4–8 hours per dose (54.5%). Continued use following opioid discontinuation most commonly lasted 1–2 weeks (34.5%) or 4–7 days (23.6%). Participants reported a mean withdrawal relief score of 8.20/10, with 90.9% rating relief at 7 or higher. Mean craving reduction was 6.93/10. Adverse effects were reported as predominantly mild to moderate in severity and included anxiety, sweating, sedation, insomnia, and gastrointestinal symptoms. A minority of respondents (7.3%) reported subjective breathing-related concerns; only one participant (1.8%) reported discontinuing SR-17018 due to adverse effects.</w:t>
      </w:r>
    </w:p>
    <w:p>
      <w:pPr>
        <w:pStyle w:val="Normal"/>
        <w:spacing w:lineRule="auto" w:line="276" w:before="0" w:after="160"/>
        <w:rPr/>
      </w:pPr>
      <w:r>
        <w:rPr>
          <w:rFonts w:eastAsia="Times New Roman" w:cs="Times New Roman"/>
          <w:b w:val="false"/>
          <w:bCs w:val="false"/>
          <w:i w:val="false"/>
          <w:iCs w:val="false"/>
          <w:sz w:val="24"/>
          <w:szCs w:val="24"/>
        </w:rPr>
        <w:t>These findings provide preliminary descriptive data characterizing real-world SR-17018 exposure patterns in a treatment-experienced population. The uncontrolled, self-reported, cross-sectional design substantially limits interpretation. No conclusions regarding efficacy, safety, or clinical applicability can be drawn. Controlled human studies are required to evaluate the pharmacokinetics, tolerability, misuse potential, and clinical relevance of SR-17018 and related atypical μ-opioid receptor agonists.</w:t>
      </w:r>
    </w:p>
    <w:p>
      <w:pPr>
        <w:pStyle w:val="Normal"/>
        <w:spacing w:before="0" w:after="160"/>
        <w:rPr/>
      </w:pPr>
      <w:r>
        <w:rPr/>
      </w:r>
    </w:p>
    <w:p>
      <w:pPr>
        <w:pStyle w:val="Heading1"/>
        <w:spacing w:before="320" w:after="160"/>
        <w:rPr/>
      </w:pPr>
      <w:r>
        <w:rPr>
          <w:rFonts w:eastAsia="Arial" w:cs="Arial" w:ascii="Arial" w:hAnsi="Arial"/>
          <w:b/>
          <w:bCs/>
          <w:color w:val="1F4E79"/>
          <w:sz w:val="26"/>
          <w:szCs w:val="26"/>
        </w:rPr>
        <w:t>1. Introduction</w:t>
      </w:r>
    </w:p>
    <w:p>
      <w:pPr>
        <w:pStyle w:val="Normal"/>
        <w:spacing w:lineRule="auto" w:line="276" w:before="0" w:after="160"/>
        <w:rPr/>
      </w:pPr>
      <w:r>
        <w:rPr>
          <w:rFonts w:eastAsia="Times New Roman" w:cs="Times New Roman"/>
          <w:b w:val="false"/>
          <w:bCs w:val="false"/>
          <w:i w:val="false"/>
          <w:iCs w:val="false"/>
          <w:sz w:val="24"/>
          <w:szCs w:val="24"/>
        </w:rPr>
        <w:t>Opioid dependence remains a leading driver of overdose mortality and treatment burden, particularly in the context of high-potency synthetic opioids that have accelerated the complexity and severity of dependence presentations. Established pharmacotherapies — principally methadone and buprenorphine — provide effective stabilization for many individuals through sustained μ-opioid receptor (MOR) activation; however, they require long-term maintenance or gradual tapering, and a substantial proportion of treatment-seeking individuals experience repeated relapse during or following cessation attempts [1,2]. This treatment-refractory population represents a persistent clinical challenge, and there is ongoing interest in identifying pharmacological approaches that may alter withdrawal trajectories or support cessation in individuals who have not responded to existing options.</w:t>
      </w:r>
    </w:p>
    <w:p>
      <w:pPr>
        <w:pStyle w:val="Normal"/>
        <w:spacing w:lineRule="auto" w:line="276" w:before="0" w:after="160"/>
        <w:rPr/>
      </w:pPr>
      <w:r>
        <w:rPr>
          <w:rFonts w:eastAsia="Times New Roman" w:cs="Times New Roman"/>
          <w:b w:val="false"/>
          <w:bCs w:val="false"/>
          <w:i w:val="false"/>
          <w:iCs w:val="false"/>
          <w:sz w:val="24"/>
          <w:szCs w:val="24"/>
        </w:rPr>
        <w:t>One area of emerging interest involves biased or functionally selective MOR agonists — ligands that differentially engage downstream intracellular signaling pathways relative to conventional opioids [3,4]. The translational hypothesis underlying this framework is that ligands capable of dissociating G protein activation from β-arrestin2 recruitment may exhibit altered profiles of tolerance development, withdrawal severity, and adverse effects. However, this hypothesis has not been consistently validated in clinical contexts. Prior investigations involving atypical MOR agonists have demonstrated that preclinical signaling differences do not reliably predict improved clinical outcomes, and factors including intrinsic efficacy, receptor regulation, and pharmacokinetics substantially influence real-world drug behavior beyond simplified models of biased agonism.</w:t>
      </w:r>
    </w:p>
    <w:p>
      <w:pPr>
        <w:pStyle w:val="Normal"/>
        <w:spacing w:lineRule="auto" w:line="276" w:before="0" w:after="160"/>
        <w:rPr/>
      </w:pPr>
      <w:r>
        <w:rPr>
          <w:rFonts w:eastAsia="Times New Roman" w:cs="Times New Roman"/>
          <w:b w:val="false"/>
          <w:bCs w:val="false"/>
          <w:i w:val="false"/>
          <w:iCs w:val="false"/>
          <w:sz w:val="24"/>
          <w:szCs w:val="24"/>
        </w:rPr>
        <w:t>SR-17018 is a MOR agonist that has been characterized preclinically as exhibiting low intrinsic efficacy for G protein activation and reduced β-arrestin2 recruitment relative to high-efficacy conventional opioids [5,6]. In animal models, these properties have been associated with context-dependent differences in tolerance development, antinociceptive responses, and withdrawal-related outcomes. Whether these properties translate into meaningful differences in human opioid dependence or withdrawal is not known, and no controlled clinical studies exist evaluating SR-17018 in human populations.</w:t>
      </w:r>
    </w:p>
    <w:p>
      <w:pPr>
        <w:pStyle w:val="Normal"/>
        <w:spacing w:lineRule="auto" w:line="276" w:before="0" w:after="160"/>
        <w:rPr/>
      </w:pPr>
      <w:r>
        <w:rPr>
          <w:rFonts w:eastAsia="Times New Roman" w:cs="Times New Roman"/>
          <w:b w:val="false"/>
          <w:bCs w:val="false"/>
          <w:i w:val="false"/>
          <w:iCs w:val="false"/>
          <w:sz w:val="24"/>
          <w:szCs w:val="24"/>
        </w:rPr>
        <w:t>Despite the absence of clinical data, informal reports from harm reduction communities have described SR-17018 use in the context of opioid withdrawal management and cessation attempts. These observations are unstructured and insufficiently characterized to draw meaningful conclusions, but they represent a signal that warrants systematic description. The present study addresses this gap by analyzing data from an anonymous voluntary self-reported registry of individuals reporting SR-17018 use in the context of prior opioid exposure.</w:t>
      </w:r>
    </w:p>
    <w:p>
      <w:pPr>
        <w:pStyle w:val="Normal"/>
        <w:spacing w:lineRule="auto" w:line="276" w:before="0" w:after="160"/>
        <w:rPr/>
      </w:pPr>
      <w:r>
        <w:rPr>
          <w:rFonts w:eastAsia="Times New Roman" w:cs="Times New Roman"/>
          <w:b w:val="false"/>
          <w:bCs w:val="false"/>
          <w:i w:val="false"/>
          <w:iCs w:val="false"/>
          <w:sz w:val="24"/>
          <w:szCs w:val="24"/>
        </w:rPr>
        <w:t>The aim of this study is not to establish efficacy or clinical utility. Rather, it is to describe participant characteristics, usage patterns, temporal characteristics of SR-17018 exposure, self-reported outcomes, and adverse effects within a real-world observational cohort — thereby generating descriptive data to inform and prioritize future controlled research.</w:t>
      </w:r>
    </w:p>
    <w:p>
      <w:pPr>
        <w:pStyle w:val="Normal"/>
        <w:spacing w:before="0" w:after="160"/>
        <w:rPr/>
      </w:pPr>
      <w:r>
        <w:rPr/>
      </w:r>
    </w:p>
    <w:p>
      <w:pPr>
        <w:pStyle w:val="Heading1"/>
        <w:spacing w:before="320" w:after="160"/>
        <w:rPr/>
      </w:pPr>
      <w:r>
        <w:rPr>
          <w:rFonts w:eastAsia="Arial" w:cs="Arial" w:ascii="Arial" w:hAnsi="Arial"/>
          <w:b/>
          <w:bCs/>
          <w:color w:val="1F4E79"/>
          <w:sz w:val="26"/>
          <w:szCs w:val="26"/>
        </w:rPr>
        <w:t>2. Methods</w:t>
      </w:r>
    </w:p>
    <w:p>
      <w:pPr>
        <w:pStyle w:val="Heading2"/>
        <w:spacing w:before="240" w:after="120"/>
        <w:rPr/>
      </w:pPr>
      <w:r>
        <w:rPr>
          <w:rFonts w:eastAsia="Arial" w:cs="Arial" w:ascii="Arial" w:hAnsi="Arial"/>
          <w:b/>
          <w:bCs/>
          <w:color w:val="2E75B6"/>
          <w:sz w:val="24"/>
          <w:szCs w:val="24"/>
        </w:rPr>
        <w:t>2.1 Study Design</w:t>
      </w:r>
    </w:p>
    <w:p>
      <w:pPr>
        <w:pStyle w:val="Normal"/>
        <w:spacing w:lineRule="auto" w:line="276" w:before="0" w:after="160"/>
        <w:rPr/>
      </w:pPr>
      <w:r>
        <w:rPr>
          <w:rFonts w:eastAsia="Times New Roman" w:cs="Times New Roman"/>
          <w:b w:val="false"/>
          <w:bCs w:val="false"/>
          <w:i w:val="false"/>
          <w:iCs w:val="false"/>
          <w:sz w:val="24"/>
          <w:szCs w:val="24"/>
        </w:rPr>
        <w:t>This study presents a descriptive analysis of data obtained from a self-reported observational registry of individuals reporting SR-17018 use in the context of opioid dependence, withdrawal, or opioid reduction attempts. The registry was designed prospectively to capture real-world exposure patterns and participant-reported outcomes in an anonymous, voluntary format. The survey instrument is publicly accessible at: sr17018study.com.</w:t>
      </w:r>
    </w:p>
    <w:p>
      <w:pPr>
        <w:pStyle w:val="Heading2"/>
        <w:spacing w:before="240" w:after="120"/>
        <w:rPr/>
      </w:pPr>
      <w:r>
        <w:rPr>
          <w:rFonts w:eastAsia="Arial" w:cs="Arial" w:ascii="Arial" w:hAnsi="Arial"/>
          <w:b/>
          <w:bCs/>
          <w:color w:val="2E75B6"/>
          <w:sz w:val="24"/>
          <w:szCs w:val="24"/>
        </w:rPr>
        <w:t>2.2 Participants</w:t>
      </w:r>
    </w:p>
    <w:p>
      <w:pPr>
        <w:pStyle w:val="Normal"/>
        <w:spacing w:lineRule="auto" w:line="276" w:before="0" w:after="160"/>
        <w:rPr/>
      </w:pPr>
      <w:r>
        <w:rPr>
          <w:rFonts w:eastAsia="Times New Roman" w:cs="Times New Roman"/>
          <w:b w:val="false"/>
          <w:bCs w:val="false"/>
          <w:i w:val="false"/>
          <w:iCs w:val="false"/>
          <w:sz w:val="24"/>
          <w:szCs w:val="24"/>
        </w:rPr>
        <w:t>A total of 55 participants were included in the analysis. Inclusion required: (1) self-reported history of opioid use or dependence; (2) self-reported use of SR-17018; and (3) completion of key survey fields related to substance use history and outcomes. No exclusion criteria were applied beyond incomplete or unusable responses. Participation was voluntary and no incentives were provided. All responses were anonymous; no personal identifiers were collected.</w:t>
      </w:r>
    </w:p>
    <w:p>
      <w:pPr>
        <w:pStyle w:val="Heading2"/>
        <w:spacing w:before="240" w:after="120"/>
        <w:rPr/>
      </w:pPr>
      <w:r>
        <w:rPr>
          <w:rFonts w:eastAsia="Arial" w:cs="Arial" w:ascii="Arial" w:hAnsi="Arial"/>
          <w:b/>
          <w:bCs/>
          <w:color w:val="2E75B6"/>
          <w:sz w:val="24"/>
          <w:szCs w:val="24"/>
        </w:rPr>
        <w:t>2.3 Measures</w:t>
      </w:r>
    </w:p>
    <w:p>
      <w:pPr>
        <w:pStyle w:val="Normal"/>
        <w:spacing w:lineRule="auto" w:line="276" w:before="0" w:after="160"/>
        <w:rPr/>
      </w:pPr>
      <w:r>
        <w:rPr>
          <w:rFonts w:eastAsia="Times New Roman" w:cs="Times New Roman"/>
          <w:b w:val="false"/>
          <w:bCs w:val="false"/>
          <w:i w:val="false"/>
          <w:iCs w:val="false"/>
          <w:sz w:val="24"/>
          <w:szCs w:val="24"/>
        </w:rPr>
        <w:t>The survey captured the following domains:</w:t>
      </w:r>
    </w:p>
    <w:p>
      <w:pPr>
        <w:pStyle w:val="ListParagraph"/>
        <w:numPr>
          <w:ilvl w:val="0"/>
          <w:numId w:val="3"/>
        </w:numPr>
        <w:spacing w:before="0" w:after="80"/>
        <w:rPr/>
      </w:pPr>
      <w:r>
        <w:rPr>
          <w:rFonts w:eastAsia="Times New Roman" w:cs="Times New Roman"/>
          <w:b w:val="false"/>
          <w:bCs w:val="false"/>
          <w:i w:val="false"/>
          <w:iCs w:val="false"/>
          <w:sz w:val="24"/>
          <w:szCs w:val="24"/>
        </w:rPr>
        <w:t>Substance use history: primary opioid or substance of use; duration of opioid use (categorized); number of prior detoxification or withdrawal attempts</w:t>
      </w:r>
    </w:p>
    <w:p>
      <w:pPr>
        <w:pStyle w:val="ListParagraph"/>
        <w:numPr>
          <w:ilvl w:val="0"/>
          <w:numId w:val="1"/>
        </w:numPr>
        <w:spacing w:before="0" w:after="80"/>
        <w:rPr/>
      </w:pPr>
      <w:r>
        <w:rPr>
          <w:rFonts w:eastAsia="Times New Roman" w:cs="Times New Roman"/>
          <w:b w:val="false"/>
          <w:bCs w:val="false"/>
          <w:i w:val="false"/>
          <w:iCs w:val="false"/>
          <w:sz w:val="24"/>
          <w:szCs w:val="24"/>
        </w:rPr>
        <w:t>SR-17018 use: context of use (withdrawal management, opioid reduction, or cessation); qualitative descriptions of dosing frequency, onset, perceived effect duration, and post-discontinuation use duration</w:t>
      </w:r>
    </w:p>
    <w:p>
      <w:pPr>
        <w:pStyle w:val="ListParagraph"/>
        <w:numPr>
          <w:ilvl w:val="0"/>
          <w:numId w:val="1"/>
        </w:numPr>
        <w:spacing w:before="0" w:after="80"/>
        <w:rPr/>
      </w:pPr>
      <w:r>
        <w:rPr>
          <w:rFonts w:eastAsia="Times New Roman" w:cs="Times New Roman"/>
          <w:b w:val="false"/>
          <w:bCs w:val="false"/>
          <w:i w:val="false"/>
          <w:iCs w:val="false"/>
          <w:sz w:val="24"/>
          <w:szCs w:val="24"/>
        </w:rPr>
        <w:t>Effectiveness: withdrawal relief and craving reduction rated on 10-point scales; time to noticeable relief</w:t>
      </w:r>
    </w:p>
    <w:p>
      <w:pPr>
        <w:pStyle w:val="ListParagraph"/>
        <w:numPr>
          <w:ilvl w:val="0"/>
          <w:numId w:val="1"/>
        </w:numPr>
        <w:spacing w:before="0" w:after="80"/>
        <w:rPr/>
      </w:pPr>
      <w:r>
        <w:rPr>
          <w:rFonts w:eastAsia="Times New Roman" w:cs="Times New Roman"/>
          <w:b w:val="false"/>
          <w:bCs w:val="false"/>
          <w:i w:val="false"/>
          <w:iCs w:val="false"/>
          <w:sz w:val="24"/>
          <w:szCs w:val="24"/>
        </w:rPr>
        <w:t>Outcomes: self-reported responses categorized as full cessation, meaningful reduction in use, no change, or worsening/relapse</w:t>
      </w:r>
    </w:p>
    <w:p>
      <w:pPr>
        <w:pStyle w:val="ListParagraph"/>
        <w:numPr>
          <w:ilvl w:val="0"/>
          <w:numId w:val="1"/>
        </w:numPr>
        <w:spacing w:before="0" w:after="160"/>
        <w:rPr/>
      </w:pPr>
      <w:r>
        <w:rPr>
          <w:rFonts w:eastAsia="Times New Roman" w:cs="Times New Roman"/>
          <w:b w:val="false"/>
          <w:bCs w:val="false"/>
          <w:i w:val="false"/>
          <w:iCs w:val="false"/>
          <w:sz w:val="24"/>
          <w:szCs w:val="24"/>
        </w:rPr>
        <w:t>Safety and tolerability: type and severity of adverse effects; functional impact; discontinuation due to adverse effects; concurrent substance use</w:t>
      </w:r>
    </w:p>
    <w:p>
      <w:pPr>
        <w:pStyle w:val="Normal"/>
        <w:spacing w:lineRule="auto" w:line="276" w:before="0" w:after="160"/>
        <w:rPr/>
      </w:pPr>
      <w:r>
        <w:rPr>
          <w:rFonts w:eastAsia="Times New Roman" w:cs="Times New Roman"/>
          <w:b w:val="false"/>
          <w:bCs w:val="false"/>
          <w:i w:val="false"/>
          <w:iCs w:val="false"/>
          <w:sz w:val="24"/>
          <w:szCs w:val="24"/>
        </w:rPr>
        <w:t>For analysis, 'any improvement' was defined as the combined proportion of participants reporting full cessation or significant reduction in use.</w:t>
      </w:r>
    </w:p>
    <w:p>
      <w:pPr>
        <w:pStyle w:val="Heading2"/>
        <w:spacing w:before="240" w:after="120"/>
        <w:rPr/>
      </w:pPr>
      <w:r>
        <w:rPr>
          <w:rFonts w:eastAsia="Arial" w:cs="Arial" w:ascii="Arial" w:hAnsi="Arial"/>
          <w:b/>
          <w:bCs/>
          <w:color w:val="2E75B6"/>
          <w:sz w:val="24"/>
          <w:szCs w:val="24"/>
        </w:rPr>
        <w:t>2.4 Data Analysis</w:t>
      </w:r>
    </w:p>
    <w:p>
      <w:pPr>
        <w:pStyle w:val="Normal"/>
        <w:spacing w:lineRule="auto" w:line="276" w:before="0" w:after="160"/>
        <w:rPr/>
      </w:pPr>
      <w:r>
        <w:rPr>
          <w:rFonts w:eastAsia="Times New Roman" w:cs="Times New Roman"/>
          <w:b w:val="false"/>
          <w:bCs w:val="false"/>
          <w:i w:val="false"/>
          <w:iCs w:val="false"/>
          <w:sz w:val="24"/>
          <w:szCs w:val="24"/>
        </w:rPr>
        <w:t>Free-text responses were manually reviewed and categorized into predefined outcome and safety domains. Descriptive statistics (counts and percentages) were calculated for all variables. Mean scores were calculated for withdrawal relief and craving reduction rating scales. No inferential statistical analyses were performed, consistent with the observational, self-reported, and hypothesis-generating nature of the dataset.</w:t>
      </w:r>
    </w:p>
    <w:p>
      <w:pPr>
        <w:pStyle w:val="Heading2"/>
        <w:spacing w:before="240" w:after="120"/>
        <w:rPr/>
      </w:pPr>
      <w:r>
        <w:rPr>
          <w:rFonts w:eastAsia="Arial" w:cs="Arial" w:ascii="Arial" w:hAnsi="Arial"/>
          <w:b/>
          <w:bCs/>
          <w:color w:val="2E75B6"/>
          <w:sz w:val="24"/>
          <w:szCs w:val="24"/>
        </w:rPr>
        <w:t>2.5 Ethical Considerations</w:t>
      </w:r>
    </w:p>
    <w:p>
      <w:pPr>
        <w:pStyle w:val="Normal"/>
        <w:spacing w:lineRule="auto" w:line="276" w:before="0" w:after="160"/>
        <w:rPr/>
      </w:pPr>
      <w:r>
        <w:rPr>
          <w:rFonts w:eastAsia="Times New Roman" w:cs="Times New Roman"/>
          <w:b w:val="false"/>
          <w:bCs w:val="false"/>
          <w:i w:val="false"/>
          <w:iCs w:val="false"/>
          <w:sz w:val="24"/>
          <w:szCs w:val="24"/>
        </w:rPr>
        <w:t>This study did not involve intervention, identifiable data collection, or direct participant interaction beyond voluntary survey completion. All responses were anonymized at the point of collection. Given the anonymous, non-interventional, and observational design, this study is consistent with commonly accepted criteria for research not requiring formal institutional ethical review. Findings should nonetheless be interpreted with caution given the self-reported and uncontrolled nature of the data.</w:t>
      </w:r>
    </w:p>
    <w:p>
      <w:pPr>
        <w:pStyle w:val="Normal"/>
        <w:pBdr>
          <w:top w:val="single" w:sz="4" w:space="4" w:color="AAAAAA"/>
          <w:left w:val="single" w:sz="4" w:space="4" w:color="AAAAAA"/>
          <w:bottom w:val="single" w:sz="4" w:space="4" w:color="AAAAAA"/>
          <w:right w:val="single" w:sz="4" w:space="4" w:color="AAAAAA"/>
        </w:pBdr>
        <w:spacing w:before="0" w:after="200"/>
        <w:rPr/>
      </w:pPr>
      <w:r>
        <w:rPr>
          <w:rFonts w:eastAsia="Times New Roman" w:cs="Times New Roman"/>
          <w:i/>
          <w:iCs/>
          <w:sz w:val="22"/>
          <w:szCs w:val="22"/>
        </w:rPr>
        <w:t>Disclaimer: This report is based on observational, self-reported data and is intended for research and informational purposes only. It does not constitute medical advice or clinical guidance. SR-17018 has not been evaluated in controlled clinical trials for safety or efficacy in humans. Any interpretation of these findings should be made with caution.</w:t>
      </w:r>
    </w:p>
    <w:p>
      <w:pPr>
        <w:pStyle w:val="Normal"/>
        <w:spacing w:before="0" w:after="160"/>
        <w:rPr/>
      </w:pPr>
      <w:r>
        <w:rPr/>
      </w:r>
    </w:p>
    <w:p>
      <w:pPr>
        <w:pStyle w:val="Heading1"/>
        <w:spacing w:before="320" w:after="160"/>
        <w:rPr/>
      </w:pPr>
      <w:r>
        <w:rPr>
          <w:rFonts w:eastAsia="Arial" w:cs="Arial" w:ascii="Arial" w:hAnsi="Arial"/>
          <w:b/>
          <w:bCs/>
          <w:color w:val="1F4E79"/>
          <w:sz w:val="26"/>
          <w:szCs w:val="26"/>
        </w:rPr>
        <w:t>3. Results</w:t>
      </w:r>
    </w:p>
    <w:p>
      <w:pPr>
        <w:pStyle w:val="Heading2"/>
        <w:spacing w:before="240" w:after="120"/>
        <w:rPr/>
      </w:pPr>
      <w:r>
        <w:rPr>
          <w:rFonts w:eastAsia="Arial" w:cs="Arial" w:ascii="Arial" w:hAnsi="Arial"/>
          <w:b/>
          <w:bCs/>
          <w:color w:val="2E75B6"/>
          <w:sz w:val="24"/>
          <w:szCs w:val="24"/>
        </w:rPr>
        <w:t>3.1 Participant Characteristics</w:t>
      </w:r>
    </w:p>
    <w:p>
      <w:pPr>
        <w:pStyle w:val="Normal"/>
        <w:spacing w:lineRule="auto" w:line="276" w:before="0" w:after="160"/>
        <w:rPr/>
      </w:pPr>
      <w:r>
        <w:rPr>
          <w:rFonts w:eastAsia="Times New Roman" w:cs="Times New Roman"/>
          <w:b w:val="false"/>
          <w:bCs w:val="false"/>
          <w:i w:val="false"/>
          <w:iCs w:val="false"/>
          <w:sz w:val="24"/>
          <w:szCs w:val="24"/>
        </w:rPr>
        <w:t>The analytic cohort comprised 55 participants. Full participant characteristics are presented in Table 1. Prior opioid exposure was heterogeneous. The single largest subgroup consisted of individuals reporting commercial 7-hydroxymitragynine (7-OH) or related products (including pseudoindoxyl and MGM derivatives) as their primary substance, representing 56.4% of the cohort (n = 31). The remaining participants reported kratom leaf or extracts (10.9%), methadone or buprenorphine (10.9%), heroin (5.5%), oxycodone (7.3%), fentanyl (3.6%), or other substances (5.5%). No participants reported research chemical opioids as their primary substance.</w:t>
      </w:r>
    </w:p>
    <w:p>
      <w:pPr>
        <w:pStyle w:val="Normal"/>
        <w:spacing w:lineRule="auto" w:line="276" w:before="0" w:after="160"/>
        <w:rPr/>
      </w:pPr>
      <w:r>
        <w:rPr>
          <w:rFonts w:eastAsia="Times New Roman" w:cs="Times New Roman"/>
          <w:b w:val="false"/>
          <w:bCs w:val="false"/>
          <w:i w:val="false"/>
          <w:iCs w:val="false"/>
          <w:sz w:val="24"/>
          <w:szCs w:val="24"/>
        </w:rPr>
        <w:t>Duration of prior opioid use was substantial: 70.9% reported one or more years of use, and 32.7% reported three or more years. Tolerance was predominantly high (61.8%) or moderate (36.4%). 69.1% of participants reported three or more prior unsuccessful detoxification or withdrawal attempts (Figure 1A), characterizing the cohort as predominantly treatment-experienced with repeated cessation difficulty. The cohort was predominantly male (70.9%) and aged 36–45 years (48.1%). Concurrent use of other substances during SR-17018 exposure was reported by 51.9% of respondents, including benzodiazepines (25.9%), stimulants (18.5%), other opioids (14.8%), and alcohol (9.3%).</w:t>
      </w:r>
    </w:p>
    <w:p>
      <w:pPr>
        <w:pStyle w:val="Normal"/>
        <w:spacing w:before="0" w:after="160"/>
        <w:rPr/>
      </w:pPr>
      <w:r>
        <w:rPr/>
      </w:r>
    </w:p>
    <w:p>
      <w:pPr>
        <w:pStyle w:val="Normal"/>
        <w:spacing w:before="200" w:after="80"/>
        <w:rPr/>
      </w:pPr>
      <w:r>
        <w:rPr>
          <w:rFonts w:eastAsia="Times New Roman" w:cs="Times New Roman"/>
          <w:b/>
          <w:bCs/>
          <w:i w:val="false"/>
          <w:iCs w:val="false"/>
          <w:sz w:val="22"/>
          <w:szCs w:val="22"/>
        </w:rPr>
        <w:t>Table 1. Participant Characteristics (N = 55)</w:t>
      </w:r>
    </w:p>
    <w:tbl>
      <w:tblPr>
        <w:tblW w:w="9360" w:type="dxa"/>
        <w:jc w:val="start"/>
        <w:tblInd w:w="0" w:type="dxa"/>
        <w:tblLayout w:type="fixed"/>
        <w:tblCellMar>
          <w:top w:w="80" w:type="dxa"/>
          <w:start w:w="120" w:type="dxa"/>
          <w:bottom w:w="80" w:type="dxa"/>
          <w:end w:w="120" w:type="dxa"/>
        </w:tblCellMar>
      </w:tblPr>
      <w:tblGrid>
        <w:gridCol w:w="5200"/>
        <w:gridCol w:w="2080"/>
        <w:gridCol w:w="2080"/>
      </w:tblGrid>
      <w:tr>
        <w:trPr/>
        <w:tc>
          <w:tcPr>
            <w:tcW w:w="5200" w:type="dxa"/>
            <w:tcBorders>
              <w:top w:val="single" w:sz="4" w:space="0" w:color="AAAAAA"/>
              <w:start w:val="single" w:sz="4" w:space="0" w:color="AAAAAA"/>
              <w:bottom w:val="single" w:sz="4" w:space="0" w:color="AAAAAA"/>
              <w:end w:val="single" w:sz="4" w:space="0" w:color="AAAAAA"/>
            </w:tcBorders>
            <w:shd w:fill="1F4E79" w:val="clear"/>
          </w:tcPr>
          <w:p>
            <w:pPr>
              <w:pStyle w:val="Normal"/>
              <w:jc w:val="center"/>
              <w:rPr/>
            </w:pPr>
            <w:r>
              <w:rPr>
                <w:rFonts w:eastAsia="Arial" w:cs="Arial" w:ascii="Arial" w:hAnsi="Arial"/>
                <w:b/>
                <w:bCs/>
                <w:color w:val="FFFFFF"/>
                <w:sz w:val="20"/>
                <w:szCs w:val="20"/>
              </w:rPr>
              <w:t>Characteristic</w:t>
            </w:r>
          </w:p>
        </w:tc>
        <w:tc>
          <w:tcPr>
            <w:tcW w:w="2080" w:type="dxa"/>
            <w:tcBorders>
              <w:top w:val="single" w:sz="4" w:space="0" w:color="AAAAAA"/>
              <w:start w:val="single" w:sz="4" w:space="0" w:color="AAAAAA"/>
              <w:bottom w:val="single" w:sz="4" w:space="0" w:color="AAAAAA"/>
              <w:end w:val="single" w:sz="4" w:space="0" w:color="AAAAAA"/>
            </w:tcBorders>
            <w:shd w:fill="1F4E79" w:val="clear"/>
          </w:tcPr>
          <w:p>
            <w:pPr>
              <w:pStyle w:val="Normal"/>
              <w:jc w:val="center"/>
              <w:rPr/>
            </w:pPr>
            <w:r>
              <w:rPr>
                <w:rFonts w:eastAsia="Arial" w:cs="Arial" w:ascii="Arial" w:hAnsi="Arial"/>
                <w:b/>
                <w:bCs/>
                <w:color w:val="FFFFFF"/>
                <w:sz w:val="20"/>
                <w:szCs w:val="20"/>
              </w:rPr>
              <w:t>n</w:t>
            </w:r>
          </w:p>
        </w:tc>
        <w:tc>
          <w:tcPr>
            <w:tcW w:w="2080" w:type="dxa"/>
            <w:tcBorders>
              <w:top w:val="single" w:sz="4" w:space="0" w:color="AAAAAA"/>
              <w:start w:val="single" w:sz="4" w:space="0" w:color="AAAAAA"/>
              <w:bottom w:val="single" w:sz="4" w:space="0" w:color="AAAAAA"/>
              <w:end w:val="single" w:sz="4" w:space="0" w:color="AAAAAA"/>
            </w:tcBorders>
            <w:shd w:fill="1F4E79" w:val="clear"/>
          </w:tcPr>
          <w:p>
            <w:pPr>
              <w:pStyle w:val="Normal"/>
              <w:jc w:val="center"/>
              <w:rPr/>
            </w:pPr>
            <w:r>
              <w:rPr>
                <w:rFonts w:eastAsia="Arial" w:cs="Arial" w:ascii="Arial" w:hAnsi="Arial"/>
                <w:b/>
                <w:bCs/>
                <w:color w:val="FFFFFF"/>
                <w:sz w:val="20"/>
                <w:szCs w:val="20"/>
              </w:rPr>
              <w:t>%</w:t>
            </w:r>
          </w:p>
        </w:tc>
      </w:tr>
      <w:tr>
        <w:trPr/>
        <w:tc>
          <w:tcPr>
            <w:tcW w:w="5200" w:type="dxa"/>
            <w:tcBorders>
              <w:top w:val="single" w:sz="4" w:space="0" w:color="AAAAAA"/>
              <w:start w:val="single" w:sz="4" w:space="0" w:color="AAAAAA"/>
              <w:bottom w:val="single" w:sz="4" w:space="0" w:color="AAAAAA"/>
              <w:end w:val="single" w:sz="4" w:space="0" w:color="AAAAAA"/>
            </w:tcBorders>
            <w:shd w:fill="FFFFFF" w:val="clear"/>
          </w:tcPr>
          <w:p>
            <w:pPr>
              <w:pStyle w:val="Normal"/>
              <w:jc w:val="start"/>
              <w:rPr/>
            </w:pPr>
            <w:r>
              <w:rPr>
                <w:rFonts w:eastAsia="Times New Roman" w:cs="Times New Roman"/>
                <w:b/>
                <w:bCs/>
                <w:sz w:val="20"/>
                <w:szCs w:val="20"/>
              </w:rPr>
              <w:t>Primary Substance (N = 55)</w:t>
            </w:r>
          </w:p>
        </w:tc>
        <w:tc>
          <w:tcPr>
            <w:tcW w:w="2080" w:type="dxa"/>
            <w:tcBorders>
              <w:top w:val="single" w:sz="4" w:space="0" w:color="AAAAAA"/>
              <w:start w:val="single" w:sz="4" w:space="0" w:color="AAAAAA"/>
              <w:bottom w:val="single" w:sz="4" w:space="0" w:color="AAAAAA"/>
              <w:end w:val="single" w:sz="4" w:space="0" w:color="AAAAAA"/>
            </w:tcBorders>
            <w:shd w:fill="FFFFFF" w:val="clear"/>
          </w:tcPr>
          <w:p>
            <w:pPr>
              <w:pStyle w:val="Normal"/>
              <w:jc w:val="start"/>
              <w:rPr/>
            </w:pPr>
            <w:r>
              <w:rPr/>
            </w:r>
          </w:p>
        </w:tc>
        <w:tc>
          <w:tcPr>
            <w:tcW w:w="2080" w:type="dxa"/>
            <w:tcBorders>
              <w:top w:val="single" w:sz="4" w:space="0" w:color="AAAAAA"/>
              <w:start w:val="single" w:sz="4" w:space="0" w:color="AAAAAA"/>
              <w:bottom w:val="single" w:sz="4" w:space="0" w:color="AAAAAA"/>
              <w:end w:val="single" w:sz="4" w:space="0" w:color="AAAAAA"/>
            </w:tcBorders>
            <w:shd w:fill="FFFFFF" w:val="clear"/>
          </w:tcPr>
          <w:p>
            <w:pPr>
              <w:pStyle w:val="Normal"/>
              <w:jc w:val="start"/>
              <w:rPr/>
            </w:pPr>
            <w:r>
              <w:rPr/>
            </w:r>
          </w:p>
        </w:tc>
      </w:tr>
      <w:tr>
        <w:trPr/>
        <w:tc>
          <w:tcPr>
            <w:tcW w:w="5200" w:type="dxa"/>
            <w:tcBorders>
              <w:top w:val="single" w:sz="4" w:space="0" w:color="AAAAAA"/>
              <w:start w:val="single" w:sz="4" w:space="0" w:color="AAAAAA"/>
              <w:bottom w:val="single" w:sz="4" w:space="0" w:color="AAAAAA"/>
              <w:end w:val="single" w:sz="4" w:space="0" w:color="AAAAAA"/>
            </w:tcBorders>
            <w:shd w:fill="EBF3FB" w:val="clear"/>
          </w:tcPr>
          <w:p>
            <w:pPr>
              <w:pStyle w:val="Normal"/>
              <w:jc w:val="start"/>
              <w:rPr/>
            </w:pPr>
            <w:r>
              <w:rPr>
                <w:rFonts w:eastAsia="Times New Roman" w:cs="Times New Roman"/>
                <w:b w:val="false"/>
                <w:bCs w:val="false"/>
                <w:sz w:val="20"/>
                <w:szCs w:val="20"/>
              </w:rPr>
              <w:t xml:space="preserve">  </w:t>
            </w:r>
            <w:r>
              <w:rPr>
                <w:rFonts w:eastAsia="Times New Roman" w:cs="Times New Roman"/>
                <w:b w:val="false"/>
                <w:bCs w:val="false"/>
                <w:sz w:val="20"/>
                <w:szCs w:val="20"/>
              </w:rPr>
              <w:t>7-OH / Pseudoindoxyl / MGM Products</w:t>
            </w:r>
          </w:p>
        </w:tc>
        <w:tc>
          <w:tcPr>
            <w:tcW w:w="2080" w:type="dxa"/>
            <w:tcBorders>
              <w:top w:val="single" w:sz="4" w:space="0" w:color="AAAAAA"/>
              <w:start w:val="single" w:sz="4" w:space="0" w:color="AAAAAA"/>
              <w:bottom w:val="single" w:sz="4" w:space="0" w:color="AAAAAA"/>
              <w:end w:val="single" w:sz="4" w:space="0" w:color="AAAAAA"/>
            </w:tcBorders>
            <w:shd w:fill="EBF3FB" w:val="clear"/>
          </w:tcPr>
          <w:p>
            <w:pPr>
              <w:pStyle w:val="Normal"/>
              <w:jc w:val="center"/>
              <w:rPr/>
            </w:pPr>
            <w:r>
              <w:rPr>
                <w:rFonts w:eastAsia="Times New Roman" w:cs="Times New Roman"/>
                <w:b w:val="false"/>
                <w:bCs w:val="false"/>
                <w:sz w:val="20"/>
                <w:szCs w:val="20"/>
              </w:rPr>
              <w:t>29</w:t>
            </w:r>
          </w:p>
        </w:tc>
        <w:tc>
          <w:tcPr>
            <w:tcW w:w="2080" w:type="dxa"/>
            <w:tcBorders>
              <w:top w:val="single" w:sz="4" w:space="0" w:color="AAAAAA"/>
              <w:start w:val="single" w:sz="4" w:space="0" w:color="AAAAAA"/>
              <w:bottom w:val="single" w:sz="4" w:space="0" w:color="AAAAAA"/>
              <w:end w:val="single" w:sz="4" w:space="0" w:color="AAAAAA"/>
            </w:tcBorders>
            <w:shd w:fill="EBF3FB" w:val="clear"/>
          </w:tcPr>
          <w:p>
            <w:pPr>
              <w:pStyle w:val="Normal"/>
              <w:jc w:val="center"/>
              <w:rPr/>
            </w:pPr>
            <w:r>
              <w:rPr>
                <w:rFonts w:eastAsia="Times New Roman" w:cs="Times New Roman"/>
                <w:b w:val="false"/>
                <w:bCs w:val="false"/>
                <w:sz w:val="20"/>
                <w:szCs w:val="20"/>
              </w:rPr>
              <w:t>52.7</w:t>
            </w:r>
          </w:p>
        </w:tc>
      </w:tr>
      <w:tr>
        <w:trPr/>
        <w:tc>
          <w:tcPr>
            <w:tcW w:w="5200" w:type="dxa"/>
            <w:tcBorders>
              <w:top w:val="single" w:sz="4" w:space="0" w:color="AAAAAA"/>
              <w:start w:val="single" w:sz="4" w:space="0" w:color="AAAAAA"/>
              <w:bottom w:val="single" w:sz="4" w:space="0" w:color="AAAAAA"/>
              <w:end w:val="single" w:sz="4" w:space="0" w:color="AAAAAA"/>
            </w:tcBorders>
            <w:shd w:fill="FFFFFF" w:val="clear"/>
          </w:tcPr>
          <w:p>
            <w:pPr>
              <w:pStyle w:val="Normal"/>
              <w:jc w:val="start"/>
              <w:rPr/>
            </w:pPr>
            <w:r>
              <w:rPr>
                <w:rFonts w:eastAsia="Times New Roman" w:cs="Times New Roman"/>
                <w:b w:val="false"/>
                <w:bCs w:val="false"/>
                <w:sz w:val="20"/>
                <w:szCs w:val="20"/>
              </w:rPr>
              <w:t xml:space="preserve">  </w:t>
            </w:r>
            <w:r>
              <w:rPr>
                <w:rFonts w:eastAsia="Times New Roman" w:cs="Times New Roman"/>
                <w:b w:val="false"/>
                <w:bCs w:val="false"/>
                <w:sz w:val="20"/>
                <w:szCs w:val="20"/>
              </w:rPr>
              <w:t>7-OH Products (separately coded)</w:t>
            </w:r>
          </w:p>
        </w:tc>
        <w:tc>
          <w:tcPr>
            <w:tcW w:w="2080" w:type="dxa"/>
            <w:tcBorders>
              <w:top w:val="single" w:sz="4" w:space="0" w:color="AAAAAA"/>
              <w:start w:val="single" w:sz="4" w:space="0" w:color="AAAAAA"/>
              <w:bottom w:val="single" w:sz="4" w:space="0" w:color="AAAAAA"/>
              <w:end w:val="single" w:sz="4" w:space="0" w:color="AAAAAA"/>
            </w:tcBorders>
            <w:shd w:fill="FFFFFF" w:val="clear"/>
          </w:tcPr>
          <w:p>
            <w:pPr>
              <w:pStyle w:val="Normal"/>
              <w:jc w:val="center"/>
              <w:rPr/>
            </w:pPr>
            <w:r>
              <w:rPr>
                <w:rFonts w:eastAsia="Times New Roman" w:cs="Times New Roman"/>
                <w:b w:val="false"/>
                <w:bCs w:val="false"/>
                <w:sz w:val="20"/>
                <w:szCs w:val="20"/>
              </w:rPr>
              <w:t>1</w:t>
            </w:r>
          </w:p>
        </w:tc>
        <w:tc>
          <w:tcPr>
            <w:tcW w:w="2080" w:type="dxa"/>
            <w:tcBorders>
              <w:top w:val="single" w:sz="4" w:space="0" w:color="AAAAAA"/>
              <w:start w:val="single" w:sz="4" w:space="0" w:color="AAAAAA"/>
              <w:bottom w:val="single" w:sz="4" w:space="0" w:color="AAAAAA"/>
              <w:end w:val="single" w:sz="4" w:space="0" w:color="AAAAAA"/>
            </w:tcBorders>
            <w:shd w:fill="FFFFFF" w:val="clear"/>
          </w:tcPr>
          <w:p>
            <w:pPr>
              <w:pStyle w:val="Normal"/>
              <w:jc w:val="center"/>
              <w:rPr/>
            </w:pPr>
            <w:r>
              <w:rPr>
                <w:rFonts w:eastAsia="Times New Roman" w:cs="Times New Roman"/>
                <w:b w:val="false"/>
                <w:bCs w:val="false"/>
                <w:sz w:val="20"/>
                <w:szCs w:val="20"/>
              </w:rPr>
              <w:t>1.8</w:t>
            </w:r>
          </w:p>
        </w:tc>
      </w:tr>
      <w:tr>
        <w:trPr/>
        <w:tc>
          <w:tcPr>
            <w:tcW w:w="5200" w:type="dxa"/>
            <w:tcBorders>
              <w:top w:val="single" w:sz="4" w:space="0" w:color="AAAAAA"/>
              <w:start w:val="single" w:sz="4" w:space="0" w:color="AAAAAA"/>
              <w:bottom w:val="single" w:sz="4" w:space="0" w:color="AAAAAA"/>
              <w:end w:val="single" w:sz="4" w:space="0" w:color="AAAAAA"/>
            </w:tcBorders>
            <w:shd w:fill="EBF3FB" w:val="clear"/>
          </w:tcPr>
          <w:p>
            <w:pPr>
              <w:pStyle w:val="Normal"/>
              <w:jc w:val="start"/>
              <w:rPr/>
            </w:pPr>
            <w:r>
              <w:rPr>
                <w:rFonts w:eastAsia="Times New Roman" w:cs="Times New Roman"/>
                <w:b w:val="false"/>
                <w:bCs w:val="false"/>
                <w:sz w:val="20"/>
                <w:szCs w:val="20"/>
              </w:rPr>
              <w:t xml:space="preserve">  </w:t>
            </w:r>
            <w:r>
              <w:rPr>
                <w:rFonts w:eastAsia="Times New Roman" w:cs="Times New Roman"/>
                <w:b w:val="false"/>
                <w:bCs w:val="false"/>
                <w:sz w:val="20"/>
                <w:szCs w:val="20"/>
              </w:rPr>
              <w:t>MGM Products (separately coded)</w:t>
            </w:r>
          </w:p>
        </w:tc>
        <w:tc>
          <w:tcPr>
            <w:tcW w:w="2080" w:type="dxa"/>
            <w:tcBorders>
              <w:top w:val="single" w:sz="4" w:space="0" w:color="AAAAAA"/>
              <w:start w:val="single" w:sz="4" w:space="0" w:color="AAAAAA"/>
              <w:bottom w:val="single" w:sz="4" w:space="0" w:color="AAAAAA"/>
              <w:end w:val="single" w:sz="4" w:space="0" w:color="AAAAAA"/>
            </w:tcBorders>
            <w:shd w:fill="EBF3FB" w:val="clear"/>
          </w:tcPr>
          <w:p>
            <w:pPr>
              <w:pStyle w:val="Normal"/>
              <w:jc w:val="center"/>
              <w:rPr/>
            </w:pPr>
            <w:r>
              <w:rPr>
                <w:rFonts w:eastAsia="Times New Roman" w:cs="Times New Roman"/>
                <w:b w:val="false"/>
                <w:bCs w:val="false"/>
                <w:sz w:val="20"/>
                <w:szCs w:val="20"/>
              </w:rPr>
              <w:t>1</w:t>
            </w:r>
          </w:p>
        </w:tc>
        <w:tc>
          <w:tcPr>
            <w:tcW w:w="2080" w:type="dxa"/>
            <w:tcBorders>
              <w:top w:val="single" w:sz="4" w:space="0" w:color="AAAAAA"/>
              <w:start w:val="single" w:sz="4" w:space="0" w:color="AAAAAA"/>
              <w:bottom w:val="single" w:sz="4" w:space="0" w:color="AAAAAA"/>
              <w:end w:val="single" w:sz="4" w:space="0" w:color="AAAAAA"/>
            </w:tcBorders>
            <w:shd w:fill="EBF3FB" w:val="clear"/>
          </w:tcPr>
          <w:p>
            <w:pPr>
              <w:pStyle w:val="Normal"/>
              <w:jc w:val="center"/>
              <w:rPr/>
            </w:pPr>
            <w:r>
              <w:rPr>
                <w:rFonts w:eastAsia="Times New Roman" w:cs="Times New Roman"/>
                <w:b w:val="false"/>
                <w:bCs w:val="false"/>
                <w:sz w:val="20"/>
                <w:szCs w:val="20"/>
              </w:rPr>
              <w:t>1.8</w:t>
            </w:r>
          </w:p>
        </w:tc>
      </w:tr>
      <w:tr>
        <w:trPr/>
        <w:tc>
          <w:tcPr>
            <w:tcW w:w="5200" w:type="dxa"/>
            <w:tcBorders>
              <w:top w:val="single" w:sz="4" w:space="0" w:color="AAAAAA"/>
              <w:start w:val="single" w:sz="4" w:space="0" w:color="AAAAAA"/>
              <w:bottom w:val="single" w:sz="4" w:space="0" w:color="AAAAAA"/>
              <w:end w:val="single" w:sz="4" w:space="0" w:color="AAAAAA"/>
            </w:tcBorders>
            <w:shd w:fill="FFFFFF" w:val="clear"/>
          </w:tcPr>
          <w:p>
            <w:pPr>
              <w:pStyle w:val="Normal"/>
              <w:jc w:val="start"/>
              <w:rPr/>
            </w:pPr>
            <w:r>
              <w:rPr>
                <w:rFonts w:eastAsia="Times New Roman" w:cs="Times New Roman"/>
                <w:b w:val="false"/>
                <w:bCs w:val="false"/>
                <w:sz w:val="20"/>
                <w:szCs w:val="20"/>
              </w:rPr>
              <w:t xml:space="preserve">  </w:t>
            </w:r>
            <w:r>
              <w:rPr>
                <w:rFonts w:eastAsia="Times New Roman" w:cs="Times New Roman"/>
                <w:b w:val="false"/>
                <w:bCs w:val="false"/>
                <w:sz w:val="20"/>
                <w:szCs w:val="20"/>
              </w:rPr>
              <w:t>Kratom Leaf / Extracts</w:t>
            </w:r>
          </w:p>
        </w:tc>
        <w:tc>
          <w:tcPr>
            <w:tcW w:w="2080" w:type="dxa"/>
            <w:tcBorders>
              <w:top w:val="single" w:sz="4" w:space="0" w:color="AAAAAA"/>
              <w:start w:val="single" w:sz="4" w:space="0" w:color="AAAAAA"/>
              <w:bottom w:val="single" w:sz="4" w:space="0" w:color="AAAAAA"/>
              <w:end w:val="single" w:sz="4" w:space="0" w:color="AAAAAA"/>
            </w:tcBorders>
            <w:shd w:fill="FFFFFF" w:val="clear"/>
          </w:tcPr>
          <w:p>
            <w:pPr>
              <w:pStyle w:val="Normal"/>
              <w:jc w:val="center"/>
              <w:rPr/>
            </w:pPr>
            <w:r>
              <w:rPr>
                <w:rFonts w:eastAsia="Times New Roman" w:cs="Times New Roman"/>
                <w:b w:val="false"/>
                <w:bCs w:val="false"/>
                <w:sz w:val="20"/>
                <w:szCs w:val="20"/>
              </w:rPr>
              <w:t>6</w:t>
            </w:r>
          </w:p>
        </w:tc>
        <w:tc>
          <w:tcPr>
            <w:tcW w:w="2080" w:type="dxa"/>
            <w:tcBorders>
              <w:top w:val="single" w:sz="4" w:space="0" w:color="AAAAAA"/>
              <w:start w:val="single" w:sz="4" w:space="0" w:color="AAAAAA"/>
              <w:bottom w:val="single" w:sz="4" w:space="0" w:color="AAAAAA"/>
              <w:end w:val="single" w:sz="4" w:space="0" w:color="AAAAAA"/>
            </w:tcBorders>
            <w:shd w:fill="FFFFFF" w:val="clear"/>
          </w:tcPr>
          <w:p>
            <w:pPr>
              <w:pStyle w:val="Normal"/>
              <w:jc w:val="center"/>
              <w:rPr/>
            </w:pPr>
            <w:r>
              <w:rPr>
                <w:rFonts w:eastAsia="Times New Roman" w:cs="Times New Roman"/>
                <w:b w:val="false"/>
                <w:bCs w:val="false"/>
                <w:sz w:val="20"/>
                <w:szCs w:val="20"/>
              </w:rPr>
              <w:t>10.9</w:t>
            </w:r>
          </w:p>
        </w:tc>
      </w:tr>
      <w:tr>
        <w:trPr/>
        <w:tc>
          <w:tcPr>
            <w:tcW w:w="5200" w:type="dxa"/>
            <w:tcBorders>
              <w:top w:val="single" w:sz="4" w:space="0" w:color="AAAAAA"/>
              <w:start w:val="single" w:sz="4" w:space="0" w:color="AAAAAA"/>
              <w:bottom w:val="single" w:sz="4" w:space="0" w:color="AAAAAA"/>
              <w:end w:val="single" w:sz="4" w:space="0" w:color="AAAAAA"/>
            </w:tcBorders>
            <w:shd w:fill="EBF3FB" w:val="clear"/>
          </w:tcPr>
          <w:p>
            <w:pPr>
              <w:pStyle w:val="Normal"/>
              <w:jc w:val="start"/>
              <w:rPr/>
            </w:pPr>
            <w:r>
              <w:rPr>
                <w:rFonts w:eastAsia="Times New Roman" w:cs="Times New Roman"/>
                <w:b w:val="false"/>
                <w:bCs w:val="false"/>
                <w:sz w:val="20"/>
                <w:szCs w:val="20"/>
              </w:rPr>
              <w:t xml:space="preserve">  </w:t>
            </w:r>
            <w:r>
              <w:rPr>
                <w:rFonts w:eastAsia="Times New Roman" w:cs="Times New Roman"/>
                <w:b w:val="false"/>
                <w:bCs w:val="false"/>
                <w:sz w:val="20"/>
                <w:szCs w:val="20"/>
              </w:rPr>
              <w:t>Methadone / Buprenorphine</w:t>
            </w:r>
          </w:p>
        </w:tc>
        <w:tc>
          <w:tcPr>
            <w:tcW w:w="2080" w:type="dxa"/>
            <w:tcBorders>
              <w:top w:val="single" w:sz="4" w:space="0" w:color="AAAAAA"/>
              <w:start w:val="single" w:sz="4" w:space="0" w:color="AAAAAA"/>
              <w:bottom w:val="single" w:sz="4" w:space="0" w:color="AAAAAA"/>
              <w:end w:val="single" w:sz="4" w:space="0" w:color="AAAAAA"/>
            </w:tcBorders>
            <w:shd w:fill="EBF3FB" w:val="clear"/>
          </w:tcPr>
          <w:p>
            <w:pPr>
              <w:pStyle w:val="Normal"/>
              <w:jc w:val="center"/>
              <w:rPr/>
            </w:pPr>
            <w:r>
              <w:rPr>
                <w:rFonts w:eastAsia="Times New Roman" w:cs="Times New Roman"/>
                <w:b w:val="false"/>
                <w:bCs w:val="false"/>
                <w:sz w:val="20"/>
                <w:szCs w:val="20"/>
              </w:rPr>
              <w:t>6</w:t>
            </w:r>
          </w:p>
        </w:tc>
        <w:tc>
          <w:tcPr>
            <w:tcW w:w="2080" w:type="dxa"/>
            <w:tcBorders>
              <w:top w:val="single" w:sz="4" w:space="0" w:color="AAAAAA"/>
              <w:start w:val="single" w:sz="4" w:space="0" w:color="AAAAAA"/>
              <w:bottom w:val="single" w:sz="4" w:space="0" w:color="AAAAAA"/>
              <w:end w:val="single" w:sz="4" w:space="0" w:color="AAAAAA"/>
            </w:tcBorders>
            <w:shd w:fill="EBF3FB" w:val="clear"/>
          </w:tcPr>
          <w:p>
            <w:pPr>
              <w:pStyle w:val="Normal"/>
              <w:jc w:val="center"/>
              <w:rPr/>
            </w:pPr>
            <w:r>
              <w:rPr>
                <w:rFonts w:eastAsia="Times New Roman" w:cs="Times New Roman"/>
                <w:b w:val="false"/>
                <w:bCs w:val="false"/>
                <w:sz w:val="20"/>
                <w:szCs w:val="20"/>
              </w:rPr>
              <w:t>10.9</w:t>
            </w:r>
          </w:p>
        </w:tc>
      </w:tr>
      <w:tr>
        <w:trPr/>
        <w:tc>
          <w:tcPr>
            <w:tcW w:w="5200" w:type="dxa"/>
            <w:tcBorders>
              <w:top w:val="single" w:sz="4" w:space="0" w:color="AAAAAA"/>
              <w:start w:val="single" w:sz="4" w:space="0" w:color="AAAAAA"/>
              <w:bottom w:val="single" w:sz="4" w:space="0" w:color="AAAAAA"/>
              <w:end w:val="single" w:sz="4" w:space="0" w:color="AAAAAA"/>
            </w:tcBorders>
            <w:shd w:fill="FFFFFF" w:val="clear"/>
          </w:tcPr>
          <w:p>
            <w:pPr>
              <w:pStyle w:val="Normal"/>
              <w:jc w:val="start"/>
              <w:rPr/>
            </w:pPr>
            <w:r>
              <w:rPr>
                <w:rFonts w:eastAsia="Times New Roman" w:cs="Times New Roman"/>
                <w:b w:val="false"/>
                <w:bCs w:val="false"/>
                <w:sz w:val="20"/>
                <w:szCs w:val="20"/>
              </w:rPr>
              <w:t xml:space="preserve">  </w:t>
            </w:r>
            <w:r>
              <w:rPr>
                <w:rFonts w:eastAsia="Times New Roman" w:cs="Times New Roman"/>
                <w:b w:val="false"/>
                <w:bCs w:val="false"/>
                <w:sz w:val="20"/>
                <w:szCs w:val="20"/>
              </w:rPr>
              <w:t>Heroin</w:t>
            </w:r>
          </w:p>
        </w:tc>
        <w:tc>
          <w:tcPr>
            <w:tcW w:w="2080" w:type="dxa"/>
            <w:tcBorders>
              <w:top w:val="single" w:sz="4" w:space="0" w:color="AAAAAA"/>
              <w:start w:val="single" w:sz="4" w:space="0" w:color="AAAAAA"/>
              <w:bottom w:val="single" w:sz="4" w:space="0" w:color="AAAAAA"/>
              <w:end w:val="single" w:sz="4" w:space="0" w:color="AAAAAA"/>
            </w:tcBorders>
            <w:shd w:fill="FFFFFF" w:val="clear"/>
          </w:tcPr>
          <w:p>
            <w:pPr>
              <w:pStyle w:val="Normal"/>
              <w:jc w:val="center"/>
              <w:rPr/>
            </w:pPr>
            <w:r>
              <w:rPr>
                <w:rFonts w:eastAsia="Times New Roman" w:cs="Times New Roman"/>
                <w:b w:val="false"/>
                <w:bCs w:val="false"/>
                <w:sz w:val="20"/>
                <w:szCs w:val="20"/>
              </w:rPr>
              <w:t>3</w:t>
            </w:r>
          </w:p>
        </w:tc>
        <w:tc>
          <w:tcPr>
            <w:tcW w:w="2080" w:type="dxa"/>
            <w:tcBorders>
              <w:top w:val="single" w:sz="4" w:space="0" w:color="AAAAAA"/>
              <w:start w:val="single" w:sz="4" w:space="0" w:color="AAAAAA"/>
              <w:bottom w:val="single" w:sz="4" w:space="0" w:color="AAAAAA"/>
              <w:end w:val="single" w:sz="4" w:space="0" w:color="AAAAAA"/>
            </w:tcBorders>
            <w:shd w:fill="FFFFFF" w:val="clear"/>
          </w:tcPr>
          <w:p>
            <w:pPr>
              <w:pStyle w:val="Normal"/>
              <w:jc w:val="center"/>
              <w:rPr/>
            </w:pPr>
            <w:r>
              <w:rPr>
                <w:rFonts w:eastAsia="Times New Roman" w:cs="Times New Roman"/>
                <w:b w:val="false"/>
                <w:bCs w:val="false"/>
                <w:sz w:val="20"/>
                <w:szCs w:val="20"/>
              </w:rPr>
              <w:t>5.5</w:t>
            </w:r>
          </w:p>
        </w:tc>
      </w:tr>
      <w:tr>
        <w:trPr/>
        <w:tc>
          <w:tcPr>
            <w:tcW w:w="5200" w:type="dxa"/>
            <w:tcBorders>
              <w:top w:val="single" w:sz="4" w:space="0" w:color="AAAAAA"/>
              <w:start w:val="single" w:sz="4" w:space="0" w:color="AAAAAA"/>
              <w:bottom w:val="single" w:sz="4" w:space="0" w:color="AAAAAA"/>
              <w:end w:val="single" w:sz="4" w:space="0" w:color="AAAAAA"/>
            </w:tcBorders>
            <w:shd w:fill="EBF3FB" w:val="clear"/>
          </w:tcPr>
          <w:p>
            <w:pPr>
              <w:pStyle w:val="Normal"/>
              <w:jc w:val="start"/>
              <w:rPr/>
            </w:pPr>
            <w:r>
              <w:rPr>
                <w:rFonts w:eastAsia="Times New Roman" w:cs="Times New Roman"/>
                <w:b w:val="false"/>
                <w:bCs w:val="false"/>
                <w:sz w:val="20"/>
                <w:szCs w:val="20"/>
              </w:rPr>
              <w:t xml:space="preserve">  </w:t>
            </w:r>
            <w:r>
              <w:rPr>
                <w:rFonts w:eastAsia="Times New Roman" w:cs="Times New Roman"/>
                <w:b w:val="false"/>
                <w:bCs w:val="false"/>
                <w:sz w:val="20"/>
                <w:szCs w:val="20"/>
              </w:rPr>
              <w:t>Oxycodone</w:t>
            </w:r>
          </w:p>
        </w:tc>
        <w:tc>
          <w:tcPr>
            <w:tcW w:w="2080" w:type="dxa"/>
            <w:tcBorders>
              <w:top w:val="single" w:sz="4" w:space="0" w:color="AAAAAA"/>
              <w:start w:val="single" w:sz="4" w:space="0" w:color="AAAAAA"/>
              <w:bottom w:val="single" w:sz="4" w:space="0" w:color="AAAAAA"/>
              <w:end w:val="single" w:sz="4" w:space="0" w:color="AAAAAA"/>
            </w:tcBorders>
            <w:shd w:fill="EBF3FB" w:val="clear"/>
          </w:tcPr>
          <w:p>
            <w:pPr>
              <w:pStyle w:val="Normal"/>
              <w:jc w:val="center"/>
              <w:rPr/>
            </w:pPr>
            <w:r>
              <w:rPr>
                <w:rFonts w:eastAsia="Times New Roman" w:cs="Times New Roman"/>
                <w:b w:val="false"/>
                <w:bCs w:val="false"/>
                <w:sz w:val="20"/>
                <w:szCs w:val="20"/>
              </w:rPr>
              <w:t>4</w:t>
            </w:r>
          </w:p>
        </w:tc>
        <w:tc>
          <w:tcPr>
            <w:tcW w:w="2080" w:type="dxa"/>
            <w:tcBorders>
              <w:top w:val="single" w:sz="4" w:space="0" w:color="AAAAAA"/>
              <w:start w:val="single" w:sz="4" w:space="0" w:color="AAAAAA"/>
              <w:bottom w:val="single" w:sz="4" w:space="0" w:color="AAAAAA"/>
              <w:end w:val="single" w:sz="4" w:space="0" w:color="AAAAAA"/>
            </w:tcBorders>
            <w:shd w:fill="EBF3FB" w:val="clear"/>
          </w:tcPr>
          <w:p>
            <w:pPr>
              <w:pStyle w:val="Normal"/>
              <w:jc w:val="center"/>
              <w:rPr/>
            </w:pPr>
            <w:r>
              <w:rPr>
                <w:rFonts w:eastAsia="Times New Roman" w:cs="Times New Roman"/>
                <w:b w:val="false"/>
                <w:bCs w:val="false"/>
                <w:sz w:val="20"/>
                <w:szCs w:val="20"/>
              </w:rPr>
              <w:t>7.3</w:t>
            </w:r>
          </w:p>
        </w:tc>
      </w:tr>
      <w:tr>
        <w:trPr/>
        <w:tc>
          <w:tcPr>
            <w:tcW w:w="5200" w:type="dxa"/>
            <w:tcBorders>
              <w:top w:val="single" w:sz="4" w:space="0" w:color="AAAAAA"/>
              <w:start w:val="single" w:sz="4" w:space="0" w:color="AAAAAA"/>
              <w:bottom w:val="single" w:sz="4" w:space="0" w:color="AAAAAA"/>
              <w:end w:val="single" w:sz="4" w:space="0" w:color="AAAAAA"/>
            </w:tcBorders>
            <w:shd w:fill="FFFFFF" w:val="clear"/>
          </w:tcPr>
          <w:p>
            <w:pPr>
              <w:pStyle w:val="Normal"/>
              <w:jc w:val="start"/>
              <w:rPr/>
            </w:pPr>
            <w:r>
              <w:rPr>
                <w:rFonts w:eastAsia="Times New Roman" w:cs="Times New Roman"/>
                <w:b w:val="false"/>
                <w:bCs w:val="false"/>
                <w:sz w:val="20"/>
                <w:szCs w:val="20"/>
              </w:rPr>
              <w:t xml:space="preserve">  </w:t>
            </w:r>
            <w:r>
              <w:rPr>
                <w:rFonts w:eastAsia="Times New Roman" w:cs="Times New Roman"/>
                <w:b w:val="false"/>
                <w:bCs w:val="false"/>
                <w:sz w:val="20"/>
                <w:szCs w:val="20"/>
              </w:rPr>
              <w:t>Fentanyl</w:t>
            </w:r>
          </w:p>
        </w:tc>
        <w:tc>
          <w:tcPr>
            <w:tcW w:w="2080" w:type="dxa"/>
            <w:tcBorders>
              <w:top w:val="single" w:sz="4" w:space="0" w:color="AAAAAA"/>
              <w:start w:val="single" w:sz="4" w:space="0" w:color="AAAAAA"/>
              <w:bottom w:val="single" w:sz="4" w:space="0" w:color="AAAAAA"/>
              <w:end w:val="single" w:sz="4" w:space="0" w:color="AAAAAA"/>
            </w:tcBorders>
            <w:shd w:fill="FFFFFF" w:val="clear"/>
          </w:tcPr>
          <w:p>
            <w:pPr>
              <w:pStyle w:val="Normal"/>
              <w:jc w:val="center"/>
              <w:rPr/>
            </w:pPr>
            <w:r>
              <w:rPr>
                <w:rFonts w:eastAsia="Times New Roman" w:cs="Times New Roman"/>
                <w:b w:val="false"/>
                <w:bCs w:val="false"/>
                <w:sz w:val="20"/>
                <w:szCs w:val="20"/>
              </w:rPr>
              <w:t>2</w:t>
            </w:r>
          </w:p>
        </w:tc>
        <w:tc>
          <w:tcPr>
            <w:tcW w:w="2080" w:type="dxa"/>
            <w:tcBorders>
              <w:top w:val="single" w:sz="4" w:space="0" w:color="AAAAAA"/>
              <w:start w:val="single" w:sz="4" w:space="0" w:color="AAAAAA"/>
              <w:bottom w:val="single" w:sz="4" w:space="0" w:color="AAAAAA"/>
              <w:end w:val="single" w:sz="4" w:space="0" w:color="AAAAAA"/>
            </w:tcBorders>
            <w:shd w:fill="FFFFFF" w:val="clear"/>
          </w:tcPr>
          <w:p>
            <w:pPr>
              <w:pStyle w:val="Normal"/>
              <w:jc w:val="center"/>
              <w:rPr/>
            </w:pPr>
            <w:r>
              <w:rPr>
                <w:rFonts w:eastAsia="Times New Roman" w:cs="Times New Roman"/>
                <w:b w:val="false"/>
                <w:bCs w:val="false"/>
                <w:sz w:val="20"/>
                <w:szCs w:val="20"/>
              </w:rPr>
              <w:t>3.6</w:t>
            </w:r>
          </w:p>
        </w:tc>
      </w:tr>
      <w:tr>
        <w:trPr/>
        <w:tc>
          <w:tcPr>
            <w:tcW w:w="5200" w:type="dxa"/>
            <w:tcBorders>
              <w:top w:val="single" w:sz="4" w:space="0" w:color="AAAAAA"/>
              <w:start w:val="single" w:sz="4" w:space="0" w:color="AAAAAA"/>
              <w:bottom w:val="single" w:sz="4" w:space="0" w:color="AAAAAA"/>
              <w:end w:val="single" w:sz="4" w:space="0" w:color="AAAAAA"/>
            </w:tcBorders>
            <w:shd w:fill="EBF3FB" w:val="clear"/>
          </w:tcPr>
          <w:p>
            <w:pPr>
              <w:pStyle w:val="Normal"/>
              <w:jc w:val="start"/>
              <w:rPr/>
            </w:pPr>
            <w:r>
              <w:rPr>
                <w:rFonts w:eastAsia="Times New Roman" w:cs="Times New Roman"/>
                <w:b w:val="false"/>
                <w:bCs w:val="false"/>
                <w:sz w:val="20"/>
                <w:szCs w:val="20"/>
              </w:rPr>
              <w:t xml:space="preserve">  </w:t>
            </w:r>
            <w:r>
              <w:rPr>
                <w:rFonts w:eastAsia="Times New Roman" w:cs="Times New Roman"/>
                <w:b w:val="false"/>
                <w:bCs w:val="false"/>
                <w:sz w:val="20"/>
                <w:szCs w:val="20"/>
              </w:rPr>
              <w:t>Other / Unlisted</w:t>
            </w:r>
          </w:p>
        </w:tc>
        <w:tc>
          <w:tcPr>
            <w:tcW w:w="2080" w:type="dxa"/>
            <w:tcBorders>
              <w:top w:val="single" w:sz="4" w:space="0" w:color="AAAAAA"/>
              <w:start w:val="single" w:sz="4" w:space="0" w:color="AAAAAA"/>
              <w:bottom w:val="single" w:sz="4" w:space="0" w:color="AAAAAA"/>
              <w:end w:val="single" w:sz="4" w:space="0" w:color="AAAAAA"/>
            </w:tcBorders>
            <w:shd w:fill="EBF3FB" w:val="clear"/>
          </w:tcPr>
          <w:p>
            <w:pPr>
              <w:pStyle w:val="Normal"/>
              <w:jc w:val="center"/>
              <w:rPr/>
            </w:pPr>
            <w:r>
              <w:rPr>
                <w:rFonts w:eastAsia="Times New Roman" w:cs="Times New Roman"/>
                <w:b w:val="false"/>
                <w:bCs w:val="false"/>
                <w:sz w:val="20"/>
                <w:szCs w:val="20"/>
              </w:rPr>
              <w:t>3</w:t>
            </w:r>
          </w:p>
        </w:tc>
        <w:tc>
          <w:tcPr>
            <w:tcW w:w="2080" w:type="dxa"/>
            <w:tcBorders>
              <w:top w:val="single" w:sz="4" w:space="0" w:color="AAAAAA"/>
              <w:start w:val="single" w:sz="4" w:space="0" w:color="AAAAAA"/>
              <w:bottom w:val="single" w:sz="4" w:space="0" w:color="AAAAAA"/>
              <w:end w:val="single" w:sz="4" w:space="0" w:color="AAAAAA"/>
            </w:tcBorders>
            <w:shd w:fill="EBF3FB" w:val="clear"/>
          </w:tcPr>
          <w:p>
            <w:pPr>
              <w:pStyle w:val="Normal"/>
              <w:jc w:val="center"/>
              <w:rPr/>
            </w:pPr>
            <w:r>
              <w:rPr>
                <w:rFonts w:eastAsia="Times New Roman" w:cs="Times New Roman"/>
                <w:b w:val="false"/>
                <w:bCs w:val="false"/>
                <w:sz w:val="20"/>
                <w:szCs w:val="20"/>
              </w:rPr>
              <w:t>5.5</w:t>
            </w:r>
          </w:p>
        </w:tc>
      </w:tr>
      <w:tr>
        <w:trPr/>
        <w:tc>
          <w:tcPr>
            <w:tcW w:w="5200" w:type="dxa"/>
            <w:tcBorders>
              <w:top w:val="single" w:sz="4" w:space="0" w:color="AAAAAA"/>
              <w:start w:val="single" w:sz="4" w:space="0" w:color="AAAAAA"/>
              <w:bottom w:val="single" w:sz="4" w:space="0" w:color="AAAAAA"/>
              <w:end w:val="single" w:sz="4" w:space="0" w:color="AAAAAA"/>
            </w:tcBorders>
            <w:shd w:fill="FFFFFF" w:val="clear"/>
          </w:tcPr>
          <w:p>
            <w:pPr>
              <w:pStyle w:val="Normal"/>
              <w:jc w:val="start"/>
              <w:rPr/>
            </w:pPr>
            <w:r>
              <w:rPr>
                <w:rFonts w:eastAsia="Times New Roman" w:cs="Times New Roman"/>
                <w:b/>
                <w:bCs/>
                <w:sz w:val="20"/>
                <w:szCs w:val="20"/>
              </w:rPr>
              <w:t>Duration of Prior Opioid Use (N = 55)</w:t>
            </w:r>
          </w:p>
        </w:tc>
        <w:tc>
          <w:tcPr>
            <w:tcW w:w="2080" w:type="dxa"/>
            <w:tcBorders>
              <w:top w:val="single" w:sz="4" w:space="0" w:color="AAAAAA"/>
              <w:start w:val="single" w:sz="4" w:space="0" w:color="AAAAAA"/>
              <w:bottom w:val="single" w:sz="4" w:space="0" w:color="AAAAAA"/>
              <w:end w:val="single" w:sz="4" w:space="0" w:color="AAAAAA"/>
            </w:tcBorders>
            <w:shd w:fill="FFFFFF" w:val="clear"/>
          </w:tcPr>
          <w:p>
            <w:pPr>
              <w:pStyle w:val="Normal"/>
              <w:jc w:val="start"/>
              <w:rPr/>
            </w:pPr>
            <w:r>
              <w:rPr/>
            </w:r>
          </w:p>
        </w:tc>
        <w:tc>
          <w:tcPr>
            <w:tcW w:w="2080" w:type="dxa"/>
            <w:tcBorders>
              <w:top w:val="single" w:sz="4" w:space="0" w:color="AAAAAA"/>
              <w:start w:val="single" w:sz="4" w:space="0" w:color="AAAAAA"/>
              <w:bottom w:val="single" w:sz="4" w:space="0" w:color="AAAAAA"/>
              <w:end w:val="single" w:sz="4" w:space="0" w:color="AAAAAA"/>
            </w:tcBorders>
            <w:shd w:fill="FFFFFF" w:val="clear"/>
          </w:tcPr>
          <w:p>
            <w:pPr>
              <w:pStyle w:val="Normal"/>
              <w:jc w:val="start"/>
              <w:rPr/>
            </w:pPr>
            <w:r>
              <w:rPr/>
            </w:r>
          </w:p>
        </w:tc>
      </w:tr>
      <w:tr>
        <w:trPr/>
        <w:tc>
          <w:tcPr>
            <w:tcW w:w="5200" w:type="dxa"/>
            <w:tcBorders>
              <w:top w:val="single" w:sz="4" w:space="0" w:color="AAAAAA"/>
              <w:start w:val="single" w:sz="4" w:space="0" w:color="AAAAAA"/>
              <w:bottom w:val="single" w:sz="4" w:space="0" w:color="AAAAAA"/>
              <w:end w:val="single" w:sz="4" w:space="0" w:color="AAAAAA"/>
            </w:tcBorders>
            <w:shd w:fill="EBF3FB" w:val="clear"/>
          </w:tcPr>
          <w:p>
            <w:pPr>
              <w:pStyle w:val="Normal"/>
              <w:jc w:val="start"/>
              <w:rPr/>
            </w:pPr>
            <w:r>
              <w:rPr>
                <w:rFonts w:eastAsia="Times New Roman" w:cs="Times New Roman"/>
                <w:b w:val="false"/>
                <w:bCs w:val="false"/>
                <w:sz w:val="20"/>
                <w:szCs w:val="20"/>
              </w:rPr>
              <w:t xml:space="preserve">  </w:t>
            </w:r>
            <w:r>
              <w:rPr>
                <w:rFonts w:eastAsia="Times New Roman" w:cs="Times New Roman"/>
                <w:b w:val="false"/>
                <w:bCs w:val="false"/>
                <w:sz w:val="20"/>
                <w:szCs w:val="20"/>
              </w:rPr>
              <w:t>&lt; 6 months</w:t>
            </w:r>
          </w:p>
        </w:tc>
        <w:tc>
          <w:tcPr>
            <w:tcW w:w="2080" w:type="dxa"/>
            <w:tcBorders>
              <w:top w:val="single" w:sz="4" w:space="0" w:color="AAAAAA"/>
              <w:start w:val="single" w:sz="4" w:space="0" w:color="AAAAAA"/>
              <w:bottom w:val="single" w:sz="4" w:space="0" w:color="AAAAAA"/>
              <w:end w:val="single" w:sz="4" w:space="0" w:color="AAAAAA"/>
            </w:tcBorders>
            <w:shd w:fill="EBF3FB" w:val="clear"/>
          </w:tcPr>
          <w:p>
            <w:pPr>
              <w:pStyle w:val="Normal"/>
              <w:jc w:val="center"/>
              <w:rPr/>
            </w:pPr>
            <w:r>
              <w:rPr>
                <w:rFonts w:eastAsia="Times New Roman" w:cs="Times New Roman"/>
                <w:b w:val="false"/>
                <w:bCs w:val="false"/>
                <w:sz w:val="20"/>
                <w:szCs w:val="20"/>
              </w:rPr>
              <w:t>5</w:t>
            </w:r>
          </w:p>
        </w:tc>
        <w:tc>
          <w:tcPr>
            <w:tcW w:w="2080" w:type="dxa"/>
            <w:tcBorders>
              <w:top w:val="single" w:sz="4" w:space="0" w:color="AAAAAA"/>
              <w:start w:val="single" w:sz="4" w:space="0" w:color="AAAAAA"/>
              <w:bottom w:val="single" w:sz="4" w:space="0" w:color="AAAAAA"/>
              <w:end w:val="single" w:sz="4" w:space="0" w:color="AAAAAA"/>
            </w:tcBorders>
            <w:shd w:fill="EBF3FB" w:val="clear"/>
          </w:tcPr>
          <w:p>
            <w:pPr>
              <w:pStyle w:val="Normal"/>
              <w:jc w:val="center"/>
              <w:rPr/>
            </w:pPr>
            <w:r>
              <w:rPr>
                <w:rFonts w:eastAsia="Times New Roman" w:cs="Times New Roman"/>
                <w:b w:val="false"/>
                <w:bCs w:val="false"/>
                <w:sz w:val="20"/>
                <w:szCs w:val="20"/>
              </w:rPr>
              <w:t>9.1</w:t>
            </w:r>
          </w:p>
        </w:tc>
      </w:tr>
      <w:tr>
        <w:trPr/>
        <w:tc>
          <w:tcPr>
            <w:tcW w:w="5200" w:type="dxa"/>
            <w:tcBorders>
              <w:top w:val="single" w:sz="4" w:space="0" w:color="AAAAAA"/>
              <w:start w:val="single" w:sz="4" w:space="0" w:color="AAAAAA"/>
              <w:bottom w:val="single" w:sz="4" w:space="0" w:color="AAAAAA"/>
              <w:end w:val="single" w:sz="4" w:space="0" w:color="AAAAAA"/>
            </w:tcBorders>
            <w:shd w:fill="FFFFFF" w:val="clear"/>
          </w:tcPr>
          <w:p>
            <w:pPr>
              <w:pStyle w:val="Normal"/>
              <w:jc w:val="start"/>
              <w:rPr/>
            </w:pPr>
            <w:r>
              <w:rPr>
                <w:rFonts w:eastAsia="Times New Roman" w:cs="Times New Roman"/>
                <w:b w:val="false"/>
                <w:bCs w:val="false"/>
                <w:sz w:val="20"/>
                <w:szCs w:val="20"/>
              </w:rPr>
              <w:t xml:space="preserve">  </w:t>
            </w:r>
            <w:r>
              <w:rPr>
                <w:rFonts w:eastAsia="Times New Roman" w:cs="Times New Roman"/>
                <w:b w:val="false"/>
                <w:bCs w:val="false"/>
                <w:sz w:val="20"/>
                <w:szCs w:val="20"/>
              </w:rPr>
              <w:t>6–12 months</w:t>
            </w:r>
          </w:p>
        </w:tc>
        <w:tc>
          <w:tcPr>
            <w:tcW w:w="2080" w:type="dxa"/>
            <w:tcBorders>
              <w:top w:val="single" w:sz="4" w:space="0" w:color="AAAAAA"/>
              <w:start w:val="single" w:sz="4" w:space="0" w:color="AAAAAA"/>
              <w:bottom w:val="single" w:sz="4" w:space="0" w:color="AAAAAA"/>
              <w:end w:val="single" w:sz="4" w:space="0" w:color="AAAAAA"/>
            </w:tcBorders>
            <w:shd w:fill="FFFFFF" w:val="clear"/>
          </w:tcPr>
          <w:p>
            <w:pPr>
              <w:pStyle w:val="Normal"/>
              <w:jc w:val="center"/>
              <w:rPr/>
            </w:pPr>
            <w:r>
              <w:rPr>
                <w:rFonts w:eastAsia="Times New Roman" w:cs="Times New Roman"/>
                <w:b w:val="false"/>
                <w:bCs w:val="false"/>
                <w:sz w:val="20"/>
                <w:szCs w:val="20"/>
              </w:rPr>
              <w:t>11</w:t>
            </w:r>
          </w:p>
        </w:tc>
        <w:tc>
          <w:tcPr>
            <w:tcW w:w="2080" w:type="dxa"/>
            <w:tcBorders>
              <w:top w:val="single" w:sz="4" w:space="0" w:color="AAAAAA"/>
              <w:start w:val="single" w:sz="4" w:space="0" w:color="AAAAAA"/>
              <w:bottom w:val="single" w:sz="4" w:space="0" w:color="AAAAAA"/>
              <w:end w:val="single" w:sz="4" w:space="0" w:color="AAAAAA"/>
            </w:tcBorders>
            <w:shd w:fill="FFFFFF" w:val="clear"/>
          </w:tcPr>
          <w:p>
            <w:pPr>
              <w:pStyle w:val="Normal"/>
              <w:jc w:val="center"/>
              <w:rPr/>
            </w:pPr>
            <w:r>
              <w:rPr>
                <w:rFonts w:eastAsia="Times New Roman" w:cs="Times New Roman"/>
                <w:b w:val="false"/>
                <w:bCs w:val="false"/>
                <w:sz w:val="20"/>
                <w:szCs w:val="20"/>
              </w:rPr>
              <w:t>20.0</w:t>
            </w:r>
          </w:p>
        </w:tc>
      </w:tr>
      <w:tr>
        <w:trPr/>
        <w:tc>
          <w:tcPr>
            <w:tcW w:w="5200" w:type="dxa"/>
            <w:tcBorders>
              <w:top w:val="single" w:sz="4" w:space="0" w:color="AAAAAA"/>
              <w:start w:val="single" w:sz="4" w:space="0" w:color="AAAAAA"/>
              <w:bottom w:val="single" w:sz="4" w:space="0" w:color="AAAAAA"/>
              <w:end w:val="single" w:sz="4" w:space="0" w:color="AAAAAA"/>
            </w:tcBorders>
            <w:shd w:fill="EBF3FB" w:val="clear"/>
          </w:tcPr>
          <w:p>
            <w:pPr>
              <w:pStyle w:val="Normal"/>
              <w:jc w:val="start"/>
              <w:rPr/>
            </w:pPr>
            <w:r>
              <w:rPr>
                <w:rFonts w:eastAsia="Times New Roman" w:cs="Times New Roman"/>
                <w:b w:val="false"/>
                <w:bCs w:val="false"/>
                <w:sz w:val="20"/>
                <w:szCs w:val="20"/>
              </w:rPr>
              <w:t xml:space="preserve">  </w:t>
            </w:r>
            <w:r>
              <w:rPr>
                <w:rFonts w:eastAsia="Times New Roman" w:cs="Times New Roman"/>
                <w:b w:val="false"/>
                <w:bCs w:val="false"/>
                <w:sz w:val="20"/>
                <w:szCs w:val="20"/>
              </w:rPr>
              <w:t>1–3 years</w:t>
            </w:r>
          </w:p>
        </w:tc>
        <w:tc>
          <w:tcPr>
            <w:tcW w:w="2080" w:type="dxa"/>
            <w:tcBorders>
              <w:top w:val="single" w:sz="4" w:space="0" w:color="AAAAAA"/>
              <w:start w:val="single" w:sz="4" w:space="0" w:color="AAAAAA"/>
              <w:bottom w:val="single" w:sz="4" w:space="0" w:color="AAAAAA"/>
              <w:end w:val="single" w:sz="4" w:space="0" w:color="AAAAAA"/>
            </w:tcBorders>
            <w:shd w:fill="EBF3FB" w:val="clear"/>
          </w:tcPr>
          <w:p>
            <w:pPr>
              <w:pStyle w:val="Normal"/>
              <w:jc w:val="center"/>
              <w:rPr/>
            </w:pPr>
            <w:r>
              <w:rPr>
                <w:rFonts w:eastAsia="Times New Roman" w:cs="Times New Roman"/>
                <w:b w:val="false"/>
                <w:bCs w:val="false"/>
                <w:sz w:val="20"/>
                <w:szCs w:val="20"/>
              </w:rPr>
              <w:t>21</w:t>
            </w:r>
          </w:p>
        </w:tc>
        <w:tc>
          <w:tcPr>
            <w:tcW w:w="2080" w:type="dxa"/>
            <w:tcBorders>
              <w:top w:val="single" w:sz="4" w:space="0" w:color="AAAAAA"/>
              <w:start w:val="single" w:sz="4" w:space="0" w:color="AAAAAA"/>
              <w:bottom w:val="single" w:sz="4" w:space="0" w:color="AAAAAA"/>
              <w:end w:val="single" w:sz="4" w:space="0" w:color="AAAAAA"/>
            </w:tcBorders>
            <w:shd w:fill="EBF3FB" w:val="clear"/>
          </w:tcPr>
          <w:p>
            <w:pPr>
              <w:pStyle w:val="Normal"/>
              <w:jc w:val="center"/>
              <w:rPr/>
            </w:pPr>
            <w:r>
              <w:rPr>
                <w:rFonts w:eastAsia="Times New Roman" w:cs="Times New Roman"/>
                <w:b w:val="false"/>
                <w:bCs w:val="false"/>
                <w:sz w:val="20"/>
                <w:szCs w:val="20"/>
              </w:rPr>
              <w:t>38.2</w:t>
            </w:r>
          </w:p>
        </w:tc>
      </w:tr>
      <w:tr>
        <w:trPr/>
        <w:tc>
          <w:tcPr>
            <w:tcW w:w="5200" w:type="dxa"/>
            <w:tcBorders>
              <w:top w:val="single" w:sz="4" w:space="0" w:color="AAAAAA"/>
              <w:start w:val="single" w:sz="4" w:space="0" w:color="AAAAAA"/>
              <w:bottom w:val="single" w:sz="4" w:space="0" w:color="AAAAAA"/>
              <w:end w:val="single" w:sz="4" w:space="0" w:color="AAAAAA"/>
            </w:tcBorders>
            <w:shd w:fill="FFFFFF" w:val="clear"/>
          </w:tcPr>
          <w:p>
            <w:pPr>
              <w:pStyle w:val="Normal"/>
              <w:jc w:val="start"/>
              <w:rPr/>
            </w:pPr>
            <w:r>
              <w:rPr>
                <w:rFonts w:eastAsia="Times New Roman" w:cs="Times New Roman"/>
                <w:b w:val="false"/>
                <w:bCs w:val="false"/>
                <w:sz w:val="20"/>
                <w:szCs w:val="20"/>
              </w:rPr>
              <w:t xml:space="preserve">  </w:t>
            </w:r>
            <w:r>
              <w:rPr>
                <w:rFonts w:eastAsia="Times New Roman" w:cs="Times New Roman"/>
                <w:b w:val="false"/>
                <w:bCs w:val="false"/>
                <w:sz w:val="20"/>
                <w:szCs w:val="20"/>
              </w:rPr>
              <w:t>3+ years</w:t>
            </w:r>
          </w:p>
        </w:tc>
        <w:tc>
          <w:tcPr>
            <w:tcW w:w="2080" w:type="dxa"/>
            <w:tcBorders>
              <w:top w:val="single" w:sz="4" w:space="0" w:color="AAAAAA"/>
              <w:start w:val="single" w:sz="4" w:space="0" w:color="AAAAAA"/>
              <w:bottom w:val="single" w:sz="4" w:space="0" w:color="AAAAAA"/>
              <w:end w:val="single" w:sz="4" w:space="0" w:color="AAAAAA"/>
            </w:tcBorders>
            <w:shd w:fill="FFFFFF" w:val="clear"/>
          </w:tcPr>
          <w:p>
            <w:pPr>
              <w:pStyle w:val="Normal"/>
              <w:jc w:val="center"/>
              <w:rPr/>
            </w:pPr>
            <w:r>
              <w:rPr>
                <w:rFonts w:eastAsia="Times New Roman" w:cs="Times New Roman"/>
                <w:b w:val="false"/>
                <w:bCs w:val="false"/>
                <w:sz w:val="20"/>
                <w:szCs w:val="20"/>
              </w:rPr>
              <w:t>18</w:t>
            </w:r>
          </w:p>
        </w:tc>
        <w:tc>
          <w:tcPr>
            <w:tcW w:w="2080" w:type="dxa"/>
            <w:tcBorders>
              <w:top w:val="single" w:sz="4" w:space="0" w:color="AAAAAA"/>
              <w:start w:val="single" w:sz="4" w:space="0" w:color="AAAAAA"/>
              <w:bottom w:val="single" w:sz="4" w:space="0" w:color="AAAAAA"/>
              <w:end w:val="single" w:sz="4" w:space="0" w:color="AAAAAA"/>
            </w:tcBorders>
            <w:shd w:fill="FFFFFF" w:val="clear"/>
          </w:tcPr>
          <w:p>
            <w:pPr>
              <w:pStyle w:val="Normal"/>
              <w:jc w:val="center"/>
              <w:rPr/>
            </w:pPr>
            <w:r>
              <w:rPr>
                <w:rFonts w:eastAsia="Times New Roman" w:cs="Times New Roman"/>
                <w:b w:val="false"/>
                <w:bCs w:val="false"/>
                <w:sz w:val="20"/>
                <w:szCs w:val="20"/>
              </w:rPr>
              <w:t>32.7</w:t>
            </w:r>
          </w:p>
        </w:tc>
      </w:tr>
      <w:tr>
        <w:trPr/>
        <w:tc>
          <w:tcPr>
            <w:tcW w:w="5200" w:type="dxa"/>
            <w:tcBorders>
              <w:top w:val="single" w:sz="4" w:space="0" w:color="AAAAAA"/>
              <w:start w:val="single" w:sz="4" w:space="0" w:color="AAAAAA"/>
              <w:bottom w:val="single" w:sz="4" w:space="0" w:color="AAAAAA"/>
              <w:end w:val="single" w:sz="4" w:space="0" w:color="AAAAAA"/>
            </w:tcBorders>
            <w:shd w:fill="FFFFFF" w:val="clear"/>
          </w:tcPr>
          <w:p>
            <w:pPr>
              <w:pStyle w:val="Normal"/>
              <w:jc w:val="start"/>
              <w:rPr/>
            </w:pPr>
            <w:r>
              <w:rPr>
                <w:rFonts w:eastAsia="Times New Roman" w:cs="Times New Roman"/>
                <w:b/>
                <w:bCs/>
                <w:sz w:val="20"/>
                <w:szCs w:val="20"/>
              </w:rPr>
              <w:t>Self-Reported Tolerance Level (N = 55)</w:t>
            </w:r>
          </w:p>
        </w:tc>
        <w:tc>
          <w:tcPr>
            <w:tcW w:w="2080" w:type="dxa"/>
            <w:tcBorders>
              <w:top w:val="single" w:sz="4" w:space="0" w:color="AAAAAA"/>
              <w:start w:val="single" w:sz="4" w:space="0" w:color="AAAAAA"/>
              <w:bottom w:val="single" w:sz="4" w:space="0" w:color="AAAAAA"/>
              <w:end w:val="single" w:sz="4" w:space="0" w:color="AAAAAA"/>
            </w:tcBorders>
            <w:shd w:fill="FFFFFF" w:val="clear"/>
          </w:tcPr>
          <w:p>
            <w:pPr>
              <w:pStyle w:val="Normal"/>
              <w:jc w:val="start"/>
              <w:rPr/>
            </w:pPr>
            <w:r>
              <w:rPr/>
            </w:r>
          </w:p>
        </w:tc>
        <w:tc>
          <w:tcPr>
            <w:tcW w:w="2080" w:type="dxa"/>
            <w:tcBorders>
              <w:top w:val="single" w:sz="4" w:space="0" w:color="AAAAAA"/>
              <w:start w:val="single" w:sz="4" w:space="0" w:color="AAAAAA"/>
              <w:bottom w:val="single" w:sz="4" w:space="0" w:color="AAAAAA"/>
              <w:end w:val="single" w:sz="4" w:space="0" w:color="AAAAAA"/>
            </w:tcBorders>
            <w:shd w:fill="FFFFFF" w:val="clear"/>
          </w:tcPr>
          <w:p>
            <w:pPr>
              <w:pStyle w:val="Normal"/>
              <w:jc w:val="start"/>
              <w:rPr/>
            </w:pPr>
            <w:r>
              <w:rPr/>
            </w:r>
          </w:p>
        </w:tc>
      </w:tr>
      <w:tr>
        <w:trPr/>
        <w:tc>
          <w:tcPr>
            <w:tcW w:w="5200" w:type="dxa"/>
            <w:tcBorders>
              <w:top w:val="single" w:sz="4" w:space="0" w:color="AAAAAA"/>
              <w:start w:val="single" w:sz="4" w:space="0" w:color="AAAAAA"/>
              <w:bottom w:val="single" w:sz="4" w:space="0" w:color="AAAAAA"/>
              <w:end w:val="single" w:sz="4" w:space="0" w:color="AAAAAA"/>
            </w:tcBorders>
            <w:shd w:fill="EBF3FB" w:val="clear"/>
          </w:tcPr>
          <w:p>
            <w:pPr>
              <w:pStyle w:val="Normal"/>
              <w:jc w:val="start"/>
              <w:rPr/>
            </w:pPr>
            <w:r>
              <w:rPr>
                <w:rFonts w:eastAsia="Times New Roman" w:cs="Times New Roman"/>
                <w:b w:val="false"/>
                <w:bCs w:val="false"/>
                <w:sz w:val="20"/>
                <w:szCs w:val="20"/>
              </w:rPr>
              <w:t xml:space="preserve">  </w:t>
            </w:r>
            <w:r>
              <w:rPr>
                <w:rFonts w:eastAsia="Times New Roman" w:cs="Times New Roman"/>
                <w:b w:val="false"/>
                <w:bCs w:val="false"/>
                <w:sz w:val="20"/>
                <w:szCs w:val="20"/>
              </w:rPr>
              <w:t>Low</w:t>
            </w:r>
          </w:p>
        </w:tc>
        <w:tc>
          <w:tcPr>
            <w:tcW w:w="2080" w:type="dxa"/>
            <w:tcBorders>
              <w:top w:val="single" w:sz="4" w:space="0" w:color="AAAAAA"/>
              <w:start w:val="single" w:sz="4" w:space="0" w:color="AAAAAA"/>
              <w:bottom w:val="single" w:sz="4" w:space="0" w:color="AAAAAA"/>
              <w:end w:val="single" w:sz="4" w:space="0" w:color="AAAAAA"/>
            </w:tcBorders>
            <w:shd w:fill="EBF3FB" w:val="clear"/>
          </w:tcPr>
          <w:p>
            <w:pPr>
              <w:pStyle w:val="Normal"/>
              <w:jc w:val="center"/>
              <w:rPr/>
            </w:pPr>
            <w:r>
              <w:rPr>
                <w:rFonts w:eastAsia="Times New Roman" w:cs="Times New Roman"/>
                <w:b w:val="false"/>
                <w:bCs w:val="false"/>
                <w:sz w:val="20"/>
                <w:szCs w:val="20"/>
              </w:rPr>
              <w:t>1</w:t>
            </w:r>
          </w:p>
        </w:tc>
        <w:tc>
          <w:tcPr>
            <w:tcW w:w="2080" w:type="dxa"/>
            <w:tcBorders>
              <w:top w:val="single" w:sz="4" w:space="0" w:color="AAAAAA"/>
              <w:start w:val="single" w:sz="4" w:space="0" w:color="AAAAAA"/>
              <w:bottom w:val="single" w:sz="4" w:space="0" w:color="AAAAAA"/>
              <w:end w:val="single" w:sz="4" w:space="0" w:color="AAAAAA"/>
            </w:tcBorders>
            <w:shd w:fill="EBF3FB" w:val="clear"/>
          </w:tcPr>
          <w:p>
            <w:pPr>
              <w:pStyle w:val="Normal"/>
              <w:jc w:val="center"/>
              <w:rPr/>
            </w:pPr>
            <w:r>
              <w:rPr>
                <w:rFonts w:eastAsia="Times New Roman" w:cs="Times New Roman"/>
                <w:b w:val="false"/>
                <w:bCs w:val="false"/>
                <w:sz w:val="20"/>
                <w:szCs w:val="20"/>
              </w:rPr>
              <w:t>1.8</w:t>
            </w:r>
          </w:p>
        </w:tc>
      </w:tr>
      <w:tr>
        <w:trPr/>
        <w:tc>
          <w:tcPr>
            <w:tcW w:w="5200" w:type="dxa"/>
            <w:tcBorders>
              <w:top w:val="single" w:sz="4" w:space="0" w:color="AAAAAA"/>
              <w:start w:val="single" w:sz="4" w:space="0" w:color="AAAAAA"/>
              <w:bottom w:val="single" w:sz="4" w:space="0" w:color="AAAAAA"/>
              <w:end w:val="single" w:sz="4" w:space="0" w:color="AAAAAA"/>
            </w:tcBorders>
            <w:shd w:fill="FFFFFF" w:val="clear"/>
          </w:tcPr>
          <w:p>
            <w:pPr>
              <w:pStyle w:val="Normal"/>
              <w:jc w:val="start"/>
              <w:rPr/>
            </w:pPr>
            <w:r>
              <w:rPr>
                <w:rFonts w:eastAsia="Times New Roman" w:cs="Times New Roman"/>
                <w:b w:val="false"/>
                <w:bCs w:val="false"/>
                <w:sz w:val="20"/>
                <w:szCs w:val="20"/>
              </w:rPr>
              <w:t xml:space="preserve">  </w:t>
            </w:r>
            <w:r>
              <w:rPr>
                <w:rFonts w:eastAsia="Times New Roman" w:cs="Times New Roman"/>
                <w:b w:val="false"/>
                <w:bCs w:val="false"/>
                <w:sz w:val="20"/>
                <w:szCs w:val="20"/>
              </w:rPr>
              <w:t>Moderate</w:t>
            </w:r>
          </w:p>
        </w:tc>
        <w:tc>
          <w:tcPr>
            <w:tcW w:w="2080" w:type="dxa"/>
            <w:tcBorders>
              <w:top w:val="single" w:sz="4" w:space="0" w:color="AAAAAA"/>
              <w:start w:val="single" w:sz="4" w:space="0" w:color="AAAAAA"/>
              <w:bottom w:val="single" w:sz="4" w:space="0" w:color="AAAAAA"/>
              <w:end w:val="single" w:sz="4" w:space="0" w:color="AAAAAA"/>
            </w:tcBorders>
            <w:shd w:fill="FFFFFF" w:val="clear"/>
          </w:tcPr>
          <w:p>
            <w:pPr>
              <w:pStyle w:val="Normal"/>
              <w:jc w:val="center"/>
              <w:rPr/>
            </w:pPr>
            <w:r>
              <w:rPr>
                <w:rFonts w:eastAsia="Times New Roman" w:cs="Times New Roman"/>
                <w:b w:val="false"/>
                <w:bCs w:val="false"/>
                <w:sz w:val="20"/>
                <w:szCs w:val="20"/>
              </w:rPr>
              <w:t>20</w:t>
            </w:r>
          </w:p>
        </w:tc>
        <w:tc>
          <w:tcPr>
            <w:tcW w:w="2080" w:type="dxa"/>
            <w:tcBorders>
              <w:top w:val="single" w:sz="4" w:space="0" w:color="AAAAAA"/>
              <w:start w:val="single" w:sz="4" w:space="0" w:color="AAAAAA"/>
              <w:bottom w:val="single" w:sz="4" w:space="0" w:color="AAAAAA"/>
              <w:end w:val="single" w:sz="4" w:space="0" w:color="AAAAAA"/>
            </w:tcBorders>
            <w:shd w:fill="FFFFFF" w:val="clear"/>
          </w:tcPr>
          <w:p>
            <w:pPr>
              <w:pStyle w:val="Normal"/>
              <w:jc w:val="center"/>
              <w:rPr/>
            </w:pPr>
            <w:r>
              <w:rPr>
                <w:rFonts w:eastAsia="Times New Roman" w:cs="Times New Roman"/>
                <w:b w:val="false"/>
                <w:bCs w:val="false"/>
                <w:sz w:val="20"/>
                <w:szCs w:val="20"/>
              </w:rPr>
              <w:t>36.4</w:t>
            </w:r>
          </w:p>
        </w:tc>
      </w:tr>
      <w:tr>
        <w:trPr/>
        <w:tc>
          <w:tcPr>
            <w:tcW w:w="5200" w:type="dxa"/>
            <w:tcBorders>
              <w:top w:val="single" w:sz="4" w:space="0" w:color="AAAAAA"/>
              <w:start w:val="single" w:sz="4" w:space="0" w:color="AAAAAA"/>
              <w:bottom w:val="single" w:sz="4" w:space="0" w:color="AAAAAA"/>
              <w:end w:val="single" w:sz="4" w:space="0" w:color="AAAAAA"/>
            </w:tcBorders>
            <w:shd w:fill="EBF3FB" w:val="clear"/>
          </w:tcPr>
          <w:p>
            <w:pPr>
              <w:pStyle w:val="Normal"/>
              <w:jc w:val="start"/>
              <w:rPr/>
            </w:pPr>
            <w:r>
              <w:rPr>
                <w:rFonts w:eastAsia="Times New Roman" w:cs="Times New Roman"/>
                <w:b w:val="false"/>
                <w:bCs w:val="false"/>
                <w:sz w:val="20"/>
                <w:szCs w:val="20"/>
              </w:rPr>
              <w:t xml:space="preserve">  </w:t>
            </w:r>
            <w:r>
              <w:rPr>
                <w:rFonts w:eastAsia="Times New Roman" w:cs="Times New Roman"/>
                <w:b w:val="false"/>
                <w:bCs w:val="false"/>
                <w:sz w:val="20"/>
                <w:szCs w:val="20"/>
              </w:rPr>
              <w:t>High</w:t>
            </w:r>
          </w:p>
        </w:tc>
        <w:tc>
          <w:tcPr>
            <w:tcW w:w="2080" w:type="dxa"/>
            <w:tcBorders>
              <w:top w:val="single" w:sz="4" w:space="0" w:color="AAAAAA"/>
              <w:start w:val="single" w:sz="4" w:space="0" w:color="AAAAAA"/>
              <w:bottom w:val="single" w:sz="4" w:space="0" w:color="AAAAAA"/>
              <w:end w:val="single" w:sz="4" w:space="0" w:color="AAAAAA"/>
            </w:tcBorders>
            <w:shd w:fill="EBF3FB" w:val="clear"/>
          </w:tcPr>
          <w:p>
            <w:pPr>
              <w:pStyle w:val="Normal"/>
              <w:jc w:val="center"/>
              <w:rPr/>
            </w:pPr>
            <w:r>
              <w:rPr>
                <w:rFonts w:eastAsia="Times New Roman" w:cs="Times New Roman"/>
                <w:b w:val="false"/>
                <w:bCs w:val="false"/>
                <w:sz w:val="20"/>
                <w:szCs w:val="20"/>
              </w:rPr>
              <w:t>34</w:t>
            </w:r>
          </w:p>
        </w:tc>
        <w:tc>
          <w:tcPr>
            <w:tcW w:w="2080" w:type="dxa"/>
            <w:tcBorders>
              <w:top w:val="single" w:sz="4" w:space="0" w:color="AAAAAA"/>
              <w:start w:val="single" w:sz="4" w:space="0" w:color="AAAAAA"/>
              <w:bottom w:val="single" w:sz="4" w:space="0" w:color="AAAAAA"/>
              <w:end w:val="single" w:sz="4" w:space="0" w:color="AAAAAA"/>
            </w:tcBorders>
            <w:shd w:fill="EBF3FB" w:val="clear"/>
          </w:tcPr>
          <w:p>
            <w:pPr>
              <w:pStyle w:val="Normal"/>
              <w:jc w:val="center"/>
              <w:rPr/>
            </w:pPr>
            <w:r>
              <w:rPr>
                <w:rFonts w:eastAsia="Times New Roman" w:cs="Times New Roman"/>
                <w:b w:val="false"/>
                <w:bCs w:val="false"/>
                <w:sz w:val="20"/>
                <w:szCs w:val="20"/>
              </w:rPr>
              <w:t>61.8</w:t>
            </w:r>
          </w:p>
        </w:tc>
      </w:tr>
      <w:tr>
        <w:trPr/>
        <w:tc>
          <w:tcPr>
            <w:tcW w:w="5200" w:type="dxa"/>
            <w:tcBorders>
              <w:top w:val="single" w:sz="4" w:space="0" w:color="AAAAAA"/>
              <w:start w:val="single" w:sz="4" w:space="0" w:color="AAAAAA"/>
              <w:bottom w:val="single" w:sz="4" w:space="0" w:color="AAAAAA"/>
              <w:end w:val="single" w:sz="4" w:space="0" w:color="AAAAAA"/>
            </w:tcBorders>
            <w:shd w:fill="FFFFFF" w:val="clear"/>
          </w:tcPr>
          <w:p>
            <w:pPr>
              <w:pStyle w:val="Normal"/>
              <w:jc w:val="start"/>
              <w:rPr/>
            </w:pPr>
            <w:r>
              <w:rPr>
                <w:rFonts w:eastAsia="Times New Roman" w:cs="Times New Roman"/>
                <w:b/>
                <w:bCs/>
                <w:sz w:val="20"/>
                <w:szCs w:val="20"/>
              </w:rPr>
              <w:t>Prior Detoxification Attempts (N = 55)</w:t>
            </w:r>
          </w:p>
        </w:tc>
        <w:tc>
          <w:tcPr>
            <w:tcW w:w="2080" w:type="dxa"/>
            <w:tcBorders>
              <w:top w:val="single" w:sz="4" w:space="0" w:color="AAAAAA"/>
              <w:start w:val="single" w:sz="4" w:space="0" w:color="AAAAAA"/>
              <w:bottom w:val="single" w:sz="4" w:space="0" w:color="AAAAAA"/>
              <w:end w:val="single" w:sz="4" w:space="0" w:color="AAAAAA"/>
            </w:tcBorders>
            <w:shd w:fill="FFFFFF" w:val="clear"/>
          </w:tcPr>
          <w:p>
            <w:pPr>
              <w:pStyle w:val="Normal"/>
              <w:jc w:val="start"/>
              <w:rPr/>
            </w:pPr>
            <w:r>
              <w:rPr/>
            </w:r>
          </w:p>
        </w:tc>
        <w:tc>
          <w:tcPr>
            <w:tcW w:w="2080" w:type="dxa"/>
            <w:tcBorders>
              <w:top w:val="single" w:sz="4" w:space="0" w:color="AAAAAA"/>
              <w:start w:val="single" w:sz="4" w:space="0" w:color="AAAAAA"/>
              <w:bottom w:val="single" w:sz="4" w:space="0" w:color="AAAAAA"/>
              <w:end w:val="single" w:sz="4" w:space="0" w:color="AAAAAA"/>
            </w:tcBorders>
            <w:shd w:fill="FFFFFF" w:val="clear"/>
          </w:tcPr>
          <w:p>
            <w:pPr>
              <w:pStyle w:val="Normal"/>
              <w:jc w:val="start"/>
              <w:rPr/>
            </w:pPr>
            <w:r>
              <w:rPr/>
            </w:r>
          </w:p>
        </w:tc>
      </w:tr>
      <w:tr>
        <w:trPr/>
        <w:tc>
          <w:tcPr>
            <w:tcW w:w="5200" w:type="dxa"/>
            <w:tcBorders>
              <w:top w:val="single" w:sz="4" w:space="0" w:color="AAAAAA"/>
              <w:start w:val="single" w:sz="4" w:space="0" w:color="AAAAAA"/>
              <w:bottom w:val="single" w:sz="4" w:space="0" w:color="AAAAAA"/>
              <w:end w:val="single" w:sz="4" w:space="0" w:color="AAAAAA"/>
            </w:tcBorders>
            <w:shd w:fill="EBF3FB" w:val="clear"/>
          </w:tcPr>
          <w:p>
            <w:pPr>
              <w:pStyle w:val="Normal"/>
              <w:jc w:val="start"/>
              <w:rPr/>
            </w:pPr>
            <w:r>
              <w:rPr>
                <w:rFonts w:eastAsia="Times New Roman" w:cs="Times New Roman"/>
                <w:b w:val="false"/>
                <w:bCs w:val="false"/>
                <w:sz w:val="20"/>
                <w:szCs w:val="20"/>
              </w:rPr>
              <w:t xml:space="preserve">  </w:t>
            </w:r>
            <w:r>
              <w:rPr>
                <w:rFonts w:eastAsia="Times New Roman" w:cs="Times New Roman"/>
                <w:b w:val="false"/>
                <w:bCs w:val="false"/>
                <w:sz w:val="20"/>
                <w:szCs w:val="20"/>
              </w:rPr>
              <w:t>1–2 attempts</w:t>
            </w:r>
          </w:p>
        </w:tc>
        <w:tc>
          <w:tcPr>
            <w:tcW w:w="2080" w:type="dxa"/>
            <w:tcBorders>
              <w:top w:val="single" w:sz="4" w:space="0" w:color="AAAAAA"/>
              <w:start w:val="single" w:sz="4" w:space="0" w:color="AAAAAA"/>
              <w:bottom w:val="single" w:sz="4" w:space="0" w:color="AAAAAA"/>
              <w:end w:val="single" w:sz="4" w:space="0" w:color="AAAAAA"/>
            </w:tcBorders>
            <w:shd w:fill="EBF3FB" w:val="clear"/>
          </w:tcPr>
          <w:p>
            <w:pPr>
              <w:pStyle w:val="Normal"/>
              <w:jc w:val="center"/>
              <w:rPr/>
            </w:pPr>
            <w:r>
              <w:rPr>
                <w:rFonts w:eastAsia="Times New Roman" w:cs="Times New Roman"/>
                <w:b w:val="false"/>
                <w:bCs w:val="false"/>
                <w:sz w:val="20"/>
                <w:szCs w:val="20"/>
              </w:rPr>
              <w:t>17</w:t>
            </w:r>
          </w:p>
        </w:tc>
        <w:tc>
          <w:tcPr>
            <w:tcW w:w="2080" w:type="dxa"/>
            <w:tcBorders>
              <w:top w:val="single" w:sz="4" w:space="0" w:color="AAAAAA"/>
              <w:start w:val="single" w:sz="4" w:space="0" w:color="AAAAAA"/>
              <w:bottom w:val="single" w:sz="4" w:space="0" w:color="AAAAAA"/>
              <w:end w:val="single" w:sz="4" w:space="0" w:color="AAAAAA"/>
            </w:tcBorders>
            <w:shd w:fill="EBF3FB" w:val="clear"/>
          </w:tcPr>
          <w:p>
            <w:pPr>
              <w:pStyle w:val="Normal"/>
              <w:jc w:val="center"/>
              <w:rPr/>
            </w:pPr>
            <w:r>
              <w:rPr>
                <w:rFonts w:eastAsia="Times New Roman" w:cs="Times New Roman"/>
                <w:b w:val="false"/>
                <w:bCs w:val="false"/>
                <w:sz w:val="20"/>
                <w:szCs w:val="20"/>
              </w:rPr>
              <w:t>30.9</w:t>
            </w:r>
          </w:p>
        </w:tc>
      </w:tr>
      <w:tr>
        <w:trPr/>
        <w:tc>
          <w:tcPr>
            <w:tcW w:w="5200" w:type="dxa"/>
            <w:tcBorders>
              <w:top w:val="single" w:sz="4" w:space="0" w:color="AAAAAA"/>
              <w:start w:val="single" w:sz="4" w:space="0" w:color="AAAAAA"/>
              <w:bottom w:val="single" w:sz="4" w:space="0" w:color="AAAAAA"/>
              <w:end w:val="single" w:sz="4" w:space="0" w:color="AAAAAA"/>
            </w:tcBorders>
            <w:shd w:fill="FFFFFF" w:val="clear"/>
          </w:tcPr>
          <w:p>
            <w:pPr>
              <w:pStyle w:val="Normal"/>
              <w:jc w:val="start"/>
              <w:rPr/>
            </w:pPr>
            <w:r>
              <w:rPr>
                <w:rFonts w:eastAsia="Times New Roman" w:cs="Times New Roman"/>
                <w:b w:val="false"/>
                <w:bCs w:val="false"/>
                <w:sz w:val="20"/>
                <w:szCs w:val="20"/>
              </w:rPr>
              <w:t xml:space="preserve">  </w:t>
            </w:r>
            <w:r>
              <w:rPr>
                <w:rFonts w:eastAsia="Times New Roman" w:cs="Times New Roman"/>
                <w:b w:val="false"/>
                <w:bCs w:val="false"/>
                <w:sz w:val="20"/>
                <w:szCs w:val="20"/>
              </w:rPr>
              <w:t>3–4 attempts</w:t>
            </w:r>
          </w:p>
        </w:tc>
        <w:tc>
          <w:tcPr>
            <w:tcW w:w="2080" w:type="dxa"/>
            <w:tcBorders>
              <w:top w:val="single" w:sz="4" w:space="0" w:color="AAAAAA"/>
              <w:start w:val="single" w:sz="4" w:space="0" w:color="AAAAAA"/>
              <w:bottom w:val="single" w:sz="4" w:space="0" w:color="AAAAAA"/>
              <w:end w:val="single" w:sz="4" w:space="0" w:color="AAAAAA"/>
            </w:tcBorders>
            <w:shd w:fill="FFFFFF" w:val="clear"/>
          </w:tcPr>
          <w:p>
            <w:pPr>
              <w:pStyle w:val="Normal"/>
              <w:jc w:val="center"/>
              <w:rPr/>
            </w:pPr>
            <w:r>
              <w:rPr>
                <w:rFonts w:eastAsia="Times New Roman" w:cs="Times New Roman"/>
                <w:b w:val="false"/>
                <w:bCs w:val="false"/>
                <w:sz w:val="20"/>
                <w:szCs w:val="20"/>
              </w:rPr>
              <w:t>15</w:t>
            </w:r>
          </w:p>
        </w:tc>
        <w:tc>
          <w:tcPr>
            <w:tcW w:w="2080" w:type="dxa"/>
            <w:tcBorders>
              <w:top w:val="single" w:sz="4" w:space="0" w:color="AAAAAA"/>
              <w:start w:val="single" w:sz="4" w:space="0" w:color="AAAAAA"/>
              <w:bottom w:val="single" w:sz="4" w:space="0" w:color="AAAAAA"/>
              <w:end w:val="single" w:sz="4" w:space="0" w:color="AAAAAA"/>
            </w:tcBorders>
            <w:shd w:fill="FFFFFF" w:val="clear"/>
          </w:tcPr>
          <w:p>
            <w:pPr>
              <w:pStyle w:val="Normal"/>
              <w:jc w:val="center"/>
              <w:rPr/>
            </w:pPr>
            <w:r>
              <w:rPr>
                <w:rFonts w:eastAsia="Times New Roman" w:cs="Times New Roman"/>
                <w:b w:val="false"/>
                <w:bCs w:val="false"/>
                <w:sz w:val="20"/>
                <w:szCs w:val="20"/>
              </w:rPr>
              <w:t>27.3</w:t>
            </w:r>
          </w:p>
        </w:tc>
      </w:tr>
      <w:tr>
        <w:trPr/>
        <w:tc>
          <w:tcPr>
            <w:tcW w:w="5200" w:type="dxa"/>
            <w:tcBorders>
              <w:top w:val="single" w:sz="4" w:space="0" w:color="AAAAAA"/>
              <w:start w:val="single" w:sz="4" w:space="0" w:color="AAAAAA"/>
              <w:bottom w:val="single" w:sz="4" w:space="0" w:color="AAAAAA"/>
              <w:end w:val="single" w:sz="4" w:space="0" w:color="AAAAAA"/>
            </w:tcBorders>
            <w:shd w:fill="EBF3FB" w:val="clear"/>
          </w:tcPr>
          <w:p>
            <w:pPr>
              <w:pStyle w:val="Normal"/>
              <w:jc w:val="start"/>
              <w:rPr/>
            </w:pPr>
            <w:r>
              <w:rPr>
                <w:rFonts w:eastAsia="Times New Roman" w:cs="Times New Roman"/>
                <w:b w:val="false"/>
                <w:bCs w:val="false"/>
                <w:sz w:val="20"/>
                <w:szCs w:val="20"/>
              </w:rPr>
              <w:t xml:space="preserve">  </w:t>
            </w:r>
            <w:r>
              <w:rPr>
                <w:rFonts w:eastAsia="Times New Roman" w:cs="Times New Roman"/>
                <w:b w:val="false"/>
                <w:bCs w:val="false"/>
                <w:sz w:val="20"/>
                <w:szCs w:val="20"/>
              </w:rPr>
              <w:t>5+ attempts</w:t>
            </w:r>
          </w:p>
        </w:tc>
        <w:tc>
          <w:tcPr>
            <w:tcW w:w="2080" w:type="dxa"/>
            <w:tcBorders>
              <w:top w:val="single" w:sz="4" w:space="0" w:color="AAAAAA"/>
              <w:start w:val="single" w:sz="4" w:space="0" w:color="AAAAAA"/>
              <w:bottom w:val="single" w:sz="4" w:space="0" w:color="AAAAAA"/>
              <w:end w:val="single" w:sz="4" w:space="0" w:color="AAAAAA"/>
            </w:tcBorders>
            <w:shd w:fill="EBF3FB" w:val="clear"/>
          </w:tcPr>
          <w:p>
            <w:pPr>
              <w:pStyle w:val="Normal"/>
              <w:jc w:val="center"/>
              <w:rPr/>
            </w:pPr>
            <w:r>
              <w:rPr>
                <w:rFonts w:eastAsia="Times New Roman" w:cs="Times New Roman"/>
                <w:b w:val="false"/>
                <w:bCs w:val="false"/>
                <w:sz w:val="20"/>
                <w:szCs w:val="20"/>
              </w:rPr>
              <w:t>23</w:t>
            </w:r>
          </w:p>
        </w:tc>
        <w:tc>
          <w:tcPr>
            <w:tcW w:w="2080" w:type="dxa"/>
            <w:tcBorders>
              <w:top w:val="single" w:sz="4" w:space="0" w:color="AAAAAA"/>
              <w:start w:val="single" w:sz="4" w:space="0" w:color="AAAAAA"/>
              <w:bottom w:val="single" w:sz="4" w:space="0" w:color="AAAAAA"/>
              <w:end w:val="single" w:sz="4" w:space="0" w:color="AAAAAA"/>
            </w:tcBorders>
            <w:shd w:fill="EBF3FB" w:val="clear"/>
          </w:tcPr>
          <w:p>
            <w:pPr>
              <w:pStyle w:val="Normal"/>
              <w:jc w:val="center"/>
              <w:rPr/>
            </w:pPr>
            <w:r>
              <w:rPr>
                <w:rFonts w:eastAsia="Times New Roman" w:cs="Times New Roman"/>
                <w:b w:val="false"/>
                <w:bCs w:val="false"/>
                <w:sz w:val="20"/>
                <w:szCs w:val="20"/>
              </w:rPr>
              <w:t>41.8</w:t>
            </w:r>
          </w:p>
        </w:tc>
      </w:tr>
      <w:tr>
        <w:trPr/>
        <w:tc>
          <w:tcPr>
            <w:tcW w:w="5200" w:type="dxa"/>
            <w:tcBorders>
              <w:top w:val="single" w:sz="4" w:space="0" w:color="AAAAAA"/>
              <w:start w:val="single" w:sz="4" w:space="0" w:color="AAAAAA"/>
              <w:bottom w:val="single" w:sz="4" w:space="0" w:color="AAAAAA"/>
              <w:end w:val="single" w:sz="4" w:space="0" w:color="AAAAAA"/>
            </w:tcBorders>
            <w:shd w:fill="FFFFFF" w:val="clear"/>
          </w:tcPr>
          <w:p>
            <w:pPr>
              <w:pStyle w:val="Normal"/>
              <w:jc w:val="start"/>
              <w:rPr/>
            </w:pPr>
            <w:r>
              <w:rPr>
                <w:rFonts w:eastAsia="Times New Roman" w:cs="Times New Roman"/>
                <w:b/>
                <w:bCs/>
                <w:sz w:val="20"/>
                <w:szCs w:val="20"/>
              </w:rPr>
              <w:t>Age Range (N = 54)</w:t>
            </w:r>
          </w:p>
        </w:tc>
        <w:tc>
          <w:tcPr>
            <w:tcW w:w="2080" w:type="dxa"/>
            <w:tcBorders>
              <w:top w:val="single" w:sz="4" w:space="0" w:color="AAAAAA"/>
              <w:start w:val="single" w:sz="4" w:space="0" w:color="AAAAAA"/>
              <w:bottom w:val="single" w:sz="4" w:space="0" w:color="AAAAAA"/>
              <w:end w:val="single" w:sz="4" w:space="0" w:color="AAAAAA"/>
            </w:tcBorders>
            <w:shd w:fill="FFFFFF" w:val="clear"/>
          </w:tcPr>
          <w:p>
            <w:pPr>
              <w:pStyle w:val="Normal"/>
              <w:jc w:val="start"/>
              <w:rPr/>
            </w:pPr>
            <w:r>
              <w:rPr/>
            </w:r>
          </w:p>
        </w:tc>
        <w:tc>
          <w:tcPr>
            <w:tcW w:w="2080" w:type="dxa"/>
            <w:tcBorders>
              <w:top w:val="single" w:sz="4" w:space="0" w:color="AAAAAA"/>
              <w:start w:val="single" w:sz="4" w:space="0" w:color="AAAAAA"/>
              <w:bottom w:val="single" w:sz="4" w:space="0" w:color="AAAAAA"/>
              <w:end w:val="single" w:sz="4" w:space="0" w:color="AAAAAA"/>
            </w:tcBorders>
            <w:shd w:fill="FFFFFF" w:val="clear"/>
          </w:tcPr>
          <w:p>
            <w:pPr>
              <w:pStyle w:val="Normal"/>
              <w:jc w:val="start"/>
              <w:rPr/>
            </w:pPr>
            <w:r>
              <w:rPr/>
            </w:r>
          </w:p>
        </w:tc>
      </w:tr>
      <w:tr>
        <w:trPr/>
        <w:tc>
          <w:tcPr>
            <w:tcW w:w="5200" w:type="dxa"/>
            <w:tcBorders>
              <w:top w:val="single" w:sz="4" w:space="0" w:color="AAAAAA"/>
              <w:start w:val="single" w:sz="4" w:space="0" w:color="AAAAAA"/>
              <w:bottom w:val="single" w:sz="4" w:space="0" w:color="AAAAAA"/>
              <w:end w:val="single" w:sz="4" w:space="0" w:color="AAAAAA"/>
            </w:tcBorders>
            <w:shd w:fill="EBF3FB" w:val="clear"/>
          </w:tcPr>
          <w:p>
            <w:pPr>
              <w:pStyle w:val="Normal"/>
              <w:jc w:val="start"/>
              <w:rPr/>
            </w:pPr>
            <w:r>
              <w:rPr>
                <w:rFonts w:eastAsia="Times New Roman" w:cs="Times New Roman"/>
                <w:b w:val="false"/>
                <w:bCs w:val="false"/>
                <w:sz w:val="20"/>
                <w:szCs w:val="20"/>
              </w:rPr>
              <w:t xml:space="preserve">  </w:t>
            </w:r>
            <w:r>
              <w:rPr>
                <w:rFonts w:eastAsia="Times New Roman" w:cs="Times New Roman"/>
                <w:b w:val="false"/>
                <w:bCs w:val="false"/>
                <w:sz w:val="20"/>
                <w:szCs w:val="20"/>
              </w:rPr>
              <w:t>18–25</w:t>
            </w:r>
          </w:p>
        </w:tc>
        <w:tc>
          <w:tcPr>
            <w:tcW w:w="2080" w:type="dxa"/>
            <w:tcBorders>
              <w:top w:val="single" w:sz="4" w:space="0" w:color="AAAAAA"/>
              <w:start w:val="single" w:sz="4" w:space="0" w:color="AAAAAA"/>
              <w:bottom w:val="single" w:sz="4" w:space="0" w:color="AAAAAA"/>
              <w:end w:val="single" w:sz="4" w:space="0" w:color="AAAAAA"/>
            </w:tcBorders>
            <w:shd w:fill="EBF3FB" w:val="clear"/>
          </w:tcPr>
          <w:p>
            <w:pPr>
              <w:pStyle w:val="Normal"/>
              <w:jc w:val="center"/>
              <w:rPr/>
            </w:pPr>
            <w:r>
              <w:rPr>
                <w:rFonts w:eastAsia="Times New Roman" w:cs="Times New Roman"/>
                <w:b w:val="false"/>
                <w:bCs w:val="false"/>
                <w:sz w:val="20"/>
                <w:szCs w:val="20"/>
              </w:rPr>
              <w:t>3</w:t>
            </w:r>
          </w:p>
        </w:tc>
        <w:tc>
          <w:tcPr>
            <w:tcW w:w="2080" w:type="dxa"/>
            <w:tcBorders>
              <w:top w:val="single" w:sz="4" w:space="0" w:color="AAAAAA"/>
              <w:start w:val="single" w:sz="4" w:space="0" w:color="AAAAAA"/>
              <w:bottom w:val="single" w:sz="4" w:space="0" w:color="AAAAAA"/>
              <w:end w:val="single" w:sz="4" w:space="0" w:color="AAAAAA"/>
            </w:tcBorders>
            <w:shd w:fill="EBF3FB" w:val="clear"/>
          </w:tcPr>
          <w:p>
            <w:pPr>
              <w:pStyle w:val="Normal"/>
              <w:jc w:val="center"/>
              <w:rPr/>
            </w:pPr>
            <w:r>
              <w:rPr>
                <w:rFonts w:eastAsia="Times New Roman" w:cs="Times New Roman"/>
                <w:b w:val="false"/>
                <w:bCs w:val="false"/>
                <w:sz w:val="20"/>
                <w:szCs w:val="20"/>
              </w:rPr>
              <w:t>5.6</w:t>
            </w:r>
          </w:p>
        </w:tc>
      </w:tr>
      <w:tr>
        <w:trPr/>
        <w:tc>
          <w:tcPr>
            <w:tcW w:w="5200" w:type="dxa"/>
            <w:tcBorders>
              <w:top w:val="single" w:sz="4" w:space="0" w:color="AAAAAA"/>
              <w:start w:val="single" w:sz="4" w:space="0" w:color="AAAAAA"/>
              <w:bottom w:val="single" w:sz="4" w:space="0" w:color="AAAAAA"/>
              <w:end w:val="single" w:sz="4" w:space="0" w:color="AAAAAA"/>
            </w:tcBorders>
            <w:shd w:fill="FFFFFF" w:val="clear"/>
          </w:tcPr>
          <w:p>
            <w:pPr>
              <w:pStyle w:val="Normal"/>
              <w:jc w:val="start"/>
              <w:rPr/>
            </w:pPr>
            <w:r>
              <w:rPr>
                <w:rFonts w:eastAsia="Times New Roman" w:cs="Times New Roman"/>
                <w:b w:val="false"/>
                <w:bCs w:val="false"/>
                <w:sz w:val="20"/>
                <w:szCs w:val="20"/>
              </w:rPr>
              <w:t xml:space="preserve">  </w:t>
            </w:r>
            <w:r>
              <w:rPr>
                <w:rFonts w:eastAsia="Times New Roman" w:cs="Times New Roman"/>
                <w:b w:val="false"/>
                <w:bCs w:val="false"/>
                <w:sz w:val="20"/>
                <w:szCs w:val="20"/>
              </w:rPr>
              <w:t>26–35</w:t>
            </w:r>
          </w:p>
        </w:tc>
        <w:tc>
          <w:tcPr>
            <w:tcW w:w="2080" w:type="dxa"/>
            <w:tcBorders>
              <w:top w:val="single" w:sz="4" w:space="0" w:color="AAAAAA"/>
              <w:start w:val="single" w:sz="4" w:space="0" w:color="AAAAAA"/>
              <w:bottom w:val="single" w:sz="4" w:space="0" w:color="AAAAAA"/>
              <w:end w:val="single" w:sz="4" w:space="0" w:color="AAAAAA"/>
            </w:tcBorders>
            <w:shd w:fill="FFFFFF" w:val="clear"/>
          </w:tcPr>
          <w:p>
            <w:pPr>
              <w:pStyle w:val="Normal"/>
              <w:jc w:val="center"/>
              <w:rPr/>
            </w:pPr>
            <w:r>
              <w:rPr>
                <w:rFonts w:eastAsia="Times New Roman" w:cs="Times New Roman"/>
                <w:b w:val="false"/>
                <w:bCs w:val="false"/>
                <w:sz w:val="20"/>
                <w:szCs w:val="20"/>
              </w:rPr>
              <w:t>17</w:t>
            </w:r>
          </w:p>
        </w:tc>
        <w:tc>
          <w:tcPr>
            <w:tcW w:w="2080" w:type="dxa"/>
            <w:tcBorders>
              <w:top w:val="single" w:sz="4" w:space="0" w:color="AAAAAA"/>
              <w:start w:val="single" w:sz="4" w:space="0" w:color="AAAAAA"/>
              <w:bottom w:val="single" w:sz="4" w:space="0" w:color="AAAAAA"/>
              <w:end w:val="single" w:sz="4" w:space="0" w:color="AAAAAA"/>
            </w:tcBorders>
            <w:shd w:fill="FFFFFF" w:val="clear"/>
          </w:tcPr>
          <w:p>
            <w:pPr>
              <w:pStyle w:val="Normal"/>
              <w:jc w:val="center"/>
              <w:rPr/>
            </w:pPr>
            <w:r>
              <w:rPr>
                <w:rFonts w:eastAsia="Times New Roman" w:cs="Times New Roman"/>
                <w:b w:val="false"/>
                <w:bCs w:val="false"/>
                <w:sz w:val="20"/>
                <w:szCs w:val="20"/>
              </w:rPr>
              <w:t>31.5</w:t>
            </w:r>
          </w:p>
        </w:tc>
      </w:tr>
      <w:tr>
        <w:trPr/>
        <w:tc>
          <w:tcPr>
            <w:tcW w:w="5200" w:type="dxa"/>
            <w:tcBorders>
              <w:top w:val="single" w:sz="4" w:space="0" w:color="AAAAAA"/>
              <w:start w:val="single" w:sz="4" w:space="0" w:color="AAAAAA"/>
              <w:bottom w:val="single" w:sz="4" w:space="0" w:color="AAAAAA"/>
              <w:end w:val="single" w:sz="4" w:space="0" w:color="AAAAAA"/>
            </w:tcBorders>
            <w:shd w:fill="EBF3FB" w:val="clear"/>
          </w:tcPr>
          <w:p>
            <w:pPr>
              <w:pStyle w:val="Normal"/>
              <w:jc w:val="start"/>
              <w:rPr/>
            </w:pPr>
            <w:r>
              <w:rPr>
                <w:rFonts w:eastAsia="Times New Roman" w:cs="Times New Roman"/>
                <w:b w:val="false"/>
                <w:bCs w:val="false"/>
                <w:sz w:val="20"/>
                <w:szCs w:val="20"/>
              </w:rPr>
              <w:t xml:space="preserve">  </w:t>
            </w:r>
            <w:r>
              <w:rPr>
                <w:rFonts w:eastAsia="Times New Roman" w:cs="Times New Roman"/>
                <w:b w:val="false"/>
                <w:bCs w:val="false"/>
                <w:sz w:val="20"/>
                <w:szCs w:val="20"/>
              </w:rPr>
              <w:t>36–45</w:t>
            </w:r>
          </w:p>
        </w:tc>
        <w:tc>
          <w:tcPr>
            <w:tcW w:w="2080" w:type="dxa"/>
            <w:tcBorders>
              <w:top w:val="single" w:sz="4" w:space="0" w:color="AAAAAA"/>
              <w:start w:val="single" w:sz="4" w:space="0" w:color="AAAAAA"/>
              <w:bottom w:val="single" w:sz="4" w:space="0" w:color="AAAAAA"/>
              <w:end w:val="single" w:sz="4" w:space="0" w:color="AAAAAA"/>
            </w:tcBorders>
            <w:shd w:fill="EBF3FB" w:val="clear"/>
          </w:tcPr>
          <w:p>
            <w:pPr>
              <w:pStyle w:val="Normal"/>
              <w:jc w:val="center"/>
              <w:rPr/>
            </w:pPr>
            <w:r>
              <w:rPr>
                <w:rFonts w:eastAsia="Times New Roman" w:cs="Times New Roman"/>
                <w:b w:val="false"/>
                <w:bCs w:val="false"/>
                <w:sz w:val="20"/>
                <w:szCs w:val="20"/>
              </w:rPr>
              <w:t>26</w:t>
            </w:r>
          </w:p>
        </w:tc>
        <w:tc>
          <w:tcPr>
            <w:tcW w:w="2080" w:type="dxa"/>
            <w:tcBorders>
              <w:top w:val="single" w:sz="4" w:space="0" w:color="AAAAAA"/>
              <w:start w:val="single" w:sz="4" w:space="0" w:color="AAAAAA"/>
              <w:bottom w:val="single" w:sz="4" w:space="0" w:color="AAAAAA"/>
              <w:end w:val="single" w:sz="4" w:space="0" w:color="AAAAAA"/>
            </w:tcBorders>
            <w:shd w:fill="EBF3FB" w:val="clear"/>
          </w:tcPr>
          <w:p>
            <w:pPr>
              <w:pStyle w:val="Normal"/>
              <w:jc w:val="center"/>
              <w:rPr/>
            </w:pPr>
            <w:r>
              <w:rPr>
                <w:rFonts w:eastAsia="Times New Roman" w:cs="Times New Roman"/>
                <w:b w:val="false"/>
                <w:bCs w:val="false"/>
                <w:sz w:val="20"/>
                <w:szCs w:val="20"/>
              </w:rPr>
              <w:t>48.1</w:t>
            </w:r>
          </w:p>
        </w:tc>
      </w:tr>
      <w:tr>
        <w:trPr/>
        <w:tc>
          <w:tcPr>
            <w:tcW w:w="5200" w:type="dxa"/>
            <w:tcBorders>
              <w:top w:val="single" w:sz="4" w:space="0" w:color="AAAAAA"/>
              <w:start w:val="single" w:sz="4" w:space="0" w:color="AAAAAA"/>
              <w:bottom w:val="single" w:sz="4" w:space="0" w:color="AAAAAA"/>
              <w:end w:val="single" w:sz="4" w:space="0" w:color="AAAAAA"/>
            </w:tcBorders>
            <w:shd w:fill="FFFFFF" w:val="clear"/>
          </w:tcPr>
          <w:p>
            <w:pPr>
              <w:pStyle w:val="Normal"/>
              <w:jc w:val="start"/>
              <w:rPr/>
            </w:pPr>
            <w:r>
              <w:rPr>
                <w:rFonts w:eastAsia="Times New Roman" w:cs="Times New Roman"/>
                <w:b w:val="false"/>
                <w:bCs w:val="false"/>
                <w:sz w:val="20"/>
                <w:szCs w:val="20"/>
              </w:rPr>
              <w:t xml:space="preserve">  </w:t>
            </w:r>
            <w:r>
              <w:rPr>
                <w:rFonts w:eastAsia="Times New Roman" w:cs="Times New Roman"/>
                <w:b w:val="false"/>
                <w:bCs w:val="false"/>
                <w:sz w:val="20"/>
                <w:szCs w:val="20"/>
              </w:rPr>
              <w:t>46+</w:t>
            </w:r>
          </w:p>
        </w:tc>
        <w:tc>
          <w:tcPr>
            <w:tcW w:w="2080" w:type="dxa"/>
            <w:tcBorders>
              <w:top w:val="single" w:sz="4" w:space="0" w:color="AAAAAA"/>
              <w:start w:val="single" w:sz="4" w:space="0" w:color="AAAAAA"/>
              <w:bottom w:val="single" w:sz="4" w:space="0" w:color="AAAAAA"/>
              <w:end w:val="single" w:sz="4" w:space="0" w:color="AAAAAA"/>
            </w:tcBorders>
            <w:shd w:fill="FFFFFF" w:val="clear"/>
          </w:tcPr>
          <w:p>
            <w:pPr>
              <w:pStyle w:val="Normal"/>
              <w:jc w:val="center"/>
              <w:rPr/>
            </w:pPr>
            <w:r>
              <w:rPr>
                <w:rFonts w:eastAsia="Times New Roman" w:cs="Times New Roman"/>
                <w:b w:val="false"/>
                <w:bCs w:val="false"/>
                <w:sz w:val="20"/>
                <w:szCs w:val="20"/>
              </w:rPr>
              <w:t>8</w:t>
            </w:r>
          </w:p>
        </w:tc>
        <w:tc>
          <w:tcPr>
            <w:tcW w:w="2080" w:type="dxa"/>
            <w:tcBorders>
              <w:top w:val="single" w:sz="4" w:space="0" w:color="AAAAAA"/>
              <w:start w:val="single" w:sz="4" w:space="0" w:color="AAAAAA"/>
              <w:bottom w:val="single" w:sz="4" w:space="0" w:color="AAAAAA"/>
              <w:end w:val="single" w:sz="4" w:space="0" w:color="AAAAAA"/>
            </w:tcBorders>
            <w:shd w:fill="FFFFFF" w:val="clear"/>
          </w:tcPr>
          <w:p>
            <w:pPr>
              <w:pStyle w:val="Normal"/>
              <w:jc w:val="center"/>
              <w:rPr/>
            </w:pPr>
            <w:r>
              <w:rPr>
                <w:rFonts w:eastAsia="Times New Roman" w:cs="Times New Roman"/>
                <w:b w:val="false"/>
                <w:bCs w:val="false"/>
                <w:sz w:val="20"/>
                <w:szCs w:val="20"/>
              </w:rPr>
              <w:t>14.8</w:t>
            </w:r>
          </w:p>
        </w:tc>
      </w:tr>
      <w:tr>
        <w:trPr/>
        <w:tc>
          <w:tcPr>
            <w:tcW w:w="5200" w:type="dxa"/>
            <w:tcBorders>
              <w:top w:val="single" w:sz="4" w:space="0" w:color="AAAAAA"/>
              <w:start w:val="single" w:sz="4" w:space="0" w:color="AAAAAA"/>
              <w:bottom w:val="single" w:sz="4" w:space="0" w:color="AAAAAA"/>
              <w:end w:val="single" w:sz="4" w:space="0" w:color="AAAAAA"/>
            </w:tcBorders>
            <w:shd w:fill="FFFFFF" w:val="clear"/>
          </w:tcPr>
          <w:p>
            <w:pPr>
              <w:pStyle w:val="Normal"/>
              <w:jc w:val="start"/>
              <w:rPr/>
            </w:pPr>
            <w:r>
              <w:rPr>
                <w:rFonts w:eastAsia="Times New Roman" w:cs="Times New Roman"/>
                <w:b/>
                <w:bCs/>
                <w:sz w:val="20"/>
                <w:szCs w:val="20"/>
              </w:rPr>
              <w:t>Sex (N = 55)</w:t>
            </w:r>
          </w:p>
        </w:tc>
        <w:tc>
          <w:tcPr>
            <w:tcW w:w="2080" w:type="dxa"/>
            <w:tcBorders>
              <w:top w:val="single" w:sz="4" w:space="0" w:color="AAAAAA"/>
              <w:start w:val="single" w:sz="4" w:space="0" w:color="AAAAAA"/>
              <w:bottom w:val="single" w:sz="4" w:space="0" w:color="AAAAAA"/>
              <w:end w:val="single" w:sz="4" w:space="0" w:color="AAAAAA"/>
            </w:tcBorders>
            <w:shd w:fill="FFFFFF" w:val="clear"/>
          </w:tcPr>
          <w:p>
            <w:pPr>
              <w:pStyle w:val="Normal"/>
              <w:jc w:val="start"/>
              <w:rPr/>
            </w:pPr>
            <w:r>
              <w:rPr/>
            </w:r>
          </w:p>
        </w:tc>
        <w:tc>
          <w:tcPr>
            <w:tcW w:w="2080" w:type="dxa"/>
            <w:tcBorders>
              <w:top w:val="single" w:sz="4" w:space="0" w:color="AAAAAA"/>
              <w:start w:val="single" w:sz="4" w:space="0" w:color="AAAAAA"/>
              <w:bottom w:val="single" w:sz="4" w:space="0" w:color="AAAAAA"/>
              <w:end w:val="single" w:sz="4" w:space="0" w:color="AAAAAA"/>
            </w:tcBorders>
            <w:shd w:fill="FFFFFF" w:val="clear"/>
          </w:tcPr>
          <w:p>
            <w:pPr>
              <w:pStyle w:val="Normal"/>
              <w:jc w:val="start"/>
              <w:rPr/>
            </w:pPr>
            <w:r>
              <w:rPr/>
            </w:r>
          </w:p>
        </w:tc>
      </w:tr>
      <w:tr>
        <w:trPr/>
        <w:tc>
          <w:tcPr>
            <w:tcW w:w="5200" w:type="dxa"/>
            <w:tcBorders>
              <w:top w:val="single" w:sz="4" w:space="0" w:color="AAAAAA"/>
              <w:start w:val="single" w:sz="4" w:space="0" w:color="AAAAAA"/>
              <w:bottom w:val="single" w:sz="4" w:space="0" w:color="AAAAAA"/>
              <w:end w:val="single" w:sz="4" w:space="0" w:color="AAAAAA"/>
            </w:tcBorders>
            <w:shd w:fill="EBF3FB" w:val="clear"/>
          </w:tcPr>
          <w:p>
            <w:pPr>
              <w:pStyle w:val="Normal"/>
              <w:jc w:val="start"/>
              <w:rPr/>
            </w:pPr>
            <w:r>
              <w:rPr>
                <w:rFonts w:eastAsia="Times New Roman" w:cs="Times New Roman"/>
                <w:b w:val="false"/>
                <w:bCs w:val="false"/>
                <w:sz w:val="20"/>
                <w:szCs w:val="20"/>
              </w:rPr>
              <w:t xml:space="preserve">  </w:t>
            </w:r>
            <w:r>
              <w:rPr>
                <w:rFonts w:eastAsia="Times New Roman" w:cs="Times New Roman"/>
                <w:b w:val="false"/>
                <w:bCs w:val="false"/>
                <w:sz w:val="20"/>
                <w:szCs w:val="20"/>
              </w:rPr>
              <w:t>Male</w:t>
            </w:r>
          </w:p>
        </w:tc>
        <w:tc>
          <w:tcPr>
            <w:tcW w:w="2080" w:type="dxa"/>
            <w:tcBorders>
              <w:top w:val="single" w:sz="4" w:space="0" w:color="AAAAAA"/>
              <w:start w:val="single" w:sz="4" w:space="0" w:color="AAAAAA"/>
              <w:bottom w:val="single" w:sz="4" w:space="0" w:color="AAAAAA"/>
              <w:end w:val="single" w:sz="4" w:space="0" w:color="AAAAAA"/>
            </w:tcBorders>
            <w:shd w:fill="EBF3FB" w:val="clear"/>
          </w:tcPr>
          <w:p>
            <w:pPr>
              <w:pStyle w:val="Normal"/>
              <w:jc w:val="center"/>
              <w:rPr/>
            </w:pPr>
            <w:r>
              <w:rPr>
                <w:rFonts w:eastAsia="Times New Roman" w:cs="Times New Roman"/>
                <w:b w:val="false"/>
                <w:bCs w:val="false"/>
                <w:sz w:val="20"/>
                <w:szCs w:val="20"/>
              </w:rPr>
              <w:t>39</w:t>
            </w:r>
          </w:p>
        </w:tc>
        <w:tc>
          <w:tcPr>
            <w:tcW w:w="2080" w:type="dxa"/>
            <w:tcBorders>
              <w:top w:val="single" w:sz="4" w:space="0" w:color="AAAAAA"/>
              <w:start w:val="single" w:sz="4" w:space="0" w:color="AAAAAA"/>
              <w:bottom w:val="single" w:sz="4" w:space="0" w:color="AAAAAA"/>
              <w:end w:val="single" w:sz="4" w:space="0" w:color="AAAAAA"/>
            </w:tcBorders>
            <w:shd w:fill="EBF3FB" w:val="clear"/>
          </w:tcPr>
          <w:p>
            <w:pPr>
              <w:pStyle w:val="Normal"/>
              <w:jc w:val="center"/>
              <w:rPr/>
            </w:pPr>
            <w:r>
              <w:rPr>
                <w:rFonts w:eastAsia="Times New Roman" w:cs="Times New Roman"/>
                <w:b w:val="false"/>
                <w:bCs w:val="false"/>
                <w:sz w:val="20"/>
                <w:szCs w:val="20"/>
              </w:rPr>
              <w:t>70.9</w:t>
            </w:r>
          </w:p>
        </w:tc>
      </w:tr>
      <w:tr>
        <w:trPr/>
        <w:tc>
          <w:tcPr>
            <w:tcW w:w="5200" w:type="dxa"/>
            <w:tcBorders>
              <w:top w:val="single" w:sz="4" w:space="0" w:color="AAAAAA"/>
              <w:start w:val="single" w:sz="4" w:space="0" w:color="AAAAAA"/>
              <w:bottom w:val="single" w:sz="4" w:space="0" w:color="AAAAAA"/>
              <w:end w:val="single" w:sz="4" w:space="0" w:color="AAAAAA"/>
            </w:tcBorders>
            <w:shd w:fill="FFFFFF" w:val="clear"/>
          </w:tcPr>
          <w:p>
            <w:pPr>
              <w:pStyle w:val="Normal"/>
              <w:jc w:val="start"/>
              <w:rPr/>
            </w:pPr>
            <w:r>
              <w:rPr>
                <w:rFonts w:eastAsia="Times New Roman" w:cs="Times New Roman"/>
                <w:b w:val="false"/>
                <w:bCs w:val="false"/>
                <w:sz w:val="20"/>
                <w:szCs w:val="20"/>
              </w:rPr>
              <w:t xml:space="preserve">  </w:t>
            </w:r>
            <w:r>
              <w:rPr>
                <w:rFonts w:eastAsia="Times New Roman" w:cs="Times New Roman"/>
                <w:b w:val="false"/>
                <w:bCs w:val="false"/>
                <w:sz w:val="20"/>
                <w:szCs w:val="20"/>
              </w:rPr>
              <w:t>Female</w:t>
            </w:r>
          </w:p>
        </w:tc>
        <w:tc>
          <w:tcPr>
            <w:tcW w:w="2080" w:type="dxa"/>
            <w:tcBorders>
              <w:top w:val="single" w:sz="4" w:space="0" w:color="AAAAAA"/>
              <w:start w:val="single" w:sz="4" w:space="0" w:color="AAAAAA"/>
              <w:bottom w:val="single" w:sz="4" w:space="0" w:color="AAAAAA"/>
              <w:end w:val="single" w:sz="4" w:space="0" w:color="AAAAAA"/>
            </w:tcBorders>
            <w:shd w:fill="FFFFFF" w:val="clear"/>
          </w:tcPr>
          <w:p>
            <w:pPr>
              <w:pStyle w:val="Normal"/>
              <w:jc w:val="center"/>
              <w:rPr/>
            </w:pPr>
            <w:r>
              <w:rPr>
                <w:rFonts w:eastAsia="Times New Roman" w:cs="Times New Roman"/>
                <w:b w:val="false"/>
                <w:bCs w:val="false"/>
                <w:sz w:val="20"/>
                <w:szCs w:val="20"/>
              </w:rPr>
              <w:t>14</w:t>
            </w:r>
          </w:p>
        </w:tc>
        <w:tc>
          <w:tcPr>
            <w:tcW w:w="2080" w:type="dxa"/>
            <w:tcBorders>
              <w:top w:val="single" w:sz="4" w:space="0" w:color="AAAAAA"/>
              <w:start w:val="single" w:sz="4" w:space="0" w:color="AAAAAA"/>
              <w:bottom w:val="single" w:sz="4" w:space="0" w:color="AAAAAA"/>
              <w:end w:val="single" w:sz="4" w:space="0" w:color="AAAAAA"/>
            </w:tcBorders>
            <w:shd w:fill="FFFFFF" w:val="clear"/>
          </w:tcPr>
          <w:p>
            <w:pPr>
              <w:pStyle w:val="Normal"/>
              <w:jc w:val="center"/>
              <w:rPr/>
            </w:pPr>
            <w:r>
              <w:rPr>
                <w:rFonts w:eastAsia="Times New Roman" w:cs="Times New Roman"/>
                <w:b w:val="false"/>
                <w:bCs w:val="false"/>
                <w:sz w:val="20"/>
                <w:szCs w:val="20"/>
              </w:rPr>
              <w:t>25.5</w:t>
            </w:r>
          </w:p>
        </w:tc>
      </w:tr>
      <w:tr>
        <w:trPr/>
        <w:tc>
          <w:tcPr>
            <w:tcW w:w="5200" w:type="dxa"/>
            <w:tcBorders>
              <w:top w:val="single" w:sz="4" w:space="0" w:color="AAAAAA"/>
              <w:start w:val="single" w:sz="4" w:space="0" w:color="AAAAAA"/>
              <w:bottom w:val="single" w:sz="4" w:space="0" w:color="AAAAAA"/>
              <w:end w:val="single" w:sz="4" w:space="0" w:color="AAAAAA"/>
            </w:tcBorders>
            <w:shd w:fill="EBF3FB" w:val="clear"/>
          </w:tcPr>
          <w:p>
            <w:pPr>
              <w:pStyle w:val="Normal"/>
              <w:jc w:val="start"/>
              <w:rPr/>
            </w:pPr>
            <w:r>
              <w:rPr>
                <w:rFonts w:eastAsia="Times New Roman" w:cs="Times New Roman"/>
                <w:b w:val="false"/>
                <w:bCs w:val="false"/>
                <w:sz w:val="20"/>
                <w:szCs w:val="20"/>
              </w:rPr>
              <w:t xml:space="preserve">  </w:t>
            </w:r>
            <w:r>
              <w:rPr>
                <w:rFonts w:eastAsia="Times New Roman" w:cs="Times New Roman"/>
                <w:b w:val="false"/>
                <w:bCs w:val="false"/>
                <w:sz w:val="20"/>
                <w:szCs w:val="20"/>
              </w:rPr>
              <w:t>Prefer not to say</w:t>
            </w:r>
          </w:p>
        </w:tc>
        <w:tc>
          <w:tcPr>
            <w:tcW w:w="2080" w:type="dxa"/>
            <w:tcBorders>
              <w:top w:val="single" w:sz="4" w:space="0" w:color="AAAAAA"/>
              <w:start w:val="single" w:sz="4" w:space="0" w:color="AAAAAA"/>
              <w:bottom w:val="single" w:sz="4" w:space="0" w:color="AAAAAA"/>
              <w:end w:val="single" w:sz="4" w:space="0" w:color="AAAAAA"/>
            </w:tcBorders>
            <w:shd w:fill="EBF3FB" w:val="clear"/>
          </w:tcPr>
          <w:p>
            <w:pPr>
              <w:pStyle w:val="Normal"/>
              <w:jc w:val="center"/>
              <w:rPr/>
            </w:pPr>
            <w:r>
              <w:rPr>
                <w:rFonts w:eastAsia="Times New Roman" w:cs="Times New Roman"/>
                <w:b w:val="false"/>
                <w:bCs w:val="false"/>
                <w:sz w:val="20"/>
                <w:szCs w:val="20"/>
              </w:rPr>
              <w:t>2</w:t>
            </w:r>
          </w:p>
        </w:tc>
        <w:tc>
          <w:tcPr>
            <w:tcW w:w="2080" w:type="dxa"/>
            <w:tcBorders>
              <w:top w:val="single" w:sz="4" w:space="0" w:color="AAAAAA"/>
              <w:start w:val="single" w:sz="4" w:space="0" w:color="AAAAAA"/>
              <w:bottom w:val="single" w:sz="4" w:space="0" w:color="AAAAAA"/>
              <w:end w:val="single" w:sz="4" w:space="0" w:color="AAAAAA"/>
            </w:tcBorders>
            <w:shd w:fill="EBF3FB" w:val="clear"/>
          </w:tcPr>
          <w:p>
            <w:pPr>
              <w:pStyle w:val="Normal"/>
              <w:jc w:val="center"/>
              <w:rPr/>
            </w:pPr>
            <w:r>
              <w:rPr>
                <w:rFonts w:eastAsia="Times New Roman" w:cs="Times New Roman"/>
                <w:b w:val="false"/>
                <w:bCs w:val="false"/>
                <w:sz w:val="20"/>
                <w:szCs w:val="20"/>
              </w:rPr>
              <w:t>3.6</w:t>
            </w:r>
          </w:p>
        </w:tc>
      </w:tr>
      <w:tr>
        <w:trPr/>
        <w:tc>
          <w:tcPr>
            <w:tcW w:w="5200" w:type="dxa"/>
            <w:tcBorders>
              <w:top w:val="single" w:sz="4" w:space="0" w:color="AAAAAA"/>
              <w:start w:val="single" w:sz="4" w:space="0" w:color="AAAAAA"/>
              <w:bottom w:val="single" w:sz="4" w:space="0" w:color="AAAAAA"/>
              <w:end w:val="single" w:sz="4" w:space="0" w:color="AAAAAA"/>
            </w:tcBorders>
            <w:shd w:fill="FFFFFF" w:val="clear"/>
          </w:tcPr>
          <w:p>
            <w:pPr>
              <w:pStyle w:val="Normal"/>
              <w:jc w:val="start"/>
              <w:rPr/>
            </w:pPr>
            <w:r>
              <w:rPr>
                <w:rFonts w:eastAsia="Times New Roman" w:cs="Times New Roman"/>
                <w:b/>
                <w:bCs/>
                <w:sz w:val="20"/>
                <w:szCs w:val="20"/>
              </w:rPr>
              <w:t>Concurrent Substance Use (N = 54, multiple selections permitted)</w:t>
            </w:r>
          </w:p>
        </w:tc>
        <w:tc>
          <w:tcPr>
            <w:tcW w:w="2080" w:type="dxa"/>
            <w:tcBorders>
              <w:top w:val="single" w:sz="4" w:space="0" w:color="AAAAAA"/>
              <w:start w:val="single" w:sz="4" w:space="0" w:color="AAAAAA"/>
              <w:bottom w:val="single" w:sz="4" w:space="0" w:color="AAAAAA"/>
              <w:end w:val="single" w:sz="4" w:space="0" w:color="AAAAAA"/>
            </w:tcBorders>
            <w:shd w:fill="FFFFFF" w:val="clear"/>
          </w:tcPr>
          <w:p>
            <w:pPr>
              <w:pStyle w:val="Normal"/>
              <w:jc w:val="start"/>
              <w:rPr/>
            </w:pPr>
            <w:r>
              <w:rPr/>
            </w:r>
          </w:p>
        </w:tc>
        <w:tc>
          <w:tcPr>
            <w:tcW w:w="2080" w:type="dxa"/>
            <w:tcBorders>
              <w:top w:val="single" w:sz="4" w:space="0" w:color="AAAAAA"/>
              <w:start w:val="single" w:sz="4" w:space="0" w:color="AAAAAA"/>
              <w:bottom w:val="single" w:sz="4" w:space="0" w:color="AAAAAA"/>
              <w:end w:val="single" w:sz="4" w:space="0" w:color="AAAAAA"/>
            </w:tcBorders>
            <w:shd w:fill="FFFFFF" w:val="clear"/>
          </w:tcPr>
          <w:p>
            <w:pPr>
              <w:pStyle w:val="Normal"/>
              <w:jc w:val="start"/>
              <w:rPr/>
            </w:pPr>
            <w:r>
              <w:rPr/>
            </w:r>
          </w:p>
        </w:tc>
      </w:tr>
      <w:tr>
        <w:trPr/>
        <w:tc>
          <w:tcPr>
            <w:tcW w:w="5200" w:type="dxa"/>
            <w:tcBorders>
              <w:top w:val="single" w:sz="4" w:space="0" w:color="AAAAAA"/>
              <w:start w:val="single" w:sz="4" w:space="0" w:color="AAAAAA"/>
              <w:bottom w:val="single" w:sz="4" w:space="0" w:color="AAAAAA"/>
              <w:end w:val="single" w:sz="4" w:space="0" w:color="AAAAAA"/>
            </w:tcBorders>
            <w:shd w:fill="EBF3FB" w:val="clear"/>
          </w:tcPr>
          <w:p>
            <w:pPr>
              <w:pStyle w:val="Normal"/>
              <w:jc w:val="start"/>
              <w:rPr/>
            </w:pPr>
            <w:r>
              <w:rPr>
                <w:rFonts w:eastAsia="Times New Roman" w:cs="Times New Roman"/>
                <w:b w:val="false"/>
                <w:bCs w:val="false"/>
                <w:sz w:val="20"/>
                <w:szCs w:val="20"/>
              </w:rPr>
              <w:t xml:space="preserve">  </w:t>
            </w:r>
            <w:r>
              <w:rPr>
                <w:rFonts w:eastAsia="Times New Roman" w:cs="Times New Roman"/>
                <w:b w:val="false"/>
                <w:bCs w:val="false"/>
                <w:sz w:val="20"/>
                <w:szCs w:val="20"/>
              </w:rPr>
              <w:t>None</w:t>
            </w:r>
          </w:p>
        </w:tc>
        <w:tc>
          <w:tcPr>
            <w:tcW w:w="2080" w:type="dxa"/>
            <w:tcBorders>
              <w:top w:val="single" w:sz="4" w:space="0" w:color="AAAAAA"/>
              <w:start w:val="single" w:sz="4" w:space="0" w:color="AAAAAA"/>
              <w:bottom w:val="single" w:sz="4" w:space="0" w:color="AAAAAA"/>
              <w:end w:val="single" w:sz="4" w:space="0" w:color="AAAAAA"/>
            </w:tcBorders>
            <w:shd w:fill="EBF3FB" w:val="clear"/>
          </w:tcPr>
          <w:p>
            <w:pPr>
              <w:pStyle w:val="Normal"/>
              <w:jc w:val="center"/>
              <w:rPr/>
            </w:pPr>
            <w:r>
              <w:rPr>
                <w:rFonts w:eastAsia="Times New Roman" w:cs="Times New Roman"/>
                <w:b w:val="false"/>
                <w:bCs w:val="false"/>
                <w:sz w:val="20"/>
                <w:szCs w:val="20"/>
              </w:rPr>
              <w:t>26</w:t>
            </w:r>
          </w:p>
        </w:tc>
        <w:tc>
          <w:tcPr>
            <w:tcW w:w="2080" w:type="dxa"/>
            <w:tcBorders>
              <w:top w:val="single" w:sz="4" w:space="0" w:color="AAAAAA"/>
              <w:start w:val="single" w:sz="4" w:space="0" w:color="AAAAAA"/>
              <w:bottom w:val="single" w:sz="4" w:space="0" w:color="AAAAAA"/>
              <w:end w:val="single" w:sz="4" w:space="0" w:color="AAAAAA"/>
            </w:tcBorders>
            <w:shd w:fill="EBF3FB" w:val="clear"/>
          </w:tcPr>
          <w:p>
            <w:pPr>
              <w:pStyle w:val="Normal"/>
              <w:jc w:val="center"/>
              <w:rPr/>
            </w:pPr>
            <w:r>
              <w:rPr>
                <w:rFonts w:eastAsia="Times New Roman" w:cs="Times New Roman"/>
                <w:b w:val="false"/>
                <w:bCs w:val="false"/>
                <w:sz w:val="20"/>
                <w:szCs w:val="20"/>
              </w:rPr>
              <w:t>48.1</w:t>
            </w:r>
          </w:p>
        </w:tc>
      </w:tr>
      <w:tr>
        <w:trPr/>
        <w:tc>
          <w:tcPr>
            <w:tcW w:w="5200" w:type="dxa"/>
            <w:tcBorders>
              <w:top w:val="single" w:sz="4" w:space="0" w:color="AAAAAA"/>
              <w:start w:val="single" w:sz="4" w:space="0" w:color="AAAAAA"/>
              <w:bottom w:val="single" w:sz="4" w:space="0" w:color="AAAAAA"/>
              <w:end w:val="single" w:sz="4" w:space="0" w:color="AAAAAA"/>
            </w:tcBorders>
            <w:shd w:fill="FFFFFF" w:val="clear"/>
          </w:tcPr>
          <w:p>
            <w:pPr>
              <w:pStyle w:val="Normal"/>
              <w:jc w:val="start"/>
              <w:rPr/>
            </w:pPr>
            <w:r>
              <w:rPr>
                <w:rFonts w:eastAsia="Times New Roman" w:cs="Times New Roman"/>
                <w:b w:val="false"/>
                <w:bCs w:val="false"/>
                <w:sz w:val="20"/>
                <w:szCs w:val="20"/>
              </w:rPr>
              <w:t xml:space="preserve">  </w:t>
            </w:r>
            <w:r>
              <w:rPr>
                <w:rFonts w:eastAsia="Times New Roman" w:cs="Times New Roman"/>
                <w:b w:val="false"/>
                <w:bCs w:val="false"/>
                <w:sz w:val="20"/>
                <w:szCs w:val="20"/>
              </w:rPr>
              <w:t>Benzodiazepines</w:t>
            </w:r>
          </w:p>
        </w:tc>
        <w:tc>
          <w:tcPr>
            <w:tcW w:w="2080" w:type="dxa"/>
            <w:tcBorders>
              <w:top w:val="single" w:sz="4" w:space="0" w:color="AAAAAA"/>
              <w:start w:val="single" w:sz="4" w:space="0" w:color="AAAAAA"/>
              <w:bottom w:val="single" w:sz="4" w:space="0" w:color="AAAAAA"/>
              <w:end w:val="single" w:sz="4" w:space="0" w:color="AAAAAA"/>
            </w:tcBorders>
            <w:shd w:fill="FFFFFF" w:val="clear"/>
          </w:tcPr>
          <w:p>
            <w:pPr>
              <w:pStyle w:val="Normal"/>
              <w:jc w:val="center"/>
              <w:rPr/>
            </w:pPr>
            <w:r>
              <w:rPr>
                <w:rFonts w:eastAsia="Times New Roman" w:cs="Times New Roman"/>
                <w:b w:val="false"/>
                <w:bCs w:val="false"/>
                <w:sz w:val="20"/>
                <w:szCs w:val="20"/>
              </w:rPr>
              <w:t>14</w:t>
            </w:r>
          </w:p>
        </w:tc>
        <w:tc>
          <w:tcPr>
            <w:tcW w:w="2080" w:type="dxa"/>
            <w:tcBorders>
              <w:top w:val="single" w:sz="4" w:space="0" w:color="AAAAAA"/>
              <w:start w:val="single" w:sz="4" w:space="0" w:color="AAAAAA"/>
              <w:bottom w:val="single" w:sz="4" w:space="0" w:color="AAAAAA"/>
              <w:end w:val="single" w:sz="4" w:space="0" w:color="AAAAAA"/>
            </w:tcBorders>
            <w:shd w:fill="FFFFFF" w:val="clear"/>
          </w:tcPr>
          <w:p>
            <w:pPr>
              <w:pStyle w:val="Normal"/>
              <w:jc w:val="center"/>
              <w:rPr/>
            </w:pPr>
            <w:r>
              <w:rPr>
                <w:rFonts w:eastAsia="Times New Roman" w:cs="Times New Roman"/>
                <w:b w:val="false"/>
                <w:bCs w:val="false"/>
                <w:sz w:val="20"/>
                <w:szCs w:val="20"/>
              </w:rPr>
              <w:t>25.9</w:t>
            </w:r>
          </w:p>
        </w:tc>
      </w:tr>
      <w:tr>
        <w:trPr/>
        <w:tc>
          <w:tcPr>
            <w:tcW w:w="5200" w:type="dxa"/>
            <w:tcBorders>
              <w:top w:val="single" w:sz="4" w:space="0" w:color="AAAAAA"/>
              <w:start w:val="single" w:sz="4" w:space="0" w:color="AAAAAA"/>
              <w:bottom w:val="single" w:sz="4" w:space="0" w:color="AAAAAA"/>
              <w:end w:val="single" w:sz="4" w:space="0" w:color="AAAAAA"/>
            </w:tcBorders>
            <w:shd w:fill="EBF3FB" w:val="clear"/>
          </w:tcPr>
          <w:p>
            <w:pPr>
              <w:pStyle w:val="Normal"/>
              <w:jc w:val="start"/>
              <w:rPr/>
            </w:pPr>
            <w:r>
              <w:rPr>
                <w:rFonts w:eastAsia="Times New Roman" w:cs="Times New Roman"/>
                <w:b w:val="false"/>
                <w:bCs w:val="false"/>
                <w:sz w:val="20"/>
                <w:szCs w:val="20"/>
              </w:rPr>
              <w:t xml:space="preserve">  </w:t>
            </w:r>
            <w:r>
              <w:rPr>
                <w:rFonts w:eastAsia="Times New Roman" w:cs="Times New Roman"/>
                <w:b w:val="false"/>
                <w:bCs w:val="false"/>
                <w:sz w:val="20"/>
                <w:szCs w:val="20"/>
              </w:rPr>
              <w:t>Stimulants</w:t>
            </w:r>
          </w:p>
        </w:tc>
        <w:tc>
          <w:tcPr>
            <w:tcW w:w="2080" w:type="dxa"/>
            <w:tcBorders>
              <w:top w:val="single" w:sz="4" w:space="0" w:color="AAAAAA"/>
              <w:start w:val="single" w:sz="4" w:space="0" w:color="AAAAAA"/>
              <w:bottom w:val="single" w:sz="4" w:space="0" w:color="AAAAAA"/>
              <w:end w:val="single" w:sz="4" w:space="0" w:color="AAAAAA"/>
            </w:tcBorders>
            <w:shd w:fill="EBF3FB" w:val="clear"/>
          </w:tcPr>
          <w:p>
            <w:pPr>
              <w:pStyle w:val="Normal"/>
              <w:jc w:val="center"/>
              <w:rPr/>
            </w:pPr>
            <w:r>
              <w:rPr>
                <w:rFonts w:eastAsia="Times New Roman" w:cs="Times New Roman"/>
                <w:b w:val="false"/>
                <w:bCs w:val="false"/>
                <w:sz w:val="20"/>
                <w:szCs w:val="20"/>
              </w:rPr>
              <w:t>10</w:t>
            </w:r>
          </w:p>
        </w:tc>
        <w:tc>
          <w:tcPr>
            <w:tcW w:w="2080" w:type="dxa"/>
            <w:tcBorders>
              <w:top w:val="single" w:sz="4" w:space="0" w:color="AAAAAA"/>
              <w:start w:val="single" w:sz="4" w:space="0" w:color="AAAAAA"/>
              <w:bottom w:val="single" w:sz="4" w:space="0" w:color="AAAAAA"/>
              <w:end w:val="single" w:sz="4" w:space="0" w:color="AAAAAA"/>
            </w:tcBorders>
            <w:shd w:fill="EBF3FB" w:val="clear"/>
          </w:tcPr>
          <w:p>
            <w:pPr>
              <w:pStyle w:val="Normal"/>
              <w:jc w:val="center"/>
              <w:rPr/>
            </w:pPr>
            <w:r>
              <w:rPr>
                <w:rFonts w:eastAsia="Times New Roman" w:cs="Times New Roman"/>
                <w:b w:val="false"/>
                <w:bCs w:val="false"/>
                <w:sz w:val="20"/>
                <w:szCs w:val="20"/>
              </w:rPr>
              <w:t>18.5</w:t>
            </w:r>
          </w:p>
        </w:tc>
      </w:tr>
      <w:tr>
        <w:trPr/>
        <w:tc>
          <w:tcPr>
            <w:tcW w:w="5200" w:type="dxa"/>
            <w:tcBorders>
              <w:top w:val="single" w:sz="4" w:space="0" w:color="AAAAAA"/>
              <w:start w:val="single" w:sz="4" w:space="0" w:color="AAAAAA"/>
              <w:bottom w:val="single" w:sz="4" w:space="0" w:color="AAAAAA"/>
              <w:end w:val="single" w:sz="4" w:space="0" w:color="AAAAAA"/>
            </w:tcBorders>
            <w:shd w:fill="FFFFFF" w:val="clear"/>
          </w:tcPr>
          <w:p>
            <w:pPr>
              <w:pStyle w:val="Normal"/>
              <w:jc w:val="start"/>
              <w:rPr/>
            </w:pPr>
            <w:r>
              <w:rPr>
                <w:rFonts w:eastAsia="Times New Roman" w:cs="Times New Roman"/>
                <w:b w:val="false"/>
                <w:bCs w:val="false"/>
                <w:sz w:val="20"/>
                <w:szCs w:val="20"/>
              </w:rPr>
              <w:t xml:space="preserve">  </w:t>
            </w:r>
            <w:r>
              <w:rPr>
                <w:rFonts w:eastAsia="Times New Roman" w:cs="Times New Roman"/>
                <w:b w:val="false"/>
                <w:bCs w:val="false"/>
                <w:sz w:val="20"/>
                <w:szCs w:val="20"/>
              </w:rPr>
              <w:t>Other opioids</w:t>
            </w:r>
          </w:p>
        </w:tc>
        <w:tc>
          <w:tcPr>
            <w:tcW w:w="2080" w:type="dxa"/>
            <w:tcBorders>
              <w:top w:val="single" w:sz="4" w:space="0" w:color="AAAAAA"/>
              <w:start w:val="single" w:sz="4" w:space="0" w:color="AAAAAA"/>
              <w:bottom w:val="single" w:sz="4" w:space="0" w:color="AAAAAA"/>
              <w:end w:val="single" w:sz="4" w:space="0" w:color="AAAAAA"/>
            </w:tcBorders>
            <w:shd w:fill="FFFFFF" w:val="clear"/>
          </w:tcPr>
          <w:p>
            <w:pPr>
              <w:pStyle w:val="Normal"/>
              <w:jc w:val="center"/>
              <w:rPr/>
            </w:pPr>
            <w:r>
              <w:rPr>
                <w:rFonts w:eastAsia="Times New Roman" w:cs="Times New Roman"/>
                <w:b w:val="false"/>
                <w:bCs w:val="false"/>
                <w:sz w:val="20"/>
                <w:szCs w:val="20"/>
              </w:rPr>
              <w:t>8</w:t>
            </w:r>
          </w:p>
        </w:tc>
        <w:tc>
          <w:tcPr>
            <w:tcW w:w="2080" w:type="dxa"/>
            <w:tcBorders>
              <w:top w:val="single" w:sz="4" w:space="0" w:color="AAAAAA"/>
              <w:start w:val="single" w:sz="4" w:space="0" w:color="AAAAAA"/>
              <w:bottom w:val="single" w:sz="4" w:space="0" w:color="AAAAAA"/>
              <w:end w:val="single" w:sz="4" w:space="0" w:color="AAAAAA"/>
            </w:tcBorders>
            <w:shd w:fill="FFFFFF" w:val="clear"/>
          </w:tcPr>
          <w:p>
            <w:pPr>
              <w:pStyle w:val="Normal"/>
              <w:jc w:val="center"/>
              <w:rPr/>
            </w:pPr>
            <w:r>
              <w:rPr>
                <w:rFonts w:eastAsia="Times New Roman" w:cs="Times New Roman"/>
                <w:b w:val="false"/>
                <w:bCs w:val="false"/>
                <w:sz w:val="20"/>
                <w:szCs w:val="20"/>
              </w:rPr>
              <w:t>14.8</w:t>
            </w:r>
          </w:p>
        </w:tc>
      </w:tr>
      <w:tr>
        <w:trPr/>
        <w:tc>
          <w:tcPr>
            <w:tcW w:w="5200" w:type="dxa"/>
            <w:tcBorders>
              <w:top w:val="single" w:sz="4" w:space="0" w:color="AAAAAA"/>
              <w:start w:val="single" w:sz="4" w:space="0" w:color="AAAAAA"/>
              <w:bottom w:val="single" w:sz="4" w:space="0" w:color="AAAAAA"/>
              <w:end w:val="single" w:sz="4" w:space="0" w:color="AAAAAA"/>
            </w:tcBorders>
            <w:shd w:fill="EBF3FB" w:val="clear"/>
          </w:tcPr>
          <w:p>
            <w:pPr>
              <w:pStyle w:val="Normal"/>
              <w:jc w:val="start"/>
              <w:rPr/>
            </w:pPr>
            <w:r>
              <w:rPr>
                <w:rFonts w:eastAsia="Times New Roman" w:cs="Times New Roman"/>
                <w:b w:val="false"/>
                <w:bCs w:val="false"/>
                <w:sz w:val="20"/>
                <w:szCs w:val="20"/>
              </w:rPr>
              <w:t xml:space="preserve">  </w:t>
            </w:r>
            <w:r>
              <w:rPr>
                <w:rFonts w:eastAsia="Times New Roman" w:cs="Times New Roman"/>
                <w:b w:val="false"/>
                <w:bCs w:val="false"/>
                <w:sz w:val="20"/>
                <w:szCs w:val="20"/>
              </w:rPr>
              <w:t>Alcohol</w:t>
            </w:r>
          </w:p>
        </w:tc>
        <w:tc>
          <w:tcPr>
            <w:tcW w:w="2080" w:type="dxa"/>
            <w:tcBorders>
              <w:top w:val="single" w:sz="4" w:space="0" w:color="AAAAAA"/>
              <w:start w:val="single" w:sz="4" w:space="0" w:color="AAAAAA"/>
              <w:bottom w:val="single" w:sz="4" w:space="0" w:color="AAAAAA"/>
              <w:end w:val="single" w:sz="4" w:space="0" w:color="AAAAAA"/>
            </w:tcBorders>
            <w:shd w:fill="EBF3FB" w:val="clear"/>
          </w:tcPr>
          <w:p>
            <w:pPr>
              <w:pStyle w:val="Normal"/>
              <w:jc w:val="center"/>
              <w:rPr/>
            </w:pPr>
            <w:r>
              <w:rPr>
                <w:rFonts w:eastAsia="Times New Roman" w:cs="Times New Roman"/>
                <w:b w:val="false"/>
                <w:bCs w:val="false"/>
                <w:sz w:val="20"/>
                <w:szCs w:val="20"/>
              </w:rPr>
              <w:t>5</w:t>
            </w:r>
          </w:p>
        </w:tc>
        <w:tc>
          <w:tcPr>
            <w:tcW w:w="2080" w:type="dxa"/>
            <w:tcBorders>
              <w:top w:val="single" w:sz="4" w:space="0" w:color="AAAAAA"/>
              <w:start w:val="single" w:sz="4" w:space="0" w:color="AAAAAA"/>
              <w:bottom w:val="single" w:sz="4" w:space="0" w:color="AAAAAA"/>
              <w:end w:val="single" w:sz="4" w:space="0" w:color="AAAAAA"/>
            </w:tcBorders>
            <w:shd w:fill="EBF3FB" w:val="clear"/>
          </w:tcPr>
          <w:p>
            <w:pPr>
              <w:pStyle w:val="Normal"/>
              <w:jc w:val="center"/>
              <w:rPr/>
            </w:pPr>
            <w:r>
              <w:rPr>
                <w:rFonts w:eastAsia="Times New Roman" w:cs="Times New Roman"/>
                <w:b w:val="false"/>
                <w:bCs w:val="false"/>
                <w:sz w:val="20"/>
                <w:szCs w:val="20"/>
              </w:rPr>
              <w:t>9.3</w:t>
            </w:r>
          </w:p>
        </w:tc>
      </w:tr>
    </w:tbl>
    <w:p>
      <w:pPr>
        <w:pStyle w:val="Normal"/>
        <w:spacing w:before="0" w:after="120"/>
        <w:rPr/>
      </w:pPr>
      <w:r>
        <w:rPr>
          <w:rFonts w:eastAsia="Times New Roman" w:cs="Times New Roman"/>
          <w:b w:val="false"/>
          <w:bCs w:val="false"/>
          <w:i/>
          <w:iCs/>
          <w:sz w:val="20"/>
          <w:szCs w:val="20"/>
        </w:rPr>
        <w:t>Note: Percentages calculated relative to N = 55 unless otherwise indicated. Concurrent substance use question permitted multiple selections; percentages reflect proportion of N = 54 respondents.</w:t>
      </w:r>
    </w:p>
    <w:p>
      <w:pPr>
        <w:pStyle w:val="Normal"/>
        <w:spacing w:before="0" w:after="160"/>
        <w:rPr/>
      </w:pPr>
      <w:r>
        <w:rPr/>
      </w:r>
    </w:p>
    <w:p>
      <w:pPr>
        <w:pStyle w:val="Heading2"/>
        <w:spacing w:before="240" w:after="120"/>
        <w:rPr/>
      </w:pPr>
      <w:r>
        <w:rPr>
          <w:rFonts w:eastAsia="Arial" w:cs="Arial" w:ascii="Arial" w:hAnsi="Arial"/>
          <w:b/>
          <w:bCs/>
          <w:color w:val="2E75B6"/>
          <w:sz w:val="24"/>
          <w:szCs w:val="24"/>
        </w:rPr>
        <w:t>3.2 Self-Reported Outcomes</w:t>
      </w:r>
    </w:p>
    <w:p>
      <w:pPr>
        <w:pStyle w:val="Normal"/>
        <w:spacing w:lineRule="auto" w:line="276" w:before="0" w:after="160"/>
        <w:rPr/>
      </w:pPr>
      <w:r>
        <w:rPr>
          <w:rFonts w:eastAsia="Times New Roman" w:cs="Times New Roman"/>
          <w:b w:val="false"/>
          <w:bCs w:val="false"/>
          <w:i w:val="false"/>
          <w:iCs w:val="false"/>
          <w:sz w:val="24"/>
          <w:szCs w:val="24"/>
        </w:rPr>
        <w:t>Self-reported outcomes are presented in Table 4 and Figure 1B. 54.5% of participants reported full cessation of opioid use during SR-17018 exposure, and 32.7% reported meaningful reduction in use without complete discontinuation. 5.5% reported no meaningful change, and 7.3% reported relapse to prior opioid use patterns. Collectively, 87.3% reported some form of improvement.</w:t>
      </w:r>
    </w:p>
    <w:p>
      <w:pPr>
        <w:pStyle w:val="Normal"/>
        <w:spacing w:lineRule="auto" w:line="276" w:before="0" w:after="160"/>
        <w:rPr/>
      </w:pPr>
      <w:r>
        <w:rPr>
          <w:rFonts w:eastAsia="Times New Roman" w:cs="Times New Roman"/>
          <w:b w:val="false"/>
          <w:bCs w:val="false"/>
          <w:i w:val="false"/>
          <w:iCs w:val="false"/>
          <w:sz w:val="24"/>
          <w:szCs w:val="24"/>
        </w:rPr>
        <w:t>Participants rated withdrawal relief on a 10-point scale (1 = no relief, 10 = complete relief). The mean withdrawal relief score was 8.20. 90.9% of participants rated withdrawal relief at 7 or higher, and 32.7% assigned a maximum score of 10. Craving reduction was rated separately; the mean craving reduction score was 6.93/10, with 61.8% rating craving reduction at 7 or higher. The divergence between withdrawal relief (mean 8.20) and craving reduction (mean 6.93) is an observational signal warranting further investigation.</w:t>
      </w:r>
    </w:p>
    <w:p>
      <w:pPr>
        <w:pStyle w:val="Normal"/>
        <w:spacing w:lineRule="auto" w:line="276" w:before="0" w:after="160"/>
        <w:rPr/>
      </w:pPr>
      <w:r>
        <w:rPr>
          <w:rFonts w:eastAsia="Times New Roman" w:cs="Times New Roman"/>
          <w:b w:val="false"/>
          <w:bCs w:val="false"/>
          <w:i w:val="false"/>
          <w:iCs w:val="false"/>
          <w:sz w:val="24"/>
          <w:szCs w:val="24"/>
        </w:rPr>
        <w:t>In qualitative responses, participants additionally described perceived reductions in withdrawal severity, decreased cravings, and improved ability to function during cessation attempts. These observations were heterogeneous and are not independently verifiable. At the time of survey completion, 34.5% of respondents reported being off all substances, while 43.6% reported still using SR-17018.</w:t>
      </w:r>
    </w:p>
    <w:p>
      <w:pPr>
        <w:pStyle w:val="Normal"/>
        <w:spacing w:before="0" w:after="160"/>
        <w:rPr/>
      </w:pPr>
      <w:r>
        <w:rPr/>
      </w:r>
    </w:p>
    <w:p>
      <w:pPr>
        <w:pStyle w:val="Heading2"/>
        <w:spacing w:before="240" w:after="120"/>
        <w:rPr/>
      </w:pPr>
      <w:r>
        <w:rPr>
          <w:rFonts w:eastAsia="Arial" w:cs="Arial" w:ascii="Arial" w:hAnsi="Arial"/>
          <w:b/>
          <w:bCs/>
          <w:color w:val="2E75B6"/>
          <w:sz w:val="24"/>
          <w:szCs w:val="24"/>
        </w:rPr>
        <w:t>3.3 Temporal Characteristics of SR-17018 Use</w:t>
      </w:r>
    </w:p>
    <w:p>
      <w:pPr>
        <w:pStyle w:val="Normal"/>
        <w:spacing w:lineRule="auto" w:line="276" w:before="0" w:after="160"/>
        <w:rPr/>
      </w:pPr>
      <w:r>
        <w:rPr>
          <w:rFonts w:eastAsia="Times New Roman" w:cs="Times New Roman"/>
          <w:b w:val="false"/>
          <w:bCs w:val="false"/>
          <w:i w:val="false"/>
          <w:iCs w:val="false"/>
          <w:sz w:val="24"/>
          <w:szCs w:val="24"/>
        </w:rPr>
        <w:t>Temporal characteristics of SR-17018 use are presented in Table 2 and Figure 2. 76.4% of participants reported dosing three or more times daily. 70.9% reported noticeable relief within 60 minutes of administration (18.2% within 30 minutes; 52.7% within 30–60 minutes). Perceived effects lasted 4–8 hours per dose in 54.5% of respondents, with 27.3% reporting 8–12 hours and 9.1% reporting 12 or more hours.</w:t>
      </w:r>
    </w:p>
    <w:p>
      <w:pPr>
        <w:pStyle w:val="Normal"/>
        <w:spacing w:lineRule="auto" w:line="276" w:before="0" w:after="160"/>
        <w:rPr/>
      </w:pPr>
      <w:r>
        <w:rPr>
          <w:rFonts w:eastAsia="Times New Roman" w:cs="Times New Roman"/>
          <w:b w:val="false"/>
          <w:bCs w:val="false"/>
          <w:i w:val="false"/>
          <w:iCs w:val="false"/>
          <w:sz w:val="24"/>
          <w:szCs w:val="24"/>
        </w:rPr>
        <w:t>Continued SR-17018 use following opioid discontinuation most commonly lasted 1–2 weeks (34.5%) or 4–7 days (23.6%); 29.1% reported continued use beyond two weeks. Collectively, 63.6% continued SR-17018 for at least one week following discontinuation of their prior opioid. A subset of 19 respondents answered a question about concurrent SR-17018 use during the taper of their prior opioid; 73.7% of these respondents (n = 14) reported using SR-17018 as an adjunct while still tapering, rather than initiating it after discontinuation. This observation is exploratory given the limited subsample.</w:t>
      </w:r>
    </w:p>
    <w:p>
      <w:pPr>
        <w:pStyle w:val="Normal"/>
        <w:spacing w:before="0" w:after="160"/>
        <w:rPr/>
      </w:pPr>
      <w:r>
        <w:rPr/>
      </w:r>
    </w:p>
    <w:p>
      <w:pPr>
        <w:pStyle w:val="Heading2"/>
        <w:spacing w:before="240" w:after="120"/>
        <w:rPr/>
      </w:pPr>
      <w:r>
        <w:rPr>
          <w:rFonts w:eastAsia="Arial" w:cs="Arial" w:ascii="Arial" w:hAnsi="Arial"/>
          <w:b/>
          <w:bCs/>
          <w:color w:val="2E75B6"/>
          <w:sz w:val="24"/>
          <w:szCs w:val="24"/>
        </w:rPr>
        <w:t>3.4 Safety and Tolerability</w:t>
      </w:r>
    </w:p>
    <w:p>
      <w:pPr>
        <w:pStyle w:val="Normal"/>
        <w:spacing w:lineRule="auto" w:line="276" w:before="0" w:after="160"/>
        <w:rPr/>
      </w:pPr>
      <w:r>
        <w:rPr>
          <w:rFonts w:eastAsia="Times New Roman" w:cs="Times New Roman"/>
          <w:b w:val="false"/>
          <w:bCs w:val="false"/>
          <w:i w:val="false"/>
          <w:iCs w:val="false"/>
          <w:sz w:val="24"/>
          <w:szCs w:val="24"/>
        </w:rPr>
        <w:t>Safety and tolerability findings are presented in Table 3. 47.3% of participants reported no side effects on the structured severity scale, 40.0% described mild side effects, and 12.7% described moderate side effects. No participants reported severe adverse effects. Adverse effects reported on the multiple-selection item included anxiety (18.2%), sweating (12.7%), constipation (10.9%), nausea (9.1%), headache (7.3%), insomnia (5.5%), and dizziness (3.6%). Free-text responses additionally described excessive daytime sleepiness, vivid dreams, low motivation, and anhedonia. Notably, 20.0% of respondents reported a perceived reduction in sensitivity to other opioids during SR-17018 exposure; this observation is pharmacologically consistent with MOR partial agonism and receptor competition, though it cannot be attributed to SR-17018 specifically in an uncontrolled design.</w:t>
      </w:r>
    </w:p>
    <w:p>
      <w:pPr>
        <w:pStyle w:val="Normal"/>
        <w:spacing w:lineRule="auto" w:line="276" w:before="0" w:after="160"/>
        <w:rPr/>
      </w:pPr>
      <w:r>
        <w:rPr>
          <w:rFonts w:eastAsia="Times New Roman" w:cs="Times New Roman"/>
          <w:b w:val="false"/>
          <w:bCs w:val="false"/>
          <w:i w:val="false"/>
          <w:iCs w:val="false"/>
          <w:sz w:val="24"/>
          <w:szCs w:val="24"/>
        </w:rPr>
        <w:t>Sedation was rated on a 10-point scale; 49.1% of participants assigned a sedation rating of 1/10, indicating minimal perceived sedation in approximately half the cohort. Functional interference from side effects was reported as not present (67.3%), slight (27.3%), or moderate (5.5%); no participant reported significant functional impairment.</w:t>
      </w:r>
    </w:p>
    <w:p>
      <w:pPr>
        <w:pStyle w:val="Normal"/>
        <w:spacing w:lineRule="auto" w:line="276" w:before="0" w:after="160"/>
        <w:rPr/>
      </w:pPr>
      <w:r>
        <w:rPr>
          <w:rFonts w:eastAsia="Times New Roman" w:cs="Times New Roman"/>
          <w:b w:val="false"/>
          <w:bCs w:val="false"/>
          <w:i w:val="false"/>
          <w:iCs w:val="false"/>
          <w:sz w:val="24"/>
          <w:szCs w:val="24"/>
        </w:rPr>
        <w:t>4 participants (7.3%) reported subjective breathing-related concerns during SR-17018 exposure. Qualitative descriptions varied considerably: one respondent attributed breathing changes to concurrent MGM-15 use, one described softened breathing associated with reduced fight-or-flight activation, one described intrusive pre-sleep concerns without objective compromise, and one reported occasional difficulty taking a deep breath described as hardly noticeable. None were medically verified. Only one participant (1.8%) reported discontinuation of SR-17018 directly attributable to adverse effects. Interpretation of tolerability findings is complicated by the concurrent use of benzodiazepines, stimulants, and other opioids reported by approximately half of respondents.</w:t>
      </w:r>
    </w:p>
    <w:p>
      <w:pPr>
        <w:pStyle w:val="Normal"/>
        <w:spacing w:before="0" w:after="160"/>
        <w:rPr/>
      </w:pPr>
      <w:r>
        <w:rPr/>
      </w:r>
    </w:p>
    <w:p>
      <w:pPr>
        <w:pStyle w:val="Heading2"/>
        <w:spacing w:before="240" w:after="120"/>
        <w:rPr/>
      </w:pPr>
      <w:r>
        <w:rPr>
          <w:rFonts w:eastAsia="Arial" w:cs="Arial" w:ascii="Arial" w:hAnsi="Arial"/>
          <w:b/>
          <w:bCs/>
          <w:color w:val="2E75B6"/>
          <w:sz w:val="24"/>
          <w:szCs w:val="24"/>
        </w:rPr>
        <w:t>3.5 Cohort Composition and the Attribution Problem in 7-Hydroxymitragynine-Predominant Users</w:t>
      </w:r>
    </w:p>
    <w:p>
      <w:pPr>
        <w:pStyle w:val="Normal"/>
        <w:spacing w:lineRule="auto" w:line="276" w:before="0" w:after="160"/>
        <w:rPr/>
      </w:pPr>
      <w:r>
        <w:rPr>
          <w:rFonts w:eastAsia="Times New Roman" w:cs="Times New Roman"/>
          <w:b w:val="false"/>
          <w:bCs w:val="false"/>
          <w:i w:val="false"/>
          <w:iCs w:val="false"/>
          <w:sz w:val="24"/>
          <w:szCs w:val="24"/>
        </w:rPr>
        <w:t>The single largest substance subgroup within the registry was individuals reporting commercial 7-hydroxymitragynine (7-OH) products as their primary prior opioid, representing 56.4% of participants (n = 31). This distribution has direct implications for interpretation of both outcome and tolerability findings.</w:t>
      </w:r>
    </w:p>
    <w:p>
      <w:pPr>
        <w:pStyle w:val="Normal"/>
        <w:spacing w:lineRule="auto" w:line="276" w:before="0" w:after="160"/>
        <w:rPr/>
      </w:pPr>
      <w:r>
        <w:rPr>
          <w:rFonts w:eastAsia="Times New Roman" w:cs="Times New Roman"/>
          <w:b w:val="false"/>
          <w:bCs w:val="false"/>
          <w:i w:val="false"/>
          <w:iCs w:val="false"/>
          <w:sz w:val="24"/>
          <w:szCs w:val="24"/>
        </w:rPr>
        <w:t>Commercial 7-OH products represent a pharmacologically heterogeneous exposure category that differs meaningfully from well-characterized opioid agonists such as buprenorphine, methadone, or oxycodone. While 7-hydroxymitragynine itself is a potent μ-opioid receptor agonist with documented abuse liability and dependence potential, the composition of commercial 7-OH products is not standardized and may include MGM-15 (dihydro-7-hydroxymitragynine), additional mitragynine-derived compounds, manufacturing byproducts, and other constituents of variable concentration and incompletely characterized pharmacology. In many cases, neither the consumer nor the clinician can confidently determine what was actually consumed or in what quantities.</w:t>
      </w:r>
    </w:p>
    <w:p>
      <w:pPr>
        <w:pStyle w:val="Normal"/>
        <w:spacing w:lineRule="auto" w:line="276" w:before="0" w:after="160"/>
        <w:rPr/>
      </w:pPr>
      <w:r>
        <w:rPr>
          <w:rFonts w:eastAsia="Times New Roman" w:cs="Times New Roman"/>
          <w:b w:val="false"/>
          <w:bCs w:val="false"/>
          <w:i w:val="false"/>
          <w:iCs w:val="false"/>
          <w:sz w:val="24"/>
          <w:szCs w:val="24"/>
        </w:rPr>
        <w:t>This introduces a specific confound distinct from the general limitations of self-reported data. Participants who used SR-17018 following prolonged exposure to commercial 7-OH products were not introducing SR-17018 into a pharmacologically neutral system. They were introducing it into a system that had experienced extended exposure to opioid-active compounds of uncertain composition — some of which possess little or no controlled human pharmacological data. When adverse effects, neurobiological changes, or alterations in opioid responsiveness are subsequently reported, the most recently introduced compound tends to be treated as the primary causal agent. However, temporal association is not causation, and prior prolonged exposure to poorly characterized opioid-active products represents an alternative explanatory variable that cannot be excluded in an uncontrolled observational design.</w:t>
      </w:r>
    </w:p>
    <w:p>
      <w:pPr>
        <w:pStyle w:val="Normal"/>
        <w:spacing w:before="0" w:after="160"/>
        <w:rPr/>
      </w:pPr>
      <w:r>
        <w:rPr/>
      </w:r>
    </w:p>
    <w:p>
      <w:pPr>
        <w:pStyle w:val="Heading1"/>
        <w:spacing w:before="320" w:after="160"/>
        <w:rPr/>
      </w:pPr>
      <w:r>
        <w:rPr>
          <w:rFonts w:eastAsia="Arial" w:cs="Arial" w:ascii="Arial" w:hAnsi="Arial"/>
          <w:b/>
          <w:bCs/>
          <w:color w:val="1F4E79"/>
          <w:sz w:val="26"/>
          <w:szCs w:val="26"/>
        </w:rPr>
        <w:t>4. Discussion</w:t>
      </w:r>
    </w:p>
    <w:p>
      <w:pPr>
        <w:pStyle w:val="Normal"/>
        <w:spacing w:lineRule="auto" w:line="276" w:before="0" w:after="160"/>
        <w:rPr/>
      </w:pPr>
      <w:r>
        <w:rPr>
          <w:rFonts w:eastAsia="Times New Roman" w:cs="Times New Roman"/>
          <w:b w:val="false"/>
          <w:bCs w:val="false"/>
          <w:i w:val="false"/>
          <w:iCs w:val="false"/>
          <w:sz w:val="24"/>
          <w:szCs w:val="24"/>
        </w:rPr>
        <w:t>This study presents a descriptive analysis of self-reported SR-17018 exposure within a real-world harm reduction population characterized by prior opioid dependence and repeated treatment failure. The central observation is that a substantial proportion of participants described perceived reductions in opioid use, withdrawal severity, or functional impairment during SR-17018 exposure — a population in which prior cessation attempts using established approaches had largely been unsuccessful. These findings are self-reported, uncontrolled, and hypothesis-generating; they do not establish efficacy. However, they represent the first structured characterization of SR-17018 use patterns and perceived outcomes in human beings, and as such they carry descriptive significance.</w:t>
      </w:r>
    </w:p>
    <w:p>
      <w:pPr>
        <w:pStyle w:val="Normal"/>
        <w:spacing w:lineRule="auto" w:line="276" w:before="0" w:after="160"/>
        <w:rPr/>
      </w:pPr>
      <w:r>
        <w:rPr>
          <w:rFonts w:eastAsia="Times New Roman" w:cs="Times New Roman"/>
          <w:b w:val="false"/>
          <w:bCs w:val="false"/>
          <w:i w:val="false"/>
          <w:iCs w:val="false"/>
          <w:sz w:val="24"/>
          <w:szCs w:val="24"/>
        </w:rPr>
        <w:t>The treatment history of this cohort merits attention when considering these observations. 69.1% of participants reported three or more prior detoxification attempts (Figure 1A), a distribution consistent with a treatment-refractory profile. Opioid use disorder is increasingly recognized as a chronic relapsing condition for which existing pharmacotherapies are effective but incomplete — a meaningful segment of patients do not achieve durable cessation with buprenorphine, methadone, or standard withdrawal management. That participants in this cohort, following multiple prior failures, described improvement during SR-17018 exposure is an observation worth characterizing, even absent a controlled comparator. It does not establish superiority over existing options; it does suggest that this compound may produce subjective experiences — reduced withdrawal distress, diminished craving, improved functional stability — that merit systematic investigation.</w:t>
      </w:r>
    </w:p>
    <w:p>
      <w:pPr>
        <w:pStyle w:val="Normal"/>
        <w:spacing w:lineRule="auto" w:line="276" w:before="0" w:after="160"/>
        <w:rPr/>
      </w:pPr>
      <w:r>
        <w:rPr>
          <w:rFonts w:eastAsia="Times New Roman" w:cs="Times New Roman"/>
          <w:b w:val="false"/>
          <w:bCs w:val="false"/>
          <w:i w:val="false"/>
          <w:iCs w:val="false"/>
          <w:sz w:val="24"/>
          <w:szCs w:val="24"/>
        </w:rPr>
        <w:t>The divergence between withdrawal relief scores (mean 8.20/10) and craving reduction scores (mean 6.93/10) is an observational signal that, if replicated under controlled conditions, would have mechanistic implications. A compound that provides robust withdrawal suppression with more modest craving attenuation may reflect a pharmacological profile distinct from full agonist maintenance agents, which typically address both dimensions through sustained receptor occupancy. Whether this pattern reflects SR-17018's low intrinsic efficacy, its partial agonism at MOR, or simply the limitations of self-reported scaling in an uncontrolled sample cannot be determined from these data.</w:t>
      </w:r>
    </w:p>
    <w:p>
      <w:pPr>
        <w:pStyle w:val="Normal"/>
        <w:spacing w:lineRule="auto" w:line="276" w:before="0" w:after="160"/>
        <w:rPr/>
      </w:pPr>
      <w:r>
        <w:rPr>
          <w:rFonts w:eastAsia="Times New Roman" w:cs="Times New Roman"/>
          <w:b w:val="false"/>
          <w:bCs w:val="false"/>
          <w:i w:val="false"/>
          <w:iCs w:val="false"/>
          <w:sz w:val="24"/>
          <w:szCs w:val="24"/>
        </w:rPr>
        <w:t>These self-reported observations may be considered in light of SR-17018's characterized preclinical pharmacology. SR-17018 has been described as a low-intrinsic-efficacy MOR agonist with reduced β-arrestin2 recruitment relative to high-efficacy conventional opioids [5,6]. In preclinical models, these properties have been associated with context-dependent differences in tolerance development and withdrawal-related outcomes. Whether such signaling differences translate into clinically meaningful effects in humans is an open question, and prior investigations involving biased or atypical MOR agonists have demonstrated that preclinical signaling profiles do not straightforwardly predict clinical outcomes [3,4]. The observational findings reported here should not be interpreted as mechanistic validation — they are behavioral and subjective observations from a self-selected sample in an uncontrolled setting.</w:t>
      </w:r>
    </w:p>
    <w:p>
      <w:pPr>
        <w:pStyle w:val="Normal"/>
        <w:spacing w:lineRule="auto" w:line="276" w:before="0" w:after="160"/>
        <w:rPr/>
      </w:pPr>
      <w:r>
        <w:rPr>
          <w:rFonts w:eastAsia="Times New Roman" w:cs="Times New Roman"/>
          <w:b w:val="false"/>
          <w:bCs w:val="false"/>
          <w:i w:val="false"/>
          <w:iCs w:val="false"/>
          <w:sz w:val="24"/>
          <w:szCs w:val="24"/>
        </w:rPr>
        <w:t>The temporal characteristics of SR-17018 use reported in this cohort also warrant further study. Most participants dosed three or more times daily with perceived effect durations of 4–8 hours, and 63.6% continued SR-17018 for at least one week following opioid discontinuation. These patterns do not align simply with a short-course detoxification model and suggest that participants may be using SR-17018 in a more sustained stabilization context. This has implications for how future studies should be designed — particularly with respect to dosing protocols, duration of treatment, and the potential for physical dependence or withdrawal associated with SR-17018 itself, which remains entirely uncharacterized in humans.</w:t>
      </w:r>
    </w:p>
    <w:p>
      <w:pPr>
        <w:pStyle w:val="Normal"/>
        <w:spacing w:lineRule="auto" w:line="276" w:before="0" w:after="160"/>
        <w:rPr/>
      </w:pPr>
      <w:r>
        <w:rPr>
          <w:rFonts w:eastAsia="Times New Roman" w:cs="Times New Roman"/>
          <w:b w:val="false"/>
          <w:bCs w:val="false"/>
          <w:i w:val="false"/>
          <w:iCs w:val="false"/>
          <w:sz w:val="24"/>
          <w:szCs w:val="24"/>
        </w:rPr>
        <w:t>The rapid onset of perceived relief — 70.9% within 60 minutes — is notable and warrants pharmacokinetic investigation. Human pharmacokinetic data on SR-17018 are entirely absent from the published literature; this observational signal provides the first available context for prioritizing those studies.</w:t>
      </w:r>
    </w:p>
    <w:p>
      <w:pPr>
        <w:pStyle w:val="Normal"/>
        <w:spacing w:lineRule="auto" w:line="276" w:before="0" w:after="160"/>
        <w:rPr/>
      </w:pPr>
      <w:r>
        <w:rPr>
          <w:rFonts w:eastAsia="Times New Roman" w:cs="Times New Roman"/>
          <w:b w:val="false"/>
          <w:bCs w:val="false"/>
          <w:i w:val="false"/>
          <w:iCs w:val="false"/>
          <w:sz w:val="24"/>
          <w:szCs w:val="24"/>
        </w:rPr>
        <w:t>Regarding tolerability, adverse effects were reported as predominantly mild to moderate, with nearly half of respondents reporting no side effects. No participants reported severe adverse effects or significant functional impairment. Notably, approximately half of respondents reported low sedation (rating 1/10), which, if confirmed in controlled studies, would represent a potentially meaningful differentiator from conventional opioid agonists. For individuals whose prior substance was fentanyl or other high-potency synthetic opioids associated with significant respiratory depression risk, the harm reduction implications of transitioning to a compound with a distinct pharmacological profile warrant consideration. SR-17018 has been characterized preclinically as exhibiting reduced respiratory depression relative to high-efficacy MOR agonists [5,6]. Within this registry, subjective breathing-related concerns were reported by 7.3% of participants, with no severe respiratory events and no discontinuations attributable to respiratory effects — though the absence of medical monitoring substantially limits the interpretation of these self-reported observations. Whether SR-17018 carries meaningfully reduced respiratory risk relative to conventional opioids in humans cannot be established from these data and requires prospective evaluation under controlled conditions with objective respiratory monitoring.</w:t>
      </w:r>
    </w:p>
    <w:p>
      <w:pPr>
        <w:pStyle w:val="Normal"/>
        <w:spacing w:lineRule="auto" w:line="276" w:before="0" w:after="160"/>
        <w:rPr/>
      </w:pPr>
      <w:r>
        <w:rPr>
          <w:rFonts w:eastAsia="Times New Roman" w:cs="Times New Roman"/>
          <w:b w:val="false"/>
          <w:bCs w:val="false"/>
          <w:i w:val="false"/>
          <w:iCs w:val="false"/>
          <w:sz w:val="24"/>
          <w:szCs w:val="24"/>
        </w:rPr>
        <w:t>A specific interpretive challenge arises from the predominance of commercial 7-hydroxymitragynine users within the cohort. Because commercial 7-OH products may contain MGM-15, mitragynine derivatives, and other constituents of uncertain pharmacological activity, participants’ prior opioid exposure histories are not fully characterizable from self-report alone. Adverse effects or perceived neurobiological changes reported during or following SR-17018 exposure cannot be confidently assigned to SR-17018 when the preceding exposure consisted of opioid-active products of incompletely known composition. This does not diminish the relevance of the observations, but it requires acknowledgment that the newest variable introduced into a complex pharmacological history is not necessarily the most explanatory one.</w:t>
      </w:r>
    </w:p>
    <w:p>
      <w:pPr>
        <w:pStyle w:val="Normal"/>
        <w:spacing w:lineRule="auto" w:line="276" w:before="0" w:after="160"/>
        <w:rPr/>
      </w:pPr>
      <w:r>
        <w:rPr>
          <w:rFonts w:eastAsia="Times New Roman" w:cs="Times New Roman"/>
          <w:b w:val="false"/>
          <w:bCs w:val="false"/>
          <w:i w:val="false"/>
          <w:iCs w:val="false"/>
          <w:sz w:val="24"/>
          <w:szCs w:val="24"/>
        </w:rPr>
        <w:t>Several limitations substantially constrain interpretation. The dataset is entirely self-reported and subject to recall bias, reporting bias, and selection bias — participants were self-selected individuals actively seeking to characterize SR-17018 use, a population that likely over-represents positive experiences. Outcomes were not independently verified, dosing was uncontrolled and heterogeneous, no standardized clinical instruments were used, and the cross-sectional design precludes any causal inference. The sample size further limits generalizability. These limitations are real and must constrain interpretation. Nonetheless, registry data from treatment-experienced populations have historically contributed to hypothesis generation in harm reduction contexts. The current findings provide a structured descriptive foundation for that purpose.</w:t>
      </w:r>
    </w:p>
    <w:p>
      <w:pPr>
        <w:pStyle w:val="Normal"/>
        <w:spacing w:lineRule="auto" w:line="276" w:before="0" w:after="160"/>
        <w:rPr/>
      </w:pPr>
      <w:r>
        <w:rPr>
          <w:rFonts w:eastAsia="Times New Roman" w:cs="Times New Roman"/>
          <w:b w:val="false"/>
          <w:bCs w:val="false"/>
          <w:i w:val="false"/>
          <w:iCs w:val="false"/>
          <w:sz w:val="24"/>
          <w:szCs w:val="24"/>
        </w:rPr>
        <w:t>The modest sample size warrants specific acknowledgment. With N = 55, a shift of five responses in either direction across key outcome categories would materially alter the observed percentages and potentially change the character of the findings. This instability is not a reason to dismiss the signals observed — it is a reason to take them seriously enough to investigate under controlled conditions. Preliminary observational data of this kind serve a defined purpose in the research process: they characterize a signal, establish that it exists and is worth pursuing, and generate the specific hypotheses that powered clinical trials are designed to test. The present findings should be understood in precisely that context. The question these data answer is not whether SR-17018 works — that question requires controlled investigation to address. The question they answer is whether the signal is strong enough and consistent enough to justify that investigation. On that narrower question, the answer appears to be yes.</w:t>
      </w:r>
    </w:p>
    <w:p>
      <w:pPr>
        <w:pStyle w:val="Normal"/>
        <w:spacing w:lineRule="auto" w:line="276" w:before="0" w:after="160"/>
        <w:rPr/>
      </w:pPr>
      <w:r>
        <w:rPr>
          <w:rFonts w:eastAsia="Times New Roman" w:cs="Times New Roman"/>
          <w:b w:val="false"/>
          <w:bCs w:val="false"/>
          <w:i w:val="false"/>
          <w:iCs w:val="false"/>
          <w:sz w:val="24"/>
          <w:szCs w:val="24"/>
        </w:rPr>
        <w:t>It is worth contextualizing the observed outcomes against the conditions under which they were achieved. Participants self-sourced an uncharacterized compound, self-determined dosing without pharmacokinetic guidance, and managed withdrawal without clinical support, medical monitoring, counseling, or structured protocols of any kind. Reported outcomes were generated entirely through self-directed harm reduction efforts, informed primarily by community-derived observational information. In a structured clinical setting — with supervised administration, regular follow-up, evidence-based tapering protocols, and professional support — it is reasonable to hypothesize that outcomes would meet or exceed those reported here. The 87.3% rate of self-reported improvement observed under these conditions may therefore represent a conservative lower bound on the potential of SR-17018 in a supported clinical context, rather than an inflated estimate. Controlled investigation under structured conditions is required to test this hypothesis.</w:t>
      </w:r>
    </w:p>
    <w:p>
      <w:pPr>
        <w:pStyle w:val="Normal"/>
        <w:spacing w:before="0" w:after="160"/>
        <w:rPr/>
      </w:pPr>
      <w:r>
        <w:rPr/>
      </w:r>
    </w:p>
    <w:p>
      <w:pPr>
        <w:pStyle w:val="Heading1"/>
        <w:spacing w:before="320" w:after="160"/>
        <w:rPr/>
      </w:pPr>
      <w:r>
        <w:rPr>
          <w:rFonts w:eastAsia="Arial" w:cs="Arial" w:ascii="Arial" w:hAnsi="Arial"/>
          <w:b/>
          <w:bCs/>
          <w:color w:val="1F4E79"/>
          <w:sz w:val="26"/>
          <w:szCs w:val="26"/>
        </w:rPr>
        <w:t>5. Limitations</w:t>
      </w:r>
    </w:p>
    <w:p>
      <w:pPr>
        <w:pStyle w:val="Normal"/>
        <w:spacing w:lineRule="auto" w:line="276" w:before="0" w:after="160"/>
        <w:rPr/>
      </w:pPr>
      <w:r>
        <w:rPr>
          <w:rFonts w:eastAsia="Times New Roman" w:cs="Times New Roman"/>
          <w:b w:val="false"/>
          <w:bCs w:val="false"/>
          <w:i w:val="false"/>
          <w:iCs w:val="false"/>
          <w:sz w:val="24"/>
          <w:szCs w:val="24"/>
        </w:rPr>
        <w:t>This study has several important limitations that substantially constrain interpretation.</w:t>
      </w:r>
    </w:p>
    <w:p>
      <w:pPr>
        <w:pStyle w:val="Normal"/>
        <w:spacing w:lineRule="auto" w:line="276" w:before="0" w:after="160"/>
        <w:rPr/>
      </w:pPr>
      <w:r>
        <w:rPr>
          <w:rFonts w:eastAsia="Times New Roman" w:cs="Times New Roman"/>
          <w:b w:val="false"/>
          <w:bCs w:val="false"/>
          <w:i w:val="false"/>
          <w:iCs w:val="false"/>
          <w:sz w:val="24"/>
          <w:szCs w:val="24"/>
        </w:rPr>
        <w:t>The dataset is based entirely on self-reported responses, introducing potential for recall bias, reporting bias, and variability in interpretation of survey questions. Outcomes were not verified through objective measures, and no standardized clinical instruments were used to assess withdrawal severity, craving, sedation, respiratory function, or functional impairment. The observational and cross-sectional design precludes causal inference regarding the effects of SR-17018.</w:t>
      </w:r>
    </w:p>
    <w:p>
      <w:pPr>
        <w:pStyle w:val="Normal"/>
        <w:spacing w:lineRule="auto" w:line="276" w:before="0" w:after="160"/>
        <w:rPr/>
      </w:pPr>
      <w:r>
        <w:rPr>
          <w:rFonts w:eastAsia="Times New Roman" w:cs="Times New Roman"/>
          <w:b w:val="false"/>
          <w:bCs w:val="false"/>
          <w:i w:val="false"/>
          <w:iCs w:val="false"/>
          <w:sz w:val="24"/>
          <w:szCs w:val="24"/>
        </w:rPr>
        <w:t>Dosing patterns, exposure duration, co-administered substances, and prior opioid histories varied substantially across participants, limiting interpretation of dose-response relationships and precluding standardized comparison between respondents. Participants were self-selected individuals who voluntarily completed an online registry, introducing the possibility of selection bias toward positive SR-17018 experiences and limiting generalizability.</w:t>
      </w:r>
    </w:p>
    <w:p>
      <w:pPr>
        <w:pStyle w:val="Normal"/>
        <w:spacing w:lineRule="auto" w:line="276" w:before="0" w:after="160"/>
        <w:rPr/>
      </w:pPr>
      <w:r>
        <w:rPr>
          <w:rFonts w:eastAsia="Times New Roman" w:cs="Times New Roman"/>
          <w:b w:val="false"/>
          <w:bCs w:val="false"/>
          <w:i w:val="false"/>
          <w:iCs w:val="false"/>
          <w:sz w:val="24"/>
          <w:szCs w:val="24"/>
        </w:rPr>
        <w:t>The finding that 43.6% of respondents reported still using SR-17018 at the time of survey completion warrants specific discussion. This observation admits multiple interpretations that cannot be distinguished in a cross-sectional design. Some proportion of these respondents may represent individuals mid-process — having successfully discontinued their prior opioid and continuing SR-17018 use during an ongoing stabilization or taper phase. Others may reflect extended or chronic use patterns whose clinical significance remains unknown. Whether prolonged SR-17018 exposure produces physical dependence requiring structured discontinuation, and what the characteristics of SR-17018 withdrawal might be in humans, is entirely uncharacterized in the published literature. Community-derived observational reports suggest that shorter exposure durations and gradual tapering are associated with minimal discontinuation discomfort, while extended chronic use may be associated with more significant discontinuation symptoms — but these observations are anecdotal and unverified. The present data cannot resolve this question. Characterization of SR-17018 dependence potential, withdrawal trajectory, and optimal discontinuation strategy represents one of the most urgent priorities for future controlled investigation, and the 43.6% continued-use rate observed here provides specific motivation for longitudinal follow-up studies with defined discontinuation endpoints.</w:t>
      </w:r>
    </w:p>
    <w:p>
      <w:pPr>
        <w:pStyle w:val="Normal"/>
        <w:spacing w:lineRule="auto" w:line="276" w:before="0" w:after="160"/>
        <w:rPr/>
      </w:pPr>
      <w:r>
        <w:rPr>
          <w:rFonts w:eastAsia="Times New Roman" w:cs="Times New Roman"/>
          <w:b w:val="false"/>
          <w:bCs w:val="false"/>
          <w:i w:val="false"/>
          <w:iCs w:val="false"/>
          <w:sz w:val="24"/>
          <w:szCs w:val="24"/>
        </w:rPr>
        <w:t>The absence of pre-treatment baseline assessments using standardized instruments is acknowledged as a limitation of the registry design. However, the self-anchored nature of the withdrawal relief and craving reduction rating scales used in this study is consistent with established patient-reported outcome methodology. Numeric rating scales of this type are widely used in clinical pain and withdrawal assessment precisely because they capture the patient’s internal reference state without requiring an external baseline measurement [9]. A rating of 8/10 for withdrawal relief reflects the participant’s own subjective comparison to their pre-SR-17018 withdrawal experience — an implicit baseline that is methodologically appropriate for this class of instrument and consistent with the exploratory and hypothesis-generating intent of the registry.</w:t>
      </w:r>
    </w:p>
    <w:p>
      <w:pPr>
        <w:pStyle w:val="Normal"/>
        <w:spacing w:lineRule="auto" w:line="276" w:before="0" w:after="160"/>
        <w:rPr/>
      </w:pPr>
      <w:r>
        <w:rPr>
          <w:rFonts w:eastAsia="Times New Roman" w:cs="Times New Roman"/>
          <w:b w:val="false"/>
          <w:bCs w:val="false"/>
          <w:i w:val="false"/>
          <w:iCs w:val="false"/>
          <w:sz w:val="24"/>
          <w:szCs w:val="24"/>
        </w:rPr>
        <w:t>Participants were recruited through online harm reduction communities in which multiple sources of community-derived information regarding SR-17018 use — including dosing discussions, anecdotal reports, and harm reduction resources of varied origin — were simultaneously circulating. The proportion of participants who encountered or followed any specific information source cannot be determined from these data. This represents an unmeasured environmental variable inherent to real-world observational research in online harm reduction populations. Standardization of participant information exposure would require a controlled study design and is not achievable in a naturalistic registry. The heterogeneity of dosing patterns observed in the registry data — with starting doses ranging from 10mg to over 300mg daily and peak doses varying substantially across respondents — is consistent with participants drawing on multiple diverse information sources rather than following any single protocol, and reflects the ecological validity of the naturalistic setting being described [9].</w:t>
      </w:r>
    </w:p>
    <w:p>
      <w:pPr>
        <w:pStyle w:val="Normal"/>
        <w:spacing w:lineRule="auto" w:line="276" w:before="0" w:after="160"/>
        <w:rPr/>
      </w:pPr>
      <w:r>
        <w:rPr>
          <w:rFonts w:eastAsia="Times New Roman" w:cs="Times New Roman"/>
          <w:b w:val="false"/>
          <w:bCs w:val="false"/>
          <w:i w:val="false"/>
          <w:iCs w:val="false"/>
          <w:sz w:val="24"/>
          <w:szCs w:val="24"/>
        </w:rPr>
        <w:t>A specific interpretive challenge arises from the predominance of commercial 7-hydroxymitragynine users within the cohort. Because commercial 7-OH products may contain MGM-15, mitragynine derivatives, and other constituents of uncertain pharmacological activity, participants’ prior opioid exposure histories are not fully characterizable from self-report alone. This creates an attribution problem: adverse effects or perceived neurobiological changes reported during or following SR-17018 exposure cannot be confidently assigned to SR-17018 specifically when the preceding exposure consisted of opioid-active products of incompletely known composition. A related interpretive question concerns whether the high rate of self-reported improvement in the 7-hydroxymitragynine-predominant subgroup might reflect spontaneous resolution of withdrawal rather than a pharmacological effect of SR-17018. This alternative explanation cannot be excluded from the present data. However, several observational features of the cohort argue against a simple self-resolution interpretation. The majority of participants reported high opioid tolerance, duration of use exceeding one year, and three or more prior unsuccessful detoxification attempts — characteristics inconsistent with a population likely to achieve spontaneous resolution without pharmacological support. Furthermore, commercial 7-OH products, particularly concentrated extracts, are anecdotally associated with withdrawal profiles of significant severity, with community reports frequently comparing the experience to prescription opioid withdrawal rather than traditional kratom leaf discontinuation. Controlled human data characterizing 7-hydroxymitragynine withdrawal severity and trajectory are absent from the published literature, representing both a limitation of the present analysis and an independent research priority.</w:t>
      </w:r>
    </w:p>
    <w:p>
      <w:pPr>
        <w:pStyle w:val="Normal"/>
        <w:spacing w:lineRule="auto" w:line="276" w:before="0" w:after="160"/>
        <w:rPr/>
      </w:pPr>
      <w:r>
        <w:rPr>
          <w:rFonts w:eastAsia="Times New Roman" w:cs="Times New Roman"/>
          <w:b w:val="false"/>
          <w:bCs w:val="false"/>
          <w:i w:val="false"/>
          <w:iCs w:val="false"/>
          <w:sz w:val="24"/>
          <w:szCs w:val="24"/>
        </w:rPr>
        <w:t>Finally, no controlled human studies currently exist evaluating SR-17018’s pharmacokinetics, bioavailability, safety profile, respiratory effects, or misuse liability. The present findings should be interpreted solely as preliminary observational data intended to generate research questions rather than support clinical use.</w:t>
      </w:r>
    </w:p>
    <w:p>
      <w:pPr>
        <w:pStyle w:val="Normal"/>
        <w:spacing w:before="0" w:after="160"/>
        <w:rPr/>
      </w:pPr>
      <w:r>
        <w:rPr/>
      </w:r>
    </w:p>
    <w:p>
      <w:pPr>
        <w:pStyle w:val="Heading1"/>
        <w:spacing w:before="320" w:after="160"/>
        <w:rPr/>
      </w:pPr>
      <w:r>
        <w:rPr>
          <w:rFonts w:eastAsia="Arial" w:cs="Arial" w:ascii="Arial" w:hAnsi="Arial"/>
          <w:b/>
          <w:bCs/>
          <w:color w:val="1F4E79"/>
          <w:sz w:val="26"/>
          <w:szCs w:val="26"/>
        </w:rPr>
        <w:t>6. Conclusion</w:t>
      </w:r>
    </w:p>
    <w:p>
      <w:pPr>
        <w:pStyle w:val="Normal"/>
        <w:spacing w:lineRule="auto" w:line="276" w:before="0" w:after="160"/>
        <w:rPr/>
      </w:pPr>
      <w:r>
        <w:rPr>
          <w:rFonts w:eastAsia="Times New Roman" w:cs="Times New Roman"/>
          <w:b w:val="false"/>
          <w:bCs w:val="false"/>
          <w:i w:val="false"/>
          <w:iCs w:val="false"/>
          <w:sz w:val="24"/>
          <w:szCs w:val="24"/>
        </w:rPr>
        <w:t>This study provides a preliminary descriptive characterization of self-reported SR-17018 exposure within a treatment-experienced population reporting prior opioid use histories. Participants described a range of perceived outcomes including opioid cessation, reduction in use, and subjective improvements in withdrawal severity and functional stability — observations that emerged within a cohort characterized predominantly by repeated prior cessation failure.</w:t>
      </w:r>
    </w:p>
    <w:p>
      <w:pPr>
        <w:pStyle w:val="Normal"/>
        <w:spacing w:lineRule="auto" w:line="276" w:before="0" w:after="160"/>
        <w:rPr/>
      </w:pPr>
      <w:r>
        <w:rPr>
          <w:rFonts w:eastAsia="Times New Roman" w:cs="Times New Roman"/>
          <w:b w:val="false"/>
          <w:bCs w:val="false"/>
          <w:i w:val="false"/>
          <w:iCs w:val="false"/>
          <w:sz w:val="24"/>
          <w:szCs w:val="24"/>
        </w:rPr>
        <w:t>These findings do not establish efficacy, safety, or clinical utility. They describe what a self-selected sample of human beings reported experiencing while using SR-17018 in real-world harm reduction contexts. That distinction matters: it defines what this study can and cannot contribute to the field.</w:t>
      </w:r>
    </w:p>
    <w:p>
      <w:pPr>
        <w:pStyle w:val="Normal"/>
        <w:spacing w:lineRule="auto" w:line="276" w:before="0" w:after="160"/>
        <w:rPr/>
      </w:pPr>
      <w:r>
        <w:rPr>
          <w:rFonts w:eastAsia="Times New Roman" w:cs="Times New Roman"/>
          <w:b w:val="false"/>
          <w:bCs w:val="false"/>
          <w:i w:val="false"/>
          <w:iCs w:val="false"/>
          <w:sz w:val="24"/>
          <w:szCs w:val="24"/>
        </w:rPr>
        <w:t>What it can contribute is a structured descriptive foundation for future research. SR-17018 is now demonstrably present in harm reduction environments, being used in an uncontrolled manner by individuals with opioid dependence who are attempting cessation. The pharmacological characteristics that made it an object of preclinical interest persist as translational questions; the observational signals described here — including high self-reported withdrawal relief, rapid onset of perceived effect, low sedation burden, and a divergence between withdrawal and craving endpoints — provide additional motivation to address those questions in controlled human studies.</w:t>
      </w:r>
    </w:p>
    <w:p>
      <w:pPr>
        <w:pStyle w:val="Normal"/>
        <w:spacing w:lineRule="auto" w:line="276" w:before="0" w:after="160"/>
        <w:rPr/>
      </w:pPr>
      <w:r>
        <w:rPr>
          <w:rFonts w:eastAsia="Times New Roman" w:cs="Times New Roman"/>
          <w:b w:val="false"/>
          <w:bCs w:val="false"/>
          <w:i w:val="false"/>
          <w:iCs w:val="false"/>
          <w:sz w:val="24"/>
          <w:szCs w:val="24"/>
        </w:rPr>
        <w:t>Future work should prioritize pharmacokinetic characterization, prospective safety and tolerability assessment including respiratory function, longitudinal follow-up on cessation and relapse outcomes, misuse liability evaluation, and controlled clinical trials examining the potential role of SR-17018 and related atypical MOR agonists in opioid dependence and withdrawal management.</w:t>
      </w:r>
    </w:p>
    <w:p>
      <w:pPr>
        <w:pStyle w:val="Normal"/>
        <w:spacing w:before="0" w:after="160"/>
        <w:rPr/>
      </w:pPr>
      <w:r>
        <w:rPr/>
      </w:r>
    </w:p>
    <w:p>
      <w:pPr>
        <w:pStyle w:val="Normal"/>
        <w:spacing w:before="200" w:after="80"/>
        <w:rPr/>
      </w:pPr>
      <w:r>
        <w:rPr>
          <w:rFonts w:eastAsia="Times New Roman" w:cs="Times New Roman"/>
          <w:b/>
          <w:bCs/>
          <w:i w:val="false"/>
          <w:iCs w:val="false"/>
          <w:sz w:val="22"/>
          <w:szCs w:val="22"/>
        </w:rPr>
        <w:t>Table 2. SR-17018 Use Patterns (N = 55)</w:t>
      </w:r>
    </w:p>
    <w:tbl>
      <w:tblPr>
        <w:tblW w:w="9360" w:type="dxa"/>
        <w:jc w:val="start"/>
        <w:tblInd w:w="0" w:type="dxa"/>
        <w:tblLayout w:type="fixed"/>
        <w:tblCellMar>
          <w:top w:w="80" w:type="dxa"/>
          <w:start w:w="120" w:type="dxa"/>
          <w:bottom w:w="80" w:type="dxa"/>
          <w:end w:w="120" w:type="dxa"/>
        </w:tblCellMar>
      </w:tblPr>
      <w:tblGrid>
        <w:gridCol w:w="5200"/>
        <w:gridCol w:w="2080"/>
        <w:gridCol w:w="2080"/>
      </w:tblGrid>
      <w:tr>
        <w:trPr/>
        <w:tc>
          <w:tcPr>
            <w:tcW w:w="5200" w:type="dxa"/>
            <w:tcBorders>
              <w:top w:val="single" w:sz="4" w:space="0" w:color="AAAAAA"/>
              <w:start w:val="single" w:sz="4" w:space="0" w:color="AAAAAA"/>
              <w:bottom w:val="single" w:sz="4" w:space="0" w:color="AAAAAA"/>
              <w:end w:val="single" w:sz="4" w:space="0" w:color="AAAAAA"/>
            </w:tcBorders>
            <w:shd w:fill="1F4E79" w:val="clear"/>
          </w:tcPr>
          <w:p>
            <w:pPr>
              <w:pStyle w:val="Normal"/>
              <w:jc w:val="center"/>
              <w:rPr/>
            </w:pPr>
            <w:r>
              <w:rPr>
                <w:rFonts w:eastAsia="Arial" w:cs="Arial" w:ascii="Arial" w:hAnsi="Arial"/>
                <w:b/>
                <w:bCs/>
                <w:color w:val="FFFFFF"/>
                <w:sz w:val="20"/>
                <w:szCs w:val="20"/>
              </w:rPr>
              <w:t>SR-17018 Use Characteristic</w:t>
            </w:r>
          </w:p>
        </w:tc>
        <w:tc>
          <w:tcPr>
            <w:tcW w:w="2080" w:type="dxa"/>
            <w:tcBorders>
              <w:top w:val="single" w:sz="4" w:space="0" w:color="AAAAAA"/>
              <w:start w:val="single" w:sz="4" w:space="0" w:color="AAAAAA"/>
              <w:bottom w:val="single" w:sz="4" w:space="0" w:color="AAAAAA"/>
              <w:end w:val="single" w:sz="4" w:space="0" w:color="AAAAAA"/>
            </w:tcBorders>
            <w:shd w:fill="1F4E79" w:val="clear"/>
          </w:tcPr>
          <w:p>
            <w:pPr>
              <w:pStyle w:val="Normal"/>
              <w:jc w:val="center"/>
              <w:rPr/>
            </w:pPr>
            <w:r>
              <w:rPr>
                <w:rFonts w:eastAsia="Arial" w:cs="Arial" w:ascii="Arial" w:hAnsi="Arial"/>
                <w:b/>
                <w:bCs/>
                <w:color w:val="FFFFFF"/>
                <w:sz w:val="20"/>
                <w:szCs w:val="20"/>
              </w:rPr>
              <w:t>n</w:t>
            </w:r>
          </w:p>
        </w:tc>
        <w:tc>
          <w:tcPr>
            <w:tcW w:w="2080" w:type="dxa"/>
            <w:tcBorders>
              <w:top w:val="single" w:sz="4" w:space="0" w:color="AAAAAA"/>
              <w:start w:val="single" w:sz="4" w:space="0" w:color="AAAAAA"/>
              <w:bottom w:val="single" w:sz="4" w:space="0" w:color="AAAAAA"/>
              <w:end w:val="single" w:sz="4" w:space="0" w:color="AAAAAA"/>
            </w:tcBorders>
            <w:shd w:fill="1F4E79" w:val="clear"/>
          </w:tcPr>
          <w:p>
            <w:pPr>
              <w:pStyle w:val="Normal"/>
              <w:jc w:val="center"/>
              <w:rPr/>
            </w:pPr>
            <w:r>
              <w:rPr>
                <w:rFonts w:eastAsia="Arial" w:cs="Arial" w:ascii="Arial" w:hAnsi="Arial"/>
                <w:b/>
                <w:bCs/>
                <w:color w:val="FFFFFF"/>
                <w:sz w:val="20"/>
                <w:szCs w:val="20"/>
              </w:rPr>
              <w:t>%</w:t>
            </w:r>
          </w:p>
        </w:tc>
      </w:tr>
      <w:tr>
        <w:trPr/>
        <w:tc>
          <w:tcPr>
            <w:tcW w:w="5200" w:type="dxa"/>
            <w:tcBorders>
              <w:top w:val="single" w:sz="4" w:space="0" w:color="AAAAAA"/>
              <w:start w:val="single" w:sz="4" w:space="0" w:color="AAAAAA"/>
              <w:bottom w:val="single" w:sz="4" w:space="0" w:color="AAAAAA"/>
              <w:end w:val="single" w:sz="4" w:space="0" w:color="AAAAAA"/>
            </w:tcBorders>
            <w:shd w:fill="FFFFFF" w:val="clear"/>
          </w:tcPr>
          <w:p>
            <w:pPr>
              <w:pStyle w:val="Normal"/>
              <w:jc w:val="start"/>
              <w:rPr/>
            </w:pPr>
            <w:r>
              <w:rPr>
                <w:rFonts w:eastAsia="Times New Roman" w:cs="Times New Roman"/>
                <w:b/>
                <w:bCs/>
                <w:sz w:val="20"/>
                <w:szCs w:val="20"/>
              </w:rPr>
              <w:t>Dosing Frequency (N = 55)</w:t>
            </w:r>
          </w:p>
        </w:tc>
        <w:tc>
          <w:tcPr>
            <w:tcW w:w="2080" w:type="dxa"/>
            <w:tcBorders>
              <w:top w:val="single" w:sz="4" w:space="0" w:color="AAAAAA"/>
              <w:start w:val="single" w:sz="4" w:space="0" w:color="AAAAAA"/>
              <w:bottom w:val="single" w:sz="4" w:space="0" w:color="AAAAAA"/>
              <w:end w:val="single" w:sz="4" w:space="0" w:color="AAAAAA"/>
            </w:tcBorders>
            <w:shd w:fill="FFFFFF" w:val="clear"/>
          </w:tcPr>
          <w:p>
            <w:pPr>
              <w:pStyle w:val="Normal"/>
              <w:jc w:val="start"/>
              <w:rPr/>
            </w:pPr>
            <w:r>
              <w:rPr/>
            </w:r>
          </w:p>
        </w:tc>
        <w:tc>
          <w:tcPr>
            <w:tcW w:w="2080" w:type="dxa"/>
            <w:tcBorders>
              <w:top w:val="single" w:sz="4" w:space="0" w:color="AAAAAA"/>
              <w:start w:val="single" w:sz="4" w:space="0" w:color="AAAAAA"/>
              <w:bottom w:val="single" w:sz="4" w:space="0" w:color="AAAAAA"/>
              <w:end w:val="single" w:sz="4" w:space="0" w:color="AAAAAA"/>
            </w:tcBorders>
            <w:shd w:fill="FFFFFF" w:val="clear"/>
          </w:tcPr>
          <w:p>
            <w:pPr>
              <w:pStyle w:val="Normal"/>
              <w:jc w:val="start"/>
              <w:rPr/>
            </w:pPr>
            <w:r>
              <w:rPr/>
            </w:r>
          </w:p>
        </w:tc>
      </w:tr>
      <w:tr>
        <w:trPr/>
        <w:tc>
          <w:tcPr>
            <w:tcW w:w="5200" w:type="dxa"/>
            <w:tcBorders>
              <w:top w:val="single" w:sz="4" w:space="0" w:color="AAAAAA"/>
              <w:start w:val="single" w:sz="4" w:space="0" w:color="AAAAAA"/>
              <w:bottom w:val="single" w:sz="4" w:space="0" w:color="AAAAAA"/>
              <w:end w:val="single" w:sz="4" w:space="0" w:color="AAAAAA"/>
            </w:tcBorders>
            <w:shd w:fill="EBF3FB" w:val="clear"/>
          </w:tcPr>
          <w:p>
            <w:pPr>
              <w:pStyle w:val="Normal"/>
              <w:jc w:val="start"/>
              <w:rPr/>
            </w:pPr>
            <w:r>
              <w:rPr>
                <w:rFonts w:eastAsia="Times New Roman" w:cs="Times New Roman"/>
                <w:b w:val="false"/>
                <w:bCs w:val="false"/>
                <w:sz w:val="20"/>
                <w:szCs w:val="20"/>
              </w:rPr>
              <w:t xml:space="preserve">  </w:t>
            </w:r>
            <w:r>
              <w:rPr>
                <w:rFonts w:eastAsia="Times New Roman" w:cs="Times New Roman"/>
                <w:b w:val="false"/>
                <w:bCs w:val="false"/>
                <w:sz w:val="20"/>
                <w:szCs w:val="20"/>
              </w:rPr>
              <w:t>Once daily</w:t>
            </w:r>
          </w:p>
        </w:tc>
        <w:tc>
          <w:tcPr>
            <w:tcW w:w="2080" w:type="dxa"/>
            <w:tcBorders>
              <w:top w:val="single" w:sz="4" w:space="0" w:color="AAAAAA"/>
              <w:start w:val="single" w:sz="4" w:space="0" w:color="AAAAAA"/>
              <w:bottom w:val="single" w:sz="4" w:space="0" w:color="AAAAAA"/>
              <w:end w:val="single" w:sz="4" w:space="0" w:color="AAAAAA"/>
            </w:tcBorders>
            <w:shd w:fill="EBF3FB" w:val="clear"/>
          </w:tcPr>
          <w:p>
            <w:pPr>
              <w:pStyle w:val="Normal"/>
              <w:jc w:val="center"/>
              <w:rPr/>
            </w:pPr>
            <w:r>
              <w:rPr>
                <w:rFonts w:eastAsia="Times New Roman" w:cs="Times New Roman"/>
                <w:b w:val="false"/>
                <w:bCs w:val="false"/>
                <w:sz w:val="20"/>
                <w:szCs w:val="20"/>
              </w:rPr>
              <w:t>4</w:t>
            </w:r>
          </w:p>
        </w:tc>
        <w:tc>
          <w:tcPr>
            <w:tcW w:w="2080" w:type="dxa"/>
            <w:tcBorders>
              <w:top w:val="single" w:sz="4" w:space="0" w:color="AAAAAA"/>
              <w:start w:val="single" w:sz="4" w:space="0" w:color="AAAAAA"/>
              <w:bottom w:val="single" w:sz="4" w:space="0" w:color="AAAAAA"/>
              <w:end w:val="single" w:sz="4" w:space="0" w:color="AAAAAA"/>
            </w:tcBorders>
            <w:shd w:fill="EBF3FB" w:val="clear"/>
          </w:tcPr>
          <w:p>
            <w:pPr>
              <w:pStyle w:val="Normal"/>
              <w:jc w:val="center"/>
              <w:rPr/>
            </w:pPr>
            <w:r>
              <w:rPr>
                <w:rFonts w:eastAsia="Times New Roman" w:cs="Times New Roman"/>
                <w:b w:val="false"/>
                <w:bCs w:val="false"/>
                <w:sz w:val="20"/>
                <w:szCs w:val="20"/>
              </w:rPr>
              <w:t>7.3</w:t>
            </w:r>
          </w:p>
        </w:tc>
      </w:tr>
      <w:tr>
        <w:trPr/>
        <w:tc>
          <w:tcPr>
            <w:tcW w:w="5200" w:type="dxa"/>
            <w:tcBorders>
              <w:top w:val="single" w:sz="4" w:space="0" w:color="AAAAAA"/>
              <w:start w:val="single" w:sz="4" w:space="0" w:color="AAAAAA"/>
              <w:bottom w:val="single" w:sz="4" w:space="0" w:color="AAAAAA"/>
              <w:end w:val="single" w:sz="4" w:space="0" w:color="AAAAAA"/>
            </w:tcBorders>
            <w:shd w:fill="FFFFFF" w:val="clear"/>
          </w:tcPr>
          <w:p>
            <w:pPr>
              <w:pStyle w:val="Normal"/>
              <w:jc w:val="start"/>
              <w:rPr/>
            </w:pPr>
            <w:r>
              <w:rPr>
                <w:rFonts w:eastAsia="Times New Roman" w:cs="Times New Roman"/>
                <w:b w:val="false"/>
                <w:bCs w:val="false"/>
                <w:sz w:val="20"/>
                <w:szCs w:val="20"/>
              </w:rPr>
              <w:t xml:space="preserve">  </w:t>
            </w:r>
            <w:r>
              <w:rPr>
                <w:rFonts w:eastAsia="Times New Roman" w:cs="Times New Roman"/>
                <w:b w:val="false"/>
                <w:bCs w:val="false"/>
                <w:sz w:val="20"/>
                <w:szCs w:val="20"/>
              </w:rPr>
              <w:t>Twice daily</w:t>
            </w:r>
          </w:p>
        </w:tc>
        <w:tc>
          <w:tcPr>
            <w:tcW w:w="2080" w:type="dxa"/>
            <w:tcBorders>
              <w:top w:val="single" w:sz="4" w:space="0" w:color="AAAAAA"/>
              <w:start w:val="single" w:sz="4" w:space="0" w:color="AAAAAA"/>
              <w:bottom w:val="single" w:sz="4" w:space="0" w:color="AAAAAA"/>
              <w:end w:val="single" w:sz="4" w:space="0" w:color="AAAAAA"/>
            </w:tcBorders>
            <w:shd w:fill="FFFFFF" w:val="clear"/>
          </w:tcPr>
          <w:p>
            <w:pPr>
              <w:pStyle w:val="Normal"/>
              <w:jc w:val="center"/>
              <w:rPr/>
            </w:pPr>
            <w:r>
              <w:rPr>
                <w:rFonts w:eastAsia="Times New Roman" w:cs="Times New Roman"/>
                <w:b w:val="false"/>
                <w:bCs w:val="false"/>
                <w:sz w:val="20"/>
                <w:szCs w:val="20"/>
              </w:rPr>
              <w:t>9</w:t>
            </w:r>
          </w:p>
        </w:tc>
        <w:tc>
          <w:tcPr>
            <w:tcW w:w="2080" w:type="dxa"/>
            <w:tcBorders>
              <w:top w:val="single" w:sz="4" w:space="0" w:color="AAAAAA"/>
              <w:start w:val="single" w:sz="4" w:space="0" w:color="AAAAAA"/>
              <w:bottom w:val="single" w:sz="4" w:space="0" w:color="AAAAAA"/>
              <w:end w:val="single" w:sz="4" w:space="0" w:color="AAAAAA"/>
            </w:tcBorders>
            <w:shd w:fill="FFFFFF" w:val="clear"/>
          </w:tcPr>
          <w:p>
            <w:pPr>
              <w:pStyle w:val="Normal"/>
              <w:jc w:val="center"/>
              <w:rPr/>
            </w:pPr>
            <w:r>
              <w:rPr>
                <w:rFonts w:eastAsia="Times New Roman" w:cs="Times New Roman"/>
                <w:b w:val="false"/>
                <w:bCs w:val="false"/>
                <w:sz w:val="20"/>
                <w:szCs w:val="20"/>
              </w:rPr>
              <w:t>16.4</w:t>
            </w:r>
          </w:p>
        </w:tc>
      </w:tr>
      <w:tr>
        <w:trPr/>
        <w:tc>
          <w:tcPr>
            <w:tcW w:w="5200" w:type="dxa"/>
            <w:tcBorders>
              <w:top w:val="single" w:sz="4" w:space="0" w:color="AAAAAA"/>
              <w:start w:val="single" w:sz="4" w:space="0" w:color="AAAAAA"/>
              <w:bottom w:val="single" w:sz="4" w:space="0" w:color="AAAAAA"/>
              <w:end w:val="single" w:sz="4" w:space="0" w:color="AAAAAA"/>
            </w:tcBorders>
            <w:shd w:fill="EBF3FB" w:val="clear"/>
          </w:tcPr>
          <w:p>
            <w:pPr>
              <w:pStyle w:val="Normal"/>
              <w:jc w:val="start"/>
              <w:rPr/>
            </w:pPr>
            <w:r>
              <w:rPr>
                <w:rFonts w:eastAsia="Times New Roman" w:cs="Times New Roman"/>
                <w:b w:val="false"/>
                <w:bCs w:val="false"/>
                <w:sz w:val="20"/>
                <w:szCs w:val="20"/>
              </w:rPr>
              <w:t xml:space="preserve">  </w:t>
            </w:r>
            <w:r>
              <w:rPr>
                <w:rFonts w:eastAsia="Times New Roman" w:cs="Times New Roman"/>
                <w:b w:val="false"/>
                <w:bCs w:val="false"/>
                <w:sz w:val="20"/>
                <w:szCs w:val="20"/>
              </w:rPr>
              <w:t>3+ times daily</w:t>
            </w:r>
          </w:p>
        </w:tc>
        <w:tc>
          <w:tcPr>
            <w:tcW w:w="2080" w:type="dxa"/>
            <w:tcBorders>
              <w:top w:val="single" w:sz="4" w:space="0" w:color="AAAAAA"/>
              <w:start w:val="single" w:sz="4" w:space="0" w:color="AAAAAA"/>
              <w:bottom w:val="single" w:sz="4" w:space="0" w:color="AAAAAA"/>
              <w:end w:val="single" w:sz="4" w:space="0" w:color="AAAAAA"/>
            </w:tcBorders>
            <w:shd w:fill="EBF3FB" w:val="clear"/>
          </w:tcPr>
          <w:p>
            <w:pPr>
              <w:pStyle w:val="Normal"/>
              <w:jc w:val="center"/>
              <w:rPr/>
            </w:pPr>
            <w:r>
              <w:rPr>
                <w:rFonts w:eastAsia="Times New Roman" w:cs="Times New Roman"/>
                <w:b w:val="false"/>
                <w:bCs w:val="false"/>
                <w:sz w:val="20"/>
                <w:szCs w:val="20"/>
              </w:rPr>
              <w:t>42</w:t>
            </w:r>
          </w:p>
        </w:tc>
        <w:tc>
          <w:tcPr>
            <w:tcW w:w="2080" w:type="dxa"/>
            <w:tcBorders>
              <w:top w:val="single" w:sz="4" w:space="0" w:color="AAAAAA"/>
              <w:start w:val="single" w:sz="4" w:space="0" w:color="AAAAAA"/>
              <w:bottom w:val="single" w:sz="4" w:space="0" w:color="AAAAAA"/>
              <w:end w:val="single" w:sz="4" w:space="0" w:color="AAAAAA"/>
            </w:tcBorders>
            <w:shd w:fill="EBF3FB" w:val="clear"/>
          </w:tcPr>
          <w:p>
            <w:pPr>
              <w:pStyle w:val="Normal"/>
              <w:jc w:val="center"/>
              <w:rPr/>
            </w:pPr>
            <w:r>
              <w:rPr>
                <w:rFonts w:eastAsia="Times New Roman" w:cs="Times New Roman"/>
                <w:b w:val="false"/>
                <w:bCs w:val="false"/>
                <w:sz w:val="20"/>
                <w:szCs w:val="20"/>
              </w:rPr>
              <w:t>76.4</w:t>
            </w:r>
          </w:p>
        </w:tc>
      </w:tr>
      <w:tr>
        <w:trPr/>
        <w:tc>
          <w:tcPr>
            <w:tcW w:w="5200" w:type="dxa"/>
            <w:tcBorders>
              <w:top w:val="single" w:sz="4" w:space="0" w:color="AAAAAA"/>
              <w:start w:val="single" w:sz="4" w:space="0" w:color="AAAAAA"/>
              <w:bottom w:val="single" w:sz="4" w:space="0" w:color="AAAAAA"/>
              <w:end w:val="single" w:sz="4" w:space="0" w:color="AAAAAA"/>
            </w:tcBorders>
            <w:shd w:fill="FFFFFF" w:val="clear"/>
          </w:tcPr>
          <w:p>
            <w:pPr>
              <w:pStyle w:val="Normal"/>
              <w:jc w:val="start"/>
              <w:rPr/>
            </w:pPr>
            <w:r>
              <w:rPr>
                <w:rFonts w:eastAsia="Times New Roman" w:cs="Times New Roman"/>
                <w:b/>
                <w:bCs/>
                <w:sz w:val="20"/>
                <w:szCs w:val="20"/>
              </w:rPr>
              <w:t>Time to Noticeable Relief (N = 55)</w:t>
            </w:r>
          </w:p>
        </w:tc>
        <w:tc>
          <w:tcPr>
            <w:tcW w:w="2080" w:type="dxa"/>
            <w:tcBorders>
              <w:top w:val="single" w:sz="4" w:space="0" w:color="AAAAAA"/>
              <w:start w:val="single" w:sz="4" w:space="0" w:color="AAAAAA"/>
              <w:bottom w:val="single" w:sz="4" w:space="0" w:color="AAAAAA"/>
              <w:end w:val="single" w:sz="4" w:space="0" w:color="AAAAAA"/>
            </w:tcBorders>
            <w:shd w:fill="FFFFFF" w:val="clear"/>
          </w:tcPr>
          <w:p>
            <w:pPr>
              <w:pStyle w:val="Normal"/>
              <w:jc w:val="start"/>
              <w:rPr/>
            </w:pPr>
            <w:r>
              <w:rPr/>
            </w:r>
          </w:p>
        </w:tc>
        <w:tc>
          <w:tcPr>
            <w:tcW w:w="2080" w:type="dxa"/>
            <w:tcBorders>
              <w:top w:val="single" w:sz="4" w:space="0" w:color="AAAAAA"/>
              <w:start w:val="single" w:sz="4" w:space="0" w:color="AAAAAA"/>
              <w:bottom w:val="single" w:sz="4" w:space="0" w:color="AAAAAA"/>
              <w:end w:val="single" w:sz="4" w:space="0" w:color="AAAAAA"/>
            </w:tcBorders>
            <w:shd w:fill="FFFFFF" w:val="clear"/>
          </w:tcPr>
          <w:p>
            <w:pPr>
              <w:pStyle w:val="Normal"/>
              <w:jc w:val="start"/>
              <w:rPr/>
            </w:pPr>
            <w:r>
              <w:rPr/>
            </w:r>
          </w:p>
        </w:tc>
      </w:tr>
      <w:tr>
        <w:trPr/>
        <w:tc>
          <w:tcPr>
            <w:tcW w:w="5200" w:type="dxa"/>
            <w:tcBorders>
              <w:top w:val="single" w:sz="4" w:space="0" w:color="AAAAAA"/>
              <w:start w:val="single" w:sz="4" w:space="0" w:color="AAAAAA"/>
              <w:bottom w:val="single" w:sz="4" w:space="0" w:color="AAAAAA"/>
              <w:end w:val="single" w:sz="4" w:space="0" w:color="AAAAAA"/>
            </w:tcBorders>
            <w:shd w:fill="EBF3FB" w:val="clear"/>
          </w:tcPr>
          <w:p>
            <w:pPr>
              <w:pStyle w:val="Normal"/>
              <w:jc w:val="start"/>
              <w:rPr/>
            </w:pPr>
            <w:r>
              <w:rPr>
                <w:rFonts w:eastAsia="Times New Roman" w:cs="Times New Roman"/>
                <w:b w:val="false"/>
                <w:bCs w:val="false"/>
                <w:sz w:val="20"/>
                <w:szCs w:val="20"/>
              </w:rPr>
              <w:t xml:space="preserve">  </w:t>
            </w:r>
            <w:r>
              <w:rPr>
                <w:rFonts w:eastAsia="Times New Roman" w:cs="Times New Roman"/>
                <w:b w:val="false"/>
                <w:bCs w:val="false"/>
                <w:sz w:val="20"/>
                <w:szCs w:val="20"/>
              </w:rPr>
              <w:t>&lt; 30 minutes</w:t>
            </w:r>
          </w:p>
        </w:tc>
        <w:tc>
          <w:tcPr>
            <w:tcW w:w="2080" w:type="dxa"/>
            <w:tcBorders>
              <w:top w:val="single" w:sz="4" w:space="0" w:color="AAAAAA"/>
              <w:start w:val="single" w:sz="4" w:space="0" w:color="AAAAAA"/>
              <w:bottom w:val="single" w:sz="4" w:space="0" w:color="AAAAAA"/>
              <w:end w:val="single" w:sz="4" w:space="0" w:color="AAAAAA"/>
            </w:tcBorders>
            <w:shd w:fill="EBF3FB" w:val="clear"/>
          </w:tcPr>
          <w:p>
            <w:pPr>
              <w:pStyle w:val="Normal"/>
              <w:jc w:val="center"/>
              <w:rPr/>
            </w:pPr>
            <w:r>
              <w:rPr>
                <w:rFonts w:eastAsia="Times New Roman" w:cs="Times New Roman"/>
                <w:b w:val="false"/>
                <w:bCs w:val="false"/>
                <w:sz w:val="20"/>
                <w:szCs w:val="20"/>
              </w:rPr>
              <w:t>10</w:t>
            </w:r>
          </w:p>
        </w:tc>
        <w:tc>
          <w:tcPr>
            <w:tcW w:w="2080" w:type="dxa"/>
            <w:tcBorders>
              <w:top w:val="single" w:sz="4" w:space="0" w:color="AAAAAA"/>
              <w:start w:val="single" w:sz="4" w:space="0" w:color="AAAAAA"/>
              <w:bottom w:val="single" w:sz="4" w:space="0" w:color="AAAAAA"/>
              <w:end w:val="single" w:sz="4" w:space="0" w:color="AAAAAA"/>
            </w:tcBorders>
            <w:shd w:fill="EBF3FB" w:val="clear"/>
          </w:tcPr>
          <w:p>
            <w:pPr>
              <w:pStyle w:val="Normal"/>
              <w:jc w:val="center"/>
              <w:rPr/>
            </w:pPr>
            <w:r>
              <w:rPr>
                <w:rFonts w:eastAsia="Times New Roman" w:cs="Times New Roman"/>
                <w:b w:val="false"/>
                <w:bCs w:val="false"/>
                <w:sz w:val="20"/>
                <w:szCs w:val="20"/>
              </w:rPr>
              <w:t>18.2</w:t>
            </w:r>
          </w:p>
        </w:tc>
      </w:tr>
      <w:tr>
        <w:trPr/>
        <w:tc>
          <w:tcPr>
            <w:tcW w:w="5200" w:type="dxa"/>
            <w:tcBorders>
              <w:top w:val="single" w:sz="4" w:space="0" w:color="AAAAAA"/>
              <w:start w:val="single" w:sz="4" w:space="0" w:color="AAAAAA"/>
              <w:bottom w:val="single" w:sz="4" w:space="0" w:color="AAAAAA"/>
              <w:end w:val="single" w:sz="4" w:space="0" w:color="AAAAAA"/>
            </w:tcBorders>
            <w:shd w:fill="FFFFFF" w:val="clear"/>
          </w:tcPr>
          <w:p>
            <w:pPr>
              <w:pStyle w:val="Normal"/>
              <w:jc w:val="start"/>
              <w:rPr/>
            </w:pPr>
            <w:r>
              <w:rPr>
                <w:rFonts w:eastAsia="Times New Roman" w:cs="Times New Roman"/>
                <w:b w:val="false"/>
                <w:bCs w:val="false"/>
                <w:sz w:val="20"/>
                <w:szCs w:val="20"/>
              </w:rPr>
              <w:t xml:space="preserve">  </w:t>
            </w:r>
            <w:r>
              <w:rPr>
                <w:rFonts w:eastAsia="Times New Roman" w:cs="Times New Roman"/>
                <w:b w:val="false"/>
                <w:bCs w:val="false"/>
                <w:sz w:val="20"/>
                <w:szCs w:val="20"/>
              </w:rPr>
              <w:t>30–60 minutes</w:t>
            </w:r>
          </w:p>
        </w:tc>
        <w:tc>
          <w:tcPr>
            <w:tcW w:w="2080" w:type="dxa"/>
            <w:tcBorders>
              <w:top w:val="single" w:sz="4" w:space="0" w:color="AAAAAA"/>
              <w:start w:val="single" w:sz="4" w:space="0" w:color="AAAAAA"/>
              <w:bottom w:val="single" w:sz="4" w:space="0" w:color="AAAAAA"/>
              <w:end w:val="single" w:sz="4" w:space="0" w:color="AAAAAA"/>
            </w:tcBorders>
            <w:shd w:fill="FFFFFF" w:val="clear"/>
          </w:tcPr>
          <w:p>
            <w:pPr>
              <w:pStyle w:val="Normal"/>
              <w:jc w:val="center"/>
              <w:rPr/>
            </w:pPr>
            <w:r>
              <w:rPr>
                <w:rFonts w:eastAsia="Times New Roman" w:cs="Times New Roman"/>
                <w:b w:val="false"/>
                <w:bCs w:val="false"/>
                <w:sz w:val="20"/>
                <w:szCs w:val="20"/>
              </w:rPr>
              <w:t>29</w:t>
            </w:r>
          </w:p>
        </w:tc>
        <w:tc>
          <w:tcPr>
            <w:tcW w:w="2080" w:type="dxa"/>
            <w:tcBorders>
              <w:top w:val="single" w:sz="4" w:space="0" w:color="AAAAAA"/>
              <w:start w:val="single" w:sz="4" w:space="0" w:color="AAAAAA"/>
              <w:bottom w:val="single" w:sz="4" w:space="0" w:color="AAAAAA"/>
              <w:end w:val="single" w:sz="4" w:space="0" w:color="AAAAAA"/>
            </w:tcBorders>
            <w:shd w:fill="FFFFFF" w:val="clear"/>
          </w:tcPr>
          <w:p>
            <w:pPr>
              <w:pStyle w:val="Normal"/>
              <w:jc w:val="center"/>
              <w:rPr/>
            </w:pPr>
            <w:r>
              <w:rPr>
                <w:rFonts w:eastAsia="Times New Roman" w:cs="Times New Roman"/>
                <w:b w:val="false"/>
                <w:bCs w:val="false"/>
                <w:sz w:val="20"/>
                <w:szCs w:val="20"/>
              </w:rPr>
              <w:t>52.7</w:t>
            </w:r>
          </w:p>
        </w:tc>
      </w:tr>
      <w:tr>
        <w:trPr/>
        <w:tc>
          <w:tcPr>
            <w:tcW w:w="5200" w:type="dxa"/>
            <w:tcBorders>
              <w:top w:val="single" w:sz="4" w:space="0" w:color="AAAAAA"/>
              <w:start w:val="single" w:sz="4" w:space="0" w:color="AAAAAA"/>
              <w:bottom w:val="single" w:sz="4" w:space="0" w:color="AAAAAA"/>
              <w:end w:val="single" w:sz="4" w:space="0" w:color="AAAAAA"/>
            </w:tcBorders>
            <w:shd w:fill="EBF3FB" w:val="clear"/>
          </w:tcPr>
          <w:p>
            <w:pPr>
              <w:pStyle w:val="Normal"/>
              <w:jc w:val="start"/>
              <w:rPr/>
            </w:pPr>
            <w:r>
              <w:rPr>
                <w:rFonts w:eastAsia="Times New Roman" w:cs="Times New Roman"/>
                <w:b w:val="false"/>
                <w:bCs w:val="false"/>
                <w:sz w:val="20"/>
                <w:szCs w:val="20"/>
              </w:rPr>
              <w:t xml:space="preserve">  </w:t>
            </w:r>
            <w:r>
              <w:rPr>
                <w:rFonts w:eastAsia="Times New Roman" w:cs="Times New Roman"/>
                <w:b w:val="false"/>
                <w:bCs w:val="false"/>
                <w:sz w:val="20"/>
                <w:szCs w:val="20"/>
              </w:rPr>
              <w:t>1–2 hours</w:t>
            </w:r>
          </w:p>
        </w:tc>
        <w:tc>
          <w:tcPr>
            <w:tcW w:w="2080" w:type="dxa"/>
            <w:tcBorders>
              <w:top w:val="single" w:sz="4" w:space="0" w:color="AAAAAA"/>
              <w:start w:val="single" w:sz="4" w:space="0" w:color="AAAAAA"/>
              <w:bottom w:val="single" w:sz="4" w:space="0" w:color="AAAAAA"/>
              <w:end w:val="single" w:sz="4" w:space="0" w:color="AAAAAA"/>
            </w:tcBorders>
            <w:shd w:fill="EBF3FB" w:val="clear"/>
          </w:tcPr>
          <w:p>
            <w:pPr>
              <w:pStyle w:val="Normal"/>
              <w:jc w:val="center"/>
              <w:rPr/>
            </w:pPr>
            <w:r>
              <w:rPr>
                <w:rFonts w:eastAsia="Times New Roman" w:cs="Times New Roman"/>
                <w:b w:val="false"/>
                <w:bCs w:val="false"/>
                <w:sz w:val="20"/>
                <w:szCs w:val="20"/>
              </w:rPr>
              <w:t>12</w:t>
            </w:r>
          </w:p>
        </w:tc>
        <w:tc>
          <w:tcPr>
            <w:tcW w:w="2080" w:type="dxa"/>
            <w:tcBorders>
              <w:top w:val="single" w:sz="4" w:space="0" w:color="AAAAAA"/>
              <w:start w:val="single" w:sz="4" w:space="0" w:color="AAAAAA"/>
              <w:bottom w:val="single" w:sz="4" w:space="0" w:color="AAAAAA"/>
              <w:end w:val="single" w:sz="4" w:space="0" w:color="AAAAAA"/>
            </w:tcBorders>
            <w:shd w:fill="EBF3FB" w:val="clear"/>
          </w:tcPr>
          <w:p>
            <w:pPr>
              <w:pStyle w:val="Normal"/>
              <w:jc w:val="center"/>
              <w:rPr/>
            </w:pPr>
            <w:r>
              <w:rPr>
                <w:rFonts w:eastAsia="Times New Roman" w:cs="Times New Roman"/>
                <w:b w:val="false"/>
                <w:bCs w:val="false"/>
                <w:sz w:val="20"/>
                <w:szCs w:val="20"/>
              </w:rPr>
              <w:t>21.8</w:t>
            </w:r>
          </w:p>
        </w:tc>
      </w:tr>
      <w:tr>
        <w:trPr/>
        <w:tc>
          <w:tcPr>
            <w:tcW w:w="5200" w:type="dxa"/>
            <w:tcBorders>
              <w:top w:val="single" w:sz="4" w:space="0" w:color="AAAAAA"/>
              <w:start w:val="single" w:sz="4" w:space="0" w:color="AAAAAA"/>
              <w:bottom w:val="single" w:sz="4" w:space="0" w:color="AAAAAA"/>
              <w:end w:val="single" w:sz="4" w:space="0" w:color="AAAAAA"/>
            </w:tcBorders>
            <w:shd w:fill="FFFFFF" w:val="clear"/>
          </w:tcPr>
          <w:p>
            <w:pPr>
              <w:pStyle w:val="Normal"/>
              <w:jc w:val="start"/>
              <w:rPr/>
            </w:pPr>
            <w:r>
              <w:rPr>
                <w:rFonts w:eastAsia="Times New Roman" w:cs="Times New Roman"/>
                <w:b w:val="false"/>
                <w:bCs w:val="false"/>
                <w:sz w:val="20"/>
                <w:szCs w:val="20"/>
              </w:rPr>
              <w:t xml:space="preserve">  </w:t>
            </w:r>
            <w:r>
              <w:rPr>
                <w:rFonts w:eastAsia="Times New Roman" w:cs="Times New Roman"/>
                <w:b w:val="false"/>
                <w:bCs w:val="false"/>
                <w:sz w:val="20"/>
                <w:szCs w:val="20"/>
              </w:rPr>
              <w:t>&gt; 2 hours</w:t>
            </w:r>
          </w:p>
        </w:tc>
        <w:tc>
          <w:tcPr>
            <w:tcW w:w="2080" w:type="dxa"/>
            <w:tcBorders>
              <w:top w:val="single" w:sz="4" w:space="0" w:color="AAAAAA"/>
              <w:start w:val="single" w:sz="4" w:space="0" w:color="AAAAAA"/>
              <w:bottom w:val="single" w:sz="4" w:space="0" w:color="AAAAAA"/>
              <w:end w:val="single" w:sz="4" w:space="0" w:color="AAAAAA"/>
            </w:tcBorders>
            <w:shd w:fill="FFFFFF" w:val="clear"/>
          </w:tcPr>
          <w:p>
            <w:pPr>
              <w:pStyle w:val="Normal"/>
              <w:jc w:val="center"/>
              <w:rPr/>
            </w:pPr>
            <w:r>
              <w:rPr>
                <w:rFonts w:eastAsia="Times New Roman" w:cs="Times New Roman"/>
                <w:b w:val="false"/>
                <w:bCs w:val="false"/>
                <w:sz w:val="20"/>
                <w:szCs w:val="20"/>
              </w:rPr>
              <w:t>4</w:t>
            </w:r>
          </w:p>
        </w:tc>
        <w:tc>
          <w:tcPr>
            <w:tcW w:w="2080" w:type="dxa"/>
            <w:tcBorders>
              <w:top w:val="single" w:sz="4" w:space="0" w:color="AAAAAA"/>
              <w:start w:val="single" w:sz="4" w:space="0" w:color="AAAAAA"/>
              <w:bottom w:val="single" w:sz="4" w:space="0" w:color="AAAAAA"/>
              <w:end w:val="single" w:sz="4" w:space="0" w:color="AAAAAA"/>
            </w:tcBorders>
            <w:shd w:fill="FFFFFF" w:val="clear"/>
          </w:tcPr>
          <w:p>
            <w:pPr>
              <w:pStyle w:val="Normal"/>
              <w:jc w:val="center"/>
              <w:rPr/>
            </w:pPr>
            <w:r>
              <w:rPr>
                <w:rFonts w:eastAsia="Times New Roman" w:cs="Times New Roman"/>
                <w:b w:val="false"/>
                <w:bCs w:val="false"/>
                <w:sz w:val="20"/>
                <w:szCs w:val="20"/>
              </w:rPr>
              <w:t>7.3</w:t>
            </w:r>
          </w:p>
        </w:tc>
      </w:tr>
      <w:tr>
        <w:trPr/>
        <w:tc>
          <w:tcPr>
            <w:tcW w:w="5200" w:type="dxa"/>
            <w:tcBorders>
              <w:top w:val="single" w:sz="4" w:space="0" w:color="AAAAAA"/>
              <w:start w:val="single" w:sz="4" w:space="0" w:color="AAAAAA"/>
              <w:bottom w:val="single" w:sz="4" w:space="0" w:color="AAAAAA"/>
              <w:end w:val="single" w:sz="4" w:space="0" w:color="AAAAAA"/>
            </w:tcBorders>
            <w:shd w:fill="FFFFFF" w:val="clear"/>
          </w:tcPr>
          <w:p>
            <w:pPr>
              <w:pStyle w:val="Normal"/>
              <w:jc w:val="start"/>
              <w:rPr/>
            </w:pPr>
            <w:r>
              <w:rPr>
                <w:rFonts w:eastAsia="Times New Roman" w:cs="Times New Roman"/>
                <w:b/>
                <w:bCs/>
                <w:sz w:val="20"/>
                <w:szCs w:val="20"/>
              </w:rPr>
              <w:t>Perceived Duration of Effect Per Dose (N = 55)</w:t>
            </w:r>
          </w:p>
        </w:tc>
        <w:tc>
          <w:tcPr>
            <w:tcW w:w="2080" w:type="dxa"/>
            <w:tcBorders>
              <w:top w:val="single" w:sz="4" w:space="0" w:color="AAAAAA"/>
              <w:start w:val="single" w:sz="4" w:space="0" w:color="AAAAAA"/>
              <w:bottom w:val="single" w:sz="4" w:space="0" w:color="AAAAAA"/>
              <w:end w:val="single" w:sz="4" w:space="0" w:color="AAAAAA"/>
            </w:tcBorders>
            <w:shd w:fill="FFFFFF" w:val="clear"/>
          </w:tcPr>
          <w:p>
            <w:pPr>
              <w:pStyle w:val="Normal"/>
              <w:jc w:val="start"/>
              <w:rPr/>
            </w:pPr>
            <w:r>
              <w:rPr/>
            </w:r>
          </w:p>
        </w:tc>
        <w:tc>
          <w:tcPr>
            <w:tcW w:w="2080" w:type="dxa"/>
            <w:tcBorders>
              <w:top w:val="single" w:sz="4" w:space="0" w:color="AAAAAA"/>
              <w:start w:val="single" w:sz="4" w:space="0" w:color="AAAAAA"/>
              <w:bottom w:val="single" w:sz="4" w:space="0" w:color="AAAAAA"/>
              <w:end w:val="single" w:sz="4" w:space="0" w:color="AAAAAA"/>
            </w:tcBorders>
            <w:shd w:fill="FFFFFF" w:val="clear"/>
          </w:tcPr>
          <w:p>
            <w:pPr>
              <w:pStyle w:val="Normal"/>
              <w:jc w:val="start"/>
              <w:rPr/>
            </w:pPr>
            <w:r>
              <w:rPr/>
            </w:r>
          </w:p>
        </w:tc>
      </w:tr>
      <w:tr>
        <w:trPr/>
        <w:tc>
          <w:tcPr>
            <w:tcW w:w="5200" w:type="dxa"/>
            <w:tcBorders>
              <w:top w:val="single" w:sz="4" w:space="0" w:color="AAAAAA"/>
              <w:start w:val="single" w:sz="4" w:space="0" w:color="AAAAAA"/>
              <w:bottom w:val="single" w:sz="4" w:space="0" w:color="AAAAAA"/>
              <w:end w:val="single" w:sz="4" w:space="0" w:color="AAAAAA"/>
            </w:tcBorders>
            <w:shd w:fill="EBF3FB" w:val="clear"/>
          </w:tcPr>
          <w:p>
            <w:pPr>
              <w:pStyle w:val="Normal"/>
              <w:jc w:val="start"/>
              <w:rPr/>
            </w:pPr>
            <w:r>
              <w:rPr>
                <w:rFonts w:eastAsia="Times New Roman" w:cs="Times New Roman"/>
                <w:b w:val="false"/>
                <w:bCs w:val="false"/>
                <w:sz w:val="20"/>
                <w:szCs w:val="20"/>
              </w:rPr>
              <w:t xml:space="preserve">  </w:t>
            </w:r>
            <w:r>
              <w:rPr>
                <w:rFonts w:eastAsia="Times New Roman" w:cs="Times New Roman"/>
                <w:b w:val="false"/>
                <w:bCs w:val="false"/>
                <w:sz w:val="20"/>
                <w:szCs w:val="20"/>
              </w:rPr>
              <w:t>&lt; 4 hours</w:t>
            </w:r>
          </w:p>
        </w:tc>
        <w:tc>
          <w:tcPr>
            <w:tcW w:w="2080" w:type="dxa"/>
            <w:tcBorders>
              <w:top w:val="single" w:sz="4" w:space="0" w:color="AAAAAA"/>
              <w:start w:val="single" w:sz="4" w:space="0" w:color="AAAAAA"/>
              <w:bottom w:val="single" w:sz="4" w:space="0" w:color="AAAAAA"/>
              <w:end w:val="single" w:sz="4" w:space="0" w:color="AAAAAA"/>
            </w:tcBorders>
            <w:shd w:fill="EBF3FB" w:val="clear"/>
          </w:tcPr>
          <w:p>
            <w:pPr>
              <w:pStyle w:val="Normal"/>
              <w:jc w:val="center"/>
              <w:rPr/>
            </w:pPr>
            <w:r>
              <w:rPr>
                <w:rFonts w:eastAsia="Times New Roman" w:cs="Times New Roman"/>
                <w:b w:val="false"/>
                <w:bCs w:val="false"/>
                <w:sz w:val="20"/>
                <w:szCs w:val="20"/>
              </w:rPr>
              <w:t>5</w:t>
            </w:r>
          </w:p>
        </w:tc>
        <w:tc>
          <w:tcPr>
            <w:tcW w:w="2080" w:type="dxa"/>
            <w:tcBorders>
              <w:top w:val="single" w:sz="4" w:space="0" w:color="AAAAAA"/>
              <w:start w:val="single" w:sz="4" w:space="0" w:color="AAAAAA"/>
              <w:bottom w:val="single" w:sz="4" w:space="0" w:color="AAAAAA"/>
              <w:end w:val="single" w:sz="4" w:space="0" w:color="AAAAAA"/>
            </w:tcBorders>
            <w:shd w:fill="EBF3FB" w:val="clear"/>
          </w:tcPr>
          <w:p>
            <w:pPr>
              <w:pStyle w:val="Normal"/>
              <w:jc w:val="center"/>
              <w:rPr/>
            </w:pPr>
            <w:r>
              <w:rPr>
                <w:rFonts w:eastAsia="Times New Roman" w:cs="Times New Roman"/>
                <w:b w:val="false"/>
                <w:bCs w:val="false"/>
                <w:sz w:val="20"/>
                <w:szCs w:val="20"/>
              </w:rPr>
              <w:t>9.1</w:t>
            </w:r>
          </w:p>
        </w:tc>
      </w:tr>
      <w:tr>
        <w:trPr/>
        <w:tc>
          <w:tcPr>
            <w:tcW w:w="5200" w:type="dxa"/>
            <w:tcBorders>
              <w:top w:val="single" w:sz="4" w:space="0" w:color="AAAAAA"/>
              <w:start w:val="single" w:sz="4" w:space="0" w:color="AAAAAA"/>
              <w:bottom w:val="single" w:sz="4" w:space="0" w:color="AAAAAA"/>
              <w:end w:val="single" w:sz="4" w:space="0" w:color="AAAAAA"/>
            </w:tcBorders>
            <w:shd w:fill="FFFFFF" w:val="clear"/>
          </w:tcPr>
          <w:p>
            <w:pPr>
              <w:pStyle w:val="Normal"/>
              <w:jc w:val="start"/>
              <w:rPr/>
            </w:pPr>
            <w:r>
              <w:rPr>
                <w:rFonts w:eastAsia="Times New Roman" w:cs="Times New Roman"/>
                <w:b w:val="false"/>
                <w:bCs w:val="false"/>
                <w:sz w:val="20"/>
                <w:szCs w:val="20"/>
              </w:rPr>
              <w:t xml:space="preserve">  </w:t>
            </w:r>
            <w:r>
              <w:rPr>
                <w:rFonts w:eastAsia="Times New Roman" w:cs="Times New Roman"/>
                <w:b w:val="false"/>
                <w:bCs w:val="false"/>
                <w:sz w:val="20"/>
                <w:szCs w:val="20"/>
              </w:rPr>
              <w:t>4–8 hours</w:t>
            </w:r>
          </w:p>
        </w:tc>
        <w:tc>
          <w:tcPr>
            <w:tcW w:w="2080" w:type="dxa"/>
            <w:tcBorders>
              <w:top w:val="single" w:sz="4" w:space="0" w:color="AAAAAA"/>
              <w:start w:val="single" w:sz="4" w:space="0" w:color="AAAAAA"/>
              <w:bottom w:val="single" w:sz="4" w:space="0" w:color="AAAAAA"/>
              <w:end w:val="single" w:sz="4" w:space="0" w:color="AAAAAA"/>
            </w:tcBorders>
            <w:shd w:fill="FFFFFF" w:val="clear"/>
          </w:tcPr>
          <w:p>
            <w:pPr>
              <w:pStyle w:val="Normal"/>
              <w:jc w:val="center"/>
              <w:rPr/>
            </w:pPr>
            <w:r>
              <w:rPr>
                <w:rFonts w:eastAsia="Times New Roman" w:cs="Times New Roman"/>
                <w:b w:val="false"/>
                <w:bCs w:val="false"/>
                <w:sz w:val="20"/>
                <w:szCs w:val="20"/>
              </w:rPr>
              <w:t>30</w:t>
            </w:r>
          </w:p>
        </w:tc>
        <w:tc>
          <w:tcPr>
            <w:tcW w:w="2080" w:type="dxa"/>
            <w:tcBorders>
              <w:top w:val="single" w:sz="4" w:space="0" w:color="AAAAAA"/>
              <w:start w:val="single" w:sz="4" w:space="0" w:color="AAAAAA"/>
              <w:bottom w:val="single" w:sz="4" w:space="0" w:color="AAAAAA"/>
              <w:end w:val="single" w:sz="4" w:space="0" w:color="AAAAAA"/>
            </w:tcBorders>
            <w:shd w:fill="FFFFFF" w:val="clear"/>
          </w:tcPr>
          <w:p>
            <w:pPr>
              <w:pStyle w:val="Normal"/>
              <w:jc w:val="center"/>
              <w:rPr/>
            </w:pPr>
            <w:r>
              <w:rPr>
                <w:rFonts w:eastAsia="Times New Roman" w:cs="Times New Roman"/>
                <w:b w:val="false"/>
                <w:bCs w:val="false"/>
                <w:sz w:val="20"/>
                <w:szCs w:val="20"/>
              </w:rPr>
              <w:t>54.5</w:t>
            </w:r>
          </w:p>
        </w:tc>
      </w:tr>
      <w:tr>
        <w:trPr/>
        <w:tc>
          <w:tcPr>
            <w:tcW w:w="5200" w:type="dxa"/>
            <w:tcBorders>
              <w:top w:val="single" w:sz="4" w:space="0" w:color="AAAAAA"/>
              <w:start w:val="single" w:sz="4" w:space="0" w:color="AAAAAA"/>
              <w:bottom w:val="single" w:sz="4" w:space="0" w:color="AAAAAA"/>
              <w:end w:val="single" w:sz="4" w:space="0" w:color="AAAAAA"/>
            </w:tcBorders>
            <w:shd w:fill="EBF3FB" w:val="clear"/>
          </w:tcPr>
          <w:p>
            <w:pPr>
              <w:pStyle w:val="Normal"/>
              <w:jc w:val="start"/>
              <w:rPr/>
            </w:pPr>
            <w:r>
              <w:rPr>
                <w:rFonts w:eastAsia="Times New Roman" w:cs="Times New Roman"/>
                <w:b w:val="false"/>
                <w:bCs w:val="false"/>
                <w:sz w:val="20"/>
                <w:szCs w:val="20"/>
              </w:rPr>
              <w:t xml:space="preserve">  </w:t>
            </w:r>
            <w:r>
              <w:rPr>
                <w:rFonts w:eastAsia="Times New Roman" w:cs="Times New Roman"/>
                <w:b w:val="false"/>
                <w:bCs w:val="false"/>
                <w:sz w:val="20"/>
                <w:szCs w:val="20"/>
              </w:rPr>
              <w:t>8–12 hours</w:t>
            </w:r>
          </w:p>
        </w:tc>
        <w:tc>
          <w:tcPr>
            <w:tcW w:w="2080" w:type="dxa"/>
            <w:tcBorders>
              <w:top w:val="single" w:sz="4" w:space="0" w:color="AAAAAA"/>
              <w:start w:val="single" w:sz="4" w:space="0" w:color="AAAAAA"/>
              <w:bottom w:val="single" w:sz="4" w:space="0" w:color="AAAAAA"/>
              <w:end w:val="single" w:sz="4" w:space="0" w:color="AAAAAA"/>
            </w:tcBorders>
            <w:shd w:fill="EBF3FB" w:val="clear"/>
          </w:tcPr>
          <w:p>
            <w:pPr>
              <w:pStyle w:val="Normal"/>
              <w:jc w:val="center"/>
              <w:rPr/>
            </w:pPr>
            <w:r>
              <w:rPr>
                <w:rFonts w:eastAsia="Times New Roman" w:cs="Times New Roman"/>
                <w:b w:val="false"/>
                <w:bCs w:val="false"/>
                <w:sz w:val="20"/>
                <w:szCs w:val="20"/>
              </w:rPr>
              <w:t>15</w:t>
            </w:r>
          </w:p>
        </w:tc>
        <w:tc>
          <w:tcPr>
            <w:tcW w:w="2080" w:type="dxa"/>
            <w:tcBorders>
              <w:top w:val="single" w:sz="4" w:space="0" w:color="AAAAAA"/>
              <w:start w:val="single" w:sz="4" w:space="0" w:color="AAAAAA"/>
              <w:bottom w:val="single" w:sz="4" w:space="0" w:color="AAAAAA"/>
              <w:end w:val="single" w:sz="4" w:space="0" w:color="AAAAAA"/>
            </w:tcBorders>
            <w:shd w:fill="EBF3FB" w:val="clear"/>
          </w:tcPr>
          <w:p>
            <w:pPr>
              <w:pStyle w:val="Normal"/>
              <w:jc w:val="center"/>
              <w:rPr/>
            </w:pPr>
            <w:r>
              <w:rPr>
                <w:rFonts w:eastAsia="Times New Roman" w:cs="Times New Roman"/>
                <w:b w:val="false"/>
                <w:bCs w:val="false"/>
                <w:sz w:val="20"/>
                <w:szCs w:val="20"/>
              </w:rPr>
              <w:t>27.3</w:t>
            </w:r>
          </w:p>
        </w:tc>
      </w:tr>
      <w:tr>
        <w:trPr/>
        <w:tc>
          <w:tcPr>
            <w:tcW w:w="5200" w:type="dxa"/>
            <w:tcBorders>
              <w:top w:val="single" w:sz="4" w:space="0" w:color="AAAAAA"/>
              <w:start w:val="single" w:sz="4" w:space="0" w:color="AAAAAA"/>
              <w:bottom w:val="single" w:sz="4" w:space="0" w:color="AAAAAA"/>
              <w:end w:val="single" w:sz="4" w:space="0" w:color="AAAAAA"/>
            </w:tcBorders>
            <w:shd w:fill="FFFFFF" w:val="clear"/>
          </w:tcPr>
          <w:p>
            <w:pPr>
              <w:pStyle w:val="Normal"/>
              <w:jc w:val="start"/>
              <w:rPr/>
            </w:pPr>
            <w:r>
              <w:rPr>
                <w:rFonts w:eastAsia="Times New Roman" w:cs="Times New Roman"/>
                <w:b w:val="false"/>
                <w:bCs w:val="false"/>
                <w:sz w:val="20"/>
                <w:szCs w:val="20"/>
              </w:rPr>
              <w:t xml:space="preserve">  </w:t>
            </w:r>
            <w:r>
              <w:rPr>
                <w:rFonts w:eastAsia="Times New Roman" w:cs="Times New Roman"/>
                <w:b w:val="false"/>
                <w:bCs w:val="false"/>
                <w:sz w:val="20"/>
                <w:szCs w:val="20"/>
              </w:rPr>
              <w:t>12+ hours</w:t>
            </w:r>
          </w:p>
        </w:tc>
        <w:tc>
          <w:tcPr>
            <w:tcW w:w="2080" w:type="dxa"/>
            <w:tcBorders>
              <w:top w:val="single" w:sz="4" w:space="0" w:color="AAAAAA"/>
              <w:start w:val="single" w:sz="4" w:space="0" w:color="AAAAAA"/>
              <w:bottom w:val="single" w:sz="4" w:space="0" w:color="AAAAAA"/>
              <w:end w:val="single" w:sz="4" w:space="0" w:color="AAAAAA"/>
            </w:tcBorders>
            <w:shd w:fill="FFFFFF" w:val="clear"/>
          </w:tcPr>
          <w:p>
            <w:pPr>
              <w:pStyle w:val="Normal"/>
              <w:jc w:val="center"/>
              <w:rPr/>
            </w:pPr>
            <w:r>
              <w:rPr>
                <w:rFonts w:eastAsia="Times New Roman" w:cs="Times New Roman"/>
                <w:b w:val="false"/>
                <w:bCs w:val="false"/>
                <w:sz w:val="20"/>
                <w:szCs w:val="20"/>
              </w:rPr>
              <w:t>5</w:t>
            </w:r>
          </w:p>
        </w:tc>
        <w:tc>
          <w:tcPr>
            <w:tcW w:w="2080" w:type="dxa"/>
            <w:tcBorders>
              <w:top w:val="single" w:sz="4" w:space="0" w:color="AAAAAA"/>
              <w:start w:val="single" w:sz="4" w:space="0" w:color="AAAAAA"/>
              <w:bottom w:val="single" w:sz="4" w:space="0" w:color="AAAAAA"/>
              <w:end w:val="single" w:sz="4" w:space="0" w:color="AAAAAA"/>
            </w:tcBorders>
            <w:shd w:fill="FFFFFF" w:val="clear"/>
          </w:tcPr>
          <w:p>
            <w:pPr>
              <w:pStyle w:val="Normal"/>
              <w:jc w:val="center"/>
              <w:rPr/>
            </w:pPr>
            <w:r>
              <w:rPr>
                <w:rFonts w:eastAsia="Times New Roman" w:cs="Times New Roman"/>
                <w:b w:val="false"/>
                <w:bCs w:val="false"/>
                <w:sz w:val="20"/>
                <w:szCs w:val="20"/>
              </w:rPr>
              <w:t>9.1</w:t>
            </w:r>
          </w:p>
        </w:tc>
      </w:tr>
      <w:tr>
        <w:trPr/>
        <w:tc>
          <w:tcPr>
            <w:tcW w:w="5200" w:type="dxa"/>
            <w:tcBorders>
              <w:top w:val="single" w:sz="4" w:space="0" w:color="AAAAAA"/>
              <w:start w:val="single" w:sz="4" w:space="0" w:color="AAAAAA"/>
              <w:bottom w:val="single" w:sz="4" w:space="0" w:color="AAAAAA"/>
              <w:end w:val="single" w:sz="4" w:space="0" w:color="AAAAAA"/>
            </w:tcBorders>
            <w:shd w:fill="FFFFFF" w:val="clear"/>
          </w:tcPr>
          <w:p>
            <w:pPr>
              <w:pStyle w:val="Normal"/>
              <w:jc w:val="start"/>
              <w:rPr/>
            </w:pPr>
            <w:r>
              <w:rPr>
                <w:rFonts w:eastAsia="Times New Roman" w:cs="Times New Roman"/>
                <w:b/>
                <w:bCs/>
                <w:sz w:val="20"/>
                <w:szCs w:val="20"/>
              </w:rPr>
              <w:t>Duration of Continued SR-17018 Use After Opioid Discontinuation (N = 55)</w:t>
            </w:r>
          </w:p>
        </w:tc>
        <w:tc>
          <w:tcPr>
            <w:tcW w:w="2080" w:type="dxa"/>
            <w:tcBorders>
              <w:top w:val="single" w:sz="4" w:space="0" w:color="AAAAAA"/>
              <w:start w:val="single" w:sz="4" w:space="0" w:color="AAAAAA"/>
              <w:bottom w:val="single" w:sz="4" w:space="0" w:color="AAAAAA"/>
              <w:end w:val="single" w:sz="4" w:space="0" w:color="AAAAAA"/>
            </w:tcBorders>
            <w:shd w:fill="FFFFFF" w:val="clear"/>
          </w:tcPr>
          <w:p>
            <w:pPr>
              <w:pStyle w:val="Normal"/>
              <w:jc w:val="start"/>
              <w:rPr/>
            </w:pPr>
            <w:r>
              <w:rPr/>
            </w:r>
          </w:p>
        </w:tc>
        <w:tc>
          <w:tcPr>
            <w:tcW w:w="2080" w:type="dxa"/>
            <w:tcBorders>
              <w:top w:val="single" w:sz="4" w:space="0" w:color="AAAAAA"/>
              <w:start w:val="single" w:sz="4" w:space="0" w:color="AAAAAA"/>
              <w:bottom w:val="single" w:sz="4" w:space="0" w:color="AAAAAA"/>
              <w:end w:val="single" w:sz="4" w:space="0" w:color="AAAAAA"/>
            </w:tcBorders>
            <w:shd w:fill="FFFFFF" w:val="clear"/>
          </w:tcPr>
          <w:p>
            <w:pPr>
              <w:pStyle w:val="Normal"/>
              <w:jc w:val="start"/>
              <w:rPr/>
            </w:pPr>
            <w:r>
              <w:rPr/>
            </w:r>
          </w:p>
        </w:tc>
      </w:tr>
      <w:tr>
        <w:trPr/>
        <w:tc>
          <w:tcPr>
            <w:tcW w:w="5200" w:type="dxa"/>
            <w:tcBorders>
              <w:top w:val="single" w:sz="4" w:space="0" w:color="AAAAAA"/>
              <w:start w:val="single" w:sz="4" w:space="0" w:color="AAAAAA"/>
              <w:bottom w:val="single" w:sz="4" w:space="0" w:color="AAAAAA"/>
              <w:end w:val="single" w:sz="4" w:space="0" w:color="AAAAAA"/>
            </w:tcBorders>
            <w:shd w:fill="EBF3FB" w:val="clear"/>
          </w:tcPr>
          <w:p>
            <w:pPr>
              <w:pStyle w:val="Normal"/>
              <w:jc w:val="start"/>
              <w:rPr/>
            </w:pPr>
            <w:r>
              <w:rPr>
                <w:rFonts w:eastAsia="Times New Roman" w:cs="Times New Roman"/>
                <w:b w:val="false"/>
                <w:bCs w:val="false"/>
                <w:sz w:val="20"/>
                <w:szCs w:val="20"/>
              </w:rPr>
              <w:t xml:space="preserve">  </w:t>
            </w:r>
            <w:r>
              <w:rPr>
                <w:rFonts w:eastAsia="Times New Roman" w:cs="Times New Roman"/>
                <w:b w:val="false"/>
                <w:bCs w:val="false"/>
                <w:sz w:val="20"/>
                <w:szCs w:val="20"/>
              </w:rPr>
              <w:t>2–3 days</w:t>
            </w:r>
          </w:p>
        </w:tc>
        <w:tc>
          <w:tcPr>
            <w:tcW w:w="2080" w:type="dxa"/>
            <w:tcBorders>
              <w:top w:val="single" w:sz="4" w:space="0" w:color="AAAAAA"/>
              <w:start w:val="single" w:sz="4" w:space="0" w:color="AAAAAA"/>
              <w:bottom w:val="single" w:sz="4" w:space="0" w:color="AAAAAA"/>
              <w:end w:val="single" w:sz="4" w:space="0" w:color="AAAAAA"/>
            </w:tcBorders>
            <w:shd w:fill="EBF3FB" w:val="clear"/>
          </w:tcPr>
          <w:p>
            <w:pPr>
              <w:pStyle w:val="Normal"/>
              <w:jc w:val="center"/>
              <w:rPr/>
            </w:pPr>
            <w:r>
              <w:rPr>
                <w:rFonts w:eastAsia="Times New Roman" w:cs="Times New Roman"/>
                <w:b w:val="false"/>
                <w:bCs w:val="false"/>
                <w:sz w:val="20"/>
                <w:szCs w:val="20"/>
              </w:rPr>
              <w:t>6</w:t>
            </w:r>
          </w:p>
        </w:tc>
        <w:tc>
          <w:tcPr>
            <w:tcW w:w="2080" w:type="dxa"/>
            <w:tcBorders>
              <w:top w:val="single" w:sz="4" w:space="0" w:color="AAAAAA"/>
              <w:start w:val="single" w:sz="4" w:space="0" w:color="AAAAAA"/>
              <w:bottom w:val="single" w:sz="4" w:space="0" w:color="AAAAAA"/>
              <w:end w:val="single" w:sz="4" w:space="0" w:color="AAAAAA"/>
            </w:tcBorders>
            <w:shd w:fill="EBF3FB" w:val="clear"/>
          </w:tcPr>
          <w:p>
            <w:pPr>
              <w:pStyle w:val="Normal"/>
              <w:jc w:val="center"/>
              <w:rPr/>
            </w:pPr>
            <w:r>
              <w:rPr>
                <w:rFonts w:eastAsia="Times New Roman" w:cs="Times New Roman"/>
                <w:b w:val="false"/>
                <w:bCs w:val="false"/>
                <w:sz w:val="20"/>
                <w:szCs w:val="20"/>
              </w:rPr>
              <w:t>10.9</w:t>
            </w:r>
          </w:p>
        </w:tc>
      </w:tr>
      <w:tr>
        <w:trPr/>
        <w:tc>
          <w:tcPr>
            <w:tcW w:w="5200" w:type="dxa"/>
            <w:tcBorders>
              <w:top w:val="single" w:sz="4" w:space="0" w:color="AAAAAA"/>
              <w:start w:val="single" w:sz="4" w:space="0" w:color="AAAAAA"/>
              <w:bottom w:val="single" w:sz="4" w:space="0" w:color="AAAAAA"/>
              <w:end w:val="single" w:sz="4" w:space="0" w:color="AAAAAA"/>
            </w:tcBorders>
            <w:shd w:fill="FFFFFF" w:val="clear"/>
          </w:tcPr>
          <w:p>
            <w:pPr>
              <w:pStyle w:val="Normal"/>
              <w:jc w:val="start"/>
              <w:rPr/>
            </w:pPr>
            <w:r>
              <w:rPr>
                <w:rFonts w:eastAsia="Times New Roman" w:cs="Times New Roman"/>
                <w:b w:val="false"/>
                <w:bCs w:val="false"/>
                <w:sz w:val="20"/>
                <w:szCs w:val="20"/>
              </w:rPr>
              <w:t xml:space="preserve">  </w:t>
            </w:r>
            <w:r>
              <w:rPr>
                <w:rFonts w:eastAsia="Times New Roman" w:cs="Times New Roman"/>
                <w:b w:val="false"/>
                <w:bCs w:val="false"/>
                <w:sz w:val="20"/>
                <w:szCs w:val="20"/>
              </w:rPr>
              <w:t>4–7 days</w:t>
            </w:r>
          </w:p>
        </w:tc>
        <w:tc>
          <w:tcPr>
            <w:tcW w:w="2080" w:type="dxa"/>
            <w:tcBorders>
              <w:top w:val="single" w:sz="4" w:space="0" w:color="AAAAAA"/>
              <w:start w:val="single" w:sz="4" w:space="0" w:color="AAAAAA"/>
              <w:bottom w:val="single" w:sz="4" w:space="0" w:color="AAAAAA"/>
              <w:end w:val="single" w:sz="4" w:space="0" w:color="AAAAAA"/>
            </w:tcBorders>
            <w:shd w:fill="FFFFFF" w:val="clear"/>
          </w:tcPr>
          <w:p>
            <w:pPr>
              <w:pStyle w:val="Normal"/>
              <w:jc w:val="center"/>
              <w:rPr/>
            </w:pPr>
            <w:r>
              <w:rPr>
                <w:rFonts w:eastAsia="Times New Roman" w:cs="Times New Roman"/>
                <w:b w:val="false"/>
                <w:bCs w:val="false"/>
                <w:sz w:val="20"/>
                <w:szCs w:val="20"/>
              </w:rPr>
              <w:t>13</w:t>
            </w:r>
          </w:p>
        </w:tc>
        <w:tc>
          <w:tcPr>
            <w:tcW w:w="2080" w:type="dxa"/>
            <w:tcBorders>
              <w:top w:val="single" w:sz="4" w:space="0" w:color="AAAAAA"/>
              <w:start w:val="single" w:sz="4" w:space="0" w:color="AAAAAA"/>
              <w:bottom w:val="single" w:sz="4" w:space="0" w:color="AAAAAA"/>
              <w:end w:val="single" w:sz="4" w:space="0" w:color="AAAAAA"/>
            </w:tcBorders>
            <w:shd w:fill="FFFFFF" w:val="clear"/>
          </w:tcPr>
          <w:p>
            <w:pPr>
              <w:pStyle w:val="Normal"/>
              <w:jc w:val="center"/>
              <w:rPr/>
            </w:pPr>
            <w:r>
              <w:rPr>
                <w:rFonts w:eastAsia="Times New Roman" w:cs="Times New Roman"/>
                <w:b w:val="false"/>
                <w:bCs w:val="false"/>
                <w:sz w:val="20"/>
                <w:szCs w:val="20"/>
              </w:rPr>
              <w:t>23.6</w:t>
            </w:r>
          </w:p>
        </w:tc>
      </w:tr>
      <w:tr>
        <w:trPr/>
        <w:tc>
          <w:tcPr>
            <w:tcW w:w="5200" w:type="dxa"/>
            <w:tcBorders>
              <w:top w:val="single" w:sz="4" w:space="0" w:color="AAAAAA"/>
              <w:start w:val="single" w:sz="4" w:space="0" w:color="AAAAAA"/>
              <w:bottom w:val="single" w:sz="4" w:space="0" w:color="AAAAAA"/>
              <w:end w:val="single" w:sz="4" w:space="0" w:color="AAAAAA"/>
            </w:tcBorders>
            <w:shd w:fill="EBF3FB" w:val="clear"/>
          </w:tcPr>
          <w:p>
            <w:pPr>
              <w:pStyle w:val="Normal"/>
              <w:jc w:val="start"/>
              <w:rPr/>
            </w:pPr>
            <w:r>
              <w:rPr>
                <w:rFonts w:eastAsia="Times New Roman" w:cs="Times New Roman"/>
                <w:b w:val="false"/>
                <w:bCs w:val="false"/>
                <w:sz w:val="20"/>
                <w:szCs w:val="20"/>
              </w:rPr>
              <w:t xml:space="preserve">  </w:t>
            </w:r>
            <w:r>
              <w:rPr>
                <w:rFonts w:eastAsia="Times New Roman" w:cs="Times New Roman"/>
                <w:b w:val="false"/>
                <w:bCs w:val="false"/>
                <w:sz w:val="20"/>
                <w:szCs w:val="20"/>
              </w:rPr>
              <w:t>1–2 weeks</w:t>
            </w:r>
          </w:p>
        </w:tc>
        <w:tc>
          <w:tcPr>
            <w:tcW w:w="2080" w:type="dxa"/>
            <w:tcBorders>
              <w:top w:val="single" w:sz="4" w:space="0" w:color="AAAAAA"/>
              <w:start w:val="single" w:sz="4" w:space="0" w:color="AAAAAA"/>
              <w:bottom w:val="single" w:sz="4" w:space="0" w:color="AAAAAA"/>
              <w:end w:val="single" w:sz="4" w:space="0" w:color="AAAAAA"/>
            </w:tcBorders>
            <w:shd w:fill="EBF3FB" w:val="clear"/>
          </w:tcPr>
          <w:p>
            <w:pPr>
              <w:pStyle w:val="Normal"/>
              <w:jc w:val="center"/>
              <w:rPr/>
            </w:pPr>
            <w:r>
              <w:rPr>
                <w:rFonts w:eastAsia="Times New Roman" w:cs="Times New Roman"/>
                <w:b w:val="false"/>
                <w:bCs w:val="false"/>
                <w:sz w:val="20"/>
                <w:szCs w:val="20"/>
              </w:rPr>
              <w:t>19</w:t>
            </w:r>
          </w:p>
        </w:tc>
        <w:tc>
          <w:tcPr>
            <w:tcW w:w="2080" w:type="dxa"/>
            <w:tcBorders>
              <w:top w:val="single" w:sz="4" w:space="0" w:color="AAAAAA"/>
              <w:start w:val="single" w:sz="4" w:space="0" w:color="AAAAAA"/>
              <w:bottom w:val="single" w:sz="4" w:space="0" w:color="AAAAAA"/>
              <w:end w:val="single" w:sz="4" w:space="0" w:color="AAAAAA"/>
            </w:tcBorders>
            <w:shd w:fill="EBF3FB" w:val="clear"/>
          </w:tcPr>
          <w:p>
            <w:pPr>
              <w:pStyle w:val="Normal"/>
              <w:jc w:val="center"/>
              <w:rPr/>
            </w:pPr>
            <w:r>
              <w:rPr>
                <w:rFonts w:eastAsia="Times New Roman" w:cs="Times New Roman"/>
                <w:b w:val="false"/>
                <w:bCs w:val="false"/>
                <w:sz w:val="20"/>
                <w:szCs w:val="20"/>
              </w:rPr>
              <w:t>34.5</w:t>
            </w:r>
          </w:p>
        </w:tc>
      </w:tr>
      <w:tr>
        <w:trPr/>
        <w:tc>
          <w:tcPr>
            <w:tcW w:w="5200" w:type="dxa"/>
            <w:tcBorders>
              <w:top w:val="single" w:sz="4" w:space="0" w:color="AAAAAA"/>
              <w:start w:val="single" w:sz="4" w:space="0" w:color="AAAAAA"/>
              <w:bottom w:val="single" w:sz="4" w:space="0" w:color="AAAAAA"/>
              <w:end w:val="single" w:sz="4" w:space="0" w:color="AAAAAA"/>
            </w:tcBorders>
            <w:shd w:fill="FFFFFF" w:val="clear"/>
          </w:tcPr>
          <w:p>
            <w:pPr>
              <w:pStyle w:val="Normal"/>
              <w:jc w:val="start"/>
              <w:rPr/>
            </w:pPr>
            <w:r>
              <w:rPr>
                <w:rFonts w:eastAsia="Times New Roman" w:cs="Times New Roman"/>
                <w:b w:val="false"/>
                <w:bCs w:val="false"/>
                <w:sz w:val="20"/>
                <w:szCs w:val="20"/>
              </w:rPr>
              <w:t xml:space="preserve">  </w:t>
            </w:r>
            <w:r>
              <w:rPr>
                <w:rFonts w:eastAsia="Times New Roman" w:cs="Times New Roman"/>
                <w:b w:val="false"/>
                <w:bCs w:val="false"/>
                <w:sz w:val="20"/>
                <w:szCs w:val="20"/>
              </w:rPr>
              <w:t>2+ weeks</w:t>
            </w:r>
          </w:p>
        </w:tc>
        <w:tc>
          <w:tcPr>
            <w:tcW w:w="2080" w:type="dxa"/>
            <w:tcBorders>
              <w:top w:val="single" w:sz="4" w:space="0" w:color="AAAAAA"/>
              <w:start w:val="single" w:sz="4" w:space="0" w:color="AAAAAA"/>
              <w:bottom w:val="single" w:sz="4" w:space="0" w:color="AAAAAA"/>
              <w:end w:val="single" w:sz="4" w:space="0" w:color="AAAAAA"/>
            </w:tcBorders>
            <w:shd w:fill="FFFFFF" w:val="clear"/>
          </w:tcPr>
          <w:p>
            <w:pPr>
              <w:pStyle w:val="Normal"/>
              <w:jc w:val="center"/>
              <w:rPr/>
            </w:pPr>
            <w:r>
              <w:rPr>
                <w:rFonts w:eastAsia="Times New Roman" w:cs="Times New Roman"/>
                <w:b w:val="false"/>
                <w:bCs w:val="false"/>
                <w:sz w:val="20"/>
                <w:szCs w:val="20"/>
              </w:rPr>
              <w:t>16</w:t>
            </w:r>
          </w:p>
        </w:tc>
        <w:tc>
          <w:tcPr>
            <w:tcW w:w="2080" w:type="dxa"/>
            <w:tcBorders>
              <w:top w:val="single" w:sz="4" w:space="0" w:color="AAAAAA"/>
              <w:start w:val="single" w:sz="4" w:space="0" w:color="AAAAAA"/>
              <w:bottom w:val="single" w:sz="4" w:space="0" w:color="AAAAAA"/>
              <w:end w:val="single" w:sz="4" w:space="0" w:color="AAAAAA"/>
            </w:tcBorders>
            <w:shd w:fill="FFFFFF" w:val="clear"/>
          </w:tcPr>
          <w:p>
            <w:pPr>
              <w:pStyle w:val="Normal"/>
              <w:jc w:val="center"/>
              <w:rPr/>
            </w:pPr>
            <w:r>
              <w:rPr>
                <w:rFonts w:eastAsia="Times New Roman" w:cs="Times New Roman"/>
                <w:b w:val="false"/>
                <w:bCs w:val="false"/>
                <w:sz w:val="20"/>
                <w:szCs w:val="20"/>
              </w:rPr>
              <w:t>29.1</w:t>
            </w:r>
          </w:p>
        </w:tc>
      </w:tr>
      <w:tr>
        <w:trPr/>
        <w:tc>
          <w:tcPr>
            <w:tcW w:w="5200" w:type="dxa"/>
            <w:tcBorders>
              <w:top w:val="single" w:sz="4" w:space="0" w:color="AAAAAA"/>
              <w:start w:val="single" w:sz="4" w:space="0" w:color="AAAAAA"/>
              <w:bottom w:val="single" w:sz="4" w:space="0" w:color="AAAAAA"/>
              <w:end w:val="single" w:sz="4" w:space="0" w:color="AAAAAA"/>
            </w:tcBorders>
            <w:shd w:fill="FFFFFF" w:val="clear"/>
          </w:tcPr>
          <w:p>
            <w:pPr>
              <w:pStyle w:val="Normal"/>
              <w:jc w:val="start"/>
              <w:rPr/>
            </w:pPr>
            <w:r>
              <w:rPr>
                <w:rFonts w:eastAsia="Times New Roman" w:cs="Times New Roman"/>
                <w:b/>
                <w:bCs/>
                <w:sz w:val="20"/>
                <w:szCs w:val="20"/>
              </w:rPr>
              <w:t>Used SR-17018 While Tapering Prior Opioid (N = 19 respondents)</w:t>
            </w:r>
          </w:p>
        </w:tc>
        <w:tc>
          <w:tcPr>
            <w:tcW w:w="2080" w:type="dxa"/>
            <w:tcBorders>
              <w:top w:val="single" w:sz="4" w:space="0" w:color="AAAAAA"/>
              <w:start w:val="single" w:sz="4" w:space="0" w:color="AAAAAA"/>
              <w:bottom w:val="single" w:sz="4" w:space="0" w:color="AAAAAA"/>
              <w:end w:val="single" w:sz="4" w:space="0" w:color="AAAAAA"/>
            </w:tcBorders>
            <w:shd w:fill="FFFFFF" w:val="clear"/>
          </w:tcPr>
          <w:p>
            <w:pPr>
              <w:pStyle w:val="Normal"/>
              <w:jc w:val="start"/>
              <w:rPr/>
            </w:pPr>
            <w:r>
              <w:rPr/>
            </w:r>
          </w:p>
        </w:tc>
        <w:tc>
          <w:tcPr>
            <w:tcW w:w="2080" w:type="dxa"/>
            <w:tcBorders>
              <w:top w:val="single" w:sz="4" w:space="0" w:color="AAAAAA"/>
              <w:start w:val="single" w:sz="4" w:space="0" w:color="AAAAAA"/>
              <w:bottom w:val="single" w:sz="4" w:space="0" w:color="AAAAAA"/>
              <w:end w:val="single" w:sz="4" w:space="0" w:color="AAAAAA"/>
            </w:tcBorders>
            <w:shd w:fill="FFFFFF" w:val="clear"/>
          </w:tcPr>
          <w:p>
            <w:pPr>
              <w:pStyle w:val="Normal"/>
              <w:jc w:val="start"/>
              <w:rPr/>
            </w:pPr>
            <w:r>
              <w:rPr/>
            </w:r>
          </w:p>
        </w:tc>
      </w:tr>
      <w:tr>
        <w:trPr/>
        <w:tc>
          <w:tcPr>
            <w:tcW w:w="5200" w:type="dxa"/>
            <w:tcBorders>
              <w:top w:val="single" w:sz="4" w:space="0" w:color="AAAAAA"/>
              <w:start w:val="single" w:sz="4" w:space="0" w:color="AAAAAA"/>
              <w:bottom w:val="single" w:sz="4" w:space="0" w:color="AAAAAA"/>
              <w:end w:val="single" w:sz="4" w:space="0" w:color="AAAAAA"/>
            </w:tcBorders>
            <w:shd w:fill="EBF3FB" w:val="clear"/>
          </w:tcPr>
          <w:p>
            <w:pPr>
              <w:pStyle w:val="Normal"/>
              <w:jc w:val="start"/>
              <w:rPr/>
            </w:pPr>
            <w:r>
              <w:rPr>
                <w:rFonts w:eastAsia="Times New Roman" w:cs="Times New Roman"/>
                <w:b w:val="false"/>
                <w:bCs w:val="false"/>
                <w:sz w:val="20"/>
                <w:szCs w:val="20"/>
              </w:rPr>
              <w:t xml:space="preserve">  </w:t>
            </w:r>
            <w:r>
              <w:rPr>
                <w:rFonts w:eastAsia="Times New Roman" w:cs="Times New Roman"/>
                <w:b w:val="false"/>
                <w:bCs w:val="false"/>
                <w:sz w:val="20"/>
                <w:szCs w:val="20"/>
              </w:rPr>
              <w:t>Yes</w:t>
            </w:r>
          </w:p>
        </w:tc>
        <w:tc>
          <w:tcPr>
            <w:tcW w:w="2080" w:type="dxa"/>
            <w:tcBorders>
              <w:top w:val="single" w:sz="4" w:space="0" w:color="AAAAAA"/>
              <w:start w:val="single" w:sz="4" w:space="0" w:color="AAAAAA"/>
              <w:bottom w:val="single" w:sz="4" w:space="0" w:color="AAAAAA"/>
              <w:end w:val="single" w:sz="4" w:space="0" w:color="AAAAAA"/>
            </w:tcBorders>
            <w:shd w:fill="EBF3FB" w:val="clear"/>
          </w:tcPr>
          <w:p>
            <w:pPr>
              <w:pStyle w:val="Normal"/>
              <w:jc w:val="center"/>
              <w:rPr/>
            </w:pPr>
            <w:r>
              <w:rPr>
                <w:rFonts w:eastAsia="Times New Roman" w:cs="Times New Roman"/>
                <w:b w:val="false"/>
                <w:bCs w:val="false"/>
                <w:sz w:val="20"/>
                <w:szCs w:val="20"/>
              </w:rPr>
              <w:t>14</w:t>
            </w:r>
          </w:p>
        </w:tc>
        <w:tc>
          <w:tcPr>
            <w:tcW w:w="2080" w:type="dxa"/>
            <w:tcBorders>
              <w:top w:val="single" w:sz="4" w:space="0" w:color="AAAAAA"/>
              <w:start w:val="single" w:sz="4" w:space="0" w:color="AAAAAA"/>
              <w:bottom w:val="single" w:sz="4" w:space="0" w:color="AAAAAA"/>
              <w:end w:val="single" w:sz="4" w:space="0" w:color="AAAAAA"/>
            </w:tcBorders>
            <w:shd w:fill="EBF3FB" w:val="clear"/>
          </w:tcPr>
          <w:p>
            <w:pPr>
              <w:pStyle w:val="Normal"/>
              <w:jc w:val="center"/>
              <w:rPr/>
            </w:pPr>
            <w:r>
              <w:rPr>
                <w:rFonts w:eastAsia="Times New Roman" w:cs="Times New Roman"/>
                <w:b w:val="false"/>
                <w:bCs w:val="false"/>
                <w:sz w:val="20"/>
                <w:szCs w:val="20"/>
              </w:rPr>
              <w:t>73.7</w:t>
            </w:r>
          </w:p>
        </w:tc>
      </w:tr>
      <w:tr>
        <w:trPr/>
        <w:tc>
          <w:tcPr>
            <w:tcW w:w="5200" w:type="dxa"/>
            <w:tcBorders>
              <w:top w:val="single" w:sz="4" w:space="0" w:color="AAAAAA"/>
              <w:start w:val="single" w:sz="4" w:space="0" w:color="AAAAAA"/>
              <w:bottom w:val="single" w:sz="4" w:space="0" w:color="AAAAAA"/>
              <w:end w:val="single" w:sz="4" w:space="0" w:color="AAAAAA"/>
            </w:tcBorders>
            <w:shd w:fill="FFFFFF" w:val="clear"/>
          </w:tcPr>
          <w:p>
            <w:pPr>
              <w:pStyle w:val="Normal"/>
              <w:jc w:val="start"/>
              <w:rPr/>
            </w:pPr>
            <w:r>
              <w:rPr>
                <w:rFonts w:eastAsia="Times New Roman" w:cs="Times New Roman"/>
                <w:b w:val="false"/>
                <w:bCs w:val="false"/>
                <w:sz w:val="20"/>
                <w:szCs w:val="20"/>
              </w:rPr>
              <w:t xml:space="preserve">  </w:t>
            </w:r>
            <w:r>
              <w:rPr>
                <w:rFonts w:eastAsia="Times New Roman" w:cs="Times New Roman"/>
                <w:b w:val="false"/>
                <w:bCs w:val="false"/>
                <w:sz w:val="20"/>
                <w:szCs w:val="20"/>
              </w:rPr>
              <w:t>No</w:t>
            </w:r>
          </w:p>
        </w:tc>
        <w:tc>
          <w:tcPr>
            <w:tcW w:w="2080" w:type="dxa"/>
            <w:tcBorders>
              <w:top w:val="single" w:sz="4" w:space="0" w:color="AAAAAA"/>
              <w:start w:val="single" w:sz="4" w:space="0" w:color="AAAAAA"/>
              <w:bottom w:val="single" w:sz="4" w:space="0" w:color="AAAAAA"/>
              <w:end w:val="single" w:sz="4" w:space="0" w:color="AAAAAA"/>
            </w:tcBorders>
            <w:shd w:fill="FFFFFF" w:val="clear"/>
          </w:tcPr>
          <w:p>
            <w:pPr>
              <w:pStyle w:val="Normal"/>
              <w:jc w:val="center"/>
              <w:rPr/>
            </w:pPr>
            <w:r>
              <w:rPr>
                <w:rFonts w:eastAsia="Times New Roman" w:cs="Times New Roman"/>
                <w:b w:val="false"/>
                <w:bCs w:val="false"/>
                <w:sz w:val="20"/>
                <w:szCs w:val="20"/>
              </w:rPr>
              <w:t>4</w:t>
            </w:r>
          </w:p>
        </w:tc>
        <w:tc>
          <w:tcPr>
            <w:tcW w:w="2080" w:type="dxa"/>
            <w:tcBorders>
              <w:top w:val="single" w:sz="4" w:space="0" w:color="AAAAAA"/>
              <w:start w:val="single" w:sz="4" w:space="0" w:color="AAAAAA"/>
              <w:bottom w:val="single" w:sz="4" w:space="0" w:color="AAAAAA"/>
              <w:end w:val="single" w:sz="4" w:space="0" w:color="AAAAAA"/>
            </w:tcBorders>
            <w:shd w:fill="FFFFFF" w:val="clear"/>
          </w:tcPr>
          <w:p>
            <w:pPr>
              <w:pStyle w:val="Normal"/>
              <w:jc w:val="center"/>
              <w:rPr/>
            </w:pPr>
            <w:r>
              <w:rPr>
                <w:rFonts w:eastAsia="Times New Roman" w:cs="Times New Roman"/>
                <w:b w:val="false"/>
                <w:bCs w:val="false"/>
                <w:sz w:val="20"/>
                <w:szCs w:val="20"/>
              </w:rPr>
              <w:t>21.1</w:t>
            </w:r>
          </w:p>
        </w:tc>
      </w:tr>
      <w:tr>
        <w:trPr/>
        <w:tc>
          <w:tcPr>
            <w:tcW w:w="5200" w:type="dxa"/>
            <w:tcBorders>
              <w:top w:val="single" w:sz="4" w:space="0" w:color="AAAAAA"/>
              <w:start w:val="single" w:sz="4" w:space="0" w:color="AAAAAA"/>
              <w:bottom w:val="single" w:sz="4" w:space="0" w:color="AAAAAA"/>
              <w:end w:val="single" w:sz="4" w:space="0" w:color="AAAAAA"/>
            </w:tcBorders>
            <w:shd w:fill="EBF3FB" w:val="clear"/>
          </w:tcPr>
          <w:p>
            <w:pPr>
              <w:pStyle w:val="Normal"/>
              <w:jc w:val="start"/>
              <w:rPr/>
            </w:pPr>
            <w:r>
              <w:rPr>
                <w:rFonts w:eastAsia="Times New Roman" w:cs="Times New Roman"/>
                <w:b w:val="false"/>
                <w:bCs w:val="false"/>
                <w:sz w:val="20"/>
                <w:szCs w:val="20"/>
              </w:rPr>
              <w:t xml:space="preserve">  </w:t>
            </w:r>
            <w:r>
              <w:rPr>
                <w:rFonts w:eastAsia="Times New Roman" w:cs="Times New Roman"/>
                <w:b w:val="false"/>
                <w:bCs w:val="false"/>
                <w:sz w:val="20"/>
                <w:szCs w:val="20"/>
              </w:rPr>
              <w:t>Unsure</w:t>
            </w:r>
          </w:p>
        </w:tc>
        <w:tc>
          <w:tcPr>
            <w:tcW w:w="2080" w:type="dxa"/>
            <w:tcBorders>
              <w:top w:val="single" w:sz="4" w:space="0" w:color="AAAAAA"/>
              <w:start w:val="single" w:sz="4" w:space="0" w:color="AAAAAA"/>
              <w:bottom w:val="single" w:sz="4" w:space="0" w:color="AAAAAA"/>
              <w:end w:val="single" w:sz="4" w:space="0" w:color="AAAAAA"/>
            </w:tcBorders>
            <w:shd w:fill="EBF3FB" w:val="clear"/>
          </w:tcPr>
          <w:p>
            <w:pPr>
              <w:pStyle w:val="Normal"/>
              <w:jc w:val="center"/>
              <w:rPr/>
            </w:pPr>
            <w:r>
              <w:rPr>
                <w:rFonts w:eastAsia="Times New Roman" w:cs="Times New Roman"/>
                <w:b w:val="false"/>
                <w:bCs w:val="false"/>
                <w:sz w:val="20"/>
                <w:szCs w:val="20"/>
              </w:rPr>
              <w:t>1</w:t>
            </w:r>
          </w:p>
        </w:tc>
        <w:tc>
          <w:tcPr>
            <w:tcW w:w="2080" w:type="dxa"/>
            <w:tcBorders>
              <w:top w:val="single" w:sz="4" w:space="0" w:color="AAAAAA"/>
              <w:start w:val="single" w:sz="4" w:space="0" w:color="AAAAAA"/>
              <w:bottom w:val="single" w:sz="4" w:space="0" w:color="AAAAAA"/>
              <w:end w:val="single" w:sz="4" w:space="0" w:color="AAAAAA"/>
            </w:tcBorders>
            <w:shd w:fill="EBF3FB" w:val="clear"/>
          </w:tcPr>
          <w:p>
            <w:pPr>
              <w:pStyle w:val="Normal"/>
              <w:jc w:val="center"/>
              <w:rPr/>
            </w:pPr>
            <w:r>
              <w:rPr>
                <w:rFonts w:eastAsia="Times New Roman" w:cs="Times New Roman"/>
                <w:b w:val="false"/>
                <w:bCs w:val="false"/>
                <w:sz w:val="20"/>
                <w:szCs w:val="20"/>
              </w:rPr>
              <w:t>5.3</w:t>
            </w:r>
          </w:p>
        </w:tc>
      </w:tr>
    </w:tbl>
    <w:p>
      <w:pPr>
        <w:pStyle w:val="Normal"/>
        <w:spacing w:before="0" w:after="120"/>
        <w:rPr/>
      </w:pPr>
      <w:r>
        <w:rPr>
          <w:rFonts w:eastAsia="Times New Roman" w:cs="Times New Roman"/>
          <w:b w:val="false"/>
          <w:bCs w:val="false"/>
          <w:i/>
          <w:iCs/>
          <w:sz w:val="20"/>
          <w:szCs w:val="20"/>
        </w:rPr>
        <w:t>Note: Preloading question answered by 19 respondents; percentages reflect this subsample.</w:t>
      </w:r>
    </w:p>
    <w:p>
      <w:pPr>
        <w:pStyle w:val="Normal"/>
        <w:spacing w:before="0" w:after="160"/>
        <w:rPr/>
      </w:pPr>
      <w:r>
        <w:rPr/>
      </w:r>
    </w:p>
    <w:p>
      <w:pPr>
        <w:pStyle w:val="Normal"/>
        <w:spacing w:before="200" w:after="80"/>
        <w:rPr/>
      </w:pPr>
      <w:r>
        <w:rPr>
          <w:rFonts w:eastAsia="Times New Roman" w:cs="Times New Roman"/>
          <w:b/>
          <w:bCs/>
          <w:i w:val="false"/>
          <w:iCs w:val="false"/>
          <w:sz w:val="22"/>
          <w:szCs w:val="22"/>
        </w:rPr>
        <w:t>Table 3. Safety and Tolerability (N = 55)</w:t>
      </w:r>
    </w:p>
    <w:tbl>
      <w:tblPr>
        <w:tblW w:w="9360" w:type="dxa"/>
        <w:jc w:val="start"/>
        <w:tblInd w:w="0" w:type="dxa"/>
        <w:tblLayout w:type="fixed"/>
        <w:tblCellMar>
          <w:top w:w="80" w:type="dxa"/>
          <w:start w:w="120" w:type="dxa"/>
          <w:bottom w:w="80" w:type="dxa"/>
          <w:end w:w="120" w:type="dxa"/>
        </w:tblCellMar>
      </w:tblPr>
      <w:tblGrid>
        <w:gridCol w:w="5200"/>
        <w:gridCol w:w="2080"/>
        <w:gridCol w:w="2080"/>
      </w:tblGrid>
      <w:tr>
        <w:trPr/>
        <w:tc>
          <w:tcPr>
            <w:tcW w:w="5200" w:type="dxa"/>
            <w:tcBorders>
              <w:top w:val="single" w:sz="4" w:space="0" w:color="AAAAAA"/>
              <w:start w:val="single" w:sz="4" w:space="0" w:color="AAAAAA"/>
              <w:bottom w:val="single" w:sz="4" w:space="0" w:color="AAAAAA"/>
              <w:end w:val="single" w:sz="4" w:space="0" w:color="AAAAAA"/>
            </w:tcBorders>
            <w:shd w:fill="1F4E79" w:val="clear"/>
          </w:tcPr>
          <w:p>
            <w:pPr>
              <w:pStyle w:val="Normal"/>
              <w:jc w:val="center"/>
              <w:rPr/>
            </w:pPr>
            <w:r>
              <w:rPr>
                <w:rFonts w:eastAsia="Arial" w:cs="Arial" w:ascii="Arial" w:hAnsi="Arial"/>
                <w:b/>
                <w:bCs/>
                <w:color w:val="FFFFFF"/>
                <w:sz w:val="20"/>
                <w:szCs w:val="20"/>
              </w:rPr>
              <w:t>Safety and Tolerability Variable</w:t>
            </w:r>
          </w:p>
        </w:tc>
        <w:tc>
          <w:tcPr>
            <w:tcW w:w="2080" w:type="dxa"/>
            <w:tcBorders>
              <w:top w:val="single" w:sz="4" w:space="0" w:color="AAAAAA"/>
              <w:start w:val="single" w:sz="4" w:space="0" w:color="AAAAAA"/>
              <w:bottom w:val="single" w:sz="4" w:space="0" w:color="AAAAAA"/>
              <w:end w:val="single" w:sz="4" w:space="0" w:color="AAAAAA"/>
            </w:tcBorders>
            <w:shd w:fill="1F4E79" w:val="clear"/>
          </w:tcPr>
          <w:p>
            <w:pPr>
              <w:pStyle w:val="Normal"/>
              <w:jc w:val="center"/>
              <w:rPr/>
            </w:pPr>
            <w:r>
              <w:rPr>
                <w:rFonts w:eastAsia="Arial" w:cs="Arial" w:ascii="Arial" w:hAnsi="Arial"/>
                <w:b/>
                <w:bCs/>
                <w:color w:val="FFFFFF"/>
                <w:sz w:val="20"/>
                <w:szCs w:val="20"/>
              </w:rPr>
              <w:t>n</w:t>
            </w:r>
          </w:p>
        </w:tc>
        <w:tc>
          <w:tcPr>
            <w:tcW w:w="2080" w:type="dxa"/>
            <w:tcBorders>
              <w:top w:val="single" w:sz="4" w:space="0" w:color="AAAAAA"/>
              <w:start w:val="single" w:sz="4" w:space="0" w:color="AAAAAA"/>
              <w:bottom w:val="single" w:sz="4" w:space="0" w:color="AAAAAA"/>
              <w:end w:val="single" w:sz="4" w:space="0" w:color="AAAAAA"/>
            </w:tcBorders>
            <w:shd w:fill="1F4E79" w:val="clear"/>
          </w:tcPr>
          <w:p>
            <w:pPr>
              <w:pStyle w:val="Normal"/>
              <w:jc w:val="center"/>
              <w:rPr/>
            </w:pPr>
            <w:r>
              <w:rPr>
                <w:rFonts w:eastAsia="Arial" w:cs="Arial" w:ascii="Arial" w:hAnsi="Arial"/>
                <w:b/>
                <w:bCs/>
                <w:color w:val="FFFFFF"/>
                <w:sz w:val="20"/>
                <w:szCs w:val="20"/>
              </w:rPr>
              <w:t>%</w:t>
            </w:r>
          </w:p>
        </w:tc>
      </w:tr>
      <w:tr>
        <w:trPr/>
        <w:tc>
          <w:tcPr>
            <w:tcW w:w="5200" w:type="dxa"/>
            <w:tcBorders>
              <w:top w:val="single" w:sz="4" w:space="0" w:color="AAAAAA"/>
              <w:start w:val="single" w:sz="4" w:space="0" w:color="AAAAAA"/>
              <w:bottom w:val="single" w:sz="4" w:space="0" w:color="AAAAAA"/>
              <w:end w:val="single" w:sz="4" w:space="0" w:color="AAAAAA"/>
            </w:tcBorders>
            <w:shd w:fill="FFFFFF" w:val="clear"/>
          </w:tcPr>
          <w:p>
            <w:pPr>
              <w:pStyle w:val="Normal"/>
              <w:jc w:val="start"/>
              <w:rPr/>
            </w:pPr>
            <w:r>
              <w:rPr>
                <w:rFonts w:eastAsia="Times New Roman" w:cs="Times New Roman"/>
                <w:b/>
                <w:bCs/>
                <w:sz w:val="20"/>
                <w:szCs w:val="20"/>
              </w:rPr>
              <w:t>Adverse Effects Reported (N = 55, multiple selections permitted)</w:t>
            </w:r>
          </w:p>
        </w:tc>
        <w:tc>
          <w:tcPr>
            <w:tcW w:w="2080" w:type="dxa"/>
            <w:tcBorders>
              <w:top w:val="single" w:sz="4" w:space="0" w:color="AAAAAA"/>
              <w:start w:val="single" w:sz="4" w:space="0" w:color="AAAAAA"/>
              <w:bottom w:val="single" w:sz="4" w:space="0" w:color="AAAAAA"/>
              <w:end w:val="single" w:sz="4" w:space="0" w:color="AAAAAA"/>
            </w:tcBorders>
            <w:shd w:fill="FFFFFF" w:val="clear"/>
          </w:tcPr>
          <w:p>
            <w:pPr>
              <w:pStyle w:val="Normal"/>
              <w:jc w:val="start"/>
              <w:rPr/>
            </w:pPr>
            <w:r>
              <w:rPr/>
            </w:r>
          </w:p>
        </w:tc>
        <w:tc>
          <w:tcPr>
            <w:tcW w:w="2080" w:type="dxa"/>
            <w:tcBorders>
              <w:top w:val="single" w:sz="4" w:space="0" w:color="AAAAAA"/>
              <w:start w:val="single" w:sz="4" w:space="0" w:color="AAAAAA"/>
              <w:bottom w:val="single" w:sz="4" w:space="0" w:color="AAAAAA"/>
              <w:end w:val="single" w:sz="4" w:space="0" w:color="AAAAAA"/>
            </w:tcBorders>
            <w:shd w:fill="FFFFFF" w:val="clear"/>
          </w:tcPr>
          <w:p>
            <w:pPr>
              <w:pStyle w:val="Normal"/>
              <w:jc w:val="start"/>
              <w:rPr/>
            </w:pPr>
            <w:r>
              <w:rPr/>
            </w:r>
          </w:p>
        </w:tc>
      </w:tr>
      <w:tr>
        <w:trPr/>
        <w:tc>
          <w:tcPr>
            <w:tcW w:w="5200" w:type="dxa"/>
            <w:tcBorders>
              <w:top w:val="single" w:sz="4" w:space="0" w:color="AAAAAA"/>
              <w:start w:val="single" w:sz="4" w:space="0" w:color="AAAAAA"/>
              <w:bottom w:val="single" w:sz="4" w:space="0" w:color="AAAAAA"/>
              <w:end w:val="single" w:sz="4" w:space="0" w:color="AAAAAA"/>
            </w:tcBorders>
            <w:shd w:fill="EBF3FB" w:val="clear"/>
          </w:tcPr>
          <w:p>
            <w:pPr>
              <w:pStyle w:val="Normal"/>
              <w:jc w:val="start"/>
              <w:rPr/>
            </w:pPr>
            <w:r>
              <w:rPr>
                <w:rFonts w:eastAsia="Times New Roman" w:cs="Times New Roman"/>
                <w:b w:val="false"/>
                <w:bCs w:val="false"/>
                <w:sz w:val="20"/>
                <w:szCs w:val="20"/>
              </w:rPr>
              <w:t xml:space="preserve">  </w:t>
            </w:r>
            <w:r>
              <w:rPr>
                <w:rFonts w:eastAsia="Times New Roman" w:cs="Times New Roman"/>
                <w:b w:val="false"/>
                <w:bCs w:val="false"/>
                <w:sz w:val="20"/>
                <w:szCs w:val="20"/>
              </w:rPr>
              <w:t>None</w:t>
            </w:r>
          </w:p>
        </w:tc>
        <w:tc>
          <w:tcPr>
            <w:tcW w:w="2080" w:type="dxa"/>
            <w:tcBorders>
              <w:top w:val="single" w:sz="4" w:space="0" w:color="AAAAAA"/>
              <w:start w:val="single" w:sz="4" w:space="0" w:color="AAAAAA"/>
              <w:bottom w:val="single" w:sz="4" w:space="0" w:color="AAAAAA"/>
              <w:end w:val="single" w:sz="4" w:space="0" w:color="AAAAAA"/>
            </w:tcBorders>
            <w:shd w:fill="EBF3FB" w:val="clear"/>
          </w:tcPr>
          <w:p>
            <w:pPr>
              <w:pStyle w:val="Normal"/>
              <w:jc w:val="center"/>
              <w:rPr/>
            </w:pPr>
            <w:r>
              <w:rPr>
                <w:rFonts w:eastAsia="Times New Roman" w:cs="Times New Roman"/>
                <w:b w:val="false"/>
                <w:bCs w:val="false"/>
                <w:sz w:val="20"/>
                <w:szCs w:val="20"/>
              </w:rPr>
              <w:t>22</w:t>
            </w:r>
          </w:p>
        </w:tc>
        <w:tc>
          <w:tcPr>
            <w:tcW w:w="2080" w:type="dxa"/>
            <w:tcBorders>
              <w:top w:val="single" w:sz="4" w:space="0" w:color="AAAAAA"/>
              <w:start w:val="single" w:sz="4" w:space="0" w:color="AAAAAA"/>
              <w:bottom w:val="single" w:sz="4" w:space="0" w:color="AAAAAA"/>
              <w:end w:val="single" w:sz="4" w:space="0" w:color="AAAAAA"/>
            </w:tcBorders>
            <w:shd w:fill="EBF3FB" w:val="clear"/>
          </w:tcPr>
          <w:p>
            <w:pPr>
              <w:pStyle w:val="Normal"/>
              <w:jc w:val="center"/>
              <w:rPr/>
            </w:pPr>
            <w:r>
              <w:rPr>
                <w:rFonts w:eastAsia="Times New Roman" w:cs="Times New Roman"/>
                <w:b w:val="false"/>
                <w:bCs w:val="false"/>
                <w:sz w:val="20"/>
                <w:szCs w:val="20"/>
              </w:rPr>
              <w:t>40.0</w:t>
            </w:r>
          </w:p>
        </w:tc>
      </w:tr>
      <w:tr>
        <w:trPr/>
        <w:tc>
          <w:tcPr>
            <w:tcW w:w="5200" w:type="dxa"/>
            <w:tcBorders>
              <w:top w:val="single" w:sz="4" w:space="0" w:color="AAAAAA"/>
              <w:start w:val="single" w:sz="4" w:space="0" w:color="AAAAAA"/>
              <w:bottom w:val="single" w:sz="4" w:space="0" w:color="AAAAAA"/>
              <w:end w:val="single" w:sz="4" w:space="0" w:color="AAAAAA"/>
            </w:tcBorders>
            <w:shd w:fill="FFFFFF" w:val="clear"/>
          </w:tcPr>
          <w:p>
            <w:pPr>
              <w:pStyle w:val="Normal"/>
              <w:jc w:val="start"/>
              <w:rPr/>
            </w:pPr>
            <w:r>
              <w:rPr>
                <w:rFonts w:eastAsia="Times New Roman" w:cs="Times New Roman"/>
                <w:b w:val="false"/>
                <w:bCs w:val="false"/>
                <w:sz w:val="20"/>
                <w:szCs w:val="20"/>
              </w:rPr>
              <w:t xml:space="preserve">  </w:t>
            </w:r>
            <w:r>
              <w:rPr>
                <w:rFonts w:eastAsia="Times New Roman" w:cs="Times New Roman"/>
                <w:b w:val="false"/>
                <w:bCs w:val="false"/>
                <w:sz w:val="20"/>
                <w:szCs w:val="20"/>
              </w:rPr>
              <w:t>Anxiety</w:t>
            </w:r>
          </w:p>
        </w:tc>
        <w:tc>
          <w:tcPr>
            <w:tcW w:w="2080" w:type="dxa"/>
            <w:tcBorders>
              <w:top w:val="single" w:sz="4" w:space="0" w:color="AAAAAA"/>
              <w:start w:val="single" w:sz="4" w:space="0" w:color="AAAAAA"/>
              <w:bottom w:val="single" w:sz="4" w:space="0" w:color="AAAAAA"/>
              <w:end w:val="single" w:sz="4" w:space="0" w:color="AAAAAA"/>
            </w:tcBorders>
            <w:shd w:fill="FFFFFF" w:val="clear"/>
          </w:tcPr>
          <w:p>
            <w:pPr>
              <w:pStyle w:val="Normal"/>
              <w:jc w:val="center"/>
              <w:rPr/>
            </w:pPr>
            <w:r>
              <w:rPr>
                <w:rFonts w:eastAsia="Times New Roman" w:cs="Times New Roman"/>
                <w:b w:val="false"/>
                <w:bCs w:val="false"/>
                <w:sz w:val="20"/>
                <w:szCs w:val="20"/>
              </w:rPr>
              <w:t>10</w:t>
            </w:r>
          </w:p>
        </w:tc>
        <w:tc>
          <w:tcPr>
            <w:tcW w:w="2080" w:type="dxa"/>
            <w:tcBorders>
              <w:top w:val="single" w:sz="4" w:space="0" w:color="AAAAAA"/>
              <w:start w:val="single" w:sz="4" w:space="0" w:color="AAAAAA"/>
              <w:bottom w:val="single" w:sz="4" w:space="0" w:color="AAAAAA"/>
              <w:end w:val="single" w:sz="4" w:space="0" w:color="AAAAAA"/>
            </w:tcBorders>
            <w:shd w:fill="FFFFFF" w:val="clear"/>
          </w:tcPr>
          <w:p>
            <w:pPr>
              <w:pStyle w:val="Normal"/>
              <w:jc w:val="center"/>
              <w:rPr/>
            </w:pPr>
            <w:r>
              <w:rPr>
                <w:rFonts w:eastAsia="Times New Roman" w:cs="Times New Roman"/>
                <w:b w:val="false"/>
                <w:bCs w:val="false"/>
                <w:sz w:val="20"/>
                <w:szCs w:val="20"/>
              </w:rPr>
              <w:t>18.2</w:t>
            </w:r>
          </w:p>
        </w:tc>
      </w:tr>
      <w:tr>
        <w:trPr/>
        <w:tc>
          <w:tcPr>
            <w:tcW w:w="5200" w:type="dxa"/>
            <w:tcBorders>
              <w:top w:val="single" w:sz="4" w:space="0" w:color="AAAAAA"/>
              <w:start w:val="single" w:sz="4" w:space="0" w:color="AAAAAA"/>
              <w:bottom w:val="single" w:sz="4" w:space="0" w:color="AAAAAA"/>
              <w:end w:val="single" w:sz="4" w:space="0" w:color="AAAAAA"/>
            </w:tcBorders>
            <w:shd w:fill="EBF3FB" w:val="clear"/>
          </w:tcPr>
          <w:p>
            <w:pPr>
              <w:pStyle w:val="Normal"/>
              <w:jc w:val="start"/>
              <w:rPr/>
            </w:pPr>
            <w:r>
              <w:rPr>
                <w:rFonts w:eastAsia="Times New Roman" w:cs="Times New Roman"/>
                <w:b w:val="false"/>
                <w:bCs w:val="false"/>
                <w:sz w:val="20"/>
                <w:szCs w:val="20"/>
              </w:rPr>
              <w:t xml:space="preserve">  </w:t>
            </w:r>
            <w:r>
              <w:rPr>
                <w:rFonts w:eastAsia="Times New Roman" w:cs="Times New Roman"/>
                <w:b w:val="false"/>
                <w:bCs w:val="false"/>
                <w:sz w:val="20"/>
                <w:szCs w:val="20"/>
              </w:rPr>
              <w:t>Lack of sensitivity to other opioids</w:t>
            </w:r>
          </w:p>
        </w:tc>
        <w:tc>
          <w:tcPr>
            <w:tcW w:w="2080" w:type="dxa"/>
            <w:tcBorders>
              <w:top w:val="single" w:sz="4" w:space="0" w:color="AAAAAA"/>
              <w:start w:val="single" w:sz="4" w:space="0" w:color="AAAAAA"/>
              <w:bottom w:val="single" w:sz="4" w:space="0" w:color="AAAAAA"/>
              <w:end w:val="single" w:sz="4" w:space="0" w:color="AAAAAA"/>
            </w:tcBorders>
            <w:shd w:fill="EBF3FB" w:val="clear"/>
          </w:tcPr>
          <w:p>
            <w:pPr>
              <w:pStyle w:val="Normal"/>
              <w:jc w:val="center"/>
              <w:rPr/>
            </w:pPr>
            <w:r>
              <w:rPr>
                <w:rFonts w:eastAsia="Times New Roman" w:cs="Times New Roman"/>
                <w:b w:val="false"/>
                <w:bCs w:val="false"/>
                <w:sz w:val="20"/>
                <w:szCs w:val="20"/>
              </w:rPr>
              <w:t>11</w:t>
            </w:r>
          </w:p>
        </w:tc>
        <w:tc>
          <w:tcPr>
            <w:tcW w:w="2080" w:type="dxa"/>
            <w:tcBorders>
              <w:top w:val="single" w:sz="4" w:space="0" w:color="AAAAAA"/>
              <w:start w:val="single" w:sz="4" w:space="0" w:color="AAAAAA"/>
              <w:bottom w:val="single" w:sz="4" w:space="0" w:color="AAAAAA"/>
              <w:end w:val="single" w:sz="4" w:space="0" w:color="AAAAAA"/>
            </w:tcBorders>
            <w:shd w:fill="EBF3FB" w:val="clear"/>
          </w:tcPr>
          <w:p>
            <w:pPr>
              <w:pStyle w:val="Normal"/>
              <w:jc w:val="center"/>
              <w:rPr/>
            </w:pPr>
            <w:r>
              <w:rPr>
                <w:rFonts w:eastAsia="Times New Roman" w:cs="Times New Roman"/>
                <w:b w:val="false"/>
                <w:bCs w:val="false"/>
                <w:sz w:val="20"/>
                <w:szCs w:val="20"/>
              </w:rPr>
              <w:t>20.0</w:t>
            </w:r>
          </w:p>
        </w:tc>
      </w:tr>
      <w:tr>
        <w:trPr/>
        <w:tc>
          <w:tcPr>
            <w:tcW w:w="5200" w:type="dxa"/>
            <w:tcBorders>
              <w:top w:val="single" w:sz="4" w:space="0" w:color="AAAAAA"/>
              <w:start w:val="single" w:sz="4" w:space="0" w:color="AAAAAA"/>
              <w:bottom w:val="single" w:sz="4" w:space="0" w:color="AAAAAA"/>
              <w:end w:val="single" w:sz="4" w:space="0" w:color="AAAAAA"/>
            </w:tcBorders>
            <w:shd w:fill="FFFFFF" w:val="clear"/>
          </w:tcPr>
          <w:p>
            <w:pPr>
              <w:pStyle w:val="Normal"/>
              <w:jc w:val="start"/>
              <w:rPr/>
            </w:pPr>
            <w:r>
              <w:rPr>
                <w:rFonts w:eastAsia="Times New Roman" w:cs="Times New Roman"/>
                <w:b w:val="false"/>
                <w:bCs w:val="false"/>
                <w:sz w:val="20"/>
                <w:szCs w:val="20"/>
              </w:rPr>
              <w:t xml:space="preserve">  </w:t>
            </w:r>
            <w:r>
              <w:rPr>
                <w:rFonts w:eastAsia="Times New Roman" w:cs="Times New Roman"/>
                <w:b w:val="false"/>
                <w:bCs w:val="false"/>
                <w:sz w:val="20"/>
                <w:szCs w:val="20"/>
              </w:rPr>
              <w:t>Sweating</w:t>
            </w:r>
          </w:p>
        </w:tc>
        <w:tc>
          <w:tcPr>
            <w:tcW w:w="2080" w:type="dxa"/>
            <w:tcBorders>
              <w:top w:val="single" w:sz="4" w:space="0" w:color="AAAAAA"/>
              <w:start w:val="single" w:sz="4" w:space="0" w:color="AAAAAA"/>
              <w:bottom w:val="single" w:sz="4" w:space="0" w:color="AAAAAA"/>
              <w:end w:val="single" w:sz="4" w:space="0" w:color="AAAAAA"/>
            </w:tcBorders>
            <w:shd w:fill="FFFFFF" w:val="clear"/>
          </w:tcPr>
          <w:p>
            <w:pPr>
              <w:pStyle w:val="Normal"/>
              <w:jc w:val="center"/>
              <w:rPr/>
            </w:pPr>
            <w:r>
              <w:rPr>
                <w:rFonts w:eastAsia="Times New Roman" w:cs="Times New Roman"/>
                <w:b w:val="false"/>
                <w:bCs w:val="false"/>
                <w:sz w:val="20"/>
                <w:szCs w:val="20"/>
              </w:rPr>
              <w:t>7</w:t>
            </w:r>
          </w:p>
        </w:tc>
        <w:tc>
          <w:tcPr>
            <w:tcW w:w="2080" w:type="dxa"/>
            <w:tcBorders>
              <w:top w:val="single" w:sz="4" w:space="0" w:color="AAAAAA"/>
              <w:start w:val="single" w:sz="4" w:space="0" w:color="AAAAAA"/>
              <w:bottom w:val="single" w:sz="4" w:space="0" w:color="AAAAAA"/>
              <w:end w:val="single" w:sz="4" w:space="0" w:color="AAAAAA"/>
            </w:tcBorders>
            <w:shd w:fill="FFFFFF" w:val="clear"/>
          </w:tcPr>
          <w:p>
            <w:pPr>
              <w:pStyle w:val="Normal"/>
              <w:jc w:val="center"/>
              <w:rPr/>
            </w:pPr>
            <w:r>
              <w:rPr>
                <w:rFonts w:eastAsia="Times New Roman" w:cs="Times New Roman"/>
                <w:b w:val="false"/>
                <w:bCs w:val="false"/>
                <w:sz w:val="20"/>
                <w:szCs w:val="20"/>
              </w:rPr>
              <w:t>12.7</w:t>
            </w:r>
          </w:p>
        </w:tc>
      </w:tr>
      <w:tr>
        <w:trPr/>
        <w:tc>
          <w:tcPr>
            <w:tcW w:w="5200" w:type="dxa"/>
            <w:tcBorders>
              <w:top w:val="single" w:sz="4" w:space="0" w:color="AAAAAA"/>
              <w:start w:val="single" w:sz="4" w:space="0" w:color="AAAAAA"/>
              <w:bottom w:val="single" w:sz="4" w:space="0" w:color="AAAAAA"/>
              <w:end w:val="single" w:sz="4" w:space="0" w:color="AAAAAA"/>
            </w:tcBorders>
            <w:shd w:fill="EBF3FB" w:val="clear"/>
          </w:tcPr>
          <w:p>
            <w:pPr>
              <w:pStyle w:val="Normal"/>
              <w:jc w:val="start"/>
              <w:rPr/>
            </w:pPr>
            <w:r>
              <w:rPr>
                <w:rFonts w:eastAsia="Times New Roman" w:cs="Times New Roman"/>
                <w:b w:val="false"/>
                <w:bCs w:val="false"/>
                <w:sz w:val="20"/>
                <w:szCs w:val="20"/>
              </w:rPr>
              <w:t xml:space="preserve">  </w:t>
            </w:r>
            <w:r>
              <w:rPr>
                <w:rFonts w:eastAsia="Times New Roman" w:cs="Times New Roman"/>
                <w:b w:val="false"/>
                <w:bCs w:val="false"/>
                <w:sz w:val="20"/>
                <w:szCs w:val="20"/>
              </w:rPr>
              <w:t>Constipation</w:t>
            </w:r>
          </w:p>
        </w:tc>
        <w:tc>
          <w:tcPr>
            <w:tcW w:w="2080" w:type="dxa"/>
            <w:tcBorders>
              <w:top w:val="single" w:sz="4" w:space="0" w:color="AAAAAA"/>
              <w:start w:val="single" w:sz="4" w:space="0" w:color="AAAAAA"/>
              <w:bottom w:val="single" w:sz="4" w:space="0" w:color="AAAAAA"/>
              <w:end w:val="single" w:sz="4" w:space="0" w:color="AAAAAA"/>
            </w:tcBorders>
            <w:shd w:fill="EBF3FB" w:val="clear"/>
          </w:tcPr>
          <w:p>
            <w:pPr>
              <w:pStyle w:val="Normal"/>
              <w:jc w:val="center"/>
              <w:rPr/>
            </w:pPr>
            <w:r>
              <w:rPr>
                <w:rFonts w:eastAsia="Times New Roman" w:cs="Times New Roman"/>
                <w:b w:val="false"/>
                <w:bCs w:val="false"/>
                <w:sz w:val="20"/>
                <w:szCs w:val="20"/>
              </w:rPr>
              <w:t>6</w:t>
            </w:r>
          </w:p>
        </w:tc>
        <w:tc>
          <w:tcPr>
            <w:tcW w:w="2080" w:type="dxa"/>
            <w:tcBorders>
              <w:top w:val="single" w:sz="4" w:space="0" w:color="AAAAAA"/>
              <w:start w:val="single" w:sz="4" w:space="0" w:color="AAAAAA"/>
              <w:bottom w:val="single" w:sz="4" w:space="0" w:color="AAAAAA"/>
              <w:end w:val="single" w:sz="4" w:space="0" w:color="AAAAAA"/>
            </w:tcBorders>
            <w:shd w:fill="EBF3FB" w:val="clear"/>
          </w:tcPr>
          <w:p>
            <w:pPr>
              <w:pStyle w:val="Normal"/>
              <w:jc w:val="center"/>
              <w:rPr/>
            </w:pPr>
            <w:r>
              <w:rPr>
                <w:rFonts w:eastAsia="Times New Roman" w:cs="Times New Roman"/>
                <w:b w:val="false"/>
                <w:bCs w:val="false"/>
                <w:sz w:val="20"/>
                <w:szCs w:val="20"/>
              </w:rPr>
              <w:t>10.9</w:t>
            </w:r>
          </w:p>
        </w:tc>
      </w:tr>
      <w:tr>
        <w:trPr/>
        <w:tc>
          <w:tcPr>
            <w:tcW w:w="5200" w:type="dxa"/>
            <w:tcBorders>
              <w:top w:val="single" w:sz="4" w:space="0" w:color="AAAAAA"/>
              <w:start w:val="single" w:sz="4" w:space="0" w:color="AAAAAA"/>
              <w:bottom w:val="single" w:sz="4" w:space="0" w:color="AAAAAA"/>
              <w:end w:val="single" w:sz="4" w:space="0" w:color="AAAAAA"/>
            </w:tcBorders>
            <w:shd w:fill="FFFFFF" w:val="clear"/>
          </w:tcPr>
          <w:p>
            <w:pPr>
              <w:pStyle w:val="Normal"/>
              <w:jc w:val="start"/>
              <w:rPr/>
            </w:pPr>
            <w:r>
              <w:rPr>
                <w:rFonts w:eastAsia="Times New Roman" w:cs="Times New Roman"/>
                <w:b w:val="false"/>
                <w:bCs w:val="false"/>
                <w:sz w:val="20"/>
                <w:szCs w:val="20"/>
              </w:rPr>
              <w:t xml:space="preserve">  </w:t>
            </w:r>
            <w:r>
              <w:rPr>
                <w:rFonts w:eastAsia="Times New Roman" w:cs="Times New Roman"/>
                <w:b w:val="false"/>
                <w:bCs w:val="false"/>
                <w:sz w:val="20"/>
                <w:szCs w:val="20"/>
              </w:rPr>
              <w:t>Nausea</w:t>
            </w:r>
          </w:p>
        </w:tc>
        <w:tc>
          <w:tcPr>
            <w:tcW w:w="2080" w:type="dxa"/>
            <w:tcBorders>
              <w:top w:val="single" w:sz="4" w:space="0" w:color="AAAAAA"/>
              <w:start w:val="single" w:sz="4" w:space="0" w:color="AAAAAA"/>
              <w:bottom w:val="single" w:sz="4" w:space="0" w:color="AAAAAA"/>
              <w:end w:val="single" w:sz="4" w:space="0" w:color="AAAAAA"/>
            </w:tcBorders>
            <w:shd w:fill="FFFFFF" w:val="clear"/>
          </w:tcPr>
          <w:p>
            <w:pPr>
              <w:pStyle w:val="Normal"/>
              <w:jc w:val="center"/>
              <w:rPr/>
            </w:pPr>
            <w:r>
              <w:rPr>
                <w:rFonts w:eastAsia="Times New Roman" w:cs="Times New Roman"/>
                <w:b w:val="false"/>
                <w:bCs w:val="false"/>
                <w:sz w:val="20"/>
                <w:szCs w:val="20"/>
              </w:rPr>
              <w:t>5</w:t>
            </w:r>
          </w:p>
        </w:tc>
        <w:tc>
          <w:tcPr>
            <w:tcW w:w="2080" w:type="dxa"/>
            <w:tcBorders>
              <w:top w:val="single" w:sz="4" w:space="0" w:color="AAAAAA"/>
              <w:start w:val="single" w:sz="4" w:space="0" w:color="AAAAAA"/>
              <w:bottom w:val="single" w:sz="4" w:space="0" w:color="AAAAAA"/>
              <w:end w:val="single" w:sz="4" w:space="0" w:color="AAAAAA"/>
            </w:tcBorders>
            <w:shd w:fill="FFFFFF" w:val="clear"/>
          </w:tcPr>
          <w:p>
            <w:pPr>
              <w:pStyle w:val="Normal"/>
              <w:jc w:val="center"/>
              <w:rPr/>
            </w:pPr>
            <w:r>
              <w:rPr>
                <w:rFonts w:eastAsia="Times New Roman" w:cs="Times New Roman"/>
                <w:b w:val="false"/>
                <w:bCs w:val="false"/>
                <w:sz w:val="20"/>
                <w:szCs w:val="20"/>
              </w:rPr>
              <w:t>9.1</w:t>
            </w:r>
          </w:p>
        </w:tc>
      </w:tr>
      <w:tr>
        <w:trPr/>
        <w:tc>
          <w:tcPr>
            <w:tcW w:w="5200" w:type="dxa"/>
            <w:tcBorders>
              <w:top w:val="single" w:sz="4" w:space="0" w:color="AAAAAA"/>
              <w:start w:val="single" w:sz="4" w:space="0" w:color="AAAAAA"/>
              <w:bottom w:val="single" w:sz="4" w:space="0" w:color="AAAAAA"/>
              <w:end w:val="single" w:sz="4" w:space="0" w:color="AAAAAA"/>
            </w:tcBorders>
            <w:shd w:fill="EBF3FB" w:val="clear"/>
          </w:tcPr>
          <w:p>
            <w:pPr>
              <w:pStyle w:val="Normal"/>
              <w:jc w:val="start"/>
              <w:rPr/>
            </w:pPr>
            <w:r>
              <w:rPr>
                <w:rFonts w:eastAsia="Times New Roman" w:cs="Times New Roman"/>
                <w:b w:val="false"/>
                <w:bCs w:val="false"/>
                <w:sz w:val="20"/>
                <w:szCs w:val="20"/>
              </w:rPr>
              <w:t xml:space="preserve">  </w:t>
            </w:r>
            <w:r>
              <w:rPr>
                <w:rFonts w:eastAsia="Times New Roman" w:cs="Times New Roman"/>
                <w:b w:val="false"/>
                <w:bCs w:val="false"/>
                <w:sz w:val="20"/>
                <w:szCs w:val="20"/>
              </w:rPr>
              <w:t>Headache</w:t>
            </w:r>
          </w:p>
        </w:tc>
        <w:tc>
          <w:tcPr>
            <w:tcW w:w="2080" w:type="dxa"/>
            <w:tcBorders>
              <w:top w:val="single" w:sz="4" w:space="0" w:color="AAAAAA"/>
              <w:start w:val="single" w:sz="4" w:space="0" w:color="AAAAAA"/>
              <w:bottom w:val="single" w:sz="4" w:space="0" w:color="AAAAAA"/>
              <w:end w:val="single" w:sz="4" w:space="0" w:color="AAAAAA"/>
            </w:tcBorders>
            <w:shd w:fill="EBF3FB" w:val="clear"/>
          </w:tcPr>
          <w:p>
            <w:pPr>
              <w:pStyle w:val="Normal"/>
              <w:jc w:val="center"/>
              <w:rPr/>
            </w:pPr>
            <w:r>
              <w:rPr>
                <w:rFonts w:eastAsia="Times New Roman" w:cs="Times New Roman"/>
                <w:b w:val="false"/>
                <w:bCs w:val="false"/>
                <w:sz w:val="20"/>
                <w:szCs w:val="20"/>
              </w:rPr>
              <w:t>4</w:t>
            </w:r>
          </w:p>
        </w:tc>
        <w:tc>
          <w:tcPr>
            <w:tcW w:w="2080" w:type="dxa"/>
            <w:tcBorders>
              <w:top w:val="single" w:sz="4" w:space="0" w:color="AAAAAA"/>
              <w:start w:val="single" w:sz="4" w:space="0" w:color="AAAAAA"/>
              <w:bottom w:val="single" w:sz="4" w:space="0" w:color="AAAAAA"/>
              <w:end w:val="single" w:sz="4" w:space="0" w:color="AAAAAA"/>
            </w:tcBorders>
            <w:shd w:fill="EBF3FB" w:val="clear"/>
          </w:tcPr>
          <w:p>
            <w:pPr>
              <w:pStyle w:val="Normal"/>
              <w:jc w:val="center"/>
              <w:rPr/>
            </w:pPr>
            <w:r>
              <w:rPr>
                <w:rFonts w:eastAsia="Times New Roman" w:cs="Times New Roman"/>
                <w:b w:val="false"/>
                <w:bCs w:val="false"/>
                <w:sz w:val="20"/>
                <w:szCs w:val="20"/>
              </w:rPr>
              <w:t>7.3</w:t>
            </w:r>
          </w:p>
        </w:tc>
      </w:tr>
      <w:tr>
        <w:trPr/>
        <w:tc>
          <w:tcPr>
            <w:tcW w:w="5200" w:type="dxa"/>
            <w:tcBorders>
              <w:top w:val="single" w:sz="4" w:space="0" w:color="AAAAAA"/>
              <w:start w:val="single" w:sz="4" w:space="0" w:color="AAAAAA"/>
              <w:bottom w:val="single" w:sz="4" w:space="0" w:color="AAAAAA"/>
              <w:end w:val="single" w:sz="4" w:space="0" w:color="AAAAAA"/>
            </w:tcBorders>
            <w:shd w:fill="FFFFFF" w:val="clear"/>
          </w:tcPr>
          <w:p>
            <w:pPr>
              <w:pStyle w:val="Normal"/>
              <w:jc w:val="start"/>
              <w:rPr/>
            </w:pPr>
            <w:r>
              <w:rPr>
                <w:rFonts w:eastAsia="Times New Roman" w:cs="Times New Roman"/>
                <w:b w:val="false"/>
                <w:bCs w:val="false"/>
                <w:sz w:val="20"/>
                <w:szCs w:val="20"/>
              </w:rPr>
              <w:t xml:space="preserve">  </w:t>
            </w:r>
            <w:r>
              <w:rPr>
                <w:rFonts w:eastAsia="Times New Roman" w:cs="Times New Roman"/>
                <w:b w:val="false"/>
                <w:bCs w:val="false"/>
                <w:sz w:val="20"/>
                <w:szCs w:val="20"/>
              </w:rPr>
              <w:t>Insomnia</w:t>
            </w:r>
          </w:p>
        </w:tc>
        <w:tc>
          <w:tcPr>
            <w:tcW w:w="2080" w:type="dxa"/>
            <w:tcBorders>
              <w:top w:val="single" w:sz="4" w:space="0" w:color="AAAAAA"/>
              <w:start w:val="single" w:sz="4" w:space="0" w:color="AAAAAA"/>
              <w:bottom w:val="single" w:sz="4" w:space="0" w:color="AAAAAA"/>
              <w:end w:val="single" w:sz="4" w:space="0" w:color="AAAAAA"/>
            </w:tcBorders>
            <w:shd w:fill="FFFFFF" w:val="clear"/>
          </w:tcPr>
          <w:p>
            <w:pPr>
              <w:pStyle w:val="Normal"/>
              <w:jc w:val="center"/>
              <w:rPr/>
            </w:pPr>
            <w:r>
              <w:rPr>
                <w:rFonts w:eastAsia="Times New Roman" w:cs="Times New Roman"/>
                <w:b w:val="false"/>
                <w:bCs w:val="false"/>
                <w:sz w:val="20"/>
                <w:szCs w:val="20"/>
              </w:rPr>
              <w:t>3</w:t>
            </w:r>
          </w:p>
        </w:tc>
        <w:tc>
          <w:tcPr>
            <w:tcW w:w="2080" w:type="dxa"/>
            <w:tcBorders>
              <w:top w:val="single" w:sz="4" w:space="0" w:color="AAAAAA"/>
              <w:start w:val="single" w:sz="4" w:space="0" w:color="AAAAAA"/>
              <w:bottom w:val="single" w:sz="4" w:space="0" w:color="AAAAAA"/>
              <w:end w:val="single" w:sz="4" w:space="0" w:color="AAAAAA"/>
            </w:tcBorders>
            <w:shd w:fill="FFFFFF" w:val="clear"/>
          </w:tcPr>
          <w:p>
            <w:pPr>
              <w:pStyle w:val="Normal"/>
              <w:jc w:val="center"/>
              <w:rPr/>
            </w:pPr>
            <w:r>
              <w:rPr>
                <w:rFonts w:eastAsia="Times New Roman" w:cs="Times New Roman"/>
                <w:b w:val="false"/>
                <w:bCs w:val="false"/>
                <w:sz w:val="20"/>
                <w:szCs w:val="20"/>
              </w:rPr>
              <w:t>5.5</w:t>
            </w:r>
          </w:p>
        </w:tc>
      </w:tr>
      <w:tr>
        <w:trPr/>
        <w:tc>
          <w:tcPr>
            <w:tcW w:w="5200" w:type="dxa"/>
            <w:tcBorders>
              <w:top w:val="single" w:sz="4" w:space="0" w:color="AAAAAA"/>
              <w:start w:val="single" w:sz="4" w:space="0" w:color="AAAAAA"/>
              <w:bottom w:val="single" w:sz="4" w:space="0" w:color="AAAAAA"/>
              <w:end w:val="single" w:sz="4" w:space="0" w:color="AAAAAA"/>
            </w:tcBorders>
            <w:shd w:fill="EBF3FB" w:val="clear"/>
          </w:tcPr>
          <w:p>
            <w:pPr>
              <w:pStyle w:val="Normal"/>
              <w:jc w:val="start"/>
              <w:rPr/>
            </w:pPr>
            <w:r>
              <w:rPr>
                <w:rFonts w:eastAsia="Times New Roman" w:cs="Times New Roman"/>
                <w:b w:val="false"/>
                <w:bCs w:val="false"/>
                <w:sz w:val="20"/>
                <w:szCs w:val="20"/>
              </w:rPr>
              <w:t xml:space="preserve">  </w:t>
            </w:r>
            <w:r>
              <w:rPr>
                <w:rFonts w:eastAsia="Times New Roman" w:cs="Times New Roman"/>
                <w:b w:val="false"/>
                <w:bCs w:val="false"/>
                <w:sz w:val="20"/>
                <w:szCs w:val="20"/>
              </w:rPr>
              <w:t>Dizziness</w:t>
            </w:r>
          </w:p>
        </w:tc>
        <w:tc>
          <w:tcPr>
            <w:tcW w:w="2080" w:type="dxa"/>
            <w:tcBorders>
              <w:top w:val="single" w:sz="4" w:space="0" w:color="AAAAAA"/>
              <w:start w:val="single" w:sz="4" w:space="0" w:color="AAAAAA"/>
              <w:bottom w:val="single" w:sz="4" w:space="0" w:color="AAAAAA"/>
              <w:end w:val="single" w:sz="4" w:space="0" w:color="AAAAAA"/>
            </w:tcBorders>
            <w:shd w:fill="EBF3FB" w:val="clear"/>
          </w:tcPr>
          <w:p>
            <w:pPr>
              <w:pStyle w:val="Normal"/>
              <w:jc w:val="center"/>
              <w:rPr/>
            </w:pPr>
            <w:r>
              <w:rPr>
                <w:rFonts w:eastAsia="Times New Roman" w:cs="Times New Roman"/>
                <w:b w:val="false"/>
                <w:bCs w:val="false"/>
                <w:sz w:val="20"/>
                <w:szCs w:val="20"/>
              </w:rPr>
              <w:t>2</w:t>
            </w:r>
          </w:p>
        </w:tc>
        <w:tc>
          <w:tcPr>
            <w:tcW w:w="2080" w:type="dxa"/>
            <w:tcBorders>
              <w:top w:val="single" w:sz="4" w:space="0" w:color="AAAAAA"/>
              <w:start w:val="single" w:sz="4" w:space="0" w:color="AAAAAA"/>
              <w:bottom w:val="single" w:sz="4" w:space="0" w:color="AAAAAA"/>
              <w:end w:val="single" w:sz="4" w:space="0" w:color="AAAAAA"/>
            </w:tcBorders>
            <w:shd w:fill="EBF3FB" w:val="clear"/>
          </w:tcPr>
          <w:p>
            <w:pPr>
              <w:pStyle w:val="Normal"/>
              <w:jc w:val="center"/>
              <w:rPr/>
            </w:pPr>
            <w:r>
              <w:rPr>
                <w:rFonts w:eastAsia="Times New Roman" w:cs="Times New Roman"/>
                <w:b w:val="false"/>
                <w:bCs w:val="false"/>
                <w:sz w:val="20"/>
                <w:szCs w:val="20"/>
              </w:rPr>
              <w:t>3.6</w:t>
            </w:r>
          </w:p>
        </w:tc>
      </w:tr>
      <w:tr>
        <w:trPr/>
        <w:tc>
          <w:tcPr>
            <w:tcW w:w="5200" w:type="dxa"/>
            <w:tcBorders>
              <w:top w:val="single" w:sz="4" w:space="0" w:color="AAAAAA"/>
              <w:start w:val="single" w:sz="4" w:space="0" w:color="AAAAAA"/>
              <w:bottom w:val="single" w:sz="4" w:space="0" w:color="AAAAAA"/>
              <w:end w:val="single" w:sz="4" w:space="0" w:color="AAAAAA"/>
            </w:tcBorders>
            <w:shd w:fill="FFFFFF" w:val="clear"/>
          </w:tcPr>
          <w:p>
            <w:pPr>
              <w:pStyle w:val="Normal"/>
              <w:jc w:val="start"/>
              <w:rPr/>
            </w:pPr>
            <w:r>
              <w:rPr>
                <w:rFonts w:eastAsia="Times New Roman" w:cs="Times New Roman"/>
                <w:b w:val="false"/>
                <w:bCs w:val="false"/>
                <w:sz w:val="20"/>
                <w:szCs w:val="20"/>
              </w:rPr>
              <w:t xml:space="preserve">  </w:t>
            </w:r>
            <w:r>
              <w:rPr>
                <w:rFonts w:eastAsia="Times New Roman" w:cs="Times New Roman"/>
                <w:b w:val="false"/>
                <w:bCs w:val="false"/>
                <w:sz w:val="20"/>
                <w:szCs w:val="20"/>
              </w:rPr>
              <w:t>Other (free-text)</w:t>
            </w:r>
          </w:p>
        </w:tc>
        <w:tc>
          <w:tcPr>
            <w:tcW w:w="2080" w:type="dxa"/>
            <w:tcBorders>
              <w:top w:val="single" w:sz="4" w:space="0" w:color="AAAAAA"/>
              <w:start w:val="single" w:sz="4" w:space="0" w:color="AAAAAA"/>
              <w:bottom w:val="single" w:sz="4" w:space="0" w:color="AAAAAA"/>
              <w:end w:val="single" w:sz="4" w:space="0" w:color="AAAAAA"/>
            </w:tcBorders>
            <w:shd w:fill="FFFFFF" w:val="clear"/>
          </w:tcPr>
          <w:p>
            <w:pPr>
              <w:pStyle w:val="Normal"/>
              <w:jc w:val="center"/>
              <w:rPr/>
            </w:pPr>
            <w:r>
              <w:rPr>
                <w:rFonts w:eastAsia="Times New Roman" w:cs="Times New Roman"/>
                <w:b w:val="false"/>
                <w:bCs w:val="false"/>
                <w:sz w:val="20"/>
                <w:szCs w:val="20"/>
              </w:rPr>
              <w:t>12</w:t>
            </w:r>
          </w:p>
        </w:tc>
        <w:tc>
          <w:tcPr>
            <w:tcW w:w="2080" w:type="dxa"/>
            <w:tcBorders>
              <w:top w:val="single" w:sz="4" w:space="0" w:color="AAAAAA"/>
              <w:start w:val="single" w:sz="4" w:space="0" w:color="AAAAAA"/>
              <w:bottom w:val="single" w:sz="4" w:space="0" w:color="AAAAAA"/>
              <w:end w:val="single" w:sz="4" w:space="0" w:color="AAAAAA"/>
            </w:tcBorders>
            <w:shd w:fill="FFFFFF" w:val="clear"/>
          </w:tcPr>
          <w:p>
            <w:pPr>
              <w:pStyle w:val="Normal"/>
              <w:jc w:val="center"/>
              <w:rPr/>
            </w:pPr>
            <w:r>
              <w:rPr>
                <w:rFonts w:eastAsia="Times New Roman" w:cs="Times New Roman"/>
                <w:b w:val="false"/>
                <w:bCs w:val="false"/>
                <w:sz w:val="20"/>
                <w:szCs w:val="20"/>
              </w:rPr>
              <w:t>21.8</w:t>
            </w:r>
          </w:p>
        </w:tc>
      </w:tr>
      <w:tr>
        <w:trPr/>
        <w:tc>
          <w:tcPr>
            <w:tcW w:w="5200" w:type="dxa"/>
            <w:tcBorders>
              <w:top w:val="single" w:sz="4" w:space="0" w:color="AAAAAA"/>
              <w:start w:val="single" w:sz="4" w:space="0" w:color="AAAAAA"/>
              <w:bottom w:val="single" w:sz="4" w:space="0" w:color="AAAAAA"/>
              <w:end w:val="single" w:sz="4" w:space="0" w:color="AAAAAA"/>
            </w:tcBorders>
            <w:shd w:fill="FFFFFF" w:val="clear"/>
          </w:tcPr>
          <w:p>
            <w:pPr>
              <w:pStyle w:val="Normal"/>
              <w:jc w:val="start"/>
              <w:rPr/>
            </w:pPr>
            <w:r>
              <w:rPr>
                <w:rFonts w:eastAsia="Times New Roman" w:cs="Times New Roman"/>
                <w:b/>
                <w:bCs/>
                <w:sz w:val="20"/>
                <w:szCs w:val="20"/>
              </w:rPr>
              <w:t>Overall Side Effect Severity (N = 55)</w:t>
            </w:r>
          </w:p>
        </w:tc>
        <w:tc>
          <w:tcPr>
            <w:tcW w:w="2080" w:type="dxa"/>
            <w:tcBorders>
              <w:top w:val="single" w:sz="4" w:space="0" w:color="AAAAAA"/>
              <w:start w:val="single" w:sz="4" w:space="0" w:color="AAAAAA"/>
              <w:bottom w:val="single" w:sz="4" w:space="0" w:color="AAAAAA"/>
              <w:end w:val="single" w:sz="4" w:space="0" w:color="AAAAAA"/>
            </w:tcBorders>
            <w:shd w:fill="FFFFFF" w:val="clear"/>
          </w:tcPr>
          <w:p>
            <w:pPr>
              <w:pStyle w:val="Normal"/>
              <w:jc w:val="start"/>
              <w:rPr/>
            </w:pPr>
            <w:r>
              <w:rPr/>
            </w:r>
          </w:p>
        </w:tc>
        <w:tc>
          <w:tcPr>
            <w:tcW w:w="2080" w:type="dxa"/>
            <w:tcBorders>
              <w:top w:val="single" w:sz="4" w:space="0" w:color="AAAAAA"/>
              <w:start w:val="single" w:sz="4" w:space="0" w:color="AAAAAA"/>
              <w:bottom w:val="single" w:sz="4" w:space="0" w:color="AAAAAA"/>
              <w:end w:val="single" w:sz="4" w:space="0" w:color="AAAAAA"/>
            </w:tcBorders>
            <w:shd w:fill="FFFFFF" w:val="clear"/>
          </w:tcPr>
          <w:p>
            <w:pPr>
              <w:pStyle w:val="Normal"/>
              <w:jc w:val="start"/>
              <w:rPr/>
            </w:pPr>
            <w:r>
              <w:rPr/>
            </w:r>
          </w:p>
        </w:tc>
      </w:tr>
      <w:tr>
        <w:trPr/>
        <w:tc>
          <w:tcPr>
            <w:tcW w:w="5200" w:type="dxa"/>
            <w:tcBorders>
              <w:top w:val="single" w:sz="4" w:space="0" w:color="AAAAAA"/>
              <w:start w:val="single" w:sz="4" w:space="0" w:color="AAAAAA"/>
              <w:bottom w:val="single" w:sz="4" w:space="0" w:color="AAAAAA"/>
              <w:end w:val="single" w:sz="4" w:space="0" w:color="AAAAAA"/>
            </w:tcBorders>
            <w:shd w:fill="EBF3FB" w:val="clear"/>
          </w:tcPr>
          <w:p>
            <w:pPr>
              <w:pStyle w:val="Normal"/>
              <w:jc w:val="start"/>
              <w:rPr/>
            </w:pPr>
            <w:r>
              <w:rPr>
                <w:rFonts w:eastAsia="Times New Roman" w:cs="Times New Roman"/>
                <w:b w:val="false"/>
                <w:bCs w:val="false"/>
                <w:sz w:val="20"/>
                <w:szCs w:val="20"/>
              </w:rPr>
              <w:t xml:space="preserve">  </w:t>
            </w:r>
            <w:r>
              <w:rPr>
                <w:rFonts w:eastAsia="Times New Roman" w:cs="Times New Roman"/>
                <w:b w:val="false"/>
                <w:bCs w:val="false"/>
                <w:sz w:val="20"/>
                <w:szCs w:val="20"/>
              </w:rPr>
              <w:t>None</w:t>
            </w:r>
          </w:p>
        </w:tc>
        <w:tc>
          <w:tcPr>
            <w:tcW w:w="2080" w:type="dxa"/>
            <w:tcBorders>
              <w:top w:val="single" w:sz="4" w:space="0" w:color="AAAAAA"/>
              <w:start w:val="single" w:sz="4" w:space="0" w:color="AAAAAA"/>
              <w:bottom w:val="single" w:sz="4" w:space="0" w:color="AAAAAA"/>
              <w:end w:val="single" w:sz="4" w:space="0" w:color="AAAAAA"/>
            </w:tcBorders>
            <w:shd w:fill="EBF3FB" w:val="clear"/>
          </w:tcPr>
          <w:p>
            <w:pPr>
              <w:pStyle w:val="Normal"/>
              <w:jc w:val="center"/>
              <w:rPr/>
            </w:pPr>
            <w:r>
              <w:rPr>
                <w:rFonts w:eastAsia="Times New Roman" w:cs="Times New Roman"/>
                <w:b w:val="false"/>
                <w:bCs w:val="false"/>
                <w:sz w:val="20"/>
                <w:szCs w:val="20"/>
              </w:rPr>
              <w:t>26</w:t>
            </w:r>
          </w:p>
        </w:tc>
        <w:tc>
          <w:tcPr>
            <w:tcW w:w="2080" w:type="dxa"/>
            <w:tcBorders>
              <w:top w:val="single" w:sz="4" w:space="0" w:color="AAAAAA"/>
              <w:start w:val="single" w:sz="4" w:space="0" w:color="AAAAAA"/>
              <w:bottom w:val="single" w:sz="4" w:space="0" w:color="AAAAAA"/>
              <w:end w:val="single" w:sz="4" w:space="0" w:color="AAAAAA"/>
            </w:tcBorders>
            <w:shd w:fill="EBF3FB" w:val="clear"/>
          </w:tcPr>
          <w:p>
            <w:pPr>
              <w:pStyle w:val="Normal"/>
              <w:jc w:val="center"/>
              <w:rPr/>
            </w:pPr>
            <w:r>
              <w:rPr>
                <w:rFonts w:eastAsia="Times New Roman" w:cs="Times New Roman"/>
                <w:b w:val="false"/>
                <w:bCs w:val="false"/>
                <w:sz w:val="20"/>
                <w:szCs w:val="20"/>
              </w:rPr>
              <w:t>47.3</w:t>
            </w:r>
          </w:p>
        </w:tc>
      </w:tr>
      <w:tr>
        <w:trPr/>
        <w:tc>
          <w:tcPr>
            <w:tcW w:w="5200" w:type="dxa"/>
            <w:tcBorders>
              <w:top w:val="single" w:sz="4" w:space="0" w:color="AAAAAA"/>
              <w:start w:val="single" w:sz="4" w:space="0" w:color="AAAAAA"/>
              <w:bottom w:val="single" w:sz="4" w:space="0" w:color="AAAAAA"/>
              <w:end w:val="single" w:sz="4" w:space="0" w:color="AAAAAA"/>
            </w:tcBorders>
            <w:shd w:fill="FFFFFF" w:val="clear"/>
          </w:tcPr>
          <w:p>
            <w:pPr>
              <w:pStyle w:val="Normal"/>
              <w:jc w:val="start"/>
              <w:rPr/>
            </w:pPr>
            <w:r>
              <w:rPr>
                <w:rFonts w:eastAsia="Times New Roman" w:cs="Times New Roman"/>
                <w:b w:val="false"/>
                <w:bCs w:val="false"/>
                <w:sz w:val="20"/>
                <w:szCs w:val="20"/>
              </w:rPr>
              <w:t xml:space="preserve">  </w:t>
            </w:r>
            <w:r>
              <w:rPr>
                <w:rFonts w:eastAsia="Times New Roman" w:cs="Times New Roman"/>
                <w:b w:val="false"/>
                <w:bCs w:val="false"/>
                <w:sz w:val="20"/>
                <w:szCs w:val="20"/>
              </w:rPr>
              <w:t>Mild</w:t>
            </w:r>
          </w:p>
        </w:tc>
        <w:tc>
          <w:tcPr>
            <w:tcW w:w="2080" w:type="dxa"/>
            <w:tcBorders>
              <w:top w:val="single" w:sz="4" w:space="0" w:color="AAAAAA"/>
              <w:start w:val="single" w:sz="4" w:space="0" w:color="AAAAAA"/>
              <w:bottom w:val="single" w:sz="4" w:space="0" w:color="AAAAAA"/>
              <w:end w:val="single" w:sz="4" w:space="0" w:color="AAAAAA"/>
            </w:tcBorders>
            <w:shd w:fill="FFFFFF" w:val="clear"/>
          </w:tcPr>
          <w:p>
            <w:pPr>
              <w:pStyle w:val="Normal"/>
              <w:jc w:val="center"/>
              <w:rPr/>
            </w:pPr>
            <w:r>
              <w:rPr>
                <w:rFonts w:eastAsia="Times New Roman" w:cs="Times New Roman"/>
                <w:b w:val="false"/>
                <w:bCs w:val="false"/>
                <w:sz w:val="20"/>
                <w:szCs w:val="20"/>
              </w:rPr>
              <w:t>22</w:t>
            </w:r>
          </w:p>
        </w:tc>
        <w:tc>
          <w:tcPr>
            <w:tcW w:w="2080" w:type="dxa"/>
            <w:tcBorders>
              <w:top w:val="single" w:sz="4" w:space="0" w:color="AAAAAA"/>
              <w:start w:val="single" w:sz="4" w:space="0" w:color="AAAAAA"/>
              <w:bottom w:val="single" w:sz="4" w:space="0" w:color="AAAAAA"/>
              <w:end w:val="single" w:sz="4" w:space="0" w:color="AAAAAA"/>
            </w:tcBorders>
            <w:shd w:fill="FFFFFF" w:val="clear"/>
          </w:tcPr>
          <w:p>
            <w:pPr>
              <w:pStyle w:val="Normal"/>
              <w:jc w:val="center"/>
              <w:rPr/>
            </w:pPr>
            <w:r>
              <w:rPr>
                <w:rFonts w:eastAsia="Times New Roman" w:cs="Times New Roman"/>
                <w:b w:val="false"/>
                <w:bCs w:val="false"/>
                <w:sz w:val="20"/>
                <w:szCs w:val="20"/>
              </w:rPr>
              <w:t>40.0</w:t>
            </w:r>
          </w:p>
        </w:tc>
      </w:tr>
      <w:tr>
        <w:trPr/>
        <w:tc>
          <w:tcPr>
            <w:tcW w:w="5200" w:type="dxa"/>
            <w:tcBorders>
              <w:top w:val="single" w:sz="4" w:space="0" w:color="AAAAAA"/>
              <w:start w:val="single" w:sz="4" w:space="0" w:color="AAAAAA"/>
              <w:bottom w:val="single" w:sz="4" w:space="0" w:color="AAAAAA"/>
              <w:end w:val="single" w:sz="4" w:space="0" w:color="AAAAAA"/>
            </w:tcBorders>
            <w:shd w:fill="EBF3FB" w:val="clear"/>
          </w:tcPr>
          <w:p>
            <w:pPr>
              <w:pStyle w:val="Normal"/>
              <w:jc w:val="start"/>
              <w:rPr/>
            </w:pPr>
            <w:r>
              <w:rPr>
                <w:rFonts w:eastAsia="Times New Roman" w:cs="Times New Roman"/>
                <w:b w:val="false"/>
                <w:bCs w:val="false"/>
                <w:sz w:val="20"/>
                <w:szCs w:val="20"/>
              </w:rPr>
              <w:t xml:space="preserve">  </w:t>
            </w:r>
            <w:r>
              <w:rPr>
                <w:rFonts w:eastAsia="Times New Roman" w:cs="Times New Roman"/>
                <w:b w:val="false"/>
                <w:bCs w:val="false"/>
                <w:sz w:val="20"/>
                <w:szCs w:val="20"/>
              </w:rPr>
              <w:t>Moderate</w:t>
            </w:r>
          </w:p>
        </w:tc>
        <w:tc>
          <w:tcPr>
            <w:tcW w:w="2080" w:type="dxa"/>
            <w:tcBorders>
              <w:top w:val="single" w:sz="4" w:space="0" w:color="AAAAAA"/>
              <w:start w:val="single" w:sz="4" w:space="0" w:color="AAAAAA"/>
              <w:bottom w:val="single" w:sz="4" w:space="0" w:color="AAAAAA"/>
              <w:end w:val="single" w:sz="4" w:space="0" w:color="AAAAAA"/>
            </w:tcBorders>
            <w:shd w:fill="EBF3FB" w:val="clear"/>
          </w:tcPr>
          <w:p>
            <w:pPr>
              <w:pStyle w:val="Normal"/>
              <w:jc w:val="center"/>
              <w:rPr/>
            </w:pPr>
            <w:r>
              <w:rPr>
                <w:rFonts w:eastAsia="Times New Roman" w:cs="Times New Roman"/>
                <w:b w:val="false"/>
                <w:bCs w:val="false"/>
                <w:sz w:val="20"/>
                <w:szCs w:val="20"/>
              </w:rPr>
              <w:t>7</w:t>
            </w:r>
          </w:p>
        </w:tc>
        <w:tc>
          <w:tcPr>
            <w:tcW w:w="2080" w:type="dxa"/>
            <w:tcBorders>
              <w:top w:val="single" w:sz="4" w:space="0" w:color="AAAAAA"/>
              <w:start w:val="single" w:sz="4" w:space="0" w:color="AAAAAA"/>
              <w:bottom w:val="single" w:sz="4" w:space="0" w:color="AAAAAA"/>
              <w:end w:val="single" w:sz="4" w:space="0" w:color="AAAAAA"/>
            </w:tcBorders>
            <w:shd w:fill="EBF3FB" w:val="clear"/>
          </w:tcPr>
          <w:p>
            <w:pPr>
              <w:pStyle w:val="Normal"/>
              <w:jc w:val="center"/>
              <w:rPr/>
            </w:pPr>
            <w:r>
              <w:rPr>
                <w:rFonts w:eastAsia="Times New Roman" w:cs="Times New Roman"/>
                <w:b w:val="false"/>
                <w:bCs w:val="false"/>
                <w:sz w:val="20"/>
                <w:szCs w:val="20"/>
              </w:rPr>
              <w:t>12.7</w:t>
            </w:r>
          </w:p>
        </w:tc>
      </w:tr>
      <w:tr>
        <w:trPr/>
        <w:tc>
          <w:tcPr>
            <w:tcW w:w="5200" w:type="dxa"/>
            <w:tcBorders>
              <w:top w:val="single" w:sz="4" w:space="0" w:color="AAAAAA"/>
              <w:start w:val="single" w:sz="4" w:space="0" w:color="AAAAAA"/>
              <w:bottom w:val="single" w:sz="4" w:space="0" w:color="AAAAAA"/>
              <w:end w:val="single" w:sz="4" w:space="0" w:color="AAAAAA"/>
            </w:tcBorders>
            <w:shd w:fill="FFFFFF" w:val="clear"/>
          </w:tcPr>
          <w:p>
            <w:pPr>
              <w:pStyle w:val="Normal"/>
              <w:jc w:val="start"/>
              <w:rPr/>
            </w:pPr>
            <w:r>
              <w:rPr>
                <w:rFonts w:eastAsia="Times New Roman" w:cs="Times New Roman"/>
                <w:b w:val="false"/>
                <w:bCs w:val="false"/>
                <w:sz w:val="20"/>
                <w:szCs w:val="20"/>
              </w:rPr>
              <w:t xml:space="preserve">  </w:t>
            </w:r>
            <w:r>
              <w:rPr>
                <w:rFonts w:eastAsia="Times New Roman" w:cs="Times New Roman"/>
                <w:b w:val="false"/>
                <w:bCs w:val="false"/>
                <w:sz w:val="20"/>
                <w:szCs w:val="20"/>
              </w:rPr>
              <w:t>Severe</w:t>
            </w:r>
          </w:p>
        </w:tc>
        <w:tc>
          <w:tcPr>
            <w:tcW w:w="2080" w:type="dxa"/>
            <w:tcBorders>
              <w:top w:val="single" w:sz="4" w:space="0" w:color="AAAAAA"/>
              <w:start w:val="single" w:sz="4" w:space="0" w:color="AAAAAA"/>
              <w:bottom w:val="single" w:sz="4" w:space="0" w:color="AAAAAA"/>
              <w:end w:val="single" w:sz="4" w:space="0" w:color="AAAAAA"/>
            </w:tcBorders>
            <w:shd w:fill="FFFFFF" w:val="clear"/>
          </w:tcPr>
          <w:p>
            <w:pPr>
              <w:pStyle w:val="Normal"/>
              <w:jc w:val="center"/>
              <w:rPr/>
            </w:pPr>
            <w:r>
              <w:rPr>
                <w:rFonts w:eastAsia="Times New Roman" w:cs="Times New Roman"/>
                <w:b w:val="false"/>
                <w:bCs w:val="false"/>
                <w:sz w:val="20"/>
                <w:szCs w:val="20"/>
              </w:rPr>
              <w:t>0</w:t>
            </w:r>
          </w:p>
        </w:tc>
        <w:tc>
          <w:tcPr>
            <w:tcW w:w="2080" w:type="dxa"/>
            <w:tcBorders>
              <w:top w:val="single" w:sz="4" w:space="0" w:color="AAAAAA"/>
              <w:start w:val="single" w:sz="4" w:space="0" w:color="AAAAAA"/>
              <w:bottom w:val="single" w:sz="4" w:space="0" w:color="AAAAAA"/>
              <w:end w:val="single" w:sz="4" w:space="0" w:color="AAAAAA"/>
            </w:tcBorders>
            <w:shd w:fill="FFFFFF" w:val="clear"/>
          </w:tcPr>
          <w:p>
            <w:pPr>
              <w:pStyle w:val="Normal"/>
              <w:jc w:val="center"/>
              <w:rPr/>
            </w:pPr>
            <w:r>
              <w:rPr>
                <w:rFonts w:eastAsia="Times New Roman" w:cs="Times New Roman"/>
                <w:b w:val="false"/>
                <w:bCs w:val="false"/>
                <w:sz w:val="20"/>
                <w:szCs w:val="20"/>
              </w:rPr>
              <w:t>0.0</w:t>
            </w:r>
          </w:p>
        </w:tc>
      </w:tr>
      <w:tr>
        <w:trPr/>
        <w:tc>
          <w:tcPr>
            <w:tcW w:w="5200" w:type="dxa"/>
            <w:tcBorders>
              <w:top w:val="single" w:sz="4" w:space="0" w:color="AAAAAA"/>
              <w:start w:val="single" w:sz="4" w:space="0" w:color="AAAAAA"/>
              <w:bottom w:val="single" w:sz="4" w:space="0" w:color="AAAAAA"/>
              <w:end w:val="single" w:sz="4" w:space="0" w:color="AAAAAA"/>
            </w:tcBorders>
            <w:shd w:fill="FFFFFF" w:val="clear"/>
          </w:tcPr>
          <w:p>
            <w:pPr>
              <w:pStyle w:val="Normal"/>
              <w:jc w:val="start"/>
              <w:rPr/>
            </w:pPr>
            <w:r>
              <w:rPr>
                <w:rFonts w:eastAsia="Times New Roman" w:cs="Times New Roman"/>
                <w:b/>
                <w:bCs/>
                <w:sz w:val="20"/>
                <w:szCs w:val="20"/>
              </w:rPr>
              <w:t>Functional Interference from Side Effects (N = 55)</w:t>
            </w:r>
          </w:p>
        </w:tc>
        <w:tc>
          <w:tcPr>
            <w:tcW w:w="2080" w:type="dxa"/>
            <w:tcBorders>
              <w:top w:val="single" w:sz="4" w:space="0" w:color="AAAAAA"/>
              <w:start w:val="single" w:sz="4" w:space="0" w:color="AAAAAA"/>
              <w:bottom w:val="single" w:sz="4" w:space="0" w:color="AAAAAA"/>
              <w:end w:val="single" w:sz="4" w:space="0" w:color="AAAAAA"/>
            </w:tcBorders>
            <w:shd w:fill="FFFFFF" w:val="clear"/>
          </w:tcPr>
          <w:p>
            <w:pPr>
              <w:pStyle w:val="Normal"/>
              <w:jc w:val="start"/>
              <w:rPr/>
            </w:pPr>
            <w:r>
              <w:rPr/>
            </w:r>
          </w:p>
        </w:tc>
        <w:tc>
          <w:tcPr>
            <w:tcW w:w="2080" w:type="dxa"/>
            <w:tcBorders>
              <w:top w:val="single" w:sz="4" w:space="0" w:color="AAAAAA"/>
              <w:start w:val="single" w:sz="4" w:space="0" w:color="AAAAAA"/>
              <w:bottom w:val="single" w:sz="4" w:space="0" w:color="AAAAAA"/>
              <w:end w:val="single" w:sz="4" w:space="0" w:color="AAAAAA"/>
            </w:tcBorders>
            <w:shd w:fill="FFFFFF" w:val="clear"/>
          </w:tcPr>
          <w:p>
            <w:pPr>
              <w:pStyle w:val="Normal"/>
              <w:jc w:val="start"/>
              <w:rPr/>
            </w:pPr>
            <w:r>
              <w:rPr/>
            </w:r>
          </w:p>
        </w:tc>
      </w:tr>
      <w:tr>
        <w:trPr/>
        <w:tc>
          <w:tcPr>
            <w:tcW w:w="5200" w:type="dxa"/>
            <w:tcBorders>
              <w:top w:val="single" w:sz="4" w:space="0" w:color="AAAAAA"/>
              <w:start w:val="single" w:sz="4" w:space="0" w:color="AAAAAA"/>
              <w:bottom w:val="single" w:sz="4" w:space="0" w:color="AAAAAA"/>
              <w:end w:val="single" w:sz="4" w:space="0" w:color="AAAAAA"/>
            </w:tcBorders>
            <w:shd w:fill="EBF3FB" w:val="clear"/>
          </w:tcPr>
          <w:p>
            <w:pPr>
              <w:pStyle w:val="Normal"/>
              <w:jc w:val="start"/>
              <w:rPr/>
            </w:pPr>
            <w:r>
              <w:rPr>
                <w:rFonts w:eastAsia="Times New Roman" w:cs="Times New Roman"/>
                <w:b w:val="false"/>
                <w:bCs w:val="false"/>
                <w:sz w:val="20"/>
                <w:szCs w:val="20"/>
              </w:rPr>
              <w:t xml:space="preserve">  </w:t>
            </w:r>
            <w:r>
              <w:rPr>
                <w:rFonts w:eastAsia="Times New Roman" w:cs="Times New Roman"/>
                <w:b w:val="false"/>
                <w:bCs w:val="false"/>
                <w:sz w:val="20"/>
                <w:szCs w:val="20"/>
              </w:rPr>
              <w:t>Not at all</w:t>
            </w:r>
          </w:p>
        </w:tc>
        <w:tc>
          <w:tcPr>
            <w:tcW w:w="2080" w:type="dxa"/>
            <w:tcBorders>
              <w:top w:val="single" w:sz="4" w:space="0" w:color="AAAAAA"/>
              <w:start w:val="single" w:sz="4" w:space="0" w:color="AAAAAA"/>
              <w:bottom w:val="single" w:sz="4" w:space="0" w:color="AAAAAA"/>
              <w:end w:val="single" w:sz="4" w:space="0" w:color="AAAAAA"/>
            </w:tcBorders>
            <w:shd w:fill="EBF3FB" w:val="clear"/>
          </w:tcPr>
          <w:p>
            <w:pPr>
              <w:pStyle w:val="Normal"/>
              <w:jc w:val="center"/>
              <w:rPr/>
            </w:pPr>
            <w:r>
              <w:rPr>
                <w:rFonts w:eastAsia="Times New Roman" w:cs="Times New Roman"/>
                <w:b w:val="false"/>
                <w:bCs w:val="false"/>
                <w:sz w:val="20"/>
                <w:szCs w:val="20"/>
              </w:rPr>
              <w:t>37</w:t>
            </w:r>
          </w:p>
        </w:tc>
        <w:tc>
          <w:tcPr>
            <w:tcW w:w="2080" w:type="dxa"/>
            <w:tcBorders>
              <w:top w:val="single" w:sz="4" w:space="0" w:color="AAAAAA"/>
              <w:start w:val="single" w:sz="4" w:space="0" w:color="AAAAAA"/>
              <w:bottom w:val="single" w:sz="4" w:space="0" w:color="AAAAAA"/>
              <w:end w:val="single" w:sz="4" w:space="0" w:color="AAAAAA"/>
            </w:tcBorders>
            <w:shd w:fill="EBF3FB" w:val="clear"/>
          </w:tcPr>
          <w:p>
            <w:pPr>
              <w:pStyle w:val="Normal"/>
              <w:jc w:val="center"/>
              <w:rPr/>
            </w:pPr>
            <w:r>
              <w:rPr>
                <w:rFonts w:eastAsia="Times New Roman" w:cs="Times New Roman"/>
                <w:b w:val="false"/>
                <w:bCs w:val="false"/>
                <w:sz w:val="20"/>
                <w:szCs w:val="20"/>
              </w:rPr>
              <w:t>67.3</w:t>
            </w:r>
          </w:p>
        </w:tc>
      </w:tr>
      <w:tr>
        <w:trPr/>
        <w:tc>
          <w:tcPr>
            <w:tcW w:w="5200" w:type="dxa"/>
            <w:tcBorders>
              <w:top w:val="single" w:sz="4" w:space="0" w:color="AAAAAA"/>
              <w:start w:val="single" w:sz="4" w:space="0" w:color="AAAAAA"/>
              <w:bottom w:val="single" w:sz="4" w:space="0" w:color="AAAAAA"/>
              <w:end w:val="single" w:sz="4" w:space="0" w:color="AAAAAA"/>
            </w:tcBorders>
            <w:shd w:fill="FFFFFF" w:val="clear"/>
          </w:tcPr>
          <w:p>
            <w:pPr>
              <w:pStyle w:val="Normal"/>
              <w:jc w:val="start"/>
              <w:rPr/>
            </w:pPr>
            <w:r>
              <w:rPr>
                <w:rFonts w:eastAsia="Times New Roman" w:cs="Times New Roman"/>
                <w:b w:val="false"/>
                <w:bCs w:val="false"/>
                <w:sz w:val="20"/>
                <w:szCs w:val="20"/>
              </w:rPr>
              <w:t xml:space="preserve">  </w:t>
            </w:r>
            <w:r>
              <w:rPr>
                <w:rFonts w:eastAsia="Times New Roman" w:cs="Times New Roman"/>
                <w:b w:val="false"/>
                <w:bCs w:val="false"/>
                <w:sz w:val="20"/>
                <w:szCs w:val="20"/>
              </w:rPr>
              <w:t>Slightly</w:t>
            </w:r>
          </w:p>
        </w:tc>
        <w:tc>
          <w:tcPr>
            <w:tcW w:w="2080" w:type="dxa"/>
            <w:tcBorders>
              <w:top w:val="single" w:sz="4" w:space="0" w:color="AAAAAA"/>
              <w:start w:val="single" w:sz="4" w:space="0" w:color="AAAAAA"/>
              <w:bottom w:val="single" w:sz="4" w:space="0" w:color="AAAAAA"/>
              <w:end w:val="single" w:sz="4" w:space="0" w:color="AAAAAA"/>
            </w:tcBorders>
            <w:shd w:fill="FFFFFF" w:val="clear"/>
          </w:tcPr>
          <w:p>
            <w:pPr>
              <w:pStyle w:val="Normal"/>
              <w:jc w:val="center"/>
              <w:rPr/>
            </w:pPr>
            <w:r>
              <w:rPr>
                <w:rFonts w:eastAsia="Times New Roman" w:cs="Times New Roman"/>
                <w:b w:val="false"/>
                <w:bCs w:val="false"/>
                <w:sz w:val="20"/>
                <w:szCs w:val="20"/>
              </w:rPr>
              <w:t>15</w:t>
            </w:r>
          </w:p>
        </w:tc>
        <w:tc>
          <w:tcPr>
            <w:tcW w:w="2080" w:type="dxa"/>
            <w:tcBorders>
              <w:top w:val="single" w:sz="4" w:space="0" w:color="AAAAAA"/>
              <w:start w:val="single" w:sz="4" w:space="0" w:color="AAAAAA"/>
              <w:bottom w:val="single" w:sz="4" w:space="0" w:color="AAAAAA"/>
              <w:end w:val="single" w:sz="4" w:space="0" w:color="AAAAAA"/>
            </w:tcBorders>
            <w:shd w:fill="FFFFFF" w:val="clear"/>
          </w:tcPr>
          <w:p>
            <w:pPr>
              <w:pStyle w:val="Normal"/>
              <w:jc w:val="center"/>
              <w:rPr/>
            </w:pPr>
            <w:r>
              <w:rPr>
                <w:rFonts w:eastAsia="Times New Roman" w:cs="Times New Roman"/>
                <w:b w:val="false"/>
                <w:bCs w:val="false"/>
                <w:sz w:val="20"/>
                <w:szCs w:val="20"/>
              </w:rPr>
              <w:t>27.3</w:t>
            </w:r>
          </w:p>
        </w:tc>
      </w:tr>
      <w:tr>
        <w:trPr/>
        <w:tc>
          <w:tcPr>
            <w:tcW w:w="5200" w:type="dxa"/>
            <w:tcBorders>
              <w:top w:val="single" w:sz="4" w:space="0" w:color="AAAAAA"/>
              <w:start w:val="single" w:sz="4" w:space="0" w:color="AAAAAA"/>
              <w:bottom w:val="single" w:sz="4" w:space="0" w:color="AAAAAA"/>
              <w:end w:val="single" w:sz="4" w:space="0" w:color="AAAAAA"/>
            </w:tcBorders>
            <w:shd w:fill="EBF3FB" w:val="clear"/>
          </w:tcPr>
          <w:p>
            <w:pPr>
              <w:pStyle w:val="Normal"/>
              <w:jc w:val="start"/>
              <w:rPr/>
            </w:pPr>
            <w:r>
              <w:rPr>
                <w:rFonts w:eastAsia="Times New Roman" w:cs="Times New Roman"/>
                <w:b w:val="false"/>
                <w:bCs w:val="false"/>
                <w:sz w:val="20"/>
                <w:szCs w:val="20"/>
              </w:rPr>
              <w:t xml:space="preserve">  </w:t>
            </w:r>
            <w:r>
              <w:rPr>
                <w:rFonts w:eastAsia="Times New Roman" w:cs="Times New Roman"/>
                <w:b w:val="false"/>
                <w:bCs w:val="false"/>
                <w:sz w:val="20"/>
                <w:szCs w:val="20"/>
              </w:rPr>
              <w:t>Moderately</w:t>
            </w:r>
          </w:p>
        </w:tc>
        <w:tc>
          <w:tcPr>
            <w:tcW w:w="2080" w:type="dxa"/>
            <w:tcBorders>
              <w:top w:val="single" w:sz="4" w:space="0" w:color="AAAAAA"/>
              <w:start w:val="single" w:sz="4" w:space="0" w:color="AAAAAA"/>
              <w:bottom w:val="single" w:sz="4" w:space="0" w:color="AAAAAA"/>
              <w:end w:val="single" w:sz="4" w:space="0" w:color="AAAAAA"/>
            </w:tcBorders>
            <w:shd w:fill="EBF3FB" w:val="clear"/>
          </w:tcPr>
          <w:p>
            <w:pPr>
              <w:pStyle w:val="Normal"/>
              <w:jc w:val="center"/>
              <w:rPr/>
            </w:pPr>
            <w:r>
              <w:rPr>
                <w:rFonts w:eastAsia="Times New Roman" w:cs="Times New Roman"/>
                <w:b w:val="false"/>
                <w:bCs w:val="false"/>
                <w:sz w:val="20"/>
                <w:szCs w:val="20"/>
              </w:rPr>
              <w:t>3</w:t>
            </w:r>
          </w:p>
        </w:tc>
        <w:tc>
          <w:tcPr>
            <w:tcW w:w="2080" w:type="dxa"/>
            <w:tcBorders>
              <w:top w:val="single" w:sz="4" w:space="0" w:color="AAAAAA"/>
              <w:start w:val="single" w:sz="4" w:space="0" w:color="AAAAAA"/>
              <w:bottom w:val="single" w:sz="4" w:space="0" w:color="AAAAAA"/>
              <w:end w:val="single" w:sz="4" w:space="0" w:color="AAAAAA"/>
            </w:tcBorders>
            <w:shd w:fill="EBF3FB" w:val="clear"/>
          </w:tcPr>
          <w:p>
            <w:pPr>
              <w:pStyle w:val="Normal"/>
              <w:jc w:val="center"/>
              <w:rPr/>
            </w:pPr>
            <w:r>
              <w:rPr>
                <w:rFonts w:eastAsia="Times New Roman" w:cs="Times New Roman"/>
                <w:b w:val="false"/>
                <w:bCs w:val="false"/>
                <w:sz w:val="20"/>
                <w:szCs w:val="20"/>
              </w:rPr>
              <w:t>5.5</w:t>
            </w:r>
          </w:p>
        </w:tc>
      </w:tr>
      <w:tr>
        <w:trPr/>
        <w:tc>
          <w:tcPr>
            <w:tcW w:w="5200" w:type="dxa"/>
            <w:tcBorders>
              <w:top w:val="single" w:sz="4" w:space="0" w:color="AAAAAA"/>
              <w:start w:val="single" w:sz="4" w:space="0" w:color="AAAAAA"/>
              <w:bottom w:val="single" w:sz="4" w:space="0" w:color="AAAAAA"/>
              <w:end w:val="single" w:sz="4" w:space="0" w:color="AAAAAA"/>
            </w:tcBorders>
            <w:shd w:fill="FFFFFF" w:val="clear"/>
          </w:tcPr>
          <w:p>
            <w:pPr>
              <w:pStyle w:val="Normal"/>
              <w:jc w:val="start"/>
              <w:rPr/>
            </w:pPr>
            <w:r>
              <w:rPr>
                <w:rFonts w:eastAsia="Times New Roman" w:cs="Times New Roman"/>
                <w:b w:val="false"/>
                <w:bCs w:val="false"/>
                <w:sz w:val="20"/>
                <w:szCs w:val="20"/>
              </w:rPr>
              <w:t xml:space="preserve">  </w:t>
            </w:r>
            <w:r>
              <w:rPr>
                <w:rFonts w:eastAsia="Times New Roman" w:cs="Times New Roman"/>
                <w:b w:val="false"/>
                <w:bCs w:val="false"/>
                <w:sz w:val="20"/>
                <w:szCs w:val="20"/>
              </w:rPr>
              <w:t>Significantly</w:t>
            </w:r>
          </w:p>
        </w:tc>
        <w:tc>
          <w:tcPr>
            <w:tcW w:w="2080" w:type="dxa"/>
            <w:tcBorders>
              <w:top w:val="single" w:sz="4" w:space="0" w:color="AAAAAA"/>
              <w:start w:val="single" w:sz="4" w:space="0" w:color="AAAAAA"/>
              <w:bottom w:val="single" w:sz="4" w:space="0" w:color="AAAAAA"/>
              <w:end w:val="single" w:sz="4" w:space="0" w:color="AAAAAA"/>
            </w:tcBorders>
            <w:shd w:fill="FFFFFF" w:val="clear"/>
          </w:tcPr>
          <w:p>
            <w:pPr>
              <w:pStyle w:val="Normal"/>
              <w:jc w:val="center"/>
              <w:rPr/>
            </w:pPr>
            <w:r>
              <w:rPr>
                <w:rFonts w:eastAsia="Times New Roman" w:cs="Times New Roman"/>
                <w:b w:val="false"/>
                <w:bCs w:val="false"/>
                <w:sz w:val="20"/>
                <w:szCs w:val="20"/>
              </w:rPr>
              <w:t>0</w:t>
            </w:r>
          </w:p>
        </w:tc>
        <w:tc>
          <w:tcPr>
            <w:tcW w:w="2080" w:type="dxa"/>
            <w:tcBorders>
              <w:top w:val="single" w:sz="4" w:space="0" w:color="AAAAAA"/>
              <w:start w:val="single" w:sz="4" w:space="0" w:color="AAAAAA"/>
              <w:bottom w:val="single" w:sz="4" w:space="0" w:color="AAAAAA"/>
              <w:end w:val="single" w:sz="4" w:space="0" w:color="AAAAAA"/>
            </w:tcBorders>
            <w:shd w:fill="FFFFFF" w:val="clear"/>
          </w:tcPr>
          <w:p>
            <w:pPr>
              <w:pStyle w:val="Normal"/>
              <w:jc w:val="center"/>
              <w:rPr/>
            </w:pPr>
            <w:r>
              <w:rPr>
                <w:rFonts w:eastAsia="Times New Roman" w:cs="Times New Roman"/>
                <w:b w:val="false"/>
                <w:bCs w:val="false"/>
                <w:sz w:val="20"/>
                <w:szCs w:val="20"/>
              </w:rPr>
              <w:t>0.0</w:t>
            </w:r>
          </w:p>
        </w:tc>
      </w:tr>
      <w:tr>
        <w:trPr/>
        <w:tc>
          <w:tcPr>
            <w:tcW w:w="5200" w:type="dxa"/>
            <w:tcBorders>
              <w:top w:val="single" w:sz="4" w:space="0" w:color="AAAAAA"/>
              <w:start w:val="single" w:sz="4" w:space="0" w:color="AAAAAA"/>
              <w:bottom w:val="single" w:sz="4" w:space="0" w:color="AAAAAA"/>
              <w:end w:val="single" w:sz="4" w:space="0" w:color="AAAAAA"/>
            </w:tcBorders>
            <w:shd w:fill="FFFFFF" w:val="clear"/>
          </w:tcPr>
          <w:p>
            <w:pPr>
              <w:pStyle w:val="Normal"/>
              <w:jc w:val="start"/>
              <w:rPr/>
            </w:pPr>
            <w:r>
              <w:rPr>
                <w:rFonts w:eastAsia="Times New Roman" w:cs="Times New Roman"/>
                <w:b/>
                <w:bCs/>
                <w:sz w:val="20"/>
                <w:szCs w:val="20"/>
              </w:rPr>
              <w:t>Subjective Breathing-Related Concerns (N = 55)</w:t>
            </w:r>
          </w:p>
        </w:tc>
        <w:tc>
          <w:tcPr>
            <w:tcW w:w="2080" w:type="dxa"/>
            <w:tcBorders>
              <w:top w:val="single" w:sz="4" w:space="0" w:color="AAAAAA"/>
              <w:start w:val="single" w:sz="4" w:space="0" w:color="AAAAAA"/>
              <w:bottom w:val="single" w:sz="4" w:space="0" w:color="AAAAAA"/>
              <w:end w:val="single" w:sz="4" w:space="0" w:color="AAAAAA"/>
            </w:tcBorders>
            <w:shd w:fill="FFFFFF" w:val="clear"/>
          </w:tcPr>
          <w:p>
            <w:pPr>
              <w:pStyle w:val="Normal"/>
              <w:jc w:val="start"/>
              <w:rPr/>
            </w:pPr>
            <w:r>
              <w:rPr/>
            </w:r>
          </w:p>
        </w:tc>
        <w:tc>
          <w:tcPr>
            <w:tcW w:w="2080" w:type="dxa"/>
            <w:tcBorders>
              <w:top w:val="single" w:sz="4" w:space="0" w:color="AAAAAA"/>
              <w:start w:val="single" w:sz="4" w:space="0" w:color="AAAAAA"/>
              <w:bottom w:val="single" w:sz="4" w:space="0" w:color="AAAAAA"/>
              <w:end w:val="single" w:sz="4" w:space="0" w:color="AAAAAA"/>
            </w:tcBorders>
            <w:shd w:fill="FFFFFF" w:val="clear"/>
          </w:tcPr>
          <w:p>
            <w:pPr>
              <w:pStyle w:val="Normal"/>
              <w:jc w:val="start"/>
              <w:rPr/>
            </w:pPr>
            <w:r>
              <w:rPr/>
            </w:r>
          </w:p>
        </w:tc>
      </w:tr>
      <w:tr>
        <w:trPr/>
        <w:tc>
          <w:tcPr>
            <w:tcW w:w="5200" w:type="dxa"/>
            <w:tcBorders>
              <w:top w:val="single" w:sz="4" w:space="0" w:color="AAAAAA"/>
              <w:start w:val="single" w:sz="4" w:space="0" w:color="AAAAAA"/>
              <w:bottom w:val="single" w:sz="4" w:space="0" w:color="AAAAAA"/>
              <w:end w:val="single" w:sz="4" w:space="0" w:color="AAAAAA"/>
            </w:tcBorders>
            <w:shd w:fill="EBF3FB" w:val="clear"/>
          </w:tcPr>
          <w:p>
            <w:pPr>
              <w:pStyle w:val="Normal"/>
              <w:jc w:val="start"/>
              <w:rPr/>
            </w:pPr>
            <w:r>
              <w:rPr>
                <w:rFonts w:eastAsia="Times New Roman" w:cs="Times New Roman"/>
                <w:b w:val="false"/>
                <w:bCs w:val="false"/>
                <w:sz w:val="20"/>
                <w:szCs w:val="20"/>
              </w:rPr>
              <w:t xml:space="preserve">  </w:t>
            </w:r>
            <w:r>
              <w:rPr>
                <w:rFonts w:eastAsia="Times New Roman" w:cs="Times New Roman"/>
                <w:b w:val="false"/>
                <w:bCs w:val="false"/>
                <w:sz w:val="20"/>
                <w:szCs w:val="20"/>
              </w:rPr>
              <w:t>Yes</w:t>
            </w:r>
          </w:p>
        </w:tc>
        <w:tc>
          <w:tcPr>
            <w:tcW w:w="2080" w:type="dxa"/>
            <w:tcBorders>
              <w:top w:val="single" w:sz="4" w:space="0" w:color="AAAAAA"/>
              <w:start w:val="single" w:sz="4" w:space="0" w:color="AAAAAA"/>
              <w:bottom w:val="single" w:sz="4" w:space="0" w:color="AAAAAA"/>
              <w:end w:val="single" w:sz="4" w:space="0" w:color="AAAAAA"/>
            </w:tcBorders>
            <w:shd w:fill="EBF3FB" w:val="clear"/>
          </w:tcPr>
          <w:p>
            <w:pPr>
              <w:pStyle w:val="Normal"/>
              <w:jc w:val="center"/>
              <w:rPr/>
            </w:pPr>
            <w:r>
              <w:rPr>
                <w:rFonts w:eastAsia="Times New Roman" w:cs="Times New Roman"/>
                <w:b w:val="false"/>
                <w:bCs w:val="false"/>
                <w:sz w:val="20"/>
                <w:szCs w:val="20"/>
              </w:rPr>
              <w:t>4</w:t>
            </w:r>
          </w:p>
        </w:tc>
        <w:tc>
          <w:tcPr>
            <w:tcW w:w="2080" w:type="dxa"/>
            <w:tcBorders>
              <w:top w:val="single" w:sz="4" w:space="0" w:color="AAAAAA"/>
              <w:start w:val="single" w:sz="4" w:space="0" w:color="AAAAAA"/>
              <w:bottom w:val="single" w:sz="4" w:space="0" w:color="AAAAAA"/>
              <w:end w:val="single" w:sz="4" w:space="0" w:color="AAAAAA"/>
            </w:tcBorders>
            <w:shd w:fill="EBF3FB" w:val="clear"/>
          </w:tcPr>
          <w:p>
            <w:pPr>
              <w:pStyle w:val="Normal"/>
              <w:jc w:val="center"/>
              <w:rPr/>
            </w:pPr>
            <w:r>
              <w:rPr>
                <w:rFonts w:eastAsia="Times New Roman" w:cs="Times New Roman"/>
                <w:b w:val="false"/>
                <w:bCs w:val="false"/>
                <w:sz w:val="20"/>
                <w:szCs w:val="20"/>
              </w:rPr>
              <w:t>7.3</w:t>
            </w:r>
          </w:p>
        </w:tc>
      </w:tr>
      <w:tr>
        <w:trPr/>
        <w:tc>
          <w:tcPr>
            <w:tcW w:w="5200" w:type="dxa"/>
            <w:tcBorders>
              <w:top w:val="single" w:sz="4" w:space="0" w:color="AAAAAA"/>
              <w:start w:val="single" w:sz="4" w:space="0" w:color="AAAAAA"/>
              <w:bottom w:val="single" w:sz="4" w:space="0" w:color="AAAAAA"/>
              <w:end w:val="single" w:sz="4" w:space="0" w:color="AAAAAA"/>
            </w:tcBorders>
            <w:shd w:fill="FFFFFF" w:val="clear"/>
          </w:tcPr>
          <w:p>
            <w:pPr>
              <w:pStyle w:val="Normal"/>
              <w:jc w:val="start"/>
              <w:rPr/>
            </w:pPr>
            <w:r>
              <w:rPr>
                <w:rFonts w:eastAsia="Times New Roman" w:cs="Times New Roman"/>
                <w:b w:val="false"/>
                <w:bCs w:val="false"/>
                <w:sz w:val="20"/>
                <w:szCs w:val="20"/>
              </w:rPr>
              <w:t xml:space="preserve">  </w:t>
            </w:r>
            <w:r>
              <w:rPr>
                <w:rFonts w:eastAsia="Times New Roman" w:cs="Times New Roman"/>
                <w:b w:val="false"/>
                <w:bCs w:val="false"/>
                <w:sz w:val="20"/>
                <w:szCs w:val="20"/>
              </w:rPr>
              <w:t>No</w:t>
            </w:r>
          </w:p>
        </w:tc>
        <w:tc>
          <w:tcPr>
            <w:tcW w:w="2080" w:type="dxa"/>
            <w:tcBorders>
              <w:top w:val="single" w:sz="4" w:space="0" w:color="AAAAAA"/>
              <w:start w:val="single" w:sz="4" w:space="0" w:color="AAAAAA"/>
              <w:bottom w:val="single" w:sz="4" w:space="0" w:color="AAAAAA"/>
              <w:end w:val="single" w:sz="4" w:space="0" w:color="AAAAAA"/>
            </w:tcBorders>
            <w:shd w:fill="FFFFFF" w:val="clear"/>
          </w:tcPr>
          <w:p>
            <w:pPr>
              <w:pStyle w:val="Normal"/>
              <w:jc w:val="center"/>
              <w:rPr/>
            </w:pPr>
            <w:r>
              <w:rPr>
                <w:rFonts w:eastAsia="Times New Roman" w:cs="Times New Roman"/>
                <w:b w:val="false"/>
                <w:bCs w:val="false"/>
                <w:sz w:val="20"/>
                <w:szCs w:val="20"/>
              </w:rPr>
              <w:t>51</w:t>
            </w:r>
          </w:p>
        </w:tc>
        <w:tc>
          <w:tcPr>
            <w:tcW w:w="2080" w:type="dxa"/>
            <w:tcBorders>
              <w:top w:val="single" w:sz="4" w:space="0" w:color="AAAAAA"/>
              <w:start w:val="single" w:sz="4" w:space="0" w:color="AAAAAA"/>
              <w:bottom w:val="single" w:sz="4" w:space="0" w:color="AAAAAA"/>
              <w:end w:val="single" w:sz="4" w:space="0" w:color="AAAAAA"/>
            </w:tcBorders>
            <w:shd w:fill="FFFFFF" w:val="clear"/>
          </w:tcPr>
          <w:p>
            <w:pPr>
              <w:pStyle w:val="Normal"/>
              <w:jc w:val="center"/>
              <w:rPr/>
            </w:pPr>
            <w:r>
              <w:rPr>
                <w:rFonts w:eastAsia="Times New Roman" w:cs="Times New Roman"/>
                <w:b w:val="false"/>
                <w:bCs w:val="false"/>
                <w:sz w:val="20"/>
                <w:szCs w:val="20"/>
              </w:rPr>
              <w:t>92.7</w:t>
            </w:r>
          </w:p>
        </w:tc>
      </w:tr>
      <w:tr>
        <w:trPr/>
        <w:tc>
          <w:tcPr>
            <w:tcW w:w="5200" w:type="dxa"/>
            <w:tcBorders>
              <w:top w:val="single" w:sz="4" w:space="0" w:color="AAAAAA"/>
              <w:start w:val="single" w:sz="4" w:space="0" w:color="AAAAAA"/>
              <w:bottom w:val="single" w:sz="4" w:space="0" w:color="AAAAAA"/>
              <w:end w:val="single" w:sz="4" w:space="0" w:color="AAAAAA"/>
            </w:tcBorders>
            <w:shd w:fill="FFFFFF" w:val="clear"/>
          </w:tcPr>
          <w:p>
            <w:pPr>
              <w:pStyle w:val="Normal"/>
              <w:jc w:val="start"/>
              <w:rPr/>
            </w:pPr>
            <w:r>
              <w:rPr>
                <w:rFonts w:eastAsia="Times New Roman" w:cs="Times New Roman"/>
                <w:b/>
                <w:bCs/>
                <w:sz w:val="20"/>
                <w:szCs w:val="20"/>
              </w:rPr>
              <w:t>Discontinued SR-17018 Due to Adverse Effects (N = 55)</w:t>
            </w:r>
          </w:p>
        </w:tc>
        <w:tc>
          <w:tcPr>
            <w:tcW w:w="2080" w:type="dxa"/>
            <w:tcBorders>
              <w:top w:val="single" w:sz="4" w:space="0" w:color="AAAAAA"/>
              <w:start w:val="single" w:sz="4" w:space="0" w:color="AAAAAA"/>
              <w:bottom w:val="single" w:sz="4" w:space="0" w:color="AAAAAA"/>
              <w:end w:val="single" w:sz="4" w:space="0" w:color="AAAAAA"/>
            </w:tcBorders>
            <w:shd w:fill="FFFFFF" w:val="clear"/>
          </w:tcPr>
          <w:p>
            <w:pPr>
              <w:pStyle w:val="Normal"/>
              <w:jc w:val="start"/>
              <w:rPr/>
            </w:pPr>
            <w:r>
              <w:rPr/>
            </w:r>
          </w:p>
        </w:tc>
        <w:tc>
          <w:tcPr>
            <w:tcW w:w="2080" w:type="dxa"/>
            <w:tcBorders>
              <w:top w:val="single" w:sz="4" w:space="0" w:color="AAAAAA"/>
              <w:start w:val="single" w:sz="4" w:space="0" w:color="AAAAAA"/>
              <w:bottom w:val="single" w:sz="4" w:space="0" w:color="AAAAAA"/>
              <w:end w:val="single" w:sz="4" w:space="0" w:color="AAAAAA"/>
            </w:tcBorders>
            <w:shd w:fill="FFFFFF" w:val="clear"/>
          </w:tcPr>
          <w:p>
            <w:pPr>
              <w:pStyle w:val="Normal"/>
              <w:jc w:val="start"/>
              <w:rPr/>
            </w:pPr>
            <w:r>
              <w:rPr/>
            </w:r>
          </w:p>
        </w:tc>
      </w:tr>
      <w:tr>
        <w:trPr/>
        <w:tc>
          <w:tcPr>
            <w:tcW w:w="5200" w:type="dxa"/>
            <w:tcBorders>
              <w:top w:val="single" w:sz="4" w:space="0" w:color="AAAAAA"/>
              <w:start w:val="single" w:sz="4" w:space="0" w:color="AAAAAA"/>
              <w:bottom w:val="single" w:sz="4" w:space="0" w:color="AAAAAA"/>
              <w:end w:val="single" w:sz="4" w:space="0" w:color="AAAAAA"/>
            </w:tcBorders>
            <w:shd w:fill="EBF3FB" w:val="clear"/>
          </w:tcPr>
          <w:p>
            <w:pPr>
              <w:pStyle w:val="Normal"/>
              <w:jc w:val="start"/>
              <w:rPr/>
            </w:pPr>
            <w:r>
              <w:rPr>
                <w:rFonts w:eastAsia="Times New Roman" w:cs="Times New Roman"/>
                <w:b w:val="false"/>
                <w:bCs w:val="false"/>
                <w:sz w:val="20"/>
                <w:szCs w:val="20"/>
              </w:rPr>
              <w:t xml:space="preserve">  </w:t>
            </w:r>
            <w:r>
              <w:rPr>
                <w:rFonts w:eastAsia="Times New Roman" w:cs="Times New Roman"/>
                <w:b w:val="false"/>
                <w:bCs w:val="false"/>
                <w:sz w:val="20"/>
                <w:szCs w:val="20"/>
              </w:rPr>
              <w:t>Yes</w:t>
            </w:r>
          </w:p>
        </w:tc>
        <w:tc>
          <w:tcPr>
            <w:tcW w:w="2080" w:type="dxa"/>
            <w:tcBorders>
              <w:top w:val="single" w:sz="4" w:space="0" w:color="AAAAAA"/>
              <w:start w:val="single" w:sz="4" w:space="0" w:color="AAAAAA"/>
              <w:bottom w:val="single" w:sz="4" w:space="0" w:color="AAAAAA"/>
              <w:end w:val="single" w:sz="4" w:space="0" w:color="AAAAAA"/>
            </w:tcBorders>
            <w:shd w:fill="EBF3FB" w:val="clear"/>
          </w:tcPr>
          <w:p>
            <w:pPr>
              <w:pStyle w:val="Normal"/>
              <w:jc w:val="center"/>
              <w:rPr/>
            </w:pPr>
            <w:r>
              <w:rPr>
                <w:rFonts w:eastAsia="Times New Roman" w:cs="Times New Roman"/>
                <w:b w:val="false"/>
                <w:bCs w:val="false"/>
                <w:sz w:val="20"/>
                <w:szCs w:val="20"/>
              </w:rPr>
              <w:t>1</w:t>
            </w:r>
          </w:p>
        </w:tc>
        <w:tc>
          <w:tcPr>
            <w:tcW w:w="2080" w:type="dxa"/>
            <w:tcBorders>
              <w:top w:val="single" w:sz="4" w:space="0" w:color="AAAAAA"/>
              <w:start w:val="single" w:sz="4" w:space="0" w:color="AAAAAA"/>
              <w:bottom w:val="single" w:sz="4" w:space="0" w:color="AAAAAA"/>
              <w:end w:val="single" w:sz="4" w:space="0" w:color="AAAAAA"/>
            </w:tcBorders>
            <w:shd w:fill="EBF3FB" w:val="clear"/>
          </w:tcPr>
          <w:p>
            <w:pPr>
              <w:pStyle w:val="Normal"/>
              <w:jc w:val="center"/>
              <w:rPr/>
            </w:pPr>
            <w:r>
              <w:rPr>
                <w:rFonts w:eastAsia="Times New Roman" w:cs="Times New Roman"/>
                <w:b w:val="false"/>
                <w:bCs w:val="false"/>
                <w:sz w:val="20"/>
                <w:szCs w:val="20"/>
              </w:rPr>
              <w:t>1.8</w:t>
            </w:r>
          </w:p>
        </w:tc>
      </w:tr>
      <w:tr>
        <w:trPr/>
        <w:tc>
          <w:tcPr>
            <w:tcW w:w="5200" w:type="dxa"/>
            <w:tcBorders>
              <w:top w:val="single" w:sz="4" w:space="0" w:color="AAAAAA"/>
              <w:start w:val="single" w:sz="4" w:space="0" w:color="AAAAAA"/>
              <w:bottom w:val="single" w:sz="4" w:space="0" w:color="AAAAAA"/>
              <w:end w:val="single" w:sz="4" w:space="0" w:color="AAAAAA"/>
            </w:tcBorders>
            <w:shd w:fill="FFFFFF" w:val="clear"/>
          </w:tcPr>
          <w:p>
            <w:pPr>
              <w:pStyle w:val="Normal"/>
              <w:jc w:val="start"/>
              <w:rPr/>
            </w:pPr>
            <w:r>
              <w:rPr>
                <w:rFonts w:eastAsia="Times New Roman" w:cs="Times New Roman"/>
                <w:b w:val="false"/>
                <w:bCs w:val="false"/>
                <w:sz w:val="20"/>
                <w:szCs w:val="20"/>
              </w:rPr>
              <w:t xml:space="preserve">  </w:t>
            </w:r>
            <w:r>
              <w:rPr>
                <w:rFonts w:eastAsia="Times New Roman" w:cs="Times New Roman"/>
                <w:b w:val="false"/>
                <w:bCs w:val="false"/>
                <w:sz w:val="20"/>
                <w:szCs w:val="20"/>
              </w:rPr>
              <w:t>No</w:t>
            </w:r>
          </w:p>
        </w:tc>
        <w:tc>
          <w:tcPr>
            <w:tcW w:w="2080" w:type="dxa"/>
            <w:tcBorders>
              <w:top w:val="single" w:sz="4" w:space="0" w:color="AAAAAA"/>
              <w:start w:val="single" w:sz="4" w:space="0" w:color="AAAAAA"/>
              <w:bottom w:val="single" w:sz="4" w:space="0" w:color="AAAAAA"/>
              <w:end w:val="single" w:sz="4" w:space="0" w:color="AAAAAA"/>
            </w:tcBorders>
            <w:shd w:fill="FFFFFF" w:val="clear"/>
          </w:tcPr>
          <w:p>
            <w:pPr>
              <w:pStyle w:val="Normal"/>
              <w:jc w:val="center"/>
              <w:rPr/>
            </w:pPr>
            <w:r>
              <w:rPr>
                <w:rFonts w:eastAsia="Times New Roman" w:cs="Times New Roman"/>
                <w:b w:val="false"/>
                <w:bCs w:val="false"/>
                <w:sz w:val="20"/>
                <w:szCs w:val="20"/>
              </w:rPr>
              <w:t>54</w:t>
            </w:r>
          </w:p>
        </w:tc>
        <w:tc>
          <w:tcPr>
            <w:tcW w:w="2080" w:type="dxa"/>
            <w:tcBorders>
              <w:top w:val="single" w:sz="4" w:space="0" w:color="AAAAAA"/>
              <w:start w:val="single" w:sz="4" w:space="0" w:color="AAAAAA"/>
              <w:bottom w:val="single" w:sz="4" w:space="0" w:color="AAAAAA"/>
              <w:end w:val="single" w:sz="4" w:space="0" w:color="AAAAAA"/>
            </w:tcBorders>
            <w:shd w:fill="FFFFFF" w:val="clear"/>
          </w:tcPr>
          <w:p>
            <w:pPr>
              <w:pStyle w:val="Normal"/>
              <w:jc w:val="center"/>
              <w:rPr/>
            </w:pPr>
            <w:r>
              <w:rPr>
                <w:rFonts w:eastAsia="Times New Roman" w:cs="Times New Roman"/>
                <w:b w:val="false"/>
                <w:bCs w:val="false"/>
                <w:sz w:val="20"/>
                <w:szCs w:val="20"/>
              </w:rPr>
              <w:t>98.2</w:t>
            </w:r>
          </w:p>
        </w:tc>
      </w:tr>
    </w:tbl>
    <w:p>
      <w:pPr>
        <w:pStyle w:val="Normal"/>
        <w:spacing w:before="0" w:after="120"/>
        <w:rPr/>
      </w:pPr>
      <w:r>
        <w:rPr>
          <w:rFonts w:eastAsia="Times New Roman" w:cs="Times New Roman"/>
          <w:b w:val="false"/>
          <w:bCs w:val="false"/>
          <w:i/>
          <w:iCs/>
          <w:sz w:val="20"/>
          <w:szCs w:val="20"/>
        </w:rPr>
        <w:t>Note: Adverse effects item permitted multiple selections; individual percentages do not sum to 100. Concurrent substance use reported by approximately half of respondents and may confound tolerability findings.</w:t>
      </w:r>
    </w:p>
    <w:p>
      <w:pPr>
        <w:pStyle w:val="Normal"/>
        <w:spacing w:before="0" w:after="160"/>
        <w:rPr/>
      </w:pPr>
      <w:r>
        <w:rPr/>
      </w:r>
    </w:p>
    <w:p>
      <w:pPr>
        <w:pStyle w:val="Normal"/>
        <w:spacing w:before="200" w:after="80"/>
        <w:rPr/>
      </w:pPr>
      <w:r>
        <w:rPr>
          <w:rFonts w:eastAsia="Times New Roman" w:cs="Times New Roman"/>
          <w:b/>
          <w:bCs/>
          <w:i w:val="false"/>
          <w:iCs w:val="false"/>
          <w:sz w:val="22"/>
          <w:szCs w:val="22"/>
        </w:rPr>
        <w:t>Table 4. Self-Reported Outcomes and Effectiveness Ratings (N = 55)</w:t>
      </w:r>
    </w:p>
    <w:tbl>
      <w:tblPr>
        <w:tblW w:w="9360" w:type="dxa"/>
        <w:jc w:val="start"/>
        <w:tblInd w:w="0" w:type="dxa"/>
        <w:tblLayout w:type="fixed"/>
        <w:tblCellMar>
          <w:top w:w="80" w:type="dxa"/>
          <w:start w:w="120" w:type="dxa"/>
          <w:bottom w:w="80" w:type="dxa"/>
          <w:end w:w="120" w:type="dxa"/>
        </w:tblCellMar>
      </w:tblPr>
      <w:tblGrid>
        <w:gridCol w:w="5200"/>
        <w:gridCol w:w="2080"/>
        <w:gridCol w:w="2080"/>
      </w:tblGrid>
      <w:tr>
        <w:trPr/>
        <w:tc>
          <w:tcPr>
            <w:tcW w:w="5200" w:type="dxa"/>
            <w:tcBorders>
              <w:top w:val="single" w:sz="4" w:space="0" w:color="AAAAAA"/>
              <w:start w:val="single" w:sz="4" w:space="0" w:color="AAAAAA"/>
              <w:bottom w:val="single" w:sz="4" w:space="0" w:color="AAAAAA"/>
              <w:end w:val="single" w:sz="4" w:space="0" w:color="AAAAAA"/>
            </w:tcBorders>
            <w:shd w:fill="1F4E79" w:val="clear"/>
          </w:tcPr>
          <w:p>
            <w:pPr>
              <w:pStyle w:val="Normal"/>
              <w:jc w:val="center"/>
              <w:rPr/>
            </w:pPr>
            <w:r>
              <w:rPr>
                <w:rFonts w:eastAsia="Arial" w:cs="Arial" w:ascii="Arial" w:hAnsi="Arial"/>
                <w:b/>
                <w:bCs/>
                <w:color w:val="FFFFFF"/>
                <w:sz w:val="20"/>
                <w:szCs w:val="20"/>
              </w:rPr>
              <w:t>Outcome Variable</w:t>
            </w:r>
          </w:p>
        </w:tc>
        <w:tc>
          <w:tcPr>
            <w:tcW w:w="2080" w:type="dxa"/>
            <w:tcBorders>
              <w:top w:val="single" w:sz="4" w:space="0" w:color="AAAAAA"/>
              <w:start w:val="single" w:sz="4" w:space="0" w:color="AAAAAA"/>
              <w:bottom w:val="single" w:sz="4" w:space="0" w:color="AAAAAA"/>
              <w:end w:val="single" w:sz="4" w:space="0" w:color="AAAAAA"/>
            </w:tcBorders>
            <w:shd w:fill="1F4E79" w:val="clear"/>
          </w:tcPr>
          <w:p>
            <w:pPr>
              <w:pStyle w:val="Normal"/>
              <w:jc w:val="center"/>
              <w:rPr/>
            </w:pPr>
            <w:r>
              <w:rPr>
                <w:rFonts w:eastAsia="Arial" w:cs="Arial" w:ascii="Arial" w:hAnsi="Arial"/>
                <w:b/>
                <w:bCs/>
                <w:color w:val="FFFFFF"/>
                <w:sz w:val="20"/>
                <w:szCs w:val="20"/>
              </w:rPr>
              <w:t>n</w:t>
            </w:r>
          </w:p>
        </w:tc>
        <w:tc>
          <w:tcPr>
            <w:tcW w:w="2080" w:type="dxa"/>
            <w:tcBorders>
              <w:top w:val="single" w:sz="4" w:space="0" w:color="AAAAAA"/>
              <w:start w:val="single" w:sz="4" w:space="0" w:color="AAAAAA"/>
              <w:bottom w:val="single" w:sz="4" w:space="0" w:color="AAAAAA"/>
              <w:end w:val="single" w:sz="4" w:space="0" w:color="AAAAAA"/>
            </w:tcBorders>
            <w:shd w:fill="1F4E79" w:val="clear"/>
          </w:tcPr>
          <w:p>
            <w:pPr>
              <w:pStyle w:val="Normal"/>
              <w:jc w:val="center"/>
              <w:rPr/>
            </w:pPr>
            <w:r>
              <w:rPr>
                <w:rFonts w:eastAsia="Arial" w:cs="Arial" w:ascii="Arial" w:hAnsi="Arial"/>
                <w:b/>
                <w:bCs/>
                <w:color w:val="FFFFFF"/>
                <w:sz w:val="20"/>
                <w:szCs w:val="20"/>
              </w:rPr>
              <w:t>%</w:t>
            </w:r>
          </w:p>
        </w:tc>
      </w:tr>
      <w:tr>
        <w:trPr/>
        <w:tc>
          <w:tcPr>
            <w:tcW w:w="5200" w:type="dxa"/>
            <w:tcBorders>
              <w:top w:val="single" w:sz="4" w:space="0" w:color="AAAAAA"/>
              <w:start w:val="single" w:sz="4" w:space="0" w:color="AAAAAA"/>
              <w:bottom w:val="single" w:sz="4" w:space="0" w:color="AAAAAA"/>
              <w:end w:val="single" w:sz="4" w:space="0" w:color="AAAAAA"/>
            </w:tcBorders>
            <w:shd w:fill="FFFFFF" w:val="clear"/>
          </w:tcPr>
          <w:p>
            <w:pPr>
              <w:pStyle w:val="Normal"/>
              <w:jc w:val="start"/>
              <w:rPr/>
            </w:pPr>
            <w:r>
              <w:rPr>
                <w:rFonts w:eastAsia="Times New Roman" w:cs="Times New Roman"/>
                <w:b/>
                <w:bCs/>
                <w:sz w:val="20"/>
                <w:szCs w:val="20"/>
              </w:rPr>
              <w:t>Self-Reported Outcome During SR-17018 Use (N = 55)</w:t>
            </w:r>
          </w:p>
        </w:tc>
        <w:tc>
          <w:tcPr>
            <w:tcW w:w="2080" w:type="dxa"/>
            <w:tcBorders>
              <w:top w:val="single" w:sz="4" w:space="0" w:color="AAAAAA"/>
              <w:start w:val="single" w:sz="4" w:space="0" w:color="AAAAAA"/>
              <w:bottom w:val="single" w:sz="4" w:space="0" w:color="AAAAAA"/>
              <w:end w:val="single" w:sz="4" w:space="0" w:color="AAAAAA"/>
            </w:tcBorders>
            <w:shd w:fill="FFFFFF" w:val="clear"/>
          </w:tcPr>
          <w:p>
            <w:pPr>
              <w:pStyle w:val="Normal"/>
              <w:jc w:val="start"/>
              <w:rPr/>
            </w:pPr>
            <w:r>
              <w:rPr/>
            </w:r>
          </w:p>
        </w:tc>
        <w:tc>
          <w:tcPr>
            <w:tcW w:w="2080" w:type="dxa"/>
            <w:tcBorders>
              <w:top w:val="single" w:sz="4" w:space="0" w:color="AAAAAA"/>
              <w:start w:val="single" w:sz="4" w:space="0" w:color="AAAAAA"/>
              <w:bottom w:val="single" w:sz="4" w:space="0" w:color="AAAAAA"/>
              <w:end w:val="single" w:sz="4" w:space="0" w:color="AAAAAA"/>
            </w:tcBorders>
            <w:shd w:fill="FFFFFF" w:val="clear"/>
          </w:tcPr>
          <w:p>
            <w:pPr>
              <w:pStyle w:val="Normal"/>
              <w:jc w:val="start"/>
              <w:rPr/>
            </w:pPr>
            <w:r>
              <w:rPr/>
            </w:r>
          </w:p>
        </w:tc>
      </w:tr>
      <w:tr>
        <w:trPr/>
        <w:tc>
          <w:tcPr>
            <w:tcW w:w="5200" w:type="dxa"/>
            <w:tcBorders>
              <w:top w:val="single" w:sz="4" w:space="0" w:color="AAAAAA"/>
              <w:start w:val="single" w:sz="4" w:space="0" w:color="AAAAAA"/>
              <w:bottom w:val="single" w:sz="4" w:space="0" w:color="AAAAAA"/>
              <w:end w:val="single" w:sz="4" w:space="0" w:color="AAAAAA"/>
            </w:tcBorders>
            <w:shd w:fill="EBF3FB" w:val="clear"/>
          </w:tcPr>
          <w:p>
            <w:pPr>
              <w:pStyle w:val="Normal"/>
              <w:jc w:val="start"/>
              <w:rPr/>
            </w:pPr>
            <w:r>
              <w:rPr>
                <w:rFonts w:eastAsia="Times New Roman" w:cs="Times New Roman"/>
                <w:b w:val="false"/>
                <w:bCs w:val="false"/>
                <w:sz w:val="20"/>
                <w:szCs w:val="20"/>
              </w:rPr>
              <w:t xml:space="preserve">  </w:t>
            </w:r>
            <w:r>
              <w:rPr>
                <w:rFonts w:eastAsia="Times New Roman" w:cs="Times New Roman"/>
                <w:b w:val="false"/>
                <w:bCs w:val="false"/>
                <w:sz w:val="20"/>
                <w:szCs w:val="20"/>
              </w:rPr>
              <w:t>Fully stopped opioid use</w:t>
            </w:r>
          </w:p>
        </w:tc>
        <w:tc>
          <w:tcPr>
            <w:tcW w:w="2080" w:type="dxa"/>
            <w:tcBorders>
              <w:top w:val="single" w:sz="4" w:space="0" w:color="AAAAAA"/>
              <w:start w:val="single" w:sz="4" w:space="0" w:color="AAAAAA"/>
              <w:bottom w:val="single" w:sz="4" w:space="0" w:color="AAAAAA"/>
              <w:end w:val="single" w:sz="4" w:space="0" w:color="AAAAAA"/>
            </w:tcBorders>
            <w:shd w:fill="EBF3FB" w:val="clear"/>
          </w:tcPr>
          <w:p>
            <w:pPr>
              <w:pStyle w:val="Normal"/>
              <w:jc w:val="center"/>
              <w:rPr/>
            </w:pPr>
            <w:r>
              <w:rPr>
                <w:rFonts w:eastAsia="Times New Roman" w:cs="Times New Roman"/>
                <w:b w:val="false"/>
                <w:bCs w:val="false"/>
                <w:sz w:val="20"/>
                <w:szCs w:val="20"/>
              </w:rPr>
              <w:t>30</w:t>
            </w:r>
          </w:p>
        </w:tc>
        <w:tc>
          <w:tcPr>
            <w:tcW w:w="2080" w:type="dxa"/>
            <w:tcBorders>
              <w:top w:val="single" w:sz="4" w:space="0" w:color="AAAAAA"/>
              <w:start w:val="single" w:sz="4" w:space="0" w:color="AAAAAA"/>
              <w:bottom w:val="single" w:sz="4" w:space="0" w:color="AAAAAA"/>
              <w:end w:val="single" w:sz="4" w:space="0" w:color="AAAAAA"/>
            </w:tcBorders>
            <w:shd w:fill="EBF3FB" w:val="clear"/>
          </w:tcPr>
          <w:p>
            <w:pPr>
              <w:pStyle w:val="Normal"/>
              <w:jc w:val="center"/>
              <w:rPr/>
            </w:pPr>
            <w:r>
              <w:rPr>
                <w:rFonts w:eastAsia="Times New Roman" w:cs="Times New Roman"/>
                <w:b w:val="false"/>
                <w:bCs w:val="false"/>
                <w:sz w:val="20"/>
                <w:szCs w:val="20"/>
              </w:rPr>
              <w:t>54.5</w:t>
            </w:r>
          </w:p>
        </w:tc>
      </w:tr>
      <w:tr>
        <w:trPr/>
        <w:tc>
          <w:tcPr>
            <w:tcW w:w="5200" w:type="dxa"/>
            <w:tcBorders>
              <w:top w:val="single" w:sz="4" w:space="0" w:color="AAAAAA"/>
              <w:start w:val="single" w:sz="4" w:space="0" w:color="AAAAAA"/>
              <w:bottom w:val="single" w:sz="4" w:space="0" w:color="AAAAAA"/>
              <w:end w:val="single" w:sz="4" w:space="0" w:color="AAAAAA"/>
            </w:tcBorders>
            <w:shd w:fill="FFFFFF" w:val="clear"/>
          </w:tcPr>
          <w:p>
            <w:pPr>
              <w:pStyle w:val="Normal"/>
              <w:jc w:val="start"/>
              <w:rPr/>
            </w:pPr>
            <w:r>
              <w:rPr>
                <w:rFonts w:eastAsia="Times New Roman" w:cs="Times New Roman"/>
                <w:b w:val="false"/>
                <w:bCs w:val="false"/>
                <w:sz w:val="20"/>
                <w:szCs w:val="20"/>
              </w:rPr>
              <w:t xml:space="preserve">  </w:t>
            </w:r>
            <w:r>
              <w:rPr>
                <w:rFonts w:eastAsia="Times New Roman" w:cs="Times New Roman"/>
                <w:b w:val="false"/>
                <w:bCs w:val="false"/>
                <w:sz w:val="20"/>
                <w:szCs w:val="20"/>
              </w:rPr>
              <w:t>Significantly reduced use</w:t>
            </w:r>
          </w:p>
        </w:tc>
        <w:tc>
          <w:tcPr>
            <w:tcW w:w="2080" w:type="dxa"/>
            <w:tcBorders>
              <w:top w:val="single" w:sz="4" w:space="0" w:color="AAAAAA"/>
              <w:start w:val="single" w:sz="4" w:space="0" w:color="AAAAAA"/>
              <w:bottom w:val="single" w:sz="4" w:space="0" w:color="AAAAAA"/>
              <w:end w:val="single" w:sz="4" w:space="0" w:color="AAAAAA"/>
            </w:tcBorders>
            <w:shd w:fill="FFFFFF" w:val="clear"/>
          </w:tcPr>
          <w:p>
            <w:pPr>
              <w:pStyle w:val="Normal"/>
              <w:jc w:val="center"/>
              <w:rPr/>
            </w:pPr>
            <w:r>
              <w:rPr>
                <w:rFonts w:eastAsia="Times New Roman" w:cs="Times New Roman"/>
                <w:b w:val="false"/>
                <w:bCs w:val="false"/>
                <w:sz w:val="20"/>
                <w:szCs w:val="20"/>
              </w:rPr>
              <w:t>18</w:t>
            </w:r>
          </w:p>
        </w:tc>
        <w:tc>
          <w:tcPr>
            <w:tcW w:w="2080" w:type="dxa"/>
            <w:tcBorders>
              <w:top w:val="single" w:sz="4" w:space="0" w:color="AAAAAA"/>
              <w:start w:val="single" w:sz="4" w:space="0" w:color="AAAAAA"/>
              <w:bottom w:val="single" w:sz="4" w:space="0" w:color="AAAAAA"/>
              <w:end w:val="single" w:sz="4" w:space="0" w:color="AAAAAA"/>
            </w:tcBorders>
            <w:shd w:fill="FFFFFF" w:val="clear"/>
          </w:tcPr>
          <w:p>
            <w:pPr>
              <w:pStyle w:val="Normal"/>
              <w:jc w:val="center"/>
              <w:rPr/>
            </w:pPr>
            <w:r>
              <w:rPr>
                <w:rFonts w:eastAsia="Times New Roman" w:cs="Times New Roman"/>
                <w:b w:val="false"/>
                <w:bCs w:val="false"/>
                <w:sz w:val="20"/>
                <w:szCs w:val="20"/>
              </w:rPr>
              <w:t>32.7</w:t>
            </w:r>
          </w:p>
        </w:tc>
      </w:tr>
      <w:tr>
        <w:trPr/>
        <w:tc>
          <w:tcPr>
            <w:tcW w:w="5200" w:type="dxa"/>
            <w:tcBorders>
              <w:top w:val="single" w:sz="4" w:space="0" w:color="AAAAAA"/>
              <w:start w:val="single" w:sz="4" w:space="0" w:color="AAAAAA"/>
              <w:bottom w:val="single" w:sz="4" w:space="0" w:color="AAAAAA"/>
              <w:end w:val="single" w:sz="4" w:space="0" w:color="AAAAAA"/>
            </w:tcBorders>
            <w:shd w:fill="EBF3FB" w:val="clear"/>
          </w:tcPr>
          <w:p>
            <w:pPr>
              <w:pStyle w:val="Normal"/>
              <w:jc w:val="start"/>
              <w:rPr/>
            </w:pPr>
            <w:r>
              <w:rPr>
                <w:rFonts w:eastAsia="Times New Roman" w:cs="Times New Roman"/>
                <w:b w:val="false"/>
                <w:bCs w:val="false"/>
                <w:sz w:val="20"/>
                <w:szCs w:val="20"/>
              </w:rPr>
              <w:t xml:space="preserve">  </w:t>
            </w:r>
            <w:r>
              <w:rPr>
                <w:rFonts w:eastAsia="Times New Roman" w:cs="Times New Roman"/>
                <w:b w:val="false"/>
                <w:bCs w:val="false"/>
                <w:sz w:val="20"/>
                <w:szCs w:val="20"/>
              </w:rPr>
              <w:t>No change</w:t>
            </w:r>
          </w:p>
        </w:tc>
        <w:tc>
          <w:tcPr>
            <w:tcW w:w="2080" w:type="dxa"/>
            <w:tcBorders>
              <w:top w:val="single" w:sz="4" w:space="0" w:color="AAAAAA"/>
              <w:start w:val="single" w:sz="4" w:space="0" w:color="AAAAAA"/>
              <w:bottom w:val="single" w:sz="4" w:space="0" w:color="AAAAAA"/>
              <w:end w:val="single" w:sz="4" w:space="0" w:color="AAAAAA"/>
            </w:tcBorders>
            <w:shd w:fill="EBF3FB" w:val="clear"/>
          </w:tcPr>
          <w:p>
            <w:pPr>
              <w:pStyle w:val="Normal"/>
              <w:jc w:val="center"/>
              <w:rPr/>
            </w:pPr>
            <w:r>
              <w:rPr>
                <w:rFonts w:eastAsia="Times New Roman" w:cs="Times New Roman"/>
                <w:b w:val="false"/>
                <w:bCs w:val="false"/>
                <w:sz w:val="20"/>
                <w:szCs w:val="20"/>
              </w:rPr>
              <w:t>3</w:t>
            </w:r>
          </w:p>
        </w:tc>
        <w:tc>
          <w:tcPr>
            <w:tcW w:w="2080" w:type="dxa"/>
            <w:tcBorders>
              <w:top w:val="single" w:sz="4" w:space="0" w:color="AAAAAA"/>
              <w:start w:val="single" w:sz="4" w:space="0" w:color="AAAAAA"/>
              <w:bottom w:val="single" w:sz="4" w:space="0" w:color="AAAAAA"/>
              <w:end w:val="single" w:sz="4" w:space="0" w:color="AAAAAA"/>
            </w:tcBorders>
            <w:shd w:fill="EBF3FB" w:val="clear"/>
          </w:tcPr>
          <w:p>
            <w:pPr>
              <w:pStyle w:val="Normal"/>
              <w:jc w:val="center"/>
              <w:rPr/>
            </w:pPr>
            <w:r>
              <w:rPr>
                <w:rFonts w:eastAsia="Times New Roman" w:cs="Times New Roman"/>
                <w:b w:val="false"/>
                <w:bCs w:val="false"/>
                <w:sz w:val="20"/>
                <w:szCs w:val="20"/>
              </w:rPr>
              <w:t>5.5</w:t>
            </w:r>
          </w:p>
        </w:tc>
      </w:tr>
      <w:tr>
        <w:trPr/>
        <w:tc>
          <w:tcPr>
            <w:tcW w:w="5200" w:type="dxa"/>
            <w:tcBorders>
              <w:top w:val="single" w:sz="4" w:space="0" w:color="AAAAAA"/>
              <w:start w:val="single" w:sz="4" w:space="0" w:color="AAAAAA"/>
              <w:bottom w:val="single" w:sz="4" w:space="0" w:color="AAAAAA"/>
              <w:end w:val="single" w:sz="4" w:space="0" w:color="AAAAAA"/>
            </w:tcBorders>
            <w:shd w:fill="FFFFFF" w:val="clear"/>
          </w:tcPr>
          <w:p>
            <w:pPr>
              <w:pStyle w:val="Normal"/>
              <w:jc w:val="start"/>
              <w:rPr/>
            </w:pPr>
            <w:r>
              <w:rPr>
                <w:rFonts w:eastAsia="Times New Roman" w:cs="Times New Roman"/>
                <w:b w:val="false"/>
                <w:bCs w:val="false"/>
                <w:sz w:val="20"/>
                <w:szCs w:val="20"/>
              </w:rPr>
              <w:t xml:space="preserve">  </w:t>
            </w:r>
            <w:r>
              <w:rPr>
                <w:rFonts w:eastAsia="Times New Roman" w:cs="Times New Roman"/>
                <w:b w:val="false"/>
                <w:bCs w:val="false"/>
                <w:sz w:val="20"/>
                <w:szCs w:val="20"/>
              </w:rPr>
              <w:t>Relapsed to prior use</w:t>
            </w:r>
          </w:p>
        </w:tc>
        <w:tc>
          <w:tcPr>
            <w:tcW w:w="2080" w:type="dxa"/>
            <w:tcBorders>
              <w:top w:val="single" w:sz="4" w:space="0" w:color="AAAAAA"/>
              <w:start w:val="single" w:sz="4" w:space="0" w:color="AAAAAA"/>
              <w:bottom w:val="single" w:sz="4" w:space="0" w:color="AAAAAA"/>
              <w:end w:val="single" w:sz="4" w:space="0" w:color="AAAAAA"/>
            </w:tcBorders>
            <w:shd w:fill="FFFFFF" w:val="clear"/>
          </w:tcPr>
          <w:p>
            <w:pPr>
              <w:pStyle w:val="Normal"/>
              <w:jc w:val="center"/>
              <w:rPr/>
            </w:pPr>
            <w:r>
              <w:rPr>
                <w:rFonts w:eastAsia="Times New Roman" w:cs="Times New Roman"/>
                <w:b w:val="false"/>
                <w:bCs w:val="false"/>
                <w:sz w:val="20"/>
                <w:szCs w:val="20"/>
              </w:rPr>
              <w:t>4</w:t>
            </w:r>
          </w:p>
        </w:tc>
        <w:tc>
          <w:tcPr>
            <w:tcW w:w="2080" w:type="dxa"/>
            <w:tcBorders>
              <w:top w:val="single" w:sz="4" w:space="0" w:color="AAAAAA"/>
              <w:start w:val="single" w:sz="4" w:space="0" w:color="AAAAAA"/>
              <w:bottom w:val="single" w:sz="4" w:space="0" w:color="AAAAAA"/>
              <w:end w:val="single" w:sz="4" w:space="0" w:color="AAAAAA"/>
            </w:tcBorders>
            <w:shd w:fill="FFFFFF" w:val="clear"/>
          </w:tcPr>
          <w:p>
            <w:pPr>
              <w:pStyle w:val="Normal"/>
              <w:jc w:val="center"/>
              <w:rPr/>
            </w:pPr>
            <w:r>
              <w:rPr>
                <w:rFonts w:eastAsia="Times New Roman" w:cs="Times New Roman"/>
                <w:b w:val="false"/>
                <w:bCs w:val="false"/>
                <w:sz w:val="20"/>
                <w:szCs w:val="20"/>
              </w:rPr>
              <w:t>7.3</w:t>
            </w:r>
          </w:p>
        </w:tc>
      </w:tr>
      <w:tr>
        <w:trPr/>
        <w:tc>
          <w:tcPr>
            <w:tcW w:w="5200" w:type="dxa"/>
            <w:tcBorders>
              <w:top w:val="single" w:sz="4" w:space="0" w:color="AAAAAA"/>
              <w:start w:val="single" w:sz="4" w:space="0" w:color="AAAAAA"/>
              <w:bottom w:val="single" w:sz="4" w:space="0" w:color="AAAAAA"/>
              <w:end w:val="single" w:sz="4" w:space="0" w:color="AAAAAA"/>
            </w:tcBorders>
            <w:shd w:fill="EBF3FB" w:val="clear"/>
          </w:tcPr>
          <w:p>
            <w:pPr>
              <w:pStyle w:val="Normal"/>
              <w:jc w:val="start"/>
              <w:rPr/>
            </w:pPr>
            <w:r>
              <w:rPr>
                <w:rFonts w:eastAsia="Times New Roman" w:cs="Times New Roman"/>
                <w:b w:val="false"/>
                <w:bCs w:val="false"/>
                <w:sz w:val="20"/>
                <w:szCs w:val="20"/>
              </w:rPr>
              <w:t xml:space="preserve">  </w:t>
            </w:r>
            <w:r>
              <w:rPr>
                <w:rFonts w:eastAsia="Times New Roman" w:cs="Times New Roman"/>
                <w:b w:val="false"/>
                <w:bCs w:val="false"/>
                <w:sz w:val="20"/>
                <w:szCs w:val="20"/>
              </w:rPr>
              <w:t>Any improvement (cessation + reduction combined)</w:t>
            </w:r>
          </w:p>
        </w:tc>
        <w:tc>
          <w:tcPr>
            <w:tcW w:w="2080" w:type="dxa"/>
            <w:tcBorders>
              <w:top w:val="single" w:sz="4" w:space="0" w:color="AAAAAA"/>
              <w:start w:val="single" w:sz="4" w:space="0" w:color="AAAAAA"/>
              <w:bottom w:val="single" w:sz="4" w:space="0" w:color="AAAAAA"/>
              <w:end w:val="single" w:sz="4" w:space="0" w:color="AAAAAA"/>
            </w:tcBorders>
            <w:shd w:fill="EBF3FB" w:val="clear"/>
          </w:tcPr>
          <w:p>
            <w:pPr>
              <w:pStyle w:val="Normal"/>
              <w:jc w:val="center"/>
              <w:rPr/>
            </w:pPr>
            <w:r>
              <w:rPr>
                <w:rFonts w:eastAsia="Times New Roman" w:cs="Times New Roman"/>
                <w:b w:val="false"/>
                <w:bCs w:val="false"/>
                <w:sz w:val="20"/>
                <w:szCs w:val="20"/>
              </w:rPr>
              <w:t>48</w:t>
            </w:r>
          </w:p>
        </w:tc>
        <w:tc>
          <w:tcPr>
            <w:tcW w:w="2080" w:type="dxa"/>
            <w:tcBorders>
              <w:top w:val="single" w:sz="4" w:space="0" w:color="AAAAAA"/>
              <w:start w:val="single" w:sz="4" w:space="0" w:color="AAAAAA"/>
              <w:bottom w:val="single" w:sz="4" w:space="0" w:color="AAAAAA"/>
              <w:end w:val="single" w:sz="4" w:space="0" w:color="AAAAAA"/>
            </w:tcBorders>
            <w:shd w:fill="EBF3FB" w:val="clear"/>
          </w:tcPr>
          <w:p>
            <w:pPr>
              <w:pStyle w:val="Normal"/>
              <w:jc w:val="center"/>
              <w:rPr/>
            </w:pPr>
            <w:r>
              <w:rPr>
                <w:rFonts w:eastAsia="Times New Roman" w:cs="Times New Roman"/>
                <w:b w:val="false"/>
                <w:bCs w:val="false"/>
                <w:sz w:val="20"/>
                <w:szCs w:val="20"/>
              </w:rPr>
              <w:t>87.3</w:t>
            </w:r>
          </w:p>
        </w:tc>
      </w:tr>
      <w:tr>
        <w:trPr/>
        <w:tc>
          <w:tcPr>
            <w:tcW w:w="5200" w:type="dxa"/>
            <w:tcBorders>
              <w:top w:val="single" w:sz="4" w:space="0" w:color="AAAAAA"/>
              <w:start w:val="single" w:sz="4" w:space="0" w:color="AAAAAA"/>
              <w:bottom w:val="single" w:sz="4" w:space="0" w:color="AAAAAA"/>
              <w:end w:val="single" w:sz="4" w:space="0" w:color="AAAAAA"/>
            </w:tcBorders>
            <w:shd w:fill="FFFFFF" w:val="clear"/>
          </w:tcPr>
          <w:p>
            <w:pPr>
              <w:pStyle w:val="Normal"/>
              <w:jc w:val="start"/>
              <w:rPr/>
            </w:pPr>
            <w:r>
              <w:rPr>
                <w:rFonts w:eastAsia="Times New Roman" w:cs="Times New Roman"/>
                <w:b/>
                <w:bCs/>
                <w:sz w:val="20"/>
                <w:szCs w:val="20"/>
              </w:rPr>
              <w:t>Current Status at Time of Survey (N = 55)</w:t>
            </w:r>
          </w:p>
        </w:tc>
        <w:tc>
          <w:tcPr>
            <w:tcW w:w="2080" w:type="dxa"/>
            <w:tcBorders>
              <w:top w:val="single" w:sz="4" w:space="0" w:color="AAAAAA"/>
              <w:start w:val="single" w:sz="4" w:space="0" w:color="AAAAAA"/>
              <w:bottom w:val="single" w:sz="4" w:space="0" w:color="AAAAAA"/>
              <w:end w:val="single" w:sz="4" w:space="0" w:color="AAAAAA"/>
            </w:tcBorders>
            <w:shd w:fill="FFFFFF" w:val="clear"/>
          </w:tcPr>
          <w:p>
            <w:pPr>
              <w:pStyle w:val="Normal"/>
              <w:jc w:val="start"/>
              <w:rPr/>
            </w:pPr>
            <w:r>
              <w:rPr/>
            </w:r>
          </w:p>
        </w:tc>
        <w:tc>
          <w:tcPr>
            <w:tcW w:w="2080" w:type="dxa"/>
            <w:tcBorders>
              <w:top w:val="single" w:sz="4" w:space="0" w:color="AAAAAA"/>
              <w:start w:val="single" w:sz="4" w:space="0" w:color="AAAAAA"/>
              <w:bottom w:val="single" w:sz="4" w:space="0" w:color="AAAAAA"/>
              <w:end w:val="single" w:sz="4" w:space="0" w:color="AAAAAA"/>
            </w:tcBorders>
            <w:shd w:fill="FFFFFF" w:val="clear"/>
          </w:tcPr>
          <w:p>
            <w:pPr>
              <w:pStyle w:val="Normal"/>
              <w:jc w:val="start"/>
              <w:rPr/>
            </w:pPr>
            <w:r>
              <w:rPr/>
            </w:r>
          </w:p>
        </w:tc>
      </w:tr>
      <w:tr>
        <w:trPr/>
        <w:tc>
          <w:tcPr>
            <w:tcW w:w="5200" w:type="dxa"/>
            <w:tcBorders>
              <w:top w:val="single" w:sz="4" w:space="0" w:color="AAAAAA"/>
              <w:start w:val="single" w:sz="4" w:space="0" w:color="AAAAAA"/>
              <w:bottom w:val="single" w:sz="4" w:space="0" w:color="AAAAAA"/>
              <w:end w:val="single" w:sz="4" w:space="0" w:color="AAAAAA"/>
            </w:tcBorders>
            <w:shd w:fill="EBF3FB" w:val="clear"/>
          </w:tcPr>
          <w:p>
            <w:pPr>
              <w:pStyle w:val="Normal"/>
              <w:jc w:val="start"/>
              <w:rPr/>
            </w:pPr>
            <w:r>
              <w:rPr>
                <w:rFonts w:eastAsia="Times New Roman" w:cs="Times New Roman"/>
                <w:b w:val="false"/>
                <w:bCs w:val="false"/>
                <w:sz w:val="20"/>
                <w:szCs w:val="20"/>
              </w:rPr>
              <w:t xml:space="preserve">  </w:t>
            </w:r>
            <w:r>
              <w:rPr>
                <w:rFonts w:eastAsia="Times New Roman" w:cs="Times New Roman"/>
                <w:b w:val="false"/>
                <w:bCs w:val="false"/>
                <w:sz w:val="20"/>
                <w:szCs w:val="20"/>
              </w:rPr>
              <w:t>Still using SR-17018</w:t>
            </w:r>
          </w:p>
        </w:tc>
        <w:tc>
          <w:tcPr>
            <w:tcW w:w="2080" w:type="dxa"/>
            <w:tcBorders>
              <w:top w:val="single" w:sz="4" w:space="0" w:color="AAAAAA"/>
              <w:start w:val="single" w:sz="4" w:space="0" w:color="AAAAAA"/>
              <w:bottom w:val="single" w:sz="4" w:space="0" w:color="AAAAAA"/>
              <w:end w:val="single" w:sz="4" w:space="0" w:color="AAAAAA"/>
            </w:tcBorders>
            <w:shd w:fill="EBF3FB" w:val="clear"/>
          </w:tcPr>
          <w:p>
            <w:pPr>
              <w:pStyle w:val="Normal"/>
              <w:jc w:val="center"/>
              <w:rPr/>
            </w:pPr>
            <w:r>
              <w:rPr>
                <w:rFonts w:eastAsia="Times New Roman" w:cs="Times New Roman"/>
                <w:b w:val="false"/>
                <w:bCs w:val="false"/>
                <w:sz w:val="20"/>
                <w:szCs w:val="20"/>
              </w:rPr>
              <w:t>24</w:t>
            </w:r>
          </w:p>
        </w:tc>
        <w:tc>
          <w:tcPr>
            <w:tcW w:w="2080" w:type="dxa"/>
            <w:tcBorders>
              <w:top w:val="single" w:sz="4" w:space="0" w:color="AAAAAA"/>
              <w:start w:val="single" w:sz="4" w:space="0" w:color="AAAAAA"/>
              <w:bottom w:val="single" w:sz="4" w:space="0" w:color="AAAAAA"/>
              <w:end w:val="single" w:sz="4" w:space="0" w:color="AAAAAA"/>
            </w:tcBorders>
            <w:shd w:fill="EBF3FB" w:val="clear"/>
          </w:tcPr>
          <w:p>
            <w:pPr>
              <w:pStyle w:val="Normal"/>
              <w:jc w:val="center"/>
              <w:rPr/>
            </w:pPr>
            <w:r>
              <w:rPr>
                <w:rFonts w:eastAsia="Times New Roman" w:cs="Times New Roman"/>
                <w:b w:val="false"/>
                <w:bCs w:val="false"/>
                <w:sz w:val="20"/>
                <w:szCs w:val="20"/>
              </w:rPr>
              <w:t>43.6</w:t>
            </w:r>
          </w:p>
        </w:tc>
      </w:tr>
      <w:tr>
        <w:trPr/>
        <w:tc>
          <w:tcPr>
            <w:tcW w:w="5200" w:type="dxa"/>
            <w:tcBorders>
              <w:top w:val="single" w:sz="4" w:space="0" w:color="AAAAAA"/>
              <w:start w:val="single" w:sz="4" w:space="0" w:color="AAAAAA"/>
              <w:bottom w:val="single" w:sz="4" w:space="0" w:color="AAAAAA"/>
              <w:end w:val="single" w:sz="4" w:space="0" w:color="AAAAAA"/>
            </w:tcBorders>
            <w:shd w:fill="FFFFFF" w:val="clear"/>
          </w:tcPr>
          <w:p>
            <w:pPr>
              <w:pStyle w:val="Normal"/>
              <w:jc w:val="start"/>
              <w:rPr/>
            </w:pPr>
            <w:r>
              <w:rPr>
                <w:rFonts w:eastAsia="Times New Roman" w:cs="Times New Roman"/>
                <w:b w:val="false"/>
                <w:bCs w:val="false"/>
                <w:sz w:val="20"/>
                <w:szCs w:val="20"/>
              </w:rPr>
              <w:t xml:space="preserve">  </w:t>
            </w:r>
            <w:r>
              <w:rPr>
                <w:rFonts w:eastAsia="Times New Roman" w:cs="Times New Roman"/>
                <w:b w:val="false"/>
                <w:bCs w:val="false"/>
                <w:sz w:val="20"/>
                <w:szCs w:val="20"/>
              </w:rPr>
              <w:t>Off all substances</w:t>
            </w:r>
          </w:p>
        </w:tc>
        <w:tc>
          <w:tcPr>
            <w:tcW w:w="2080" w:type="dxa"/>
            <w:tcBorders>
              <w:top w:val="single" w:sz="4" w:space="0" w:color="AAAAAA"/>
              <w:start w:val="single" w:sz="4" w:space="0" w:color="AAAAAA"/>
              <w:bottom w:val="single" w:sz="4" w:space="0" w:color="AAAAAA"/>
              <w:end w:val="single" w:sz="4" w:space="0" w:color="AAAAAA"/>
            </w:tcBorders>
            <w:shd w:fill="FFFFFF" w:val="clear"/>
          </w:tcPr>
          <w:p>
            <w:pPr>
              <w:pStyle w:val="Normal"/>
              <w:jc w:val="center"/>
              <w:rPr/>
            </w:pPr>
            <w:r>
              <w:rPr>
                <w:rFonts w:eastAsia="Times New Roman" w:cs="Times New Roman"/>
                <w:b w:val="false"/>
                <w:bCs w:val="false"/>
                <w:sz w:val="20"/>
                <w:szCs w:val="20"/>
              </w:rPr>
              <w:t>19</w:t>
            </w:r>
          </w:p>
        </w:tc>
        <w:tc>
          <w:tcPr>
            <w:tcW w:w="2080" w:type="dxa"/>
            <w:tcBorders>
              <w:top w:val="single" w:sz="4" w:space="0" w:color="AAAAAA"/>
              <w:start w:val="single" w:sz="4" w:space="0" w:color="AAAAAA"/>
              <w:bottom w:val="single" w:sz="4" w:space="0" w:color="AAAAAA"/>
              <w:end w:val="single" w:sz="4" w:space="0" w:color="AAAAAA"/>
            </w:tcBorders>
            <w:shd w:fill="FFFFFF" w:val="clear"/>
          </w:tcPr>
          <w:p>
            <w:pPr>
              <w:pStyle w:val="Normal"/>
              <w:jc w:val="center"/>
              <w:rPr/>
            </w:pPr>
            <w:r>
              <w:rPr>
                <w:rFonts w:eastAsia="Times New Roman" w:cs="Times New Roman"/>
                <w:b w:val="false"/>
                <w:bCs w:val="false"/>
                <w:sz w:val="20"/>
                <w:szCs w:val="20"/>
              </w:rPr>
              <w:t>34.5</w:t>
            </w:r>
          </w:p>
        </w:tc>
      </w:tr>
      <w:tr>
        <w:trPr/>
        <w:tc>
          <w:tcPr>
            <w:tcW w:w="5200" w:type="dxa"/>
            <w:tcBorders>
              <w:top w:val="single" w:sz="4" w:space="0" w:color="AAAAAA"/>
              <w:start w:val="single" w:sz="4" w:space="0" w:color="AAAAAA"/>
              <w:bottom w:val="single" w:sz="4" w:space="0" w:color="AAAAAA"/>
              <w:end w:val="single" w:sz="4" w:space="0" w:color="AAAAAA"/>
            </w:tcBorders>
            <w:shd w:fill="EBF3FB" w:val="clear"/>
          </w:tcPr>
          <w:p>
            <w:pPr>
              <w:pStyle w:val="Normal"/>
              <w:jc w:val="start"/>
              <w:rPr/>
            </w:pPr>
            <w:r>
              <w:rPr>
                <w:rFonts w:eastAsia="Times New Roman" w:cs="Times New Roman"/>
                <w:b w:val="false"/>
                <w:bCs w:val="false"/>
                <w:sz w:val="20"/>
                <w:szCs w:val="20"/>
              </w:rPr>
              <w:t xml:space="preserve">  </w:t>
            </w:r>
            <w:r>
              <w:rPr>
                <w:rFonts w:eastAsia="Times New Roman" w:cs="Times New Roman"/>
                <w:b w:val="false"/>
                <w:bCs w:val="false"/>
                <w:sz w:val="20"/>
                <w:szCs w:val="20"/>
              </w:rPr>
              <w:t>Back on prior substance</w:t>
            </w:r>
          </w:p>
        </w:tc>
        <w:tc>
          <w:tcPr>
            <w:tcW w:w="2080" w:type="dxa"/>
            <w:tcBorders>
              <w:top w:val="single" w:sz="4" w:space="0" w:color="AAAAAA"/>
              <w:start w:val="single" w:sz="4" w:space="0" w:color="AAAAAA"/>
              <w:bottom w:val="single" w:sz="4" w:space="0" w:color="AAAAAA"/>
              <w:end w:val="single" w:sz="4" w:space="0" w:color="AAAAAA"/>
            </w:tcBorders>
            <w:shd w:fill="EBF3FB" w:val="clear"/>
          </w:tcPr>
          <w:p>
            <w:pPr>
              <w:pStyle w:val="Normal"/>
              <w:jc w:val="center"/>
              <w:rPr/>
            </w:pPr>
            <w:r>
              <w:rPr>
                <w:rFonts w:eastAsia="Times New Roman" w:cs="Times New Roman"/>
                <w:b w:val="false"/>
                <w:bCs w:val="false"/>
                <w:sz w:val="20"/>
                <w:szCs w:val="20"/>
              </w:rPr>
              <w:t>7</w:t>
            </w:r>
          </w:p>
        </w:tc>
        <w:tc>
          <w:tcPr>
            <w:tcW w:w="2080" w:type="dxa"/>
            <w:tcBorders>
              <w:top w:val="single" w:sz="4" w:space="0" w:color="AAAAAA"/>
              <w:start w:val="single" w:sz="4" w:space="0" w:color="AAAAAA"/>
              <w:bottom w:val="single" w:sz="4" w:space="0" w:color="AAAAAA"/>
              <w:end w:val="single" w:sz="4" w:space="0" w:color="AAAAAA"/>
            </w:tcBorders>
            <w:shd w:fill="EBF3FB" w:val="clear"/>
          </w:tcPr>
          <w:p>
            <w:pPr>
              <w:pStyle w:val="Normal"/>
              <w:jc w:val="center"/>
              <w:rPr/>
            </w:pPr>
            <w:r>
              <w:rPr>
                <w:rFonts w:eastAsia="Times New Roman" w:cs="Times New Roman"/>
                <w:b w:val="false"/>
                <w:bCs w:val="false"/>
                <w:sz w:val="20"/>
                <w:szCs w:val="20"/>
              </w:rPr>
              <w:t>12.7</w:t>
            </w:r>
          </w:p>
        </w:tc>
      </w:tr>
      <w:tr>
        <w:trPr/>
        <w:tc>
          <w:tcPr>
            <w:tcW w:w="5200" w:type="dxa"/>
            <w:tcBorders>
              <w:top w:val="single" w:sz="4" w:space="0" w:color="AAAAAA"/>
              <w:start w:val="single" w:sz="4" w:space="0" w:color="AAAAAA"/>
              <w:bottom w:val="single" w:sz="4" w:space="0" w:color="AAAAAA"/>
              <w:end w:val="single" w:sz="4" w:space="0" w:color="AAAAAA"/>
            </w:tcBorders>
            <w:shd w:fill="FFFFFF" w:val="clear"/>
          </w:tcPr>
          <w:p>
            <w:pPr>
              <w:pStyle w:val="Normal"/>
              <w:jc w:val="start"/>
              <w:rPr/>
            </w:pPr>
            <w:r>
              <w:rPr>
                <w:rFonts w:eastAsia="Times New Roman" w:cs="Times New Roman"/>
                <w:b w:val="false"/>
                <w:bCs w:val="false"/>
                <w:sz w:val="20"/>
                <w:szCs w:val="20"/>
              </w:rPr>
              <w:t xml:space="preserve">  </w:t>
            </w:r>
            <w:r>
              <w:rPr>
                <w:rFonts w:eastAsia="Times New Roman" w:cs="Times New Roman"/>
                <w:b w:val="false"/>
                <w:bCs w:val="false"/>
                <w:sz w:val="20"/>
                <w:szCs w:val="20"/>
              </w:rPr>
              <w:t>Other</w:t>
            </w:r>
          </w:p>
        </w:tc>
        <w:tc>
          <w:tcPr>
            <w:tcW w:w="2080" w:type="dxa"/>
            <w:tcBorders>
              <w:top w:val="single" w:sz="4" w:space="0" w:color="AAAAAA"/>
              <w:start w:val="single" w:sz="4" w:space="0" w:color="AAAAAA"/>
              <w:bottom w:val="single" w:sz="4" w:space="0" w:color="AAAAAA"/>
              <w:end w:val="single" w:sz="4" w:space="0" w:color="AAAAAA"/>
            </w:tcBorders>
            <w:shd w:fill="FFFFFF" w:val="clear"/>
          </w:tcPr>
          <w:p>
            <w:pPr>
              <w:pStyle w:val="Normal"/>
              <w:jc w:val="center"/>
              <w:rPr/>
            </w:pPr>
            <w:r>
              <w:rPr>
                <w:rFonts w:eastAsia="Times New Roman" w:cs="Times New Roman"/>
                <w:b w:val="false"/>
                <w:bCs w:val="false"/>
                <w:sz w:val="20"/>
                <w:szCs w:val="20"/>
              </w:rPr>
              <w:t>5</w:t>
            </w:r>
          </w:p>
        </w:tc>
        <w:tc>
          <w:tcPr>
            <w:tcW w:w="2080" w:type="dxa"/>
            <w:tcBorders>
              <w:top w:val="single" w:sz="4" w:space="0" w:color="AAAAAA"/>
              <w:start w:val="single" w:sz="4" w:space="0" w:color="AAAAAA"/>
              <w:bottom w:val="single" w:sz="4" w:space="0" w:color="AAAAAA"/>
              <w:end w:val="single" w:sz="4" w:space="0" w:color="AAAAAA"/>
            </w:tcBorders>
            <w:shd w:fill="FFFFFF" w:val="clear"/>
          </w:tcPr>
          <w:p>
            <w:pPr>
              <w:pStyle w:val="Normal"/>
              <w:jc w:val="center"/>
              <w:rPr/>
            </w:pPr>
            <w:r>
              <w:rPr>
                <w:rFonts w:eastAsia="Times New Roman" w:cs="Times New Roman"/>
                <w:b w:val="false"/>
                <w:bCs w:val="false"/>
                <w:sz w:val="20"/>
                <w:szCs w:val="20"/>
              </w:rPr>
              <w:t>9.1</w:t>
            </w:r>
          </w:p>
        </w:tc>
      </w:tr>
      <w:tr>
        <w:trPr/>
        <w:tc>
          <w:tcPr>
            <w:tcW w:w="5200" w:type="dxa"/>
            <w:tcBorders>
              <w:top w:val="single" w:sz="4" w:space="0" w:color="AAAAAA"/>
              <w:start w:val="single" w:sz="4" w:space="0" w:color="AAAAAA"/>
              <w:bottom w:val="single" w:sz="4" w:space="0" w:color="AAAAAA"/>
              <w:end w:val="single" w:sz="4" w:space="0" w:color="AAAAAA"/>
            </w:tcBorders>
            <w:shd w:fill="FFFFFF" w:val="clear"/>
          </w:tcPr>
          <w:p>
            <w:pPr>
              <w:pStyle w:val="Normal"/>
              <w:jc w:val="start"/>
              <w:rPr/>
            </w:pPr>
            <w:r>
              <w:rPr>
                <w:rFonts w:eastAsia="Times New Roman" w:cs="Times New Roman"/>
                <w:b/>
                <w:bCs/>
                <w:sz w:val="20"/>
                <w:szCs w:val="20"/>
              </w:rPr>
              <w:t>Withdrawal Relief Score (N = 55, scale 1–10)</w:t>
            </w:r>
          </w:p>
        </w:tc>
        <w:tc>
          <w:tcPr>
            <w:tcW w:w="2080" w:type="dxa"/>
            <w:tcBorders>
              <w:top w:val="single" w:sz="4" w:space="0" w:color="AAAAAA"/>
              <w:start w:val="single" w:sz="4" w:space="0" w:color="AAAAAA"/>
              <w:bottom w:val="single" w:sz="4" w:space="0" w:color="AAAAAA"/>
              <w:end w:val="single" w:sz="4" w:space="0" w:color="AAAAAA"/>
            </w:tcBorders>
            <w:shd w:fill="FFFFFF" w:val="clear"/>
          </w:tcPr>
          <w:p>
            <w:pPr>
              <w:pStyle w:val="Normal"/>
              <w:jc w:val="start"/>
              <w:rPr/>
            </w:pPr>
            <w:r>
              <w:rPr/>
            </w:r>
          </w:p>
        </w:tc>
        <w:tc>
          <w:tcPr>
            <w:tcW w:w="2080" w:type="dxa"/>
            <w:tcBorders>
              <w:top w:val="single" w:sz="4" w:space="0" w:color="AAAAAA"/>
              <w:start w:val="single" w:sz="4" w:space="0" w:color="AAAAAA"/>
              <w:bottom w:val="single" w:sz="4" w:space="0" w:color="AAAAAA"/>
              <w:end w:val="single" w:sz="4" w:space="0" w:color="AAAAAA"/>
            </w:tcBorders>
            <w:shd w:fill="FFFFFF" w:val="clear"/>
          </w:tcPr>
          <w:p>
            <w:pPr>
              <w:pStyle w:val="Normal"/>
              <w:jc w:val="start"/>
              <w:rPr/>
            </w:pPr>
            <w:r>
              <w:rPr/>
            </w:r>
          </w:p>
        </w:tc>
      </w:tr>
      <w:tr>
        <w:trPr/>
        <w:tc>
          <w:tcPr>
            <w:tcW w:w="5200" w:type="dxa"/>
            <w:tcBorders>
              <w:top w:val="single" w:sz="4" w:space="0" w:color="AAAAAA"/>
              <w:start w:val="single" w:sz="4" w:space="0" w:color="AAAAAA"/>
              <w:bottom w:val="single" w:sz="4" w:space="0" w:color="AAAAAA"/>
              <w:end w:val="single" w:sz="4" w:space="0" w:color="AAAAAA"/>
            </w:tcBorders>
            <w:shd w:fill="EBF3FB" w:val="clear"/>
          </w:tcPr>
          <w:p>
            <w:pPr>
              <w:pStyle w:val="Normal"/>
              <w:jc w:val="start"/>
              <w:rPr/>
            </w:pPr>
            <w:r>
              <w:rPr>
                <w:rFonts w:eastAsia="Times New Roman" w:cs="Times New Roman"/>
                <w:b w:val="false"/>
                <w:bCs w:val="false"/>
                <w:sz w:val="20"/>
                <w:szCs w:val="20"/>
              </w:rPr>
              <w:t xml:space="preserve">  </w:t>
            </w:r>
            <w:r>
              <w:rPr>
                <w:rFonts w:eastAsia="Times New Roman" w:cs="Times New Roman"/>
                <w:b w:val="false"/>
                <w:bCs w:val="false"/>
                <w:sz w:val="20"/>
                <w:szCs w:val="20"/>
              </w:rPr>
              <w:t>Mean score</w:t>
            </w:r>
          </w:p>
        </w:tc>
        <w:tc>
          <w:tcPr>
            <w:tcW w:w="2080" w:type="dxa"/>
            <w:tcBorders>
              <w:top w:val="single" w:sz="4" w:space="0" w:color="AAAAAA"/>
              <w:start w:val="single" w:sz="4" w:space="0" w:color="AAAAAA"/>
              <w:bottom w:val="single" w:sz="4" w:space="0" w:color="AAAAAA"/>
              <w:end w:val="single" w:sz="4" w:space="0" w:color="AAAAAA"/>
            </w:tcBorders>
            <w:shd w:fill="EBF3FB" w:val="clear"/>
          </w:tcPr>
          <w:p>
            <w:pPr>
              <w:pStyle w:val="Normal"/>
              <w:jc w:val="center"/>
              <w:rPr/>
            </w:pPr>
            <w:r>
              <w:rPr>
                <w:rFonts w:eastAsia="Times New Roman" w:cs="Times New Roman"/>
                <w:b w:val="false"/>
                <w:bCs w:val="false"/>
                <w:sz w:val="20"/>
                <w:szCs w:val="20"/>
              </w:rPr>
              <w:t>8.20</w:t>
            </w:r>
          </w:p>
        </w:tc>
        <w:tc>
          <w:tcPr>
            <w:tcW w:w="2080" w:type="dxa"/>
            <w:tcBorders>
              <w:top w:val="single" w:sz="4" w:space="0" w:color="AAAAAA"/>
              <w:start w:val="single" w:sz="4" w:space="0" w:color="AAAAAA"/>
              <w:bottom w:val="single" w:sz="4" w:space="0" w:color="AAAAAA"/>
              <w:end w:val="single" w:sz="4" w:space="0" w:color="AAAAAA"/>
            </w:tcBorders>
            <w:shd w:fill="EBF3FB" w:val="clear"/>
          </w:tcPr>
          <w:p>
            <w:pPr>
              <w:pStyle w:val="Normal"/>
              <w:jc w:val="center"/>
              <w:rPr/>
            </w:pPr>
            <w:r>
              <w:rPr>
                <w:rFonts w:eastAsia="Times New Roman" w:cs="Times New Roman"/>
                <w:b w:val="false"/>
                <w:bCs w:val="false"/>
                <w:sz w:val="20"/>
                <w:szCs w:val="20"/>
              </w:rPr>
              <w:t>—</w:t>
            </w:r>
          </w:p>
        </w:tc>
      </w:tr>
      <w:tr>
        <w:trPr/>
        <w:tc>
          <w:tcPr>
            <w:tcW w:w="5200" w:type="dxa"/>
            <w:tcBorders>
              <w:top w:val="single" w:sz="4" w:space="0" w:color="AAAAAA"/>
              <w:start w:val="single" w:sz="4" w:space="0" w:color="AAAAAA"/>
              <w:bottom w:val="single" w:sz="4" w:space="0" w:color="AAAAAA"/>
              <w:end w:val="single" w:sz="4" w:space="0" w:color="AAAAAA"/>
            </w:tcBorders>
            <w:shd w:fill="FFFFFF" w:val="clear"/>
          </w:tcPr>
          <w:p>
            <w:pPr>
              <w:pStyle w:val="Normal"/>
              <w:jc w:val="start"/>
              <w:rPr/>
            </w:pPr>
            <w:r>
              <w:rPr>
                <w:rFonts w:eastAsia="Times New Roman" w:cs="Times New Roman"/>
                <w:b w:val="false"/>
                <w:bCs w:val="false"/>
                <w:sz w:val="20"/>
                <w:szCs w:val="20"/>
              </w:rPr>
              <w:t xml:space="preserve">  </w:t>
            </w:r>
            <w:r>
              <w:rPr>
                <w:rFonts w:eastAsia="Times New Roman" w:cs="Times New Roman"/>
                <w:b w:val="false"/>
                <w:bCs w:val="false"/>
                <w:sz w:val="20"/>
                <w:szCs w:val="20"/>
              </w:rPr>
              <w:t>Score 7–10 (high relief)</w:t>
            </w:r>
          </w:p>
        </w:tc>
        <w:tc>
          <w:tcPr>
            <w:tcW w:w="2080" w:type="dxa"/>
            <w:tcBorders>
              <w:top w:val="single" w:sz="4" w:space="0" w:color="AAAAAA"/>
              <w:start w:val="single" w:sz="4" w:space="0" w:color="AAAAAA"/>
              <w:bottom w:val="single" w:sz="4" w:space="0" w:color="AAAAAA"/>
              <w:end w:val="single" w:sz="4" w:space="0" w:color="AAAAAA"/>
            </w:tcBorders>
            <w:shd w:fill="FFFFFF" w:val="clear"/>
          </w:tcPr>
          <w:p>
            <w:pPr>
              <w:pStyle w:val="Normal"/>
              <w:jc w:val="center"/>
              <w:rPr/>
            </w:pPr>
            <w:r>
              <w:rPr>
                <w:rFonts w:eastAsia="Times New Roman" w:cs="Times New Roman"/>
                <w:b w:val="false"/>
                <w:bCs w:val="false"/>
                <w:sz w:val="20"/>
                <w:szCs w:val="20"/>
              </w:rPr>
              <w:t>50</w:t>
            </w:r>
          </w:p>
        </w:tc>
        <w:tc>
          <w:tcPr>
            <w:tcW w:w="2080" w:type="dxa"/>
            <w:tcBorders>
              <w:top w:val="single" w:sz="4" w:space="0" w:color="AAAAAA"/>
              <w:start w:val="single" w:sz="4" w:space="0" w:color="AAAAAA"/>
              <w:bottom w:val="single" w:sz="4" w:space="0" w:color="AAAAAA"/>
              <w:end w:val="single" w:sz="4" w:space="0" w:color="AAAAAA"/>
            </w:tcBorders>
            <w:shd w:fill="FFFFFF" w:val="clear"/>
          </w:tcPr>
          <w:p>
            <w:pPr>
              <w:pStyle w:val="Normal"/>
              <w:jc w:val="center"/>
              <w:rPr/>
            </w:pPr>
            <w:r>
              <w:rPr>
                <w:rFonts w:eastAsia="Times New Roman" w:cs="Times New Roman"/>
                <w:b w:val="false"/>
                <w:bCs w:val="false"/>
                <w:sz w:val="20"/>
                <w:szCs w:val="20"/>
              </w:rPr>
              <w:t>90.9</w:t>
            </w:r>
          </w:p>
        </w:tc>
      </w:tr>
      <w:tr>
        <w:trPr/>
        <w:tc>
          <w:tcPr>
            <w:tcW w:w="5200" w:type="dxa"/>
            <w:tcBorders>
              <w:top w:val="single" w:sz="4" w:space="0" w:color="AAAAAA"/>
              <w:start w:val="single" w:sz="4" w:space="0" w:color="AAAAAA"/>
              <w:bottom w:val="single" w:sz="4" w:space="0" w:color="AAAAAA"/>
              <w:end w:val="single" w:sz="4" w:space="0" w:color="AAAAAA"/>
            </w:tcBorders>
            <w:shd w:fill="EBF3FB" w:val="clear"/>
          </w:tcPr>
          <w:p>
            <w:pPr>
              <w:pStyle w:val="Normal"/>
              <w:jc w:val="start"/>
              <w:rPr/>
            </w:pPr>
            <w:r>
              <w:rPr>
                <w:rFonts w:eastAsia="Times New Roman" w:cs="Times New Roman"/>
                <w:b w:val="false"/>
                <w:bCs w:val="false"/>
                <w:sz w:val="20"/>
                <w:szCs w:val="20"/>
              </w:rPr>
              <w:t xml:space="preserve">  </w:t>
            </w:r>
            <w:r>
              <w:rPr>
                <w:rFonts w:eastAsia="Times New Roman" w:cs="Times New Roman"/>
                <w:b w:val="false"/>
                <w:bCs w:val="false"/>
                <w:sz w:val="20"/>
                <w:szCs w:val="20"/>
              </w:rPr>
              <w:t>Score 10 (maximum)</w:t>
            </w:r>
          </w:p>
        </w:tc>
        <w:tc>
          <w:tcPr>
            <w:tcW w:w="2080" w:type="dxa"/>
            <w:tcBorders>
              <w:top w:val="single" w:sz="4" w:space="0" w:color="AAAAAA"/>
              <w:start w:val="single" w:sz="4" w:space="0" w:color="AAAAAA"/>
              <w:bottom w:val="single" w:sz="4" w:space="0" w:color="AAAAAA"/>
              <w:end w:val="single" w:sz="4" w:space="0" w:color="AAAAAA"/>
            </w:tcBorders>
            <w:shd w:fill="EBF3FB" w:val="clear"/>
          </w:tcPr>
          <w:p>
            <w:pPr>
              <w:pStyle w:val="Normal"/>
              <w:jc w:val="center"/>
              <w:rPr/>
            </w:pPr>
            <w:r>
              <w:rPr>
                <w:rFonts w:eastAsia="Times New Roman" w:cs="Times New Roman"/>
                <w:b w:val="false"/>
                <w:bCs w:val="false"/>
                <w:sz w:val="20"/>
                <w:szCs w:val="20"/>
              </w:rPr>
              <w:t>18</w:t>
            </w:r>
          </w:p>
        </w:tc>
        <w:tc>
          <w:tcPr>
            <w:tcW w:w="2080" w:type="dxa"/>
            <w:tcBorders>
              <w:top w:val="single" w:sz="4" w:space="0" w:color="AAAAAA"/>
              <w:start w:val="single" w:sz="4" w:space="0" w:color="AAAAAA"/>
              <w:bottom w:val="single" w:sz="4" w:space="0" w:color="AAAAAA"/>
              <w:end w:val="single" w:sz="4" w:space="0" w:color="AAAAAA"/>
            </w:tcBorders>
            <w:shd w:fill="EBF3FB" w:val="clear"/>
          </w:tcPr>
          <w:p>
            <w:pPr>
              <w:pStyle w:val="Normal"/>
              <w:jc w:val="center"/>
              <w:rPr/>
            </w:pPr>
            <w:r>
              <w:rPr>
                <w:rFonts w:eastAsia="Times New Roman" w:cs="Times New Roman"/>
                <w:b w:val="false"/>
                <w:bCs w:val="false"/>
                <w:sz w:val="20"/>
                <w:szCs w:val="20"/>
              </w:rPr>
              <w:t>32.7</w:t>
            </w:r>
          </w:p>
        </w:tc>
      </w:tr>
      <w:tr>
        <w:trPr/>
        <w:tc>
          <w:tcPr>
            <w:tcW w:w="5200" w:type="dxa"/>
            <w:tcBorders>
              <w:top w:val="single" w:sz="4" w:space="0" w:color="AAAAAA"/>
              <w:start w:val="single" w:sz="4" w:space="0" w:color="AAAAAA"/>
              <w:bottom w:val="single" w:sz="4" w:space="0" w:color="AAAAAA"/>
              <w:end w:val="single" w:sz="4" w:space="0" w:color="AAAAAA"/>
            </w:tcBorders>
            <w:shd w:fill="FFFFFF" w:val="clear"/>
          </w:tcPr>
          <w:p>
            <w:pPr>
              <w:pStyle w:val="Normal"/>
              <w:jc w:val="start"/>
              <w:rPr/>
            </w:pPr>
            <w:r>
              <w:rPr>
                <w:rFonts w:eastAsia="Times New Roman" w:cs="Times New Roman"/>
                <w:b/>
                <w:bCs/>
                <w:sz w:val="20"/>
                <w:szCs w:val="20"/>
              </w:rPr>
              <w:t>Craving Reduction Score (N = 55, scale 1–10)</w:t>
            </w:r>
          </w:p>
        </w:tc>
        <w:tc>
          <w:tcPr>
            <w:tcW w:w="2080" w:type="dxa"/>
            <w:tcBorders>
              <w:top w:val="single" w:sz="4" w:space="0" w:color="AAAAAA"/>
              <w:start w:val="single" w:sz="4" w:space="0" w:color="AAAAAA"/>
              <w:bottom w:val="single" w:sz="4" w:space="0" w:color="AAAAAA"/>
              <w:end w:val="single" w:sz="4" w:space="0" w:color="AAAAAA"/>
            </w:tcBorders>
            <w:shd w:fill="FFFFFF" w:val="clear"/>
          </w:tcPr>
          <w:p>
            <w:pPr>
              <w:pStyle w:val="Normal"/>
              <w:jc w:val="start"/>
              <w:rPr/>
            </w:pPr>
            <w:r>
              <w:rPr/>
            </w:r>
          </w:p>
        </w:tc>
        <w:tc>
          <w:tcPr>
            <w:tcW w:w="2080" w:type="dxa"/>
            <w:tcBorders>
              <w:top w:val="single" w:sz="4" w:space="0" w:color="AAAAAA"/>
              <w:start w:val="single" w:sz="4" w:space="0" w:color="AAAAAA"/>
              <w:bottom w:val="single" w:sz="4" w:space="0" w:color="AAAAAA"/>
              <w:end w:val="single" w:sz="4" w:space="0" w:color="AAAAAA"/>
            </w:tcBorders>
            <w:shd w:fill="FFFFFF" w:val="clear"/>
          </w:tcPr>
          <w:p>
            <w:pPr>
              <w:pStyle w:val="Normal"/>
              <w:jc w:val="start"/>
              <w:rPr/>
            </w:pPr>
            <w:r>
              <w:rPr/>
            </w:r>
          </w:p>
        </w:tc>
      </w:tr>
      <w:tr>
        <w:trPr/>
        <w:tc>
          <w:tcPr>
            <w:tcW w:w="5200" w:type="dxa"/>
            <w:tcBorders>
              <w:top w:val="single" w:sz="4" w:space="0" w:color="AAAAAA"/>
              <w:start w:val="single" w:sz="4" w:space="0" w:color="AAAAAA"/>
              <w:bottom w:val="single" w:sz="4" w:space="0" w:color="AAAAAA"/>
              <w:end w:val="single" w:sz="4" w:space="0" w:color="AAAAAA"/>
            </w:tcBorders>
            <w:shd w:fill="EBF3FB" w:val="clear"/>
          </w:tcPr>
          <w:p>
            <w:pPr>
              <w:pStyle w:val="Normal"/>
              <w:jc w:val="start"/>
              <w:rPr/>
            </w:pPr>
            <w:r>
              <w:rPr>
                <w:rFonts w:eastAsia="Times New Roman" w:cs="Times New Roman"/>
                <w:b w:val="false"/>
                <w:bCs w:val="false"/>
                <w:sz w:val="20"/>
                <w:szCs w:val="20"/>
              </w:rPr>
              <w:t xml:space="preserve">  </w:t>
            </w:r>
            <w:r>
              <w:rPr>
                <w:rFonts w:eastAsia="Times New Roman" w:cs="Times New Roman"/>
                <w:b w:val="false"/>
                <w:bCs w:val="false"/>
                <w:sz w:val="20"/>
                <w:szCs w:val="20"/>
              </w:rPr>
              <w:t>Mean score</w:t>
            </w:r>
          </w:p>
        </w:tc>
        <w:tc>
          <w:tcPr>
            <w:tcW w:w="2080" w:type="dxa"/>
            <w:tcBorders>
              <w:top w:val="single" w:sz="4" w:space="0" w:color="AAAAAA"/>
              <w:start w:val="single" w:sz="4" w:space="0" w:color="AAAAAA"/>
              <w:bottom w:val="single" w:sz="4" w:space="0" w:color="AAAAAA"/>
              <w:end w:val="single" w:sz="4" w:space="0" w:color="AAAAAA"/>
            </w:tcBorders>
            <w:shd w:fill="EBF3FB" w:val="clear"/>
          </w:tcPr>
          <w:p>
            <w:pPr>
              <w:pStyle w:val="Normal"/>
              <w:jc w:val="center"/>
              <w:rPr/>
            </w:pPr>
            <w:r>
              <w:rPr>
                <w:rFonts w:eastAsia="Times New Roman" w:cs="Times New Roman"/>
                <w:b w:val="false"/>
                <w:bCs w:val="false"/>
                <w:sz w:val="20"/>
                <w:szCs w:val="20"/>
              </w:rPr>
              <w:t>6.93</w:t>
            </w:r>
          </w:p>
        </w:tc>
        <w:tc>
          <w:tcPr>
            <w:tcW w:w="2080" w:type="dxa"/>
            <w:tcBorders>
              <w:top w:val="single" w:sz="4" w:space="0" w:color="AAAAAA"/>
              <w:start w:val="single" w:sz="4" w:space="0" w:color="AAAAAA"/>
              <w:bottom w:val="single" w:sz="4" w:space="0" w:color="AAAAAA"/>
              <w:end w:val="single" w:sz="4" w:space="0" w:color="AAAAAA"/>
            </w:tcBorders>
            <w:shd w:fill="EBF3FB" w:val="clear"/>
          </w:tcPr>
          <w:p>
            <w:pPr>
              <w:pStyle w:val="Normal"/>
              <w:jc w:val="center"/>
              <w:rPr/>
            </w:pPr>
            <w:r>
              <w:rPr>
                <w:rFonts w:eastAsia="Times New Roman" w:cs="Times New Roman"/>
                <w:b w:val="false"/>
                <w:bCs w:val="false"/>
                <w:sz w:val="20"/>
                <w:szCs w:val="20"/>
              </w:rPr>
              <w:t>—</w:t>
            </w:r>
          </w:p>
        </w:tc>
      </w:tr>
      <w:tr>
        <w:trPr/>
        <w:tc>
          <w:tcPr>
            <w:tcW w:w="5200" w:type="dxa"/>
            <w:tcBorders>
              <w:top w:val="single" w:sz="4" w:space="0" w:color="AAAAAA"/>
              <w:start w:val="single" w:sz="4" w:space="0" w:color="AAAAAA"/>
              <w:bottom w:val="single" w:sz="4" w:space="0" w:color="AAAAAA"/>
              <w:end w:val="single" w:sz="4" w:space="0" w:color="AAAAAA"/>
            </w:tcBorders>
            <w:shd w:fill="FFFFFF" w:val="clear"/>
          </w:tcPr>
          <w:p>
            <w:pPr>
              <w:pStyle w:val="Normal"/>
              <w:jc w:val="start"/>
              <w:rPr/>
            </w:pPr>
            <w:r>
              <w:rPr>
                <w:rFonts w:eastAsia="Times New Roman" w:cs="Times New Roman"/>
                <w:b w:val="false"/>
                <w:bCs w:val="false"/>
                <w:sz w:val="20"/>
                <w:szCs w:val="20"/>
              </w:rPr>
              <w:t xml:space="preserve">  </w:t>
            </w:r>
            <w:r>
              <w:rPr>
                <w:rFonts w:eastAsia="Times New Roman" w:cs="Times New Roman"/>
                <w:b w:val="false"/>
                <w:bCs w:val="false"/>
                <w:sz w:val="20"/>
                <w:szCs w:val="20"/>
              </w:rPr>
              <w:t>Score 7–10 (high reduction)</w:t>
            </w:r>
          </w:p>
        </w:tc>
        <w:tc>
          <w:tcPr>
            <w:tcW w:w="2080" w:type="dxa"/>
            <w:tcBorders>
              <w:top w:val="single" w:sz="4" w:space="0" w:color="AAAAAA"/>
              <w:start w:val="single" w:sz="4" w:space="0" w:color="AAAAAA"/>
              <w:bottom w:val="single" w:sz="4" w:space="0" w:color="AAAAAA"/>
              <w:end w:val="single" w:sz="4" w:space="0" w:color="AAAAAA"/>
            </w:tcBorders>
            <w:shd w:fill="FFFFFF" w:val="clear"/>
          </w:tcPr>
          <w:p>
            <w:pPr>
              <w:pStyle w:val="Normal"/>
              <w:jc w:val="center"/>
              <w:rPr/>
            </w:pPr>
            <w:r>
              <w:rPr>
                <w:rFonts w:eastAsia="Times New Roman" w:cs="Times New Roman"/>
                <w:b w:val="false"/>
                <w:bCs w:val="false"/>
                <w:sz w:val="20"/>
                <w:szCs w:val="20"/>
              </w:rPr>
              <w:t>34</w:t>
            </w:r>
          </w:p>
        </w:tc>
        <w:tc>
          <w:tcPr>
            <w:tcW w:w="2080" w:type="dxa"/>
            <w:tcBorders>
              <w:top w:val="single" w:sz="4" w:space="0" w:color="AAAAAA"/>
              <w:start w:val="single" w:sz="4" w:space="0" w:color="AAAAAA"/>
              <w:bottom w:val="single" w:sz="4" w:space="0" w:color="AAAAAA"/>
              <w:end w:val="single" w:sz="4" w:space="0" w:color="AAAAAA"/>
            </w:tcBorders>
            <w:shd w:fill="FFFFFF" w:val="clear"/>
          </w:tcPr>
          <w:p>
            <w:pPr>
              <w:pStyle w:val="Normal"/>
              <w:jc w:val="center"/>
              <w:rPr/>
            </w:pPr>
            <w:r>
              <w:rPr>
                <w:rFonts w:eastAsia="Times New Roman" w:cs="Times New Roman"/>
                <w:b w:val="false"/>
                <w:bCs w:val="false"/>
                <w:sz w:val="20"/>
                <w:szCs w:val="20"/>
              </w:rPr>
              <w:t>61.8</w:t>
            </w:r>
          </w:p>
        </w:tc>
      </w:tr>
    </w:tbl>
    <w:p>
      <w:pPr>
        <w:pStyle w:val="Normal"/>
        <w:spacing w:before="0" w:after="120"/>
        <w:rPr/>
      </w:pPr>
      <w:r>
        <w:rPr>
          <w:rFonts w:eastAsia="Times New Roman" w:cs="Times New Roman"/>
          <w:b w:val="false"/>
          <w:bCs w:val="false"/>
          <w:i/>
          <w:iCs/>
          <w:sz w:val="20"/>
          <w:szCs w:val="20"/>
        </w:rPr>
        <w:t>Note: Withdrawal relief and craving reduction scores are self-reported ratings on a 1–10 scale. Standard deviations were not calculated consistent with the descriptive nature of the registry. Current status reflects self-report at time of survey completion; longitudinal follow-up data are not available.</w:t>
      </w:r>
    </w:p>
    <w:p>
      <w:pPr>
        <w:pStyle w:val="Heading1"/>
        <w:spacing w:before="320" w:after="160"/>
        <w:rPr/>
      </w:pPr>
      <w:r>
        <w:rPr>
          <w:rFonts w:eastAsia="Arial" w:cs="Arial" w:ascii="Arial" w:hAnsi="Arial"/>
          <w:b/>
          <w:bCs/>
          <w:color w:val="1F4E79"/>
          <w:sz w:val="26"/>
          <w:szCs w:val="26"/>
        </w:rPr>
        <w:t>Figures</w:t>
      </w:r>
    </w:p>
    <w:p>
      <w:pPr>
        <w:pStyle w:val="Normal"/>
        <w:spacing w:lineRule="auto" w:line="276" w:before="0" w:after="160"/>
        <w:rPr>
          <w:rFonts w:ascii="Times New Roman" w:hAnsi="Times New Roman" w:eastAsia="Times New Roman" w:cs="Times New Roman"/>
          <w:b w:val="false"/>
          <w:bCs w:val="false"/>
          <w:i/>
          <w:iCs/>
          <w:sz w:val="20"/>
          <w:szCs w:val="20"/>
        </w:rPr>
      </w:pPr>
      <w:r>
        <w:rPr/>
        <w:drawing>
          <wp:anchor distT="0" distB="0" distL="0" distR="0" simplePos="0" relativeHeight="21" behindDoc="0" locked="0" layoutInCell="0" allowOverlap="1">
            <wp:simplePos x="0" y="0"/>
            <wp:positionH relativeFrom="column">
              <wp:align>center</wp:align>
            </wp:positionH>
            <wp:positionV relativeFrom="paragraph">
              <wp:posOffset>635</wp:posOffset>
            </wp:positionV>
            <wp:extent cx="5943600" cy="4154170"/>
            <wp:effectExtent l="0" t="0" r="0" b="0"/>
            <wp:wrapSquare wrapText="largest"/>
            <wp:docPr id="1" name="Imag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2"/>
                    <pic:cNvPicPr>
                      <a:picLocks noChangeAspect="1" noChangeArrowheads="1"/>
                    </pic:cNvPicPr>
                  </pic:nvPicPr>
                  <pic:blipFill>
                    <a:blip r:embed="rId3"/>
                    <a:stretch>
                      <a:fillRect/>
                    </a:stretch>
                  </pic:blipFill>
                  <pic:spPr bwMode="auto">
                    <a:xfrm>
                      <a:off x="0" y="0"/>
                      <a:ext cx="5943600" cy="4154170"/>
                    </a:xfrm>
                    <a:prstGeom prst="rect">
                      <a:avLst/>
                    </a:prstGeom>
                    <a:noFill/>
                  </pic:spPr>
                </pic:pic>
              </a:graphicData>
            </a:graphic>
          </wp:anchor>
        </w:drawing>
      </w:r>
    </w:p>
    <w:p>
      <w:pPr>
        <w:pStyle w:val="Normal"/>
        <w:spacing w:lineRule="auto" w:line="276" w:before="0" w:after="160"/>
        <w:rPr>
          <w:rFonts w:ascii="Times New Roman" w:hAnsi="Times New Roman" w:eastAsia="Times New Roman" w:cs="Times New Roman"/>
          <w:b w:val="false"/>
          <w:bCs w:val="false"/>
          <w:i/>
          <w:iCs/>
          <w:sz w:val="20"/>
          <w:szCs w:val="20"/>
        </w:rPr>
      </w:pPr>
      <w:r>
        <w:rPr/>
        <w:drawing>
          <wp:anchor distT="0" distB="0" distL="0" distR="0" simplePos="0" relativeHeight="22" behindDoc="0" locked="0" layoutInCell="0" allowOverlap="1">
            <wp:simplePos x="0" y="0"/>
            <wp:positionH relativeFrom="column">
              <wp:align>center</wp:align>
            </wp:positionH>
            <wp:positionV relativeFrom="paragraph">
              <wp:posOffset>635</wp:posOffset>
            </wp:positionV>
            <wp:extent cx="5943600" cy="3005455"/>
            <wp:effectExtent l="0" t="0" r="0" b="0"/>
            <wp:wrapSquare wrapText="largest"/>
            <wp:docPr id="2" name="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
                    <pic:cNvPicPr>
                      <a:picLocks noChangeAspect="1" noChangeArrowheads="1"/>
                    </pic:cNvPicPr>
                  </pic:nvPicPr>
                  <pic:blipFill>
                    <a:blip r:embed="rId4"/>
                    <a:stretch>
                      <a:fillRect/>
                    </a:stretch>
                  </pic:blipFill>
                  <pic:spPr bwMode="auto">
                    <a:xfrm>
                      <a:off x="0" y="0"/>
                      <a:ext cx="5943600" cy="3005455"/>
                    </a:xfrm>
                    <a:prstGeom prst="rect">
                      <a:avLst/>
                    </a:prstGeom>
                    <a:noFill/>
                  </pic:spPr>
                </pic:pic>
              </a:graphicData>
            </a:graphic>
          </wp:anchor>
        </w:drawing>
      </w:r>
    </w:p>
    <w:p>
      <w:pPr>
        <w:pStyle w:val="Normal"/>
        <w:spacing w:before="0" w:after="160"/>
        <w:rPr/>
      </w:pPr>
      <w:r>
        <w:rPr/>
      </w:r>
    </w:p>
    <w:p>
      <w:pPr>
        <w:pStyle w:val="Normal"/>
        <w:spacing w:lineRule="auto" w:line="276" w:before="0" w:after="160"/>
        <w:rPr>
          <w:rFonts w:ascii="Times New Roman" w:hAnsi="Times New Roman" w:eastAsia="Times New Roman" w:cs="Times New Roman"/>
          <w:b w:val="false"/>
          <w:bCs w:val="false"/>
          <w:i w:val="false"/>
          <w:iCs w:val="false"/>
          <w:sz w:val="24"/>
          <w:szCs w:val="24"/>
        </w:rPr>
      </w:pPr>
      <w:r>
        <w:rPr/>
        <w:drawing>
          <wp:anchor distT="0" distB="0" distL="0" distR="0" simplePos="0" relativeHeight="23" behindDoc="0" locked="0" layoutInCell="0" allowOverlap="1">
            <wp:simplePos x="0" y="0"/>
            <wp:positionH relativeFrom="column">
              <wp:align>center</wp:align>
            </wp:positionH>
            <wp:positionV relativeFrom="paragraph">
              <wp:posOffset>635</wp:posOffset>
            </wp:positionV>
            <wp:extent cx="5943600" cy="3943350"/>
            <wp:effectExtent l="0" t="0" r="0" b="0"/>
            <wp:wrapSquare wrapText="largest"/>
            <wp:docPr id="3" name="Image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3"/>
                    <pic:cNvPicPr>
                      <a:picLocks noChangeAspect="1" noChangeArrowheads="1"/>
                    </pic:cNvPicPr>
                  </pic:nvPicPr>
                  <pic:blipFill>
                    <a:blip r:embed="rId5"/>
                    <a:stretch>
                      <a:fillRect/>
                    </a:stretch>
                  </pic:blipFill>
                  <pic:spPr bwMode="auto">
                    <a:xfrm>
                      <a:off x="0" y="0"/>
                      <a:ext cx="5943600" cy="3943350"/>
                    </a:xfrm>
                    <a:prstGeom prst="rect">
                      <a:avLst/>
                    </a:prstGeom>
                    <a:noFill/>
                  </pic:spPr>
                </pic:pic>
              </a:graphicData>
            </a:graphic>
          </wp:anchor>
        </w:drawing>
      </w:r>
    </w:p>
    <w:p>
      <w:pPr>
        <w:pStyle w:val="Heading1"/>
        <w:spacing w:before="320" w:after="160"/>
        <w:rPr/>
      </w:pPr>
      <w:r>
        <w:rPr>
          <w:rFonts w:eastAsia="Arial" w:cs="Arial" w:ascii="Arial" w:hAnsi="Arial"/>
          <w:b/>
          <w:bCs/>
          <w:color w:val="1F4E79"/>
          <w:sz w:val="26"/>
          <w:szCs w:val="26"/>
        </w:rPr>
        <w:t>References</w:t>
      </w:r>
    </w:p>
    <w:p>
      <w:pPr>
        <w:pStyle w:val="Normal"/>
        <w:spacing w:before="0" w:after="100"/>
        <w:ind w:hanging="360" w:start="360"/>
        <w:rPr/>
      </w:pPr>
      <w:r>
        <w:rPr>
          <w:rFonts w:eastAsia="Times New Roman" w:cs="Times New Roman"/>
          <w:sz w:val="22"/>
          <w:szCs w:val="22"/>
        </w:rPr>
        <w:t>1. Volkow ND, Jones EB, Einstein EB, Wargo EM. Prevention and treatment of opioid misuse and addiction: a review. JAMA Psychiatry. 2019;76(2):208–216.</w:t>
      </w:r>
    </w:p>
    <w:p>
      <w:pPr>
        <w:pStyle w:val="Normal"/>
        <w:spacing w:before="0" w:after="100"/>
        <w:ind w:hanging="360" w:start="360"/>
        <w:rPr/>
      </w:pPr>
      <w:r>
        <w:rPr>
          <w:rFonts w:eastAsia="Times New Roman" w:cs="Times New Roman"/>
          <w:sz w:val="22"/>
          <w:szCs w:val="22"/>
        </w:rPr>
        <w:t>2. Mattick RP, Breen C, Kimber J, Davoli M. Methadone maintenance therapy versus no opioid replacement therapy for opioid dependence. Cochrane Database Syst Rev. 2009;(3):CD002209.</w:t>
      </w:r>
    </w:p>
    <w:p>
      <w:pPr>
        <w:pStyle w:val="Normal"/>
        <w:spacing w:before="0" w:after="100"/>
        <w:ind w:hanging="360" w:start="360"/>
        <w:rPr/>
      </w:pPr>
      <w:r>
        <w:rPr>
          <w:rFonts w:eastAsia="Times New Roman" w:cs="Times New Roman"/>
          <w:sz w:val="22"/>
          <w:szCs w:val="22"/>
        </w:rPr>
        <w:t>3. Schmid CL, Kennedy NM, Ross NC, Lovell KM, Yue Z, Morgenweck J, et al. Bias factor and therapeutic window correlate to predict safer opioid analgesics. Cell. 2017;171(5):1165–1175.</w:t>
      </w:r>
    </w:p>
    <w:p>
      <w:pPr>
        <w:pStyle w:val="Normal"/>
        <w:spacing w:before="0" w:after="100"/>
        <w:ind w:hanging="360" w:start="360"/>
        <w:rPr/>
      </w:pPr>
      <w:r>
        <w:rPr>
          <w:rFonts w:eastAsia="Times New Roman" w:cs="Times New Roman"/>
          <w:sz w:val="22"/>
          <w:szCs w:val="22"/>
        </w:rPr>
        <w:t>4. Kenakin T. Biased receptor signaling in drug discovery. Pharmacol Rev. 2019;71(2):267–315.</w:t>
      </w:r>
    </w:p>
    <w:p>
      <w:pPr>
        <w:pStyle w:val="Normal"/>
        <w:spacing w:before="0" w:after="100"/>
        <w:ind w:hanging="360" w:start="360"/>
        <w:rPr/>
      </w:pPr>
      <w:r>
        <w:rPr>
          <w:rFonts w:eastAsia="Times New Roman" w:cs="Times New Roman"/>
          <w:sz w:val="22"/>
          <w:szCs w:val="22"/>
        </w:rPr>
        <w:t>5. Gillis A, Gondin AB, Kliewer A, Sanchez J, Lim HD, Alamein C, et al. Low intrinsic efficacy for G protein activation can explain the improved side effect profiles of new opioid agonists. Sci Signal. 2020;13(625):eaaz3140.</w:t>
      </w:r>
    </w:p>
    <w:p>
      <w:pPr>
        <w:pStyle w:val="Normal"/>
        <w:spacing w:before="0" w:after="100"/>
        <w:ind w:hanging="360" w:start="360"/>
        <w:rPr/>
      </w:pPr>
      <w:r>
        <w:rPr>
          <w:rFonts w:eastAsia="Times New Roman" w:cs="Times New Roman"/>
          <w:sz w:val="22"/>
          <w:szCs w:val="22"/>
        </w:rPr>
        <w:t>6. Grim TW, Acevedo-Canabal A, Bohn LM. Toward directing opioid receptor signaling to refine opioid therapeutics. Biol Psychiatry. 2020;87(1):15–21.</w:t>
      </w:r>
    </w:p>
    <w:p>
      <w:pPr>
        <w:pStyle w:val="Normal"/>
        <w:spacing w:before="0" w:after="100"/>
        <w:ind w:hanging="360" w:start="360"/>
        <w:rPr/>
      </w:pPr>
      <w:r>
        <w:rPr>
          <w:rFonts w:eastAsia="Times New Roman" w:cs="Times New Roman"/>
          <w:sz w:val="22"/>
          <w:szCs w:val="22"/>
        </w:rPr>
        <w:t>7. Bohn LM, Lefkowitz RJ, Gainetdinov RR, Peppel K, Caron MG, Lin FT. Enhanced morphine analgesia in mice lacking β-arrestin 2. Science. 2000;286(5449):2495–2498.</w:t>
      </w:r>
    </w:p>
    <w:p>
      <w:pPr>
        <w:pStyle w:val="Normal"/>
        <w:spacing w:before="0" w:after="100"/>
        <w:ind w:hanging="360" w:start="360"/>
        <w:rPr/>
      </w:pPr>
      <w:r>
        <w:rPr>
          <w:rFonts w:eastAsia="Times New Roman" w:cs="Times New Roman"/>
          <w:sz w:val="22"/>
          <w:szCs w:val="22"/>
        </w:rPr>
        <w:t>8. Raehal KM, Walker JK, Bohn LM. Morphine side effects in β-arrestin 2 knockout mice. J Pharmacol Exp Ther. 2005;314(3):1195–1201.</w:t>
      </w:r>
    </w:p>
    <w:p>
      <w:pPr>
        <w:pStyle w:val="Normal"/>
        <w:spacing w:before="0" w:after="100"/>
        <w:ind w:hanging="360" w:start="360"/>
        <w:rPr/>
      </w:pPr>
      <w:r>
        <w:rPr>
          <w:rFonts w:eastAsia="Times New Roman" w:cs="Times New Roman"/>
          <w:sz w:val="22"/>
          <w:szCs w:val="22"/>
        </w:rPr>
        <w:t>9. Stone AA, Bachrach CA, Jobe JB, Kurtzman HS, Cain VS. The Science of Self-Report: Implications for Research and Practice. Mahwah, NJ: Lawrence Erlbaum Associates; 2000.</w:t>
      </w:r>
    </w:p>
    <w:p>
      <w:pPr>
        <w:pStyle w:val="Normal"/>
        <w:spacing w:before="0" w:after="100"/>
        <w:ind w:hanging="360" w:start="360"/>
        <w:rPr/>
      </w:pPr>
      <w:r>
        <w:rPr>
          <w:rFonts w:eastAsia="Times New Roman" w:cs="Times New Roman"/>
          <w:sz w:val="22"/>
          <w:szCs w:val="22"/>
        </w:rPr>
        <w:t>10. Dworkin RH, Turk DC, Farrar JT, et al. Core outcome measures for chronic pain clinical trials: IMMPACT recommendations. Pain. 2005;113(1-2):9–19.</w:t>
      </w:r>
    </w:p>
    <w:p>
      <w:pPr>
        <w:pStyle w:val="Normal"/>
        <w:spacing w:before="0" w:after="100"/>
        <w:ind w:hanging="360" w:start="360"/>
        <w:rPr/>
      </w:pPr>
      <w:r>
        <w:rPr>
          <w:rFonts w:eastAsia="Times New Roman" w:cs="Times New Roman"/>
          <w:sz w:val="22"/>
          <w:szCs w:val="22"/>
        </w:rPr>
        <w:t>11. Turk DC, Dworkin RH, Allen RR, et al. Core outcome domains for chronic pain clinical trials: IMMPACT recommendations. Pain. 2003;106(3):337–345.</w:t>
      </w:r>
    </w:p>
    <w:sectPr>
      <w:headerReference w:type="even" r:id="rId6"/>
      <w:headerReference w:type="default" r:id="rId7"/>
      <w:headerReference w:type="first" r:id="rId8"/>
      <w:footerReference w:type="even" r:id="rId9"/>
      <w:footerReference w:type="default" r:id="rId10"/>
      <w:footerReference w:type="first" r:id="rId11"/>
      <w:type w:val="nextPage"/>
      <w:pgSz w:w="12240" w:h="15840"/>
      <w:pgMar w:left="1440" w:right="1440" w:gutter="0" w:header="708" w:top="1080" w:footer="708" w:bottom="108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0" w:characterSet="windows-1252"/>
    <w:family w:val="roman"/>
    <w:pitch w:val="variable"/>
  </w:font>
  <w:font w:name="Liberation Sans">
    <w:altName w:val="Arial"/>
    <w:charset w:val="00" w:characterSet="windows-1252"/>
    <w:family w:val="swiss"/>
    <w:pitch w:val="variable"/>
  </w:font>
  <w:font w:name="Arial">
    <w:charset w:val="00" w:characterSet="windows-1252"/>
    <w:family w:val="roman"/>
    <w:pitch w:val="variable"/>
  </w:font>
  <w:font w:name="Times New Roman">
    <w:charset w:val="01"/>
    <w:family w:val="roman"/>
    <w:pitch w:val="variable"/>
  </w:font>
  <w:font w:name="Symbol">
    <w:charset w:val="02"/>
    <w:family w:val="auto"/>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pBdr>
        <w:top w:val="single" w:sz="2" w:space="1" w:color="CCCCCC"/>
      </w:pBdr>
      <w:spacing w:before="0" w:after="0"/>
      <w:jc w:val="center"/>
      <w:rPr/>
    </w:pPr>
    <w:r>
      <w:rPr>
        <w:rFonts w:eastAsia="Arial" w:cs="Arial" w:ascii="Arial" w:hAnsi="Arial"/>
        <w:color w:val="888888"/>
        <w:sz w:val="16"/>
        <w:szCs w:val="16"/>
      </w:rPr>
      <w:t>SR17018Study.com  |  Self-Reported Observational Registry  |  Not for clinical use</w:t>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pBdr>
        <w:top w:val="single" w:sz="2" w:space="1" w:color="CCCCCC"/>
      </w:pBdr>
      <w:spacing w:before="0" w:after="0"/>
      <w:jc w:val="center"/>
      <w:rPr/>
    </w:pPr>
    <w:r>
      <w:rPr>
        <w:rFonts w:eastAsia="Arial" w:cs="Arial" w:ascii="Arial" w:hAnsi="Arial"/>
        <w:color w:val="888888"/>
        <w:sz w:val="16"/>
        <w:szCs w:val="16"/>
      </w:rPr>
      <w:t>SR17018Study.com  |  Self-Reported Observational Registry  |  Not for clinical use</w:t>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spacing w:before="0" w:after="0"/>
      <w:rPr/>
    </w:pPr>
    <w:r>
      <w:rPr>
        <w:rFonts w:eastAsia="Arial" w:cs="Arial" w:ascii="Arial" w:hAnsi="Arial"/>
        <w:color w:val="888888"/>
        <w:sz w:val="18"/>
        <w:szCs w:val="18"/>
      </w:rPr>
      <w:t>SR-17018 Observational Registry  |  Preprint v3.0  |  N = 55</w:t>
    </w:r>
    <w:r>
      <w:rPr>
        <w:sz w:val="18"/>
        <w:szCs w:val="18"/>
      </w:rPr>
      <w:tab/>
    </w:r>
    <w:r>
      <w:rPr>
        <w:rFonts w:eastAsia="Arial" w:cs="Arial" w:ascii="Arial" w:hAnsi="Arial"/>
        <w:b/>
        <w:bCs/>
        <w:color w:val="3A8FD4"/>
        <w:sz w:val="18"/>
        <w:szCs w:val="18"/>
      </w:rPr>
      <w:t>SR17018Study.com</w:t>
    </w:r>
  </w:p>
  <w:p>
    <w:pPr>
      <w:pStyle w:val="Header"/>
      <w:spacing w:before="0" w:after="0"/>
      <w:rPr/>
    </w:pPr>
    <w:r>
      <w:rPr/>
      <mc:AlternateContent>
        <mc:Choice Requires="wps">
          <w:drawing>
            <wp:anchor distT="0" distB="0" distL="114300" distR="0" simplePos="0" relativeHeight="20" behindDoc="1" locked="0" layoutInCell="1" allowOverlap="1">
              <wp:simplePos x="0" y="0"/>
              <wp:positionH relativeFrom="column">
                <wp:align>center</wp:align>
              </wp:positionH>
              <wp:positionV relativeFrom="paragraph">
                <wp:align>center</wp:align>
              </wp:positionV>
              <wp:extent cx="114300" cy="15240"/>
              <wp:effectExtent l="5530850" t="841375" r="0" b="0"/>
              <wp:wrapNone/>
              <wp:docPr id="4" name="watermark_sr17018"/>
              <a:graphic xmlns:a="http://schemas.openxmlformats.org/drawingml/2006/main">
                <a:graphicData uri="http://schemas.microsoft.com/office/word/2010/wordprocessingShape">
                  <wps:wsp>
                    <wps:cNvSpPr txBox="1"/>
                    <wps:spPr>
                      <a:xfrm rot="18900000">
                        <a:off x="0" y="0"/>
                        <a:ext cx="114480" cy="15120"/>
                      </a:xfrm>
                      <a:prstGeom prst="rect">
                        <a:avLst/>
                      </a:prstGeom>
                    </wps:spPr>
                    <wps:txbx>
                      <w:txbxContent>
                        <w:p>
                          <w:pPr>
                            <w:overflowPunct w:val="false"/>
                            <w:rPr/>
                          </w:pPr>
                          <w:r>
                            <w:rPr>
                              <w:rFonts w:ascii="Arial" w:hAnsi="Arial"/>
                              <w:color w:val="D8D8D8"/>
                              <w:sz w:val="2"/>
                              <w14:textOutline w14:w="0" w14:cap="flat" w14:cmpd="sng">
                                <w14:noFill/>
                                <w14:round/>
                              </w14:textOutline>
                              <w14:textFill>
                                <w14:solidFill>
                                  <w14:srgbClr w14:val="d8d8d8"/>
                                </w14:solidFill>
                              </w14:textFill>
                            </w:rPr>
                            <w:t>SR17018Study.com</w:t>
                          </w:r>
                        </w:p>
                      </w:txbxContent>
                    </wps:txbx>
                    <wps:bodyPr wrap="square" lIns="0" rIns="0" tIns="0" bIns="0" anchor="t">
                      <a:prstTxWarp prst="textPlain"/>
                      <a:noAutofit/>
                    </wps:bodyPr>
                  </wps:wsp>
                </a:graphicData>
              </a:graphic>
            </wp:anchor>
          </w:drawing>
        </mc:Choice>
        <mc:Fallback>
          <w:pict/>
        </mc:Fallback>
      </mc:AlternateContent>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spacing w:before="0" w:after="0"/>
      <w:rPr/>
    </w:pPr>
    <w:r>
      <w:rPr>
        <w:rFonts w:eastAsia="Arial" w:cs="Arial" w:ascii="Arial" w:hAnsi="Arial"/>
        <w:color w:val="888888"/>
        <w:sz w:val="18"/>
        <w:szCs w:val="18"/>
      </w:rPr>
      <w:t>SR-17018 Observational Registry  |  Preprint v3.0  |  N = 55</w:t>
    </w:r>
    <w:r>
      <w:rPr>
        <w:sz w:val="18"/>
        <w:szCs w:val="18"/>
      </w:rPr>
      <w:tab/>
    </w:r>
    <w:r>
      <w:rPr>
        <w:rFonts w:eastAsia="Arial" w:cs="Arial" w:ascii="Arial" w:hAnsi="Arial"/>
        <w:b/>
        <w:bCs/>
        <w:color w:val="3A8FD4"/>
        <w:sz w:val="18"/>
        <w:szCs w:val="18"/>
      </w:rPr>
      <w:t>SR17018Study.com</w:t>
    </w:r>
  </w:p>
  <w:p>
    <w:pPr>
      <w:pStyle w:val="Header"/>
      <w:spacing w:before="0" w:after="0"/>
      <w:rPr/>
    </w:pPr>
    <w:r>
      <w:rPr/>
      <mc:AlternateContent>
        <mc:Choice Requires="wps">
          <w:drawing>
            <wp:anchor distT="0" distB="0" distL="114300" distR="0" simplePos="0" relativeHeight="20" behindDoc="1" locked="0" layoutInCell="1" allowOverlap="1">
              <wp:simplePos x="0" y="0"/>
              <wp:positionH relativeFrom="column">
                <wp:align>center</wp:align>
              </wp:positionH>
              <wp:positionV relativeFrom="paragraph">
                <wp:align>center</wp:align>
              </wp:positionV>
              <wp:extent cx="114300" cy="15240"/>
              <wp:effectExtent l="5530850" t="841375" r="0" b="0"/>
              <wp:wrapNone/>
              <wp:docPr id="5" name="watermark_sr17018"/>
              <a:graphic xmlns:a="http://schemas.openxmlformats.org/drawingml/2006/main">
                <a:graphicData uri="http://schemas.microsoft.com/office/word/2010/wordprocessingShape">
                  <wps:wsp>
                    <wps:cNvSpPr txBox="1"/>
                    <wps:spPr>
                      <a:xfrm rot="18900000">
                        <a:off x="0" y="0"/>
                        <a:ext cx="114480" cy="15120"/>
                      </a:xfrm>
                      <a:prstGeom prst="rect">
                        <a:avLst/>
                      </a:prstGeom>
                    </wps:spPr>
                    <wps:txbx>
                      <w:txbxContent>
                        <w:p>
                          <w:pPr>
                            <w:overflowPunct w:val="false"/>
                            <w:rPr/>
                          </w:pPr>
                          <w:r>
                            <w:rPr>
                              <w:rFonts w:ascii="Arial" w:hAnsi="Arial"/>
                              <w:color w:val="D8D8D8"/>
                              <w:sz w:val="2"/>
                              <w14:textOutline w14:w="0" w14:cap="flat" w14:cmpd="sng">
                                <w14:noFill/>
                                <w14:round/>
                              </w14:textOutline>
                              <w14:textFill>
                                <w14:solidFill>
                                  <w14:srgbClr w14:val="d8d8d8"/>
                                </w14:solidFill>
                              </w14:textFill>
                            </w:rPr>
                            <w:t>SR17018Study.com</w:t>
                          </w:r>
                        </w:p>
                      </w:txbxContent>
                    </wps:txbx>
                    <wps:bodyPr wrap="square" lIns="0" rIns="0" tIns="0" bIns="0" anchor="t">
                      <a:prstTxWarp prst="textPlain"/>
                      <a:noAutofit/>
                    </wps:bodyPr>
                  </wps:wsp>
                </a:graphicData>
              </a:graphic>
            </wp:anchor>
          </w:drawing>
        </mc:Choice>
        <mc:Fallback>
          <w:pict/>
        </mc:Fallback>
      </mc:AlternateContent>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start"/>
      <w:pPr>
        <w:tabs>
          <w:tab w:val="num" w:pos="0"/>
        </w:tabs>
        <w:ind w:start="720" w:hanging="360"/>
      </w:pPr>
      <w:rPr>
        <w:rFonts w:ascii="Symbol" w:hAnsi="Symbol" w:cs="Symbol" w:hint="default"/>
      </w:rPr>
    </w:lvl>
    <w:lvl w:ilvl="1">
      <w:start w:val="1"/>
      <w:numFmt w:val="decimal"/>
      <w:lvlText w:val="%2."/>
      <w:lvlJc w:val="start"/>
      <w:pPr>
        <w:tabs>
          <w:tab w:val="num" w:pos="1080"/>
        </w:tabs>
        <w:ind w:start="1080" w:hanging="360"/>
      </w:pPr>
    </w:lvl>
    <w:lvl w:ilvl="2">
      <w:start w:val="1"/>
      <w:numFmt w:val="decimal"/>
      <w:lvlText w:val="%3."/>
      <w:lvlJc w:val="start"/>
      <w:pPr>
        <w:tabs>
          <w:tab w:val="num" w:pos="1440"/>
        </w:tabs>
        <w:ind w:start="1440" w:hanging="360"/>
      </w:pPr>
    </w:lvl>
    <w:lvl w:ilvl="3">
      <w:start w:val="1"/>
      <w:numFmt w:val="decimal"/>
      <w:lvlText w:val="%4."/>
      <w:lvlJc w:val="start"/>
      <w:pPr>
        <w:tabs>
          <w:tab w:val="num" w:pos="1800"/>
        </w:tabs>
        <w:ind w:start="1800" w:hanging="360"/>
      </w:pPr>
    </w:lvl>
    <w:lvl w:ilvl="4">
      <w:start w:val="1"/>
      <w:numFmt w:val="decimal"/>
      <w:lvlText w:val="%5."/>
      <w:lvlJc w:val="start"/>
      <w:pPr>
        <w:tabs>
          <w:tab w:val="num" w:pos="2160"/>
        </w:tabs>
        <w:ind w:start="2160" w:hanging="360"/>
      </w:pPr>
    </w:lvl>
    <w:lvl w:ilvl="5">
      <w:start w:val="1"/>
      <w:numFmt w:val="decimal"/>
      <w:lvlText w:val="%6."/>
      <w:lvlJc w:val="start"/>
      <w:pPr>
        <w:tabs>
          <w:tab w:val="num" w:pos="2520"/>
        </w:tabs>
        <w:ind w:start="2520" w:hanging="360"/>
      </w:pPr>
    </w:lvl>
    <w:lvl w:ilvl="6">
      <w:start w:val="1"/>
      <w:numFmt w:val="decimal"/>
      <w:lvlText w:val="%7."/>
      <w:lvlJc w:val="start"/>
      <w:pPr>
        <w:tabs>
          <w:tab w:val="num" w:pos="2880"/>
        </w:tabs>
        <w:ind w:start="2880" w:hanging="360"/>
      </w:pPr>
    </w:lvl>
    <w:lvl w:ilvl="7">
      <w:start w:val="1"/>
      <w:numFmt w:val="decimal"/>
      <w:lvlText w:val="%8."/>
      <w:lvlJc w:val="start"/>
      <w:pPr>
        <w:tabs>
          <w:tab w:val="num" w:pos="3240"/>
        </w:tabs>
        <w:ind w:start="3240" w:hanging="360"/>
      </w:pPr>
    </w:lvl>
    <w:lvl w:ilvl="8">
      <w:start w:val="1"/>
      <w:numFmt w:val="decimal"/>
      <w:lvlText w:val="%9."/>
      <w:lvlJc w:val="start"/>
      <w:pPr>
        <w:tabs>
          <w:tab w:val="num" w:pos="3600"/>
        </w:tabs>
        <w:ind w:start="3600" w:hanging="360"/>
      </w:pPr>
    </w:lvl>
  </w:abstractNum>
  <w:abstractNum w:abstractNumId="2">
    <w:lvl w:ilvl="0">
      <w:start w:val="1"/>
      <w:numFmt w:val="none"/>
      <w:suff w:val="nothing"/>
      <w:lvlText w:val=""/>
      <w:lvlJc w:val="start"/>
      <w:pPr>
        <w:tabs>
          <w:tab w:val="num" w:pos="0"/>
        </w:tabs>
        <w:ind w:start="0" w:hanging="0"/>
      </w:pPr>
    </w:lvl>
    <w:lvl w:ilvl="1">
      <w:start w:val="1"/>
      <w:numFmt w:val="none"/>
      <w:suff w:val="nothing"/>
      <w:lvlText w:val=""/>
      <w:lvlJc w:val="start"/>
      <w:pPr>
        <w:tabs>
          <w:tab w:val="num" w:pos="0"/>
        </w:tabs>
        <w:ind w:start="0" w:hanging="0"/>
      </w:pPr>
    </w:lvl>
    <w:lvl w:ilvl="2">
      <w:start w:val="1"/>
      <w:numFmt w:val="none"/>
      <w:suff w:val="nothing"/>
      <w:lvlText w:val=""/>
      <w:lvlJc w:val="start"/>
      <w:pPr>
        <w:tabs>
          <w:tab w:val="num" w:pos="0"/>
        </w:tabs>
        <w:ind w:start="0" w:hanging="0"/>
      </w:pPr>
    </w:lvl>
    <w:lvl w:ilvl="3">
      <w:start w:val="1"/>
      <w:numFmt w:val="none"/>
      <w:suff w:val="nothing"/>
      <w:lvlText w:val=""/>
      <w:lvlJc w:val="start"/>
      <w:pPr>
        <w:tabs>
          <w:tab w:val="num" w:pos="0"/>
        </w:tabs>
        <w:ind w:start="0" w:hanging="0"/>
      </w:pPr>
    </w:lvl>
    <w:lvl w:ilvl="4">
      <w:start w:val="1"/>
      <w:numFmt w:val="none"/>
      <w:suff w:val="nothing"/>
      <w:lvlText w:val=""/>
      <w:lvlJc w:val="start"/>
      <w:pPr>
        <w:tabs>
          <w:tab w:val="num" w:pos="0"/>
        </w:tabs>
        <w:ind w:start="0" w:hanging="0"/>
      </w:pPr>
    </w:lvl>
    <w:lvl w:ilvl="5">
      <w:start w:val="1"/>
      <w:numFmt w:val="none"/>
      <w:suff w:val="nothing"/>
      <w:lvlText w:val=""/>
      <w:lvlJc w:val="start"/>
      <w:pPr>
        <w:tabs>
          <w:tab w:val="num" w:pos="0"/>
        </w:tabs>
        <w:ind w:start="0" w:hanging="0"/>
      </w:pPr>
    </w:lvl>
    <w:lvl w:ilvl="6">
      <w:start w:val="1"/>
      <w:numFmt w:val="none"/>
      <w:suff w:val="nothing"/>
      <w:lvlText w:val=""/>
      <w:lvlJc w:val="start"/>
      <w:pPr>
        <w:tabs>
          <w:tab w:val="num" w:pos="0"/>
        </w:tabs>
        <w:ind w:start="0" w:hanging="0"/>
      </w:pPr>
    </w:lvl>
    <w:lvl w:ilvl="7">
      <w:start w:val="1"/>
      <w:numFmt w:val="none"/>
      <w:suff w:val="nothing"/>
      <w:lvlText w:val=""/>
      <w:lvlJc w:val="start"/>
      <w:pPr>
        <w:tabs>
          <w:tab w:val="num" w:pos="0"/>
        </w:tabs>
        <w:ind w:start="0" w:hanging="0"/>
      </w:pPr>
    </w:lvl>
    <w:lvl w:ilvl="8">
      <w:start w:val="1"/>
      <w:numFmt w:val="none"/>
      <w:suff w:val="nothing"/>
      <w:lvlText w:val=""/>
      <w:lvlJc w:val="start"/>
      <w:pPr>
        <w:tabs>
          <w:tab w:val="num" w:pos="0"/>
        </w:tabs>
        <w:ind w:start="0" w:hanging="0"/>
      </w:pPr>
    </w:lvl>
  </w:abstractNum>
  <w:num w:numId="1">
    <w:abstractNumId w:val="1"/>
  </w:num>
  <w:num w:numId="2">
    <w:abstractNumId w:val="2"/>
  </w:num>
  <w:num w:numId="3">
    <w:abstractNumId w:val="1"/>
    <w:lvlOverride w:ilvl="0">
      <w:startOverride w:val="1"/>
    </w:lvlOverride>
  </w:num>
</w:numbering>
</file>

<file path=word/settings.xml><?xml version="1.0" encoding="utf-8"?>
<w:settings xmlns:w="http://schemas.openxmlformats.org/wordprocessingml/2006/main">
  <w:zoom w:percent="120"/>
  <w:defaultTabStop w:val="720"/>
  <w:autoHyphenation w:val="true"/>
  <w:hyphenationZone w:val="0"/>
  <w:compat>
    <w:compatSetting w:name="compatibilityMode" w:uri="http://schemas.microsoft.com/office/word" w:val="15"/>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sz w:val="24"/>
        <w:szCs w:val="24"/>
        <w:lang w:val="en-US" w:eastAsia="zh-CN" w:bidi="hi-IN"/>
      </w:rPr>
    </w:rPrDefault>
    <w:pPrDefault>
      <w:pPr>
        <w:suppressAutoHyphens w:val="true"/>
      </w:pPr>
    </w:pPrDefault>
  </w:docDefaults>
  <w:style w:type="paragraph" w:styleId="Normal">
    <w:name w:val="Normal"/>
    <w:qFormat/>
    <w:pPr>
      <w:widowControl/>
      <w:bidi w:val="0"/>
      <w:spacing w:before="0" w:after="0"/>
      <w:jc w:val="start"/>
    </w:pPr>
    <w:rPr>
      <w:rFonts w:ascii="Times New Roman" w:hAnsi="Times New Roman" w:eastAsia="Times New Roman" w:cs="Times New Roman"/>
      <w:color w:val="auto"/>
      <w:kern w:val="0"/>
      <w:sz w:val="24"/>
      <w:szCs w:val="24"/>
      <w:lang w:val="en-US" w:eastAsia="zh-CN" w:bidi="hi-IN"/>
    </w:rPr>
  </w:style>
  <w:style w:type="paragraph" w:styleId="Heading1">
    <w:name w:val="heading 1"/>
    <w:basedOn w:val="Heading"/>
    <w:qFormat/>
    <w:pPr>
      <w:spacing w:before="320" w:after="160"/>
      <w:outlineLvl w:val="0"/>
    </w:pPr>
    <w:rPr>
      <w:rFonts w:ascii="Arial" w:hAnsi="Arial" w:eastAsia="Arial" w:cs="Arial"/>
      <w:b/>
      <w:bCs/>
      <w:color w:val="1F4E79"/>
      <w:sz w:val="28"/>
      <w:szCs w:val="28"/>
    </w:rPr>
  </w:style>
  <w:style w:type="paragraph" w:styleId="Heading2">
    <w:name w:val="heading 2"/>
    <w:basedOn w:val="Heading"/>
    <w:qFormat/>
    <w:pPr>
      <w:spacing w:before="240" w:after="120"/>
      <w:outlineLvl w:val="1"/>
    </w:pPr>
    <w:rPr>
      <w:rFonts w:ascii="Arial" w:hAnsi="Arial" w:eastAsia="Arial" w:cs="Arial"/>
      <w:b/>
      <w:bCs/>
      <w:color w:val="2E75B6"/>
      <w:sz w:val="24"/>
      <w:szCs w:val="24"/>
    </w:rPr>
  </w:style>
  <w:style w:type="paragraph" w:styleId="Heading3">
    <w:name w:val="heading 3"/>
    <w:basedOn w:val="Heading"/>
    <w:qFormat/>
    <w:pPr/>
    <w:rPr>
      <w:color w:val="1F4D78"/>
      <w:sz w:val="24"/>
      <w:szCs w:val="24"/>
    </w:rPr>
  </w:style>
  <w:style w:type="paragraph" w:styleId="Heading4">
    <w:name w:val="heading 4"/>
    <w:basedOn w:val="Heading"/>
    <w:qFormat/>
    <w:pPr/>
    <w:rPr>
      <w:i/>
      <w:iCs/>
      <w:color w:val="2E74B5"/>
    </w:rPr>
  </w:style>
  <w:style w:type="paragraph" w:styleId="Heading5">
    <w:name w:val="heading 5"/>
    <w:basedOn w:val="Heading"/>
    <w:qFormat/>
    <w:pPr/>
    <w:rPr>
      <w:color w:val="2E74B5"/>
    </w:rPr>
  </w:style>
  <w:style w:type="paragraph" w:styleId="Heading6">
    <w:name w:val="heading 6"/>
    <w:basedOn w:val="Heading"/>
    <w:qFormat/>
    <w:pPr/>
    <w:rPr>
      <w:color w:val="1F4D78"/>
    </w:rPr>
  </w:style>
  <w:style w:type="character" w:styleId="Hyperlink">
    <w:name w:val="Hyperlink"/>
    <w:uiPriority w:val="99"/>
    <w:unhideWhenUsed/>
    <w:rPr>
      <w:color w:val="0563C1"/>
      <w:u w:val="single"/>
    </w:rPr>
  </w:style>
  <w:style w:type="character" w:styleId="FootnoteCharacters">
    <w:name w:val="Footnote Characters"/>
    <w:uiPriority w:val="99"/>
    <w:semiHidden/>
    <w:unhideWhenUsed/>
    <w:qFormat/>
    <w:rPr>
      <w:vertAlign w:val="superscript"/>
    </w:rPr>
  </w:style>
  <w:style w:type="character" w:styleId="FootnoteReference">
    <w:name w:val="footnote reference"/>
    <w:rPr>
      <w:vertAlign w:val="superscript"/>
    </w:rPr>
  </w:style>
  <w:style w:type="character" w:styleId="FootnoteTextChar">
    <w:name w:val="Footnote Text Char"/>
    <w:link w:val="FootnoteText"/>
    <w:uiPriority w:val="99"/>
    <w:semiHidden/>
    <w:unhideWhenUsed/>
    <w:qFormat/>
    <w:rPr>
      <w:sz w:val="20"/>
      <w:szCs w:val="20"/>
    </w:rPr>
  </w:style>
  <w:style w:type="character" w:styleId="EndnoteCharacters">
    <w:name w:val="Endnote Characters"/>
    <w:uiPriority w:val="99"/>
    <w:semiHidden/>
    <w:unhideWhenUsed/>
    <w:qFormat/>
    <w:rPr>
      <w:vertAlign w:val="superscript"/>
    </w:rPr>
  </w:style>
  <w:style w:type="character" w:styleId="EndnoteReference">
    <w:name w:val="endnote reference"/>
    <w:rPr>
      <w:vertAlign w:val="superscript"/>
    </w:rPr>
  </w:style>
  <w:style w:type="character" w:styleId="EndnoteTextChar">
    <w:name w:val="Endnote Text Char"/>
    <w:link w:val="EndnoteText"/>
    <w:uiPriority w:val="99"/>
    <w:semiHidden/>
    <w:unhideWhenUsed/>
    <w:qFormat/>
    <w:rPr>
      <w:sz w:val="20"/>
      <w:szCs w:val="20"/>
    </w:rPr>
  </w:style>
  <w:style w:type="paragraph" w:styleId="Heading">
    <w:name w:val="Heading"/>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Index">
    <w:name w:val="Index"/>
    <w:basedOn w:val="Normal"/>
    <w:qFormat/>
    <w:pPr>
      <w:suppressLineNumbers/>
    </w:pPr>
    <w:rPr>
      <w:rFonts w:cs="Arial"/>
    </w:rPr>
  </w:style>
  <w:style w:type="paragraph" w:styleId="Title">
    <w:name w:val="Title"/>
    <w:basedOn w:val="Heading"/>
    <w:qFormat/>
    <w:pPr/>
    <w:rPr>
      <w:sz w:val="56"/>
      <w:szCs w:val="56"/>
    </w:rPr>
  </w:style>
  <w:style w:type="paragraph" w:styleId="StrongEmphasis">
    <w:name w:val="Strong Emphasis"/>
    <w:qFormat/>
    <w:pPr>
      <w:widowControl/>
      <w:bidi w:val="0"/>
      <w:spacing w:before="0" w:after="0"/>
      <w:jc w:val="start"/>
    </w:pPr>
    <w:rPr>
      <w:rFonts w:ascii="Times New Roman" w:hAnsi="Times New Roman" w:eastAsia="Times New Roman" w:cs="Times New Roman"/>
      <w:b/>
      <w:bCs/>
      <w:color w:val="auto"/>
      <w:kern w:val="0"/>
      <w:sz w:val="24"/>
      <w:szCs w:val="24"/>
      <w:lang w:val="en-US" w:eastAsia="zh-CN" w:bidi="hi-IN"/>
    </w:rPr>
  </w:style>
  <w:style w:type="paragraph" w:styleId="ListParagraph">
    <w:name w:val="List Paragraph"/>
    <w:qFormat/>
    <w:pPr>
      <w:widowControl/>
      <w:bidi w:val="0"/>
      <w:spacing w:before="0" w:after="0"/>
      <w:jc w:val="start"/>
    </w:pPr>
    <w:rPr>
      <w:rFonts w:ascii="Times New Roman" w:hAnsi="Times New Roman" w:eastAsia="Times New Roman" w:cs="Times New Roman"/>
      <w:color w:val="auto"/>
      <w:kern w:val="0"/>
      <w:sz w:val="24"/>
      <w:szCs w:val="24"/>
      <w:lang w:val="en-US" w:eastAsia="zh-CN" w:bidi="hi-IN"/>
    </w:rPr>
  </w:style>
  <w:style w:type="paragraph" w:styleId="FootnoteText">
    <w:name w:val="footnote text"/>
    <w:basedOn w:val="Normal"/>
    <w:link w:val="FootnoteTextChar"/>
    <w:uiPriority w:val="99"/>
    <w:semiHidden/>
    <w:unhideWhenUsed/>
    <w:pPr>
      <w:spacing w:lineRule="auto" w:line="240" w:before="0" w:after="0"/>
    </w:pPr>
    <w:rPr>
      <w:sz w:val="20"/>
      <w:szCs w:val="20"/>
    </w:rPr>
  </w:style>
  <w:style w:type="paragraph" w:styleId="EndnoteText">
    <w:name w:val="endnote text"/>
    <w:basedOn w:val="Normal"/>
    <w:link w:val="EndnoteTextChar"/>
    <w:uiPriority w:val="99"/>
    <w:semiHidden/>
    <w:unhideWhenUsed/>
    <w:pPr>
      <w:spacing w:lineRule="auto" w:line="240" w:before="0" w:after="0"/>
    </w:pPr>
    <w:rPr>
      <w:sz w:val="20"/>
      <w:szCs w:val="20"/>
    </w:rPr>
  </w:style>
  <w:style w:type="paragraph" w:styleId="HeaderandFooter">
    <w:name w:val="Header and Footer"/>
    <w:basedOn w:val="Normal"/>
    <w:qFormat/>
    <w:pPr/>
    <w:rPr/>
  </w:style>
  <w:style w:type="paragraph" w:styleId="Header">
    <w:name w:val="header"/>
    <w:basedOn w:val="HeaderandFooter"/>
    <w:pPr/>
    <w:rPr/>
  </w:style>
  <w:style w:type="paragraph" w:styleId="Footer">
    <w:name w:val="footer"/>
    <w:basedOn w:val="HeaderandFooter"/>
    <w:pPr/>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orcid.org/0009-0004-5138-0637" TargetMode="External"/><Relationship Id="rId3" Type="http://schemas.openxmlformats.org/officeDocument/2006/relationships/image" Target="media/image1.png"/><Relationship Id="rId4" Type="http://schemas.openxmlformats.org/officeDocument/2006/relationships/image" Target="media/image2.png"/><Relationship Id="rId5" Type="http://schemas.openxmlformats.org/officeDocument/2006/relationships/image" Target="media/image3.png"/><Relationship Id="rId6" Type="http://schemas.openxmlformats.org/officeDocument/2006/relationships/header" Target="header1.xml"/><Relationship Id="rId7" Type="http://schemas.openxmlformats.org/officeDocument/2006/relationships/header" Target="header2.xml"/><Relationship Id="rId8" Type="http://schemas.openxmlformats.org/officeDocument/2006/relationships/header" Target="header3.xml"/><Relationship Id="rId9" Type="http://schemas.openxmlformats.org/officeDocument/2006/relationships/footer" Target="footer1.xml"/><Relationship Id="rId10" Type="http://schemas.openxmlformats.org/officeDocument/2006/relationships/footer" Target="footer2.xml"/><Relationship Id="rId11" Type="http://schemas.openxmlformats.org/officeDocument/2006/relationships/footer" Target="footer3.xml"/><Relationship Id="rId12" Type="http://schemas.openxmlformats.org/officeDocument/2006/relationships/numbering" Target="numbering.xml"/><Relationship Id="rId13" Type="http://schemas.openxmlformats.org/officeDocument/2006/relationships/fontTable" Target="fontTable.xml"/><Relationship Id="rId14" Type="http://schemas.openxmlformats.org/officeDocument/2006/relationships/settings" Target="settings.xml"/><Relationship Id="rId15"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
  <TotalTime>41</TotalTime>
  <Application>LibreOffice/25.8.6.2$Windows_X86_64 LibreOffice_project/b4b39682cd9868fa725bc664aff94278d315bd04</Application>
  <AppVersion>15.0000</AppVersion>
  <Pages>19</Pages>
  <Words>5558</Words>
  <Characters>35897</Characters>
  <CharactersWithSpaces>41227</CharactersWithSpaces>
  <Paragraphs>397</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2026-06-01T11:45:55Z</dcterms:created>
  <dc:creator>Un-named</dc:creator>
  <dc:description/>
  <dc:language>en-US</dc:language>
  <cp:lastModifiedBy/>
  <dcterms:modified xsi:type="dcterms:W3CDTF">2026-06-03T04:31:28Z</dcterms:modified>
  <cp:revision>3</cp:revision>
  <dc:subject/>
  <dc:title/>
</cp:coreProperties>
</file>