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6269" w14:textId="2E374660" w:rsidR="00E972BD" w:rsidRDefault="00000000">
      <w:pPr>
        <w:spacing w:after="40"/>
        <w:jc w:val="center"/>
      </w:pPr>
      <w:r>
        <w:rPr>
          <w:b/>
          <w:bCs/>
          <w:sz w:val="44"/>
          <w:szCs w:val="44"/>
        </w:rPr>
        <w:t>YOGICUX</w:t>
      </w:r>
      <w:r w:rsidR="00A1606F" w:rsidRPr="00A1606F">
        <w:rPr>
          <w:b/>
          <w:bCs/>
          <w:position w:val="10"/>
          <w:sz w:val="28"/>
          <w:szCs w:val="28"/>
          <w:vertAlign w:val="superscript"/>
        </w:rPr>
        <w:t>™</w:t>
      </w:r>
    </w:p>
    <w:p w14:paraId="636618E7" w14:textId="77777777" w:rsidR="00E972BD" w:rsidRDefault="00000000">
      <w:pPr>
        <w:spacing w:after="200"/>
        <w:jc w:val="center"/>
      </w:pPr>
      <w:r>
        <w:rPr>
          <w:i/>
          <w:iCs/>
          <w:sz w:val="23"/>
          <w:szCs w:val="23"/>
        </w:rPr>
        <w:t>A Design Discipline for the Resolution, Rather Than the Exploitation, of Human Attention</w:t>
      </w:r>
    </w:p>
    <w:p w14:paraId="5ED6500D" w14:textId="2E49C592" w:rsidR="00E972BD" w:rsidRDefault="00EA714E">
      <w:pPr>
        <w:spacing w:after="20"/>
        <w:jc w:val="center"/>
      </w:pPr>
      <w:r>
        <w:t>Paresh Baghel</w:t>
      </w:r>
    </w:p>
    <w:p w14:paraId="5EC9DF68" w14:textId="77777777" w:rsidR="00E972BD" w:rsidRDefault="00000000">
      <w:pPr>
        <w:spacing w:after="10"/>
        <w:jc w:val="center"/>
      </w:pPr>
      <w:r>
        <w:rPr>
          <w:color w:val="444444"/>
          <w:sz w:val="17"/>
          <w:szCs w:val="17"/>
        </w:rPr>
        <w:t>OMJOOMSUH (OPC) Private Limited · Lucknow, India</w:t>
      </w:r>
    </w:p>
    <w:p w14:paraId="018C8D13" w14:textId="6AAAAB2D" w:rsidR="00E972BD" w:rsidRDefault="00EA714E">
      <w:pPr>
        <w:spacing w:after="10"/>
        <w:jc w:val="center"/>
      </w:pPr>
      <w:r>
        <w:rPr>
          <w:color w:val="444444"/>
          <w:sz w:val="17"/>
          <w:szCs w:val="17"/>
        </w:rPr>
        <w:t>omjoomsuh@gmail.com</w:t>
      </w:r>
    </w:p>
    <w:p w14:paraId="080CC1C9" w14:textId="77777777" w:rsidR="00E972BD" w:rsidRDefault="00000000">
      <w:pPr>
        <w:spacing w:after="220"/>
        <w:jc w:val="center"/>
      </w:pPr>
      <w:r>
        <w:rPr>
          <w:color w:val="444444"/>
          <w:sz w:val="17"/>
          <w:szCs w:val="17"/>
        </w:rPr>
        <w:t>Working Paper v1.0 · June 2026</w:t>
      </w:r>
    </w:p>
    <w:p w14:paraId="6C72F21E" w14:textId="626DFC0E" w:rsidR="00E972BD" w:rsidRDefault="00000000">
      <w:pPr>
        <w:spacing w:after="200" w:line="252" w:lineRule="auto"/>
        <w:ind w:left="360" w:right="360"/>
        <w:jc w:val="both"/>
      </w:pPr>
      <w:r>
        <w:rPr>
          <w:b/>
          <w:bCs/>
          <w:smallCaps/>
          <w:sz w:val="18"/>
          <w:szCs w:val="18"/>
        </w:rPr>
        <w:t xml:space="preserve">Abstract. </w:t>
      </w:r>
      <w:r>
        <w:rPr>
          <w:sz w:val="18"/>
          <w:szCs w:val="18"/>
        </w:rPr>
        <w:t xml:space="preserve">Contemporary digital interfaces are optimised against four engagement levers—variable reward, opacity, loss of control, and engineered comparison—each of which engages a measurable stress-physiological pathway: reduced vagally-mediated heart-rate variability, elevated salivary and chronic cortisol, and fragmented sleep. We propose </w:t>
      </w:r>
      <w:r>
        <w:rPr>
          <w:b/>
          <w:bCs/>
          <w:sz w:val="18"/>
          <w:szCs w:val="18"/>
        </w:rPr>
        <w:t>Yogic UX (YOGICUX</w:t>
      </w:r>
      <w:r w:rsidR="009D1A19" w:rsidRPr="009D1A19">
        <w:rPr>
          <w:b/>
          <w:bCs/>
          <w:position w:val="10"/>
          <w:sz w:val="13"/>
          <w:szCs w:val="13"/>
          <w:vertAlign w:val="superscript"/>
        </w:rPr>
        <w:t>™</w:t>
      </w:r>
      <w:r>
        <w:rPr>
          <w:b/>
          <w:bCs/>
          <w:sz w:val="18"/>
          <w:szCs w:val="18"/>
        </w:rPr>
        <w:t>)</w:t>
      </w:r>
      <w:r>
        <w:rPr>
          <w:sz w:val="18"/>
          <w:szCs w:val="18"/>
        </w:rPr>
        <w:t xml:space="preserve">, a design discipline that inverts these four levers into four design </w:t>
      </w:r>
      <w:r>
        <w:rPr>
          <w:i/>
          <w:iCs/>
          <w:sz w:val="18"/>
          <w:szCs w:val="18"/>
        </w:rPr>
        <w:t>sutras</w:t>
      </w:r>
      <w:r>
        <w:rPr>
          <w:sz w:val="18"/>
          <w:szCs w:val="18"/>
        </w:rPr>
        <w:t>—Rhythm (</w:t>
      </w:r>
      <w:r>
        <w:rPr>
          <w:i/>
          <w:iCs/>
          <w:sz w:val="18"/>
          <w:szCs w:val="18"/>
        </w:rPr>
        <w:t>sama</w:t>
      </w:r>
      <w:r>
        <w:rPr>
          <w:sz w:val="18"/>
          <w:szCs w:val="18"/>
        </w:rPr>
        <w:t>), Reasoning Shared (</w:t>
      </w:r>
      <w:r>
        <w:rPr>
          <w:i/>
          <w:iCs/>
          <w:sz w:val="18"/>
          <w:szCs w:val="18"/>
        </w:rPr>
        <w:t>jñāna</w:t>
      </w:r>
      <w:r>
        <w:rPr>
          <w:sz w:val="18"/>
          <w:szCs w:val="18"/>
        </w:rPr>
        <w:t>), Sovereignty by Default (</w:t>
      </w:r>
      <w:r>
        <w:rPr>
          <w:i/>
          <w:iCs/>
          <w:sz w:val="18"/>
          <w:szCs w:val="18"/>
        </w:rPr>
        <w:t>kaivalya</w:t>
      </w:r>
      <w:r>
        <w:rPr>
          <w:sz w:val="18"/>
          <w:szCs w:val="18"/>
        </w:rPr>
        <w:t xml:space="preserve">), and Community without Comparison (the dissolution of </w:t>
      </w:r>
      <w:proofErr w:type="spellStart"/>
      <w:r>
        <w:rPr>
          <w:i/>
          <w:iCs/>
          <w:sz w:val="18"/>
          <w:szCs w:val="18"/>
        </w:rPr>
        <w:t>ahaṃkāra</w:t>
      </w:r>
      <w:proofErr w:type="spellEnd"/>
      <w:r>
        <w:rPr>
          <w:sz w:val="18"/>
          <w:szCs w:val="18"/>
        </w:rPr>
        <w:t>)</w:t>
      </w:r>
      <w:r w:rsidR="00D4252F">
        <w:rPr>
          <w:sz w:val="18"/>
          <w:szCs w:val="18"/>
        </w:rPr>
        <w:t xml:space="preserve"> – </w:t>
      </w:r>
      <w:r>
        <w:rPr>
          <w:sz w:val="18"/>
          <w:szCs w:val="18"/>
        </w:rPr>
        <w:t xml:space="preserve">each mapped to a layer of the </w:t>
      </w:r>
      <w:r>
        <w:rPr>
          <w:i/>
          <w:iCs/>
          <w:sz w:val="18"/>
          <w:szCs w:val="18"/>
        </w:rPr>
        <w:t>pañca-kośa</w:t>
      </w:r>
      <w:r>
        <w:rPr>
          <w:sz w:val="18"/>
          <w:szCs w:val="18"/>
        </w:rPr>
        <w:t xml:space="preserve"> model of the Taittirīya Upaniṣad and operationalised against a peer-reviewed physiological marker. We specify a pre-registered randomised controlled protocol whose primary endpoint is change in resting RMSSD over six months, and we state the condition under which the framework is falsified: failure to produce Cohen's d ≥ 0.25 on RMSSD across three independent replications. A reference audit specification (YOGICUX-LINT) accompanies the framework. We do not claim novelty for the underlying yogic categories; we claim novelty for their operationalisation as testable user-experience constraints.</w:t>
      </w:r>
    </w:p>
    <w:p w14:paraId="10BF53C9" w14:textId="77777777" w:rsidR="00E972BD" w:rsidRDefault="00000000">
      <w:pPr>
        <w:pStyle w:val="Heading1"/>
      </w:pPr>
      <w:r>
        <w:rPr>
          <w:b w:val="0"/>
          <w:bCs w:val="0"/>
        </w:rPr>
        <w:t>1. Introduction</w:t>
      </w:r>
    </w:p>
    <w:p w14:paraId="16FE10E0" w14:textId="09933FBD" w:rsidR="00E972BD" w:rsidRDefault="00000000">
      <w:pPr>
        <w:spacing w:after="140" w:line="264" w:lineRule="auto"/>
        <w:jc w:val="both"/>
      </w:pPr>
      <w:r>
        <w:t xml:space="preserve">A friend in Mumbai recently discovered that her sixteen-year-old daughter had spent three months talking to an AI late into the night, not </w:t>
      </w:r>
      <w:r w:rsidR="00DA6DC1">
        <w:t xml:space="preserve">just </w:t>
      </w:r>
      <w:r>
        <w:t>scrolling</w:t>
      </w:r>
      <w:r w:rsidR="00DA6DC1">
        <w:t xml:space="preserve"> or</w:t>
      </w:r>
      <w:r>
        <w:t xml:space="preserve"> messaging, but confiding</w:t>
      </w:r>
      <w:r w:rsidR="00DA6DC1">
        <w:t xml:space="preserve"> – </w:t>
      </w:r>
      <w:r>
        <w:t>paragraph after paragrap</w:t>
      </w:r>
      <w:r w:rsidR="00DA6DC1">
        <w:t xml:space="preserve">h – </w:t>
      </w:r>
      <w:r>
        <w:t xml:space="preserve">to a system that answered with patience and infinite availability. The mother's account contained a sentence this paper takes as its premise: </w:t>
      </w:r>
      <w:r>
        <w:rPr>
          <w:i/>
          <w:iCs/>
        </w:rPr>
        <w:t>I have built the world she lives in, and I have left a hole in it that this thing is in.</w:t>
      </w:r>
      <w:r>
        <w:t xml:space="preserve"> The hole was not an accident of one product. It is the predictable output of a methodology.</w:t>
      </w:r>
    </w:p>
    <w:p w14:paraId="2BDA2676" w14:textId="289E4674" w:rsidR="00E972BD" w:rsidRDefault="00000000">
      <w:pPr>
        <w:spacing w:after="140" w:line="264" w:lineRule="auto"/>
        <w:jc w:val="both"/>
      </w:pPr>
      <w:r>
        <w:t>That methodology is well documented. The dominant texts of consumer product design</w:t>
      </w:r>
      <w:r w:rsidR="00DA6DC1">
        <w:t xml:space="preserve"> – </w:t>
      </w:r>
      <w:r>
        <w:t>Fogg's behaviour model [1] and Eyal's Hook model [2]</w:t>
      </w:r>
      <w:r w:rsidR="00DA6DC1">
        <w:t xml:space="preserve"> – </w:t>
      </w:r>
      <w:r>
        <w:t>teach the deliberate construction of habit through a small set of levers. Four of those levers are load-bearing, and each, considered not as a behavioural mechanism but as a somatic event, engages a characterised stress pathway.</w:t>
      </w:r>
    </w:p>
    <w:p w14:paraId="6B024279" w14:textId="77777777" w:rsidR="00E972BD" w:rsidRDefault="00000000">
      <w:pPr>
        <w:spacing w:after="140" w:line="264" w:lineRule="auto"/>
        <w:jc w:val="both"/>
      </w:pPr>
      <w:r>
        <w:rPr>
          <w:b/>
          <w:bCs/>
        </w:rPr>
        <w:t xml:space="preserve">Variable reward. </w:t>
      </w:r>
      <w:r>
        <w:t>Unpredictable reinforcement schedules produce the highest and most extinction-resistant response rates known to behavioural psychology [3]. Midbrain dopamine encodes reward-prediction error [4], and sustained dopaminergic activation is maximal not at high or low probability but at irreducible 50/50 uncertainty—the regime variable-ratio schedules approximate [5]. The same irreducible uncertainty drives salivary cortisol, pupil dilation, and skin conductance, peaking at maximal unpredictability [6].</w:t>
      </w:r>
    </w:p>
    <w:p w14:paraId="50BD1258" w14:textId="77777777" w:rsidR="00E972BD" w:rsidRDefault="00000000">
      <w:pPr>
        <w:spacing w:after="140" w:line="264" w:lineRule="auto"/>
        <w:jc w:val="both"/>
      </w:pPr>
      <w:r>
        <w:rPr>
          <w:b/>
          <w:bCs/>
        </w:rPr>
        <w:t xml:space="preserve">Opacity. </w:t>
      </w:r>
      <w:r>
        <w:t>Black-box ranking and unauditable automated decision-making hold the user in a state of consequential uncertainty about outcomes. This is the paradigm case of the cortisol mechanism above [6], and it is increasingly a legal liability rather than merely an ethical one.</w:t>
      </w:r>
    </w:p>
    <w:p w14:paraId="00759383" w14:textId="77777777" w:rsidR="00E972BD" w:rsidRDefault="00000000">
      <w:pPr>
        <w:spacing w:after="140" w:line="264" w:lineRule="auto"/>
        <w:jc w:val="both"/>
      </w:pPr>
      <w:r>
        <w:rPr>
          <w:b/>
          <w:bCs/>
        </w:rPr>
        <w:t xml:space="preserve">Loss of control. </w:t>
      </w:r>
      <w:r>
        <w:t>Autoplay, infinite scroll, streaks that punish absence, and systems that act before the user asks remove the control signal that the medial prefrontal cortex actively detects. The contemporary reading of fifty years of helplessness research inverts the original interpretation: passivity is the default, and controllability is the thing the brain learns [7]. Autonomy is, in self-determination theory, a basic psychological need whose thwarting predicts ill-being across cultures [8]; low job control predicts coronary disease at meta-analytic scale [9].</w:t>
      </w:r>
    </w:p>
    <w:p w14:paraId="39A8BE64" w14:textId="77777777" w:rsidR="00E972BD" w:rsidRDefault="00000000">
      <w:pPr>
        <w:spacing w:after="140" w:line="264" w:lineRule="auto"/>
        <w:jc w:val="both"/>
      </w:pPr>
      <w:r>
        <w:rPr>
          <w:b/>
          <w:bCs/>
        </w:rPr>
        <w:t xml:space="preserve">Engineered comparison. </w:t>
      </w:r>
      <w:r>
        <w:t>Public, quantified, ranked social signals manufacture upward comparison, which reliably lowers state self-esteem and raises envy [10][11]. Internal platform disclosures have shown that emotional valence is an explicit ranking input [12]; brief deactivation of such a platform measurably lowers salivary cortisol [13].</w:t>
      </w:r>
    </w:p>
    <w:p w14:paraId="199CC5D8" w14:textId="77777777" w:rsidR="00E972BD" w:rsidRDefault="00000000">
      <w:pPr>
        <w:spacing w:after="140" w:line="264" w:lineRule="auto"/>
        <w:jc w:val="both"/>
      </w:pPr>
      <w:r>
        <w:lastRenderedPageBreak/>
        <w:t xml:space="preserve">The contribution of this paper begins with a claim about this list. </w:t>
      </w:r>
      <w:r>
        <w:rPr>
          <w:b/>
          <w:bCs/>
        </w:rPr>
        <w:t>The four engagement levers and the four classical objects of yogic dissolution are not merely analogous. They are, we hypothesise, the same somatic event driven in opposite directions.</w:t>
      </w:r>
      <w:r>
        <w:t xml:space="preserve"> Variable reward sustains sympathetic activation; predictable cadence permits parasympathetic re-entry. Opacity sustains the uncertainty-cortisol signal; transparency permits its discharge. Removed control engages the controllability circuit on the helpless side; restored sovereignty engages it on the side of agency. Comparison arouses the self-referential network; community without comparison permits its quiescence.</w:t>
      </w:r>
    </w:p>
    <w:p w14:paraId="2E5EA14C" w14:textId="35EC0792" w:rsidR="00E972BD" w:rsidRDefault="00000000">
      <w:pPr>
        <w:spacing w:after="140" w:line="264" w:lineRule="auto"/>
        <w:jc w:val="both"/>
      </w:pPr>
      <w:r>
        <w:t>We state at the outset the limit of this claim, because the credibility of everything that follows depends on it. The four pathways are individually well established. Their integration</w:t>
      </w:r>
      <w:r w:rsidR="00FE6B2C">
        <w:t xml:space="preserve"> – </w:t>
      </w:r>
      <w:r>
        <w:t>that interfaces aggregating the four levers produce a single chronic stress signature, and that interfaces inverting them produce its opposite</w:t>
      </w:r>
      <w:r w:rsidR="00FE6B2C">
        <w:t xml:space="preserve"> – </w:t>
      </w:r>
      <w:r>
        <w:t xml:space="preserve">is a </w:t>
      </w:r>
      <w:r>
        <w:rPr>
          <w:i/>
          <w:iCs/>
        </w:rPr>
        <w:t>falsifiable hypothesis</w:t>
      </w:r>
      <w:r>
        <w:t>, not a demonstrated fact. Section 5 specifies the experiment that would test it, and the result that would refute it.</w:t>
      </w:r>
    </w:p>
    <w:p w14:paraId="7F5EB26D" w14:textId="2AD4C366" w:rsidR="00E972BD" w:rsidRDefault="00000000">
      <w:pPr>
        <w:spacing w:after="140" w:line="264" w:lineRule="auto"/>
        <w:jc w:val="both"/>
      </w:pPr>
      <w:r>
        <w:t xml:space="preserve">The moment is favourable for reasons beyond physiology. Between November 2023 and August 2024, three of the world's largest consumer markets converged on prohibitions of precisely these levers: India's Central Consumer Protection Authority notified its Guidelines for Prevention and Regulation of Dark Patterns [14], enumerating thirteen enforceable patterns; the European Union's Digital Services Act brought Article 25's ban on manipulative interface design into force [15]; and the EU AI Act established a right to clear explanation of consequential automated decisions [16]. The prohibitions exist. What does not yet exist is a positive design system that operationalises them at scale. </w:t>
      </w:r>
      <w:r w:rsidRPr="00D4252F">
        <w:rPr>
          <w:sz w:val="22"/>
          <w:szCs w:val="22"/>
        </w:rPr>
        <w:t>YOGICUX</w:t>
      </w:r>
      <w:r w:rsidR="00D4252F">
        <w:rPr>
          <w:sz w:val="22"/>
          <w:szCs w:val="22"/>
        </w:rPr>
        <w:t xml:space="preserve"> </w:t>
      </w:r>
      <w:r w:rsidR="00D4252F" w:rsidRPr="00D4252F">
        <w:rPr>
          <w:sz w:val="22"/>
          <w:szCs w:val="22"/>
          <w:vertAlign w:val="superscript"/>
        </w:rPr>
        <w:t>TM</w:t>
      </w:r>
      <w:r>
        <w:t xml:space="preserve"> is proposed as that system.</w:t>
      </w:r>
    </w:p>
    <w:p w14:paraId="6EF00D49" w14:textId="77777777" w:rsidR="00E972BD" w:rsidRDefault="00000000">
      <w:pPr>
        <w:pStyle w:val="Heading1"/>
      </w:pPr>
      <w:r>
        <w:rPr>
          <w:b w:val="0"/>
          <w:bCs w:val="0"/>
        </w:rPr>
        <w:t>2. Prior Work</w:t>
      </w:r>
    </w:p>
    <w:p w14:paraId="0A3A95F2" w14:textId="77777777" w:rsidR="00E972BD" w:rsidRDefault="00000000">
      <w:pPr>
        <w:spacing w:after="140" w:line="264" w:lineRule="auto"/>
        <w:jc w:val="both"/>
      </w:pPr>
      <w:r>
        <w:rPr>
          <w:b/>
          <w:bCs/>
        </w:rPr>
        <w:t xml:space="preserve">The humane and calm lineage. </w:t>
      </w:r>
      <w:r>
        <w:t>Calm Technology, originating with Weiser and Brown at Xerox PARC [17] and codified by Case [18], governs notification and ambient design but does not name the engagement levers or rest on any physiological substrate. The Center for Humane Technology's Time Well Spent programme [19] is our nearest neighbour: it enumerates harms and design sensitivities with care. YOGICUX differs in structure rather than spirit—it claims a closed one-to-one inversion grid with a falsifiable somatic substrate and an explicit grounding in a living physiological tradition, where humane-technology work offers a diagnostic ledger and remediation heuristics. Digital-wellbeing dashboards [20] externalise regulation to the user while leaving the underlying model intact, a limitation the research literature has named directly [21].</w:t>
      </w:r>
    </w:p>
    <w:p w14:paraId="0497121A" w14:textId="77777777" w:rsidR="00E972BD" w:rsidRDefault="00000000">
      <w:pPr>
        <w:spacing w:after="140" w:line="264" w:lineRule="auto"/>
        <w:jc w:val="both"/>
      </w:pPr>
      <w:r>
        <w:rPr>
          <w:b/>
          <w:bCs/>
        </w:rPr>
        <w:t xml:space="preserve">The body-centred lineage. </w:t>
      </w:r>
      <w:r>
        <w:t>Soma design [22], with roots in Shusterman's somaesthetics, already builds breath-cycle interfaces and is the second-closest prior art; it is, however, phenomenological and tradition-agnostic, where YOGICUX commits to a specific physiology and frames the contribution as an inversion grid. Contemplative computing [23] intervenes on the user's practice rather than the artifact. Value-sensitive design [24] supplies a value-agnostic scaffolding whose substantive content YOGICUX provides. A deliberate search of the human-computer interaction literature returns essentially no prior framework erecting classical yogic physiology as a foundational design discipline; the territory is open.</w:t>
      </w:r>
    </w:p>
    <w:p w14:paraId="329E10DD" w14:textId="77777777" w:rsidR="00E972BD" w:rsidRDefault="00000000">
      <w:pPr>
        <w:spacing w:after="140" w:line="264" w:lineRule="auto"/>
        <w:jc w:val="both"/>
      </w:pPr>
      <w:r>
        <w:rPr>
          <w:b/>
          <w:bCs/>
        </w:rPr>
        <w:t xml:space="preserve">The playbook we invert. </w:t>
      </w:r>
      <w:r>
        <w:t>Fogg [1] and Eyal [2] are not opponents to be refuted but the precise structure to be inverted: the four stages of the Hook—trigger, action, variable reward, investment—map one-to-one onto the four sutras below. The attention-economy critique of Wu [25], Williams [26], and Zuboff [27] supplies the diagnosis; the dark-patterns canon of Brignull [28], Gray and colleagues [29], and Mathur and colleagues [30] supplies the boundary of prohibition. YOGICUX operates one level above that boundary, defining the positive form of what a system ought to do.</w:t>
      </w:r>
    </w:p>
    <w:p w14:paraId="74F9C892" w14:textId="77777777" w:rsidR="00E972BD" w:rsidRDefault="00000000">
      <w:pPr>
        <w:spacing w:after="140" w:line="264" w:lineRule="auto"/>
        <w:jc w:val="both"/>
      </w:pPr>
      <w:r>
        <w:rPr>
          <w:b/>
          <w:bCs/>
        </w:rPr>
        <w:t xml:space="preserve">The frameworks we operationalise. </w:t>
      </w:r>
      <w:r>
        <w:t>The explainable-AI literature [31], the documentation standards of model cards [32] and datasheets [33], the contestability literature [34], privacy-by-design [35], and the self-sovereign-identity principles [36] each supply a component. None integrates them. Our novelty claim, stated precisely in Section 8, rests on the conjunction.</w:t>
      </w:r>
    </w:p>
    <w:p w14:paraId="2D908486" w14:textId="77777777" w:rsidR="00E972BD" w:rsidRDefault="00000000">
      <w:pPr>
        <w:pStyle w:val="Heading1"/>
      </w:pPr>
      <w:r>
        <w:rPr>
          <w:b w:val="0"/>
          <w:bCs w:val="0"/>
        </w:rPr>
        <w:lastRenderedPageBreak/>
        <w:t>3. The Layered Model</w:t>
      </w:r>
    </w:p>
    <w:p w14:paraId="1C38C958" w14:textId="77777777" w:rsidR="00E972BD" w:rsidRDefault="00000000">
      <w:pPr>
        <w:spacing w:after="140" w:line="264" w:lineRule="auto"/>
        <w:jc w:val="both"/>
      </w:pPr>
      <w:r>
        <w:t xml:space="preserve">The Taittirīya Upaniṣad describes the human being as five concentric sheaths—the </w:t>
      </w:r>
      <w:r>
        <w:rPr>
          <w:i/>
          <w:iCs/>
        </w:rPr>
        <w:t>pañca-kośa</w:t>
      </w:r>
      <w:r>
        <w:t xml:space="preserve">: </w:t>
      </w:r>
      <w:r>
        <w:rPr>
          <w:i/>
          <w:iCs/>
        </w:rPr>
        <w:t>annamaya</w:t>
      </w:r>
      <w:r>
        <w:t xml:space="preserve"> (the physical), </w:t>
      </w:r>
      <w:r>
        <w:rPr>
          <w:i/>
          <w:iCs/>
        </w:rPr>
        <w:t>prāṇamaya</w:t>
      </w:r>
      <w:r>
        <w:t xml:space="preserve"> (the vital or breath), </w:t>
      </w:r>
      <w:r>
        <w:rPr>
          <w:i/>
          <w:iCs/>
        </w:rPr>
        <w:t>manomaya</w:t>
      </w:r>
      <w:r>
        <w:t xml:space="preserve"> (the mental-emotional), </w:t>
      </w:r>
      <w:r>
        <w:rPr>
          <w:i/>
          <w:iCs/>
        </w:rPr>
        <w:t>vijñānamaya</w:t>
      </w:r>
      <w:r>
        <w:t xml:space="preserve"> (the discriminative), and </w:t>
      </w:r>
      <w:r>
        <w:rPr>
          <w:i/>
          <w:iCs/>
        </w:rPr>
        <w:t>ānandamaya</w:t>
      </w:r>
      <w:r>
        <w:t xml:space="preserve"> (the layer of meaning) [37]. We use this model as a layered design vocabulary, not as an anatomical or metaphysical claim—a discipline secular attention-design collapses into a single dimension, the sheaths keep distinct. An interface touches all five: the body at the surface of touch and tempo, the breath at the rhythm of arrival, the mind at the level of affect, the intellect at the architecture of decisions, and meaning at the level of closure and belonging.</w:t>
      </w:r>
    </w:p>
    <w:p w14:paraId="49910571" w14:textId="4B75121B" w:rsidR="00E972BD" w:rsidRDefault="00000000">
      <w:pPr>
        <w:spacing w:after="140" w:line="264" w:lineRule="auto"/>
        <w:jc w:val="both"/>
      </w:pPr>
      <w:r>
        <w:t>The framework's central object is the grid that results from reading the four engagement levers against the four sutras across these layers. Figure 1 is the canonical statement of YOGICUX</w:t>
      </w:r>
      <w:r w:rsidR="009D1A19" w:rsidRPr="009D1A19">
        <w:rPr>
          <w:b/>
          <w:bCs/>
          <w:position w:val="10"/>
          <w:sz w:val="13"/>
          <w:szCs w:val="13"/>
          <w:vertAlign w:val="superscript"/>
        </w:rPr>
        <w:t>™</w:t>
      </w:r>
      <w:r>
        <w:t>; the rest of the paper is its elaboration.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00"/>
        <w:gridCol w:w="1965"/>
        <w:gridCol w:w="1965"/>
        <w:gridCol w:w="1965"/>
        <w:gridCol w:w="1965"/>
      </w:tblGrid>
      <w:tr w:rsidR="00E972BD" w14:paraId="31B5410C" w14:textId="77777777">
        <w:trPr>
          <w:tblHeader/>
        </w:trPr>
        <w:tc>
          <w:tcPr>
            <w:tcW w:w="1500" w:type="dxa"/>
            <w:tcBorders>
              <w:top w:val="single" w:sz="4" w:space="0" w:color="888888"/>
              <w:left w:val="single" w:sz="4" w:space="0" w:color="888888"/>
              <w:bottom w:val="single" w:sz="4" w:space="0" w:color="888888"/>
              <w:right w:val="single" w:sz="4" w:space="0" w:color="888888"/>
            </w:tcBorders>
            <w:shd w:val="clear" w:color="auto" w:fill="ECECEC"/>
            <w:tcMar>
              <w:top w:w="60" w:type="dxa"/>
              <w:left w:w="90" w:type="dxa"/>
              <w:bottom w:w="60" w:type="dxa"/>
              <w:right w:w="90" w:type="dxa"/>
            </w:tcMar>
          </w:tcPr>
          <w:p w14:paraId="5B8A9D09" w14:textId="77777777" w:rsidR="00E972BD" w:rsidRDefault="00000000">
            <w:pPr>
              <w:spacing w:line="224" w:lineRule="auto"/>
              <w:jc w:val="center"/>
            </w:pPr>
            <w:r>
              <w:rPr>
                <w:b/>
                <w:bCs/>
                <w:sz w:val="15"/>
                <w:szCs w:val="15"/>
              </w:rPr>
              <w:t>Koṣa / Layer</w:t>
            </w:r>
          </w:p>
        </w:tc>
        <w:tc>
          <w:tcPr>
            <w:tcW w:w="1965" w:type="dxa"/>
            <w:tcBorders>
              <w:top w:val="single" w:sz="4" w:space="0" w:color="888888"/>
              <w:left w:val="single" w:sz="4" w:space="0" w:color="888888"/>
              <w:bottom w:val="single" w:sz="4" w:space="0" w:color="888888"/>
              <w:right w:val="single" w:sz="4" w:space="0" w:color="888888"/>
            </w:tcBorders>
            <w:shd w:val="clear" w:color="auto" w:fill="ECECEC"/>
            <w:tcMar>
              <w:top w:w="60" w:type="dxa"/>
              <w:left w:w="90" w:type="dxa"/>
              <w:bottom w:w="60" w:type="dxa"/>
              <w:right w:w="90" w:type="dxa"/>
            </w:tcMar>
          </w:tcPr>
          <w:p w14:paraId="6FB74C11" w14:textId="77777777" w:rsidR="00E972BD" w:rsidRDefault="00000000">
            <w:pPr>
              <w:spacing w:line="224" w:lineRule="auto"/>
              <w:jc w:val="center"/>
            </w:pPr>
            <w:r>
              <w:rPr>
                <w:b/>
                <w:bCs/>
                <w:sz w:val="15"/>
                <w:szCs w:val="15"/>
              </w:rPr>
              <w:t>Sutra 1 — Rhythm</w:t>
            </w:r>
          </w:p>
        </w:tc>
        <w:tc>
          <w:tcPr>
            <w:tcW w:w="1965" w:type="dxa"/>
            <w:tcBorders>
              <w:top w:val="single" w:sz="4" w:space="0" w:color="888888"/>
              <w:left w:val="single" w:sz="4" w:space="0" w:color="888888"/>
              <w:bottom w:val="single" w:sz="4" w:space="0" w:color="888888"/>
              <w:right w:val="single" w:sz="4" w:space="0" w:color="888888"/>
            </w:tcBorders>
            <w:shd w:val="clear" w:color="auto" w:fill="ECECEC"/>
            <w:tcMar>
              <w:top w:w="60" w:type="dxa"/>
              <w:left w:w="90" w:type="dxa"/>
              <w:bottom w:w="60" w:type="dxa"/>
              <w:right w:w="90" w:type="dxa"/>
            </w:tcMar>
          </w:tcPr>
          <w:p w14:paraId="65EE144C" w14:textId="77777777" w:rsidR="00E972BD" w:rsidRDefault="00000000">
            <w:pPr>
              <w:spacing w:line="224" w:lineRule="auto"/>
              <w:jc w:val="center"/>
            </w:pPr>
            <w:r>
              <w:rPr>
                <w:b/>
                <w:bCs/>
                <w:sz w:val="15"/>
                <w:szCs w:val="15"/>
              </w:rPr>
              <w:t>Sutra 2 — Reasoning Shared</w:t>
            </w:r>
          </w:p>
        </w:tc>
        <w:tc>
          <w:tcPr>
            <w:tcW w:w="1965" w:type="dxa"/>
            <w:tcBorders>
              <w:top w:val="single" w:sz="4" w:space="0" w:color="888888"/>
              <w:left w:val="single" w:sz="4" w:space="0" w:color="888888"/>
              <w:bottom w:val="single" w:sz="4" w:space="0" w:color="888888"/>
              <w:right w:val="single" w:sz="4" w:space="0" w:color="888888"/>
            </w:tcBorders>
            <w:shd w:val="clear" w:color="auto" w:fill="ECECEC"/>
            <w:tcMar>
              <w:top w:w="60" w:type="dxa"/>
              <w:left w:w="90" w:type="dxa"/>
              <w:bottom w:w="60" w:type="dxa"/>
              <w:right w:w="90" w:type="dxa"/>
            </w:tcMar>
          </w:tcPr>
          <w:p w14:paraId="798D85A4" w14:textId="77777777" w:rsidR="00E972BD" w:rsidRDefault="00000000">
            <w:pPr>
              <w:spacing w:line="224" w:lineRule="auto"/>
              <w:jc w:val="center"/>
            </w:pPr>
            <w:r>
              <w:rPr>
                <w:b/>
                <w:bCs/>
                <w:sz w:val="15"/>
                <w:szCs w:val="15"/>
              </w:rPr>
              <w:t>Sutra 3 — Sovereignty</w:t>
            </w:r>
          </w:p>
        </w:tc>
        <w:tc>
          <w:tcPr>
            <w:tcW w:w="1965" w:type="dxa"/>
            <w:tcBorders>
              <w:top w:val="single" w:sz="4" w:space="0" w:color="888888"/>
              <w:left w:val="single" w:sz="4" w:space="0" w:color="888888"/>
              <w:bottom w:val="single" w:sz="4" w:space="0" w:color="888888"/>
              <w:right w:val="single" w:sz="4" w:space="0" w:color="888888"/>
            </w:tcBorders>
            <w:shd w:val="clear" w:color="auto" w:fill="ECECEC"/>
            <w:tcMar>
              <w:top w:w="60" w:type="dxa"/>
              <w:left w:w="90" w:type="dxa"/>
              <w:bottom w:w="60" w:type="dxa"/>
              <w:right w:w="90" w:type="dxa"/>
            </w:tcMar>
          </w:tcPr>
          <w:p w14:paraId="454CE335" w14:textId="77777777" w:rsidR="00E972BD" w:rsidRDefault="00000000">
            <w:pPr>
              <w:spacing w:line="224" w:lineRule="auto"/>
              <w:jc w:val="center"/>
            </w:pPr>
            <w:r>
              <w:rPr>
                <w:b/>
                <w:bCs/>
                <w:sz w:val="15"/>
                <w:szCs w:val="15"/>
              </w:rPr>
              <w:t>Sutra 4 — Community w/o Comparison</w:t>
            </w:r>
          </w:p>
        </w:tc>
      </w:tr>
      <w:tr w:rsidR="00E972BD" w14:paraId="0F295099" w14:textId="77777777">
        <w:tc>
          <w:tcPr>
            <w:tcW w:w="1500" w:type="dxa"/>
            <w:tcBorders>
              <w:top w:val="single" w:sz="4" w:space="0" w:color="888888"/>
              <w:left w:val="single" w:sz="4" w:space="0" w:color="888888"/>
              <w:bottom w:val="single" w:sz="4" w:space="0" w:color="888888"/>
              <w:right w:val="single" w:sz="4" w:space="0" w:color="888888"/>
            </w:tcBorders>
            <w:shd w:val="clear" w:color="auto" w:fill="F4F4F4"/>
            <w:tcMar>
              <w:top w:w="60" w:type="dxa"/>
              <w:left w:w="90" w:type="dxa"/>
              <w:bottom w:w="60" w:type="dxa"/>
              <w:right w:w="90" w:type="dxa"/>
            </w:tcMar>
          </w:tcPr>
          <w:p w14:paraId="118D2634" w14:textId="77777777" w:rsidR="00E972BD" w:rsidRDefault="00000000">
            <w:pPr>
              <w:spacing w:line="224" w:lineRule="auto"/>
            </w:pPr>
            <w:r>
              <w:rPr>
                <w:b/>
                <w:bCs/>
                <w:sz w:val="14"/>
                <w:szCs w:val="14"/>
              </w:rPr>
              <w:t>Yogic locus</w:t>
            </w:r>
          </w:p>
        </w:tc>
        <w:tc>
          <w:tcPr>
            <w:tcW w:w="1965" w:type="dxa"/>
            <w:tcBorders>
              <w:top w:val="single" w:sz="4" w:space="0" w:color="888888"/>
              <w:left w:val="single" w:sz="4" w:space="0" w:color="888888"/>
              <w:bottom w:val="single" w:sz="4" w:space="0" w:color="888888"/>
              <w:right w:val="single" w:sz="4" w:space="0" w:color="888888"/>
            </w:tcBorders>
            <w:tcMar>
              <w:top w:w="60" w:type="dxa"/>
              <w:left w:w="90" w:type="dxa"/>
              <w:bottom w:w="60" w:type="dxa"/>
              <w:right w:w="90" w:type="dxa"/>
            </w:tcMar>
          </w:tcPr>
          <w:p w14:paraId="6EFF5F3F" w14:textId="77777777" w:rsidR="00E972BD" w:rsidRDefault="00000000">
            <w:pPr>
              <w:spacing w:line="224" w:lineRule="auto"/>
            </w:pPr>
            <w:r>
              <w:rPr>
                <w:i/>
                <w:iCs/>
                <w:sz w:val="15"/>
                <w:szCs w:val="15"/>
              </w:rPr>
              <w:t>sama</w:t>
            </w:r>
          </w:p>
          <w:p w14:paraId="55F5E33B" w14:textId="77777777" w:rsidR="00E972BD" w:rsidRDefault="00000000">
            <w:pPr>
              <w:spacing w:line="224" w:lineRule="auto"/>
            </w:pPr>
            <w:r>
              <w:rPr>
                <w:sz w:val="15"/>
                <w:szCs w:val="15"/>
              </w:rPr>
              <w:t>equilibrium</w:t>
            </w:r>
          </w:p>
        </w:tc>
        <w:tc>
          <w:tcPr>
            <w:tcW w:w="1965" w:type="dxa"/>
            <w:tcBorders>
              <w:top w:val="single" w:sz="4" w:space="0" w:color="888888"/>
              <w:left w:val="single" w:sz="4" w:space="0" w:color="888888"/>
              <w:bottom w:val="single" w:sz="4" w:space="0" w:color="888888"/>
              <w:right w:val="single" w:sz="4" w:space="0" w:color="888888"/>
            </w:tcBorders>
            <w:tcMar>
              <w:top w:w="60" w:type="dxa"/>
              <w:left w:w="90" w:type="dxa"/>
              <w:bottom w:w="60" w:type="dxa"/>
              <w:right w:w="90" w:type="dxa"/>
            </w:tcMar>
          </w:tcPr>
          <w:p w14:paraId="551B2520" w14:textId="77777777" w:rsidR="00E972BD" w:rsidRDefault="00000000">
            <w:pPr>
              <w:spacing w:line="224" w:lineRule="auto"/>
            </w:pPr>
            <w:r>
              <w:rPr>
                <w:i/>
                <w:iCs/>
                <w:sz w:val="15"/>
                <w:szCs w:val="15"/>
              </w:rPr>
              <w:t>jñāna / satya</w:t>
            </w:r>
          </w:p>
          <w:p w14:paraId="0D6C1C89" w14:textId="77777777" w:rsidR="00E972BD" w:rsidRDefault="00000000">
            <w:pPr>
              <w:spacing w:line="224" w:lineRule="auto"/>
            </w:pPr>
            <w:r>
              <w:rPr>
                <w:sz w:val="15"/>
                <w:szCs w:val="15"/>
              </w:rPr>
              <w:t>knowledge, truth</w:t>
            </w:r>
          </w:p>
        </w:tc>
        <w:tc>
          <w:tcPr>
            <w:tcW w:w="1965" w:type="dxa"/>
            <w:tcBorders>
              <w:top w:val="single" w:sz="4" w:space="0" w:color="888888"/>
              <w:left w:val="single" w:sz="4" w:space="0" w:color="888888"/>
              <w:bottom w:val="single" w:sz="4" w:space="0" w:color="888888"/>
              <w:right w:val="single" w:sz="4" w:space="0" w:color="888888"/>
            </w:tcBorders>
            <w:tcMar>
              <w:top w:w="60" w:type="dxa"/>
              <w:left w:w="90" w:type="dxa"/>
              <w:bottom w:w="60" w:type="dxa"/>
              <w:right w:w="90" w:type="dxa"/>
            </w:tcMar>
          </w:tcPr>
          <w:p w14:paraId="078F7A6E" w14:textId="77777777" w:rsidR="00E972BD" w:rsidRDefault="00000000">
            <w:pPr>
              <w:spacing w:line="224" w:lineRule="auto"/>
            </w:pPr>
            <w:r>
              <w:rPr>
                <w:i/>
                <w:iCs/>
                <w:sz w:val="15"/>
                <w:szCs w:val="15"/>
              </w:rPr>
              <w:t>kaivalya</w:t>
            </w:r>
          </w:p>
          <w:p w14:paraId="26588C74" w14:textId="77777777" w:rsidR="00E972BD" w:rsidRDefault="00000000">
            <w:pPr>
              <w:spacing w:line="224" w:lineRule="auto"/>
            </w:pPr>
            <w:r>
              <w:rPr>
                <w:sz w:val="15"/>
                <w:szCs w:val="15"/>
              </w:rPr>
              <w:t>sovereign independence</w:t>
            </w:r>
          </w:p>
        </w:tc>
        <w:tc>
          <w:tcPr>
            <w:tcW w:w="1965" w:type="dxa"/>
            <w:tcBorders>
              <w:top w:val="single" w:sz="4" w:space="0" w:color="888888"/>
              <w:left w:val="single" w:sz="4" w:space="0" w:color="888888"/>
              <w:bottom w:val="single" w:sz="4" w:space="0" w:color="888888"/>
              <w:right w:val="single" w:sz="4" w:space="0" w:color="888888"/>
            </w:tcBorders>
            <w:tcMar>
              <w:top w:w="60" w:type="dxa"/>
              <w:left w:w="90" w:type="dxa"/>
              <w:bottom w:w="60" w:type="dxa"/>
              <w:right w:w="90" w:type="dxa"/>
            </w:tcMar>
          </w:tcPr>
          <w:p w14:paraId="2E11045A" w14:textId="77777777" w:rsidR="00E972BD" w:rsidRDefault="00000000">
            <w:pPr>
              <w:spacing w:line="224" w:lineRule="auto"/>
            </w:pPr>
            <w:r>
              <w:rPr>
                <w:i/>
                <w:iCs/>
                <w:sz w:val="15"/>
                <w:szCs w:val="15"/>
              </w:rPr>
              <w:t>dissolution of ahaṃkāra</w:t>
            </w:r>
          </w:p>
          <w:p w14:paraId="5DE0ABBD" w14:textId="77777777" w:rsidR="00E972BD" w:rsidRDefault="00000000">
            <w:pPr>
              <w:spacing w:line="224" w:lineRule="auto"/>
            </w:pPr>
            <w:r>
              <w:rPr>
                <w:sz w:val="15"/>
                <w:szCs w:val="15"/>
              </w:rPr>
              <w:t>the swollen ego</w:t>
            </w:r>
          </w:p>
        </w:tc>
      </w:tr>
      <w:tr w:rsidR="00E972BD" w14:paraId="4D47A9A9" w14:textId="77777777">
        <w:tc>
          <w:tcPr>
            <w:tcW w:w="1500" w:type="dxa"/>
            <w:tcBorders>
              <w:top w:val="single" w:sz="4" w:space="0" w:color="888888"/>
              <w:left w:val="single" w:sz="4" w:space="0" w:color="888888"/>
              <w:bottom w:val="single" w:sz="4" w:space="0" w:color="888888"/>
              <w:right w:val="single" w:sz="4" w:space="0" w:color="888888"/>
            </w:tcBorders>
            <w:shd w:val="clear" w:color="auto" w:fill="F4F4F4"/>
            <w:tcMar>
              <w:top w:w="60" w:type="dxa"/>
              <w:left w:w="90" w:type="dxa"/>
              <w:bottom w:w="60" w:type="dxa"/>
              <w:right w:w="90" w:type="dxa"/>
            </w:tcMar>
          </w:tcPr>
          <w:p w14:paraId="3F05B661" w14:textId="77777777" w:rsidR="00E972BD" w:rsidRDefault="00000000">
            <w:pPr>
              <w:spacing w:line="224" w:lineRule="auto"/>
            </w:pPr>
            <w:r>
              <w:rPr>
                <w:b/>
                <w:bCs/>
                <w:sz w:val="14"/>
                <w:szCs w:val="14"/>
              </w:rPr>
              <w:t>Inverts the lever of</w:t>
            </w:r>
          </w:p>
        </w:tc>
        <w:tc>
          <w:tcPr>
            <w:tcW w:w="1965" w:type="dxa"/>
            <w:tcBorders>
              <w:top w:val="single" w:sz="4" w:space="0" w:color="888888"/>
              <w:left w:val="single" w:sz="4" w:space="0" w:color="888888"/>
              <w:bottom w:val="single" w:sz="4" w:space="0" w:color="888888"/>
              <w:right w:val="single" w:sz="4" w:space="0" w:color="888888"/>
            </w:tcBorders>
            <w:tcMar>
              <w:top w:w="60" w:type="dxa"/>
              <w:left w:w="90" w:type="dxa"/>
              <w:bottom w:w="60" w:type="dxa"/>
              <w:right w:w="90" w:type="dxa"/>
            </w:tcMar>
          </w:tcPr>
          <w:p w14:paraId="593274F0" w14:textId="77777777" w:rsidR="00E972BD" w:rsidRDefault="00000000">
            <w:pPr>
              <w:spacing w:line="224" w:lineRule="auto"/>
            </w:pPr>
            <w:r>
              <w:rPr>
                <w:sz w:val="15"/>
                <w:szCs w:val="15"/>
              </w:rPr>
              <w:t>Uncertainty</w:t>
            </w:r>
          </w:p>
          <w:p w14:paraId="7FBD02E2" w14:textId="77777777" w:rsidR="00E972BD" w:rsidRDefault="00000000">
            <w:pPr>
              <w:spacing w:line="224" w:lineRule="auto"/>
            </w:pPr>
            <w:r>
              <w:rPr>
                <w:color w:val="7A1F1F"/>
                <w:sz w:val="14"/>
                <w:szCs w:val="14"/>
              </w:rPr>
              <w:t>variable reward, the slot-machine pull</w:t>
            </w:r>
          </w:p>
        </w:tc>
        <w:tc>
          <w:tcPr>
            <w:tcW w:w="1965" w:type="dxa"/>
            <w:tcBorders>
              <w:top w:val="single" w:sz="4" w:space="0" w:color="888888"/>
              <w:left w:val="single" w:sz="4" w:space="0" w:color="888888"/>
              <w:bottom w:val="single" w:sz="4" w:space="0" w:color="888888"/>
              <w:right w:val="single" w:sz="4" w:space="0" w:color="888888"/>
            </w:tcBorders>
            <w:tcMar>
              <w:top w:w="60" w:type="dxa"/>
              <w:left w:w="90" w:type="dxa"/>
              <w:bottom w:w="60" w:type="dxa"/>
              <w:right w:w="90" w:type="dxa"/>
            </w:tcMar>
          </w:tcPr>
          <w:p w14:paraId="1124A74B" w14:textId="77777777" w:rsidR="00E972BD" w:rsidRDefault="00000000">
            <w:pPr>
              <w:spacing w:line="224" w:lineRule="auto"/>
            </w:pPr>
            <w:r>
              <w:rPr>
                <w:sz w:val="15"/>
                <w:szCs w:val="15"/>
              </w:rPr>
              <w:t>Opacity</w:t>
            </w:r>
          </w:p>
          <w:p w14:paraId="4632A038" w14:textId="77777777" w:rsidR="00E972BD" w:rsidRDefault="00000000">
            <w:pPr>
              <w:spacing w:line="224" w:lineRule="auto"/>
            </w:pPr>
            <w:r>
              <w:rPr>
                <w:color w:val="7A1F1F"/>
                <w:sz w:val="14"/>
                <w:szCs w:val="14"/>
              </w:rPr>
              <w:t>black-box ranking, unauditable AI</w:t>
            </w:r>
          </w:p>
        </w:tc>
        <w:tc>
          <w:tcPr>
            <w:tcW w:w="1965" w:type="dxa"/>
            <w:tcBorders>
              <w:top w:val="single" w:sz="4" w:space="0" w:color="888888"/>
              <w:left w:val="single" w:sz="4" w:space="0" w:color="888888"/>
              <w:bottom w:val="single" w:sz="4" w:space="0" w:color="888888"/>
              <w:right w:val="single" w:sz="4" w:space="0" w:color="888888"/>
            </w:tcBorders>
            <w:tcMar>
              <w:top w:w="60" w:type="dxa"/>
              <w:left w:w="90" w:type="dxa"/>
              <w:bottom w:w="60" w:type="dxa"/>
              <w:right w:w="90" w:type="dxa"/>
            </w:tcMar>
          </w:tcPr>
          <w:p w14:paraId="1F39521F" w14:textId="77777777" w:rsidR="00E972BD" w:rsidRDefault="00000000">
            <w:pPr>
              <w:spacing w:line="224" w:lineRule="auto"/>
            </w:pPr>
            <w:r>
              <w:rPr>
                <w:sz w:val="15"/>
                <w:szCs w:val="15"/>
              </w:rPr>
              <w:t>Loss of control</w:t>
            </w:r>
          </w:p>
          <w:p w14:paraId="75103791" w14:textId="77777777" w:rsidR="00E972BD" w:rsidRDefault="00000000">
            <w:pPr>
              <w:spacing w:line="224" w:lineRule="auto"/>
            </w:pPr>
            <w:r>
              <w:rPr>
                <w:color w:val="7A1F1F"/>
                <w:sz w:val="14"/>
                <w:szCs w:val="14"/>
              </w:rPr>
              <w:t>autoplay, streaks, infinite scroll</w:t>
            </w:r>
          </w:p>
        </w:tc>
        <w:tc>
          <w:tcPr>
            <w:tcW w:w="1965" w:type="dxa"/>
            <w:tcBorders>
              <w:top w:val="single" w:sz="4" w:space="0" w:color="888888"/>
              <w:left w:val="single" w:sz="4" w:space="0" w:color="888888"/>
              <w:bottom w:val="single" w:sz="4" w:space="0" w:color="888888"/>
              <w:right w:val="single" w:sz="4" w:space="0" w:color="888888"/>
            </w:tcBorders>
            <w:tcMar>
              <w:top w:w="60" w:type="dxa"/>
              <w:left w:w="90" w:type="dxa"/>
              <w:bottom w:w="60" w:type="dxa"/>
              <w:right w:w="90" w:type="dxa"/>
            </w:tcMar>
          </w:tcPr>
          <w:p w14:paraId="0A309A62" w14:textId="77777777" w:rsidR="00E972BD" w:rsidRDefault="00000000">
            <w:pPr>
              <w:spacing w:line="224" w:lineRule="auto"/>
            </w:pPr>
            <w:r>
              <w:rPr>
                <w:sz w:val="15"/>
                <w:szCs w:val="15"/>
              </w:rPr>
              <w:t>Conflict</w:t>
            </w:r>
          </w:p>
          <w:p w14:paraId="059F59E0" w14:textId="77777777" w:rsidR="00E972BD" w:rsidRDefault="00000000">
            <w:pPr>
              <w:spacing w:line="224" w:lineRule="auto"/>
            </w:pPr>
            <w:r>
              <w:rPr>
                <w:color w:val="7A1F1F"/>
                <w:sz w:val="14"/>
                <w:szCs w:val="14"/>
              </w:rPr>
              <w:t>likes, followers, outrage ranking</w:t>
            </w:r>
          </w:p>
        </w:tc>
      </w:tr>
      <w:tr w:rsidR="00E972BD" w14:paraId="7D2E8F1F" w14:textId="77777777">
        <w:tc>
          <w:tcPr>
            <w:tcW w:w="1500" w:type="dxa"/>
            <w:tcBorders>
              <w:top w:val="single" w:sz="4" w:space="0" w:color="888888"/>
              <w:left w:val="single" w:sz="4" w:space="0" w:color="888888"/>
              <w:bottom w:val="single" w:sz="4" w:space="0" w:color="888888"/>
              <w:right w:val="single" w:sz="4" w:space="0" w:color="888888"/>
            </w:tcBorders>
            <w:shd w:val="clear" w:color="auto" w:fill="F4F4F4"/>
            <w:tcMar>
              <w:top w:w="60" w:type="dxa"/>
              <w:left w:w="90" w:type="dxa"/>
              <w:bottom w:w="60" w:type="dxa"/>
              <w:right w:w="90" w:type="dxa"/>
            </w:tcMar>
          </w:tcPr>
          <w:p w14:paraId="51449694" w14:textId="77777777" w:rsidR="00E972BD" w:rsidRDefault="00000000">
            <w:pPr>
              <w:spacing w:line="224" w:lineRule="auto"/>
            </w:pPr>
            <w:r>
              <w:rPr>
                <w:b/>
                <w:bCs/>
                <w:sz w:val="14"/>
                <w:szCs w:val="14"/>
              </w:rPr>
              <w:t>Primary koṣa</w:t>
            </w:r>
          </w:p>
        </w:tc>
        <w:tc>
          <w:tcPr>
            <w:tcW w:w="1965" w:type="dxa"/>
            <w:tcBorders>
              <w:top w:val="single" w:sz="4" w:space="0" w:color="888888"/>
              <w:left w:val="single" w:sz="4" w:space="0" w:color="888888"/>
              <w:bottom w:val="single" w:sz="4" w:space="0" w:color="888888"/>
              <w:right w:val="single" w:sz="4" w:space="0" w:color="888888"/>
            </w:tcBorders>
            <w:tcMar>
              <w:top w:w="60" w:type="dxa"/>
              <w:left w:w="90" w:type="dxa"/>
              <w:bottom w:w="60" w:type="dxa"/>
              <w:right w:w="90" w:type="dxa"/>
            </w:tcMar>
          </w:tcPr>
          <w:p w14:paraId="4F5191F8" w14:textId="77777777" w:rsidR="00E972BD" w:rsidRDefault="00000000">
            <w:pPr>
              <w:spacing w:line="224" w:lineRule="auto"/>
            </w:pPr>
            <w:r>
              <w:rPr>
                <w:i/>
                <w:iCs/>
                <w:sz w:val="15"/>
                <w:szCs w:val="15"/>
              </w:rPr>
              <w:t>prāṇamaya</w:t>
            </w:r>
            <w:r>
              <w:rPr>
                <w:sz w:val="15"/>
                <w:szCs w:val="15"/>
              </w:rPr>
              <w:t xml:space="preserve"> (breath / tempo)</w:t>
            </w:r>
          </w:p>
        </w:tc>
        <w:tc>
          <w:tcPr>
            <w:tcW w:w="1965" w:type="dxa"/>
            <w:tcBorders>
              <w:top w:val="single" w:sz="4" w:space="0" w:color="888888"/>
              <w:left w:val="single" w:sz="4" w:space="0" w:color="888888"/>
              <w:bottom w:val="single" w:sz="4" w:space="0" w:color="888888"/>
              <w:right w:val="single" w:sz="4" w:space="0" w:color="888888"/>
            </w:tcBorders>
            <w:tcMar>
              <w:top w:w="60" w:type="dxa"/>
              <w:left w:w="90" w:type="dxa"/>
              <w:bottom w:w="60" w:type="dxa"/>
              <w:right w:w="90" w:type="dxa"/>
            </w:tcMar>
          </w:tcPr>
          <w:p w14:paraId="0759A7A5" w14:textId="77777777" w:rsidR="00E972BD" w:rsidRDefault="00000000">
            <w:pPr>
              <w:spacing w:line="224" w:lineRule="auto"/>
            </w:pPr>
            <w:r>
              <w:rPr>
                <w:i/>
                <w:iCs/>
                <w:sz w:val="15"/>
                <w:szCs w:val="15"/>
              </w:rPr>
              <w:t>vijñānamaya</w:t>
            </w:r>
            <w:r>
              <w:rPr>
                <w:sz w:val="15"/>
                <w:szCs w:val="15"/>
              </w:rPr>
              <w:t xml:space="preserve"> (discrimination)</w:t>
            </w:r>
          </w:p>
        </w:tc>
        <w:tc>
          <w:tcPr>
            <w:tcW w:w="1965" w:type="dxa"/>
            <w:tcBorders>
              <w:top w:val="single" w:sz="4" w:space="0" w:color="888888"/>
              <w:left w:val="single" w:sz="4" w:space="0" w:color="888888"/>
              <w:bottom w:val="single" w:sz="4" w:space="0" w:color="888888"/>
              <w:right w:val="single" w:sz="4" w:space="0" w:color="888888"/>
            </w:tcBorders>
            <w:tcMar>
              <w:top w:w="60" w:type="dxa"/>
              <w:left w:w="90" w:type="dxa"/>
              <w:bottom w:w="60" w:type="dxa"/>
              <w:right w:w="90" w:type="dxa"/>
            </w:tcMar>
          </w:tcPr>
          <w:p w14:paraId="15812289" w14:textId="77777777" w:rsidR="00E972BD" w:rsidRDefault="00000000">
            <w:pPr>
              <w:spacing w:line="224" w:lineRule="auto"/>
            </w:pPr>
            <w:r>
              <w:rPr>
                <w:i/>
                <w:iCs/>
                <w:sz w:val="15"/>
                <w:szCs w:val="15"/>
              </w:rPr>
              <w:t>annamaya / manomaya</w:t>
            </w:r>
            <w:r>
              <w:rPr>
                <w:sz w:val="15"/>
                <w:szCs w:val="15"/>
              </w:rPr>
              <w:t xml:space="preserve"> (body, will)</w:t>
            </w:r>
          </w:p>
        </w:tc>
        <w:tc>
          <w:tcPr>
            <w:tcW w:w="1965" w:type="dxa"/>
            <w:tcBorders>
              <w:top w:val="single" w:sz="4" w:space="0" w:color="888888"/>
              <w:left w:val="single" w:sz="4" w:space="0" w:color="888888"/>
              <w:bottom w:val="single" w:sz="4" w:space="0" w:color="888888"/>
              <w:right w:val="single" w:sz="4" w:space="0" w:color="888888"/>
            </w:tcBorders>
            <w:tcMar>
              <w:top w:w="60" w:type="dxa"/>
              <w:left w:w="90" w:type="dxa"/>
              <w:bottom w:w="60" w:type="dxa"/>
              <w:right w:w="90" w:type="dxa"/>
            </w:tcMar>
          </w:tcPr>
          <w:p w14:paraId="1616A116" w14:textId="77777777" w:rsidR="00E972BD" w:rsidRDefault="00000000">
            <w:pPr>
              <w:spacing w:line="224" w:lineRule="auto"/>
            </w:pPr>
            <w:r>
              <w:rPr>
                <w:i/>
                <w:iCs/>
                <w:sz w:val="15"/>
                <w:szCs w:val="15"/>
              </w:rPr>
              <w:t>ānandamaya</w:t>
            </w:r>
            <w:r>
              <w:rPr>
                <w:sz w:val="15"/>
                <w:szCs w:val="15"/>
              </w:rPr>
              <w:t xml:space="preserve"> (meaning, belonging)</w:t>
            </w:r>
          </w:p>
        </w:tc>
      </w:tr>
      <w:tr w:rsidR="00E972BD" w14:paraId="35F2BE12" w14:textId="77777777">
        <w:tc>
          <w:tcPr>
            <w:tcW w:w="1500" w:type="dxa"/>
            <w:tcBorders>
              <w:top w:val="single" w:sz="4" w:space="0" w:color="888888"/>
              <w:left w:val="single" w:sz="4" w:space="0" w:color="888888"/>
              <w:bottom w:val="single" w:sz="4" w:space="0" w:color="888888"/>
              <w:right w:val="single" w:sz="4" w:space="0" w:color="888888"/>
            </w:tcBorders>
            <w:shd w:val="clear" w:color="auto" w:fill="F4F4F4"/>
            <w:tcMar>
              <w:top w:w="60" w:type="dxa"/>
              <w:left w:w="90" w:type="dxa"/>
              <w:bottom w:w="60" w:type="dxa"/>
              <w:right w:w="90" w:type="dxa"/>
            </w:tcMar>
          </w:tcPr>
          <w:p w14:paraId="7E35990F" w14:textId="77777777" w:rsidR="00E972BD" w:rsidRDefault="00000000">
            <w:pPr>
              <w:spacing w:line="224" w:lineRule="auto"/>
            </w:pPr>
            <w:r>
              <w:rPr>
                <w:b/>
                <w:bCs/>
                <w:sz w:val="14"/>
                <w:szCs w:val="14"/>
              </w:rPr>
              <w:t>Physiological correlate</w:t>
            </w:r>
          </w:p>
        </w:tc>
        <w:tc>
          <w:tcPr>
            <w:tcW w:w="1965" w:type="dxa"/>
            <w:tcBorders>
              <w:top w:val="single" w:sz="4" w:space="0" w:color="888888"/>
              <w:left w:val="single" w:sz="4" w:space="0" w:color="888888"/>
              <w:bottom w:val="single" w:sz="4" w:space="0" w:color="888888"/>
              <w:right w:val="single" w:sz="4" w:space="0" w:color="888888"/>
            </w:tcBorders>
            <w:tcMar>
              <w:top w:w="60" w:type="dxa"/>
              <w:left w:w="90" w:type="dxa"/>
              <w:bottom w:w="60" w:type="dxa"/>
              <w:right w:w="90" w:type="dxa"/>
            </w:tcMar>
          </w:tcPr>
          <w:p w14:paraId="693DDDF1" w14:textId="77777777" w:rsidR="00E972BD" w:rsidRDefault="00000000">
            <w:pPr>
              <w:spacing w:line="224" w:lineRule="auto"/>
            </w:pPr>
            <w:r>
              <w:rPr>
                <w:sz w:val="15"/>
                <w:szCs w:val="15"/>
              </w:rPr>
              <w:t>RMSSD; cortisol under uncertainty [5][6]</w:t>
            </w:r>
          </w:p>
        </w:tc>
        <w:tc>
          <w:tcPr>
            <w:tcW w:w="1965" w:type="dxa"/>
            <w:tcBorders>
              <w:top w:val="single" w:sz="4" w:space="0" w:color="888888"/>
              <w:left w:val="single" w:sz="4" w:space="0" w:color="888888"/>
              <w:bottom w:val="single" w:sz="4" w:space="0" w:color="888888"/>
              <w:right w:val="single" w:sz="4" w:space="0" w:color="888888"/>
            </w:tcBorders>
            <w:tcMar>
              <w:top w:w="60" w:type="dxa"/>
              <w:left w:w="90" w:type="dxa"/>
              <w:bottom w:w="60" w:type="dxa"/>
              <w:right w:w="90" w:type="dxa"/>
            </w:tcMar>
          </w:tcPr>
          <w:p w14:paraId="05784C62" w14:textId="77777777" w:rsidR="00E972BD" w:rsidRDefault="00000000">
            <w:pPr>
              <w:spacing w:line="224" w:lineRule="auto"/>
            </w:pPr>
            <w:r>
              <w:rPr>
                <w:sz w:val="15"/>
                <w:szCs w:val="15"/>
              </w:rPr>
              <w:t>uncertainty–cortisol; trust calibration [6]</w:t>
            </w:r>
          </w:p>
        </w:tc>
        <w:tc>
          <w:tcPr>
            <w:tcW w:w="1965" w:type="dxa"/>
            <w:tcBorders>
              <w:top w:val="single" w:sz="4" w:space="0" w:color="888888"/>
              <w:left w:val="single" w:sz="4" w:space="0" w:color="888888"/>
              <w:bottom w:val="single" w:sz="4" w:space="0" w:color="888888"/>
              <w:right w:val="single" w:sz="4" w:space="0" w:color="888888"/>
            </w:tcBorders>
            <w:tcMar>
              <w:top w:w="60" w:type="dxa"/>
              <w:left w:w="90" w:type="dxa"/>
              <w:bottom w:w="60" w:type="dxa"/>
              <w:right w:w="90" w:type="dxa"/>
            </w:tcMar>
          </w:tcPr>
          <w:p w14:paraId="7316F94E" w14:textId="77777777" w:rsidR="00E972BD" w:rsidRDefault="00000000">
            <w:pPr>
              <w:spacing w:line="224" w:lineRule="auto"/>
            </w:pPr>
            <w:r>
              <w:rPr>
                <w:sz w:val="15"/>
                <w:szCs w:val="15"/>
              </w:rPr>
              <w:t>HPA &amp; autonomic response to controllability [7][9]</w:t>
            </w:r>
          </w:p>
        </w:tc>
        <w:tc>
          <w:tcPr>
            <w:tcW w:w="1965" w:type="dxa"/>
            <w:tcBorders>
              <w:top w:val="single" w:sz="4" w:space="0" w:color="888888"/>
              <w:left w:val="single" w:sz="4" w:space="0" w:color="888888"/>
              <w:bottom w:val="single" w:sz="4" w:space="0" w:color="888888"/>
              <w:right w:val="single" w:sz="4" w:space="0" w:color="888888"/>
            </w:tcBorders>
            <w:tcMar>
              <w:top w:w="60" w:type="dxa"/>
              <w:left w:w="90" w:type="dxa"/>
              <w:bottom w:w="60" w:type="dxa"/>
              <w:right w:w="90" w:type="dxa"/>
            </w:tcMar>
          </w:tcPr>
          <w:p w14:paraId="53671DE5" w14:textId="77777777" w:rsidR="00E972BD" w:rsidRDefault="00000000">
            <w:pPr>
              <w:spacing w:line="224" w:lineRule="auto"/>
            </w:pPr>
            <w:r>
              <w:rPr>
                <w:sz w:val="15"/>
                <w:szCs w:val="15"/>
              </w:rPr>
              <w:t>state self-esteem; salivary cortisol [11][13]</w:t>
            </w:r>
          </w:p>
        </w:tc>
      </w:tr>
      <w:tr w:rsidR="00E972BD" w14:paraId="77D49197" w14:textId="77777777">
        <w:tc>
          <w:tcPr>
            <w:tcW w:w="1500" w:type="dxa"/>
            <w:tcBorders>
              <w:top w:val="single" w:sz="4" w:space="0" w:color="888888"/>
              <w:left w:val="single" w:sz="4" w:space="0" w:color="888888"/>
              <w:bottom w:val="single" w:sz="4" w:space="0" w:color="888888"/>
              <w:right w:val="single" w:sz="4" w:space="0" w:color="888888"/>
            </w:tcBorders>
            <w:shd w:val="clear" w:color="auto" w:fill="F4F4F4"/>
            <w:tcMar>
              <w:top w:w="60" w:type="dxa"/>
              <w:left w:w="90" w:type="dxa"/>
              <w:bottom w:w="60" w:type="dxa"/>
              <w:right w:w="90" w:type="dxa"/>
            </w:tcMar>
          </w:tcPr>
          <w:p w14:paraId="3C729740" w14:textId="77777777" w:rsidR="00E972BD" w:rsidRDefault="00000000">
            <w:pPr>
              <w:spacing w:line="224" w:lineRule="auto"/>
            </w:pPr>
            <w:r>
              <w:rPr>
                <w:b/>
                <w:bCs/>
                <w:sz w:val="14"/>
                <w:szCs w:val="14"/>
              </w:rPr>
              <w:t>Design rule</w:t>
            </w:r>
          </w:p>
        </w:tc>
        <w:tc>
          <w:tcPr>
            <w:tcW w:w="1965" w:type="dxa"/>
            <w:tcBorders>
              <w:top w:val="single" w:sz="4" w:space="0" w:color="888888"/>
              <w:left w:val="single" w:sz="4" w:space="0" w:color="888888"/>
              <w:bottom w:val="single" w:sz="4" w:space="0" w:color="888888"/>
              <w:right w:val="single" w:sz="4" w:space="0" w:color="888888"/>
            </w:tcBorders>
            <w:tcMar>
              <w:top w:w="60" w:type="dxa"/>
              <w:left w:w="90" w:type="dxa"/>
              <w:bottom w:w="60" w:type="dxa"/>
              <w:right w:w="90" w:type="dxa"/>
            </w:tcMar>
          </w:tcPr>
          <w:p w14:paraId="13213C82" w14:textId="77777777" w:rsidR="00E972BD" w:rsidRDefault="00000000">
            <w:pPr>
              <w:spacing w:line="224" w:lineRule="auto"/>
            </w:pPr>
            <w:r>
              <w:rPr>
                <w:sz w:val="15"/>
                <w:szCs w:val="15"/>
              </w:rPr>
              <w:t>The system keeps a clock the user can predict.</w:t>
            </w:r>
          </w:p>
        </w:tc>
        <w:tc>
          <w:tcPr>
            <w:tcW w:w="1965" w:type="dxa"/>
            <w:tcBorders>
              <w:top w:val="single" w:sz="4" w:space="0" w:color="888888"/>
              <w:left w:val="single" w:sz="4" w:space="0" w:color="888888"/>
              <w:bottom w:val="single" w:sz="4" w:space="0" w:color="888888"/>
              <w:right w:val="single" w:sz="4" w:space="0" w:color="888888"/>
            </w:tcBorders>
            <w:tcMar>
              <w:top w:w="60" w:type="dxa"/>
              <w:left w:w="90" w:type="dxa"/>
              <w:bottom w:w="60" w:type="dxa"/>
              <w:right w:w="90" w:type="dxa"/>
            </w:tcMar>
          </w:tcPr>
          <w:p w14:paraId="7D1AFAEC" w14:textId="77777777" w:rsidR="00E972BD" w:rsidRDefault="00000000">
            <w:pPr>
              <w:spacing w:line="224" w:lineRule="auto"/>
            </w:pPr>
            <w:r>
              <w:rPr>
                <w:sz w:val="15"/>
                <w:szCs w:val="15"/>
              </w:rPr>
              <w:t>Every decision shows its why and can be contested.</w:t>
            </w:r>
          </w:p>
        </w:tc>
        <w:tc>
          <w:tcPr>
            <w:tcW w:w="1965" w:type="dxa"/>
            <w:tcBorders>
              <w:top w:val="single" w:sz="4" w:space="0" w:color="888888"/>
              <w:left w:val="single" w:sz="4" w:space="0" w:color="888888"/>
              <w:bottom w:val="single" w:sz="4" w:space="0" w:color="888888"/>
              <w:right w:val="single" w:sz="4" w:space="0" w:color="888888"/>
            </w:tcBorders>
            <w:tcMar>
              <w:top w:w="60" w:type="dxa"/>
              <w:left w:w="90" w:type="dxa"/>
              <w:bottom w:w="60" w:type="dxa"/>
              <w:right w:w="90" w:type="dxa"/>
            </w:tcMar>
          </w:tcPr>
          <w:p w14:paraId="0F193CAE" w14:textId="77777777" w:rsidR="00E972BD" w:rsidRDefault="00000000">
            <w:pPr>
              <w:spacing w:line="224" w:lineRule="auto"/>
            </w:pPr>
            <w:r>
              <w:rPr>
                <w:sz w:val="15"/>
                <w:szCs w:val="15"/>
              </w:rPr>
              <w:t>Exit costs no more than entry; defaults are conservative.</w:t>
            </w:r>
          </w:p>
        </w:tc>
        <w:tc>
          <w:tcPr>
            <w:tcW w:w="1965" w:type="dxa"/>
            <w:tcBorders>
              <w:top w:val="single" w:sz="4" w:space="0" w:color="888888"/>
              <w:left w:val="single" w:sz="4" w:space="0" w:color="888888"/>
              <w:bottom w:val="single" w:sz="4" w:space="0" w:color="888888"/>
              <w:right w:val="single" w:sz="4" w:space="0" w:color="888888"/>
            </w:tcBorders>
            <w:tcMar>
              <w:top w:w="60" w:type="dxa"/>
              <w:left w:w="90" w:type="dxa"/>
              <w:bottom w:w="60" w:type="dxa"/>
              <w:right w:w="90" w:type="dxa"/>
            </w:tcMar>
          </w:tcPr>
          <w:p w14:paraId="563985F3" w14:textId="77777777" w:rsidR="00E972BD" w:rsidRDefault="00000000">
            <w:pPr>
              <w:spacing w:line="224" w:lineRule="auto"/>
            </w:pPr>
            <w:r>
              <w:rPr>
                <w:sz w:val="15"/>
                <w:szCs w:val="15"/>
              </w:rPr>
              <w:t>No public score sits on a person.</w:t>
            </w:r>
          </w:p>
        </w:tc>
      </w:tr>
    </w:tbl>
    <w:p w14:paraId="30E257A6" w14:textId="77777777" w:rsidR="00E972BD" w:rsidRDefault="00000000">
      <w:pPr>
        <w:spacing w:before="80" w:after="160" w:line="224" w:lineRule="auto"/>
        <w:jc w:val="both"/>
      </w:pPr>
      <w:r>
        <w:rPr>
          <w:b/>
          <w:bCs/>
          <w:sz w:val="16"/>
          <w:szCs w:val="16"/>
        </w:rPr>
        <w:t xml:space="preserve">Figure 1. </w:t>
      </w:r>
      <w:r>
        <w:rPr>
          <w:sz w:val="16"/>
          <w:szCs w:val="16"/>
        </w:rPr>
        <w:t>The YOGICUX grid. Four engagement levers, four inverting sutras, read across the five sheaths of the pañca-kośa model. Each column is a design commitment; each is the inversion of a lever that contemporary consumer software pulls.</w:t>
      </w:r>
    </w:p>
    <w:p w14:paraId="764956A4" w14:textId="77777777" w:rsidR="00E972BD" w:rsidRDefault="00000000">
      <w:pPr>
        <w:pStyle w:val="Heading1"/>
      </w:pPr>
      <w:r>
        <w:rPr>
          <w:b w:val="0"/>
          <w:bCs w:val="0"/>
        </w:rPr>
        <w:t>4. The Four Sutras</w:t>
      </w:r>
    </w:p>
    <w:p w14:paraId="768DBB86" w14:textId="77777777" w:rsidR="00E972BD" w:rsidRDefault="00000000">
      <w:pPr>
        <w:spacing w:after="140" w:line="264" w:lineRule="auto"/>
        <w:jc w:val="both"/>
      </w:pPr>
      <w:r>
        <w:t>Each sutra is stated as a principle, given its yogic locus, decomposed into design patterns with real product examples, bounded by anti-patterns mapped to the regulatory and dark-patterns literature, and made measurable across three layers—product telemetry, experiential self-report, and physiological marker. Each closes with a short set of heuristics intended for use in an actual design review.</w:t>
      </w:r>
    </w:p>
    <w:p w14:paraId="365FFDBD" w14:textId="612E327B" w:rsidR="00E972BD" w:rsidRDefault="00000000">
      <w:pPr>
        <w:pStyle w:val="Heading3"/>
      </w:pPr>
      <w:r>
        <w:rPr>
          <w:b w:val="0"/>
          <w:bCs w:val="0"/>
        </w:rPr>
        <w:t xml:space="preserve">4.1 Rhythm </w:t>
      </w:r>
      <w:r w:rsidR="00FE6B2C">
        <w:rPr>
          <w:b w:val="0"/>
          <w:bCs w:val="0"/>
        </w:rPr>
        <w:t>-</w:t>
      </w:r>
      <w:r>
        <w:rPr>
          <w:b w:val="0"/>
          <w:bCs w:val="0"/>
        </w:rPr>
        <w:t xml:space="preserve"> </w:t>
      </w:r>
      <w:proofErr w:type="spellStart"/>
      <w:r>
        <w:rPr>
          <w:b w:val="0"/>
          <w:bCs w:val="0"/>
          <w:i/>
          <w:iCs/>
        </w:rPr>
        <w:t>sama</w:t>
      </w:r>
      <w:proofErr w:type="spellEnd"/>
      <w:r>
        <w:rPr>
          <w:b w:val="0"/>
          <w:bCs w:val="0"/>
        </w:rPr>
        <w:t xml:space="preserve"> </w:t>
      </w:r>
      <w:r w:rsidR="00FE6B2C">
        <w:rPr>
          <w:b w:val="0"/>
          <w:bCs w:val="0"/>
        </w:rPr>
        <w:t>-</w:t>
      </w:r>
      <w:r>
        <w:rPr>
          <w:b w:val="0"/>
          <w:bCs w:val="0"/>
        </w:rPr>
        <w:t xml:space="preserve"> inverts Uncertainty</w:t>
      </w:r>
    </w:p>
    <w:p w14:paraId="1B961175" w14:textId="77777777" w:rsidR="00E972BD" w:rsidRDefault="00000000">
      <w:pPr>
        <w:spacing w:after="140" w:line="264" w:lineRule="auto"/>
        <w:jc w:val="both"/>
      </w:pPr>
      <w:r>
        <w:rPr>
          <w:b/>
          <w:bCs/>
        </w:rPr>
        <w:t xml:space="preserve">Principle. </w:t>
      </w:r>
      <w:r>
        <w:t>A compliant product replaces variable-ratio reinforcement with predictable cadence. Content, notifications, and refreshes arrive on a clock the user can anticipate, and the system is silent at all other times by default. Time-of-day becomes the interface, in place of the notification. The Bhagavad Gītā names the target—samatvaṃ yoga ucyate, “evenness is called yoga.” The slot machine works because the next pull is uncertain; the temple bell works because the next ring is not.</w:t>
      </w:r>
    </w:p>
    <w:p w14:paraId="67286827" w14:textId="77777777" w:rsidR="00E972BD" w:rsidRDefault="00000000">
      <w:pPr>
        <w:spacing w:after="140" w:line="264" w:lineRule="auto"/>
        <w:jc w:val="both"/>
      </w:pPr>
      <w:r>
        <w:rPr>
          <w:b/>
          <w:bCs/>
        </w:rPr>
        <w:t xml:space="preserve">Patterns. </w:t>
      </w:r>
      <w:r>
        <w:t>Scheduled digests rather than real-time feeds (HEY, with notifications off by default; RSS readers; Substack's daily cadence). Batched delivery (iOS Notification Summary; Focus modes). Time-locked release, whose discipline is that the same pull returns the same state until the next window (Wordle's once-a-day puzzle; Spotify's Monday Discover Weekly). A visible “next update at” label on every surface that changes. Cadences fitted to the user's chronotype rather than to a growth metric [38].</w:t>
      </w:r>
    </w:p>
    <w:p w14:paraId="14309848" w14:textId="77777777" w:rsidR="00E972BD" w:rsidRDefault="00000000">
      <w:pPr>
        <w:spacing w:after="140" w:line="264" w:lineRule="auto"/>
        <w:jc w:val="both"/>
      </w:pPr>
      <w:r>
        <w:rPr>
          <w:b/>
          <w:bCs/>
        </w:rPr>
        <w:t xml:space="preserve">Anti-patterns. </w:t>
      </w:r>
      <w:r>
        <w:t>Variable-time push to manufacture surprise; non-deterministic feed re-ordering on every fetch; the “maybe-a-like” delayed-feedback bundle; endless feeds with no natural terminus; loot-box mechanics outside games. Harris identified the pull-to-refresh gesture as mechanically a slot-machine lever; the inventor of infinite scroll has publicly disavowed it. India's dark-pattern guidelines name “nagging” directly [14].</w:t>
      </w:r>
    </w:p>
    <w:p w14:paraId="274EBC27" w14:textId="77777777" w:rsidR="00E972BD" w:rsidRDefault="00000000">
      <w:pPr>
        <w:spacing w:after="140" w:line="264" w:lineRule="auto"/>
        <w:jc w:val="both"/>
      </w:pPr>
      <w:r>
        <w:rPr>
          <w:b/>
          <w:bCs/>
        </w:rPr>
        <w:lastRenderedPageBreak/>
        <w:t xml:space="preserve">Measurement. </w:t>
      </w:r>
      <w:r>
        <w:rPr>
          <w:i/>
          <w:iCs/>
        </w:rPr>
        <w:t xml:space="preserve">Telemetry: </w:t>
      </w:r>
      <w:r>
        <w:t xml:space="preserve">a predictability score P = 1 − H(arrival times)/H(max), where P ≥ 0.7 is rhythmic and P &lt; 0.3 is slot-machine; unscheduled-notification rate (target → 0 for non-urgent classes); variable-reward code paths (target 0). </w:t>
      </w:r>
      <w:r>
        <w:rPr>
          <w:i/>
          <w:iCs/>
        </w:rPr>
        <w:t xml:space="preserve">Experiential: </w:t>
      </w:r>
      <w:r>
        <w:t xml:space="preserve">perceived predictability and anticipated-arrival pleasure on Likert scales; an inverted compulsion measure. </w:t>
      </w:r>
      <w:r>
        <w:rPr>
          <w:i/>
          <w:iCs/>
        </w:rPr>
        <w:t xml:space="preserve">Physiological: </w:t>
      </w:r>
      <w:r>
        <w:t>resting RMSSD before and after a two-week deployment; sleep-onset variance from actigraphy. We flag honestly that the HRV evidence here is converging rather than settled: a 2025 digital-reduction trial reported an unexpected RMSSD decrease in its reduction arm, which its authors treat as unresolved [39].</w:t>
      </w:r>
    </w:p>
    <w:p w14:paraId="1294EE46" w14:textId="77777777" w:rsidR="00E972BD" w:rsidRDefault="00000000">
      <w:pPr>
        <w:pBdr>
          <w:top w:val="none" w:sz="0" w:space="0" w:color="FFFFFF"/>
          <w:left w:val="single" w:sz="18" w:space="8" w:color="555555"/>
          <w:bottom w:val="none" w:sz="0" w:space="0" w:color="FFFFFF"/>
          <w:right w:val="none" w:sz="0" w:space="0" w:color="FFFFFF"/>
        </w:pBdr>
        <w:shd w:val="clear" w:color="auto" w:fill="F1F1EC"/>
        <w:spacing w:before="80" w:after="160" w:line="252" w:lineRule="auto"/>
        <w:ind w:left="120"/>
      </w:pPr>
      <w:r>
        <w:rPr>
          <w:b/>
          <w:bCs/>
          <w:i/>
          <w:iCs/>
        </w:rPr>
        <w:t xml:space="preserve">Rhythm heuristics. </w:t>
      </w:r>
      <w:r>
        <w:t>R1 Cadence over frequency. R2 Default to silence. R3 Announce the next beat. R4 One pull, one truth. R5 Provide a visible end to the session. R6 Honour the body's clock, not the product's. R7 No variable rewards outside games.</w:t>
      </w:r>
    </w:p>
    <w:p w14:paraId="7685BF8E" w14:textId="6FF6DE80" w:rsidR="00E972BD" w:rsidRDefault="00000000">
      <w:pPr>
        <w:pStyle w:val="Heading3"/>
      </w:pPr>
      <w:r>
        <w:rPr>
          <w:b w:val="0"/>
          <w:bCs w:val="0"/>
        </w:rPr>
        <w:t xml:space="preserve">4.2 Reasoning Shared </w:t>
      </w:r>
      <w:r w:rsidR="00FE6B2C">
        <w:rPr>
          <w:b w:val="0"/>
          <w:bCs w:val="0"/>
        </w:rPr>
        <w:t>-</w:t>
      </w:r>
      <w:r>
        <w:rPr>
          <w:b w:val="0"/>
          <w:bCs w:val="0"/>
        </w:rPr>
        <w:t xml:space="preserve"> </w:t>
      </w:r>
      <w:proofErr w:type="spellStart"/>
      <w:r>
        <w:rPr>
          <w:b w:val="0"/>
          <w:bCs w:val="0"/>
          <w:i/>
          <w:iCs/>
        </w:rPr>
        <w:t>jñāna</w:t>
      </w:r>
      <w:proofErr w:type="spellEnd"/>
      <w:r>
        <w:rPr>
          <w:b w:val="0"/>
          <w:bCs w:val="0"/>
        </w:rPr>
        <w:t xml:space="preserve"> </w:t>
      </w:r>
      <w:r w:rsidR="00FE6B2C">
        <w:rPr>
          <w:b w:val="0"/>
          <w:bCs w:val="0"/>
        </w:rPr>
        <w:t>-</w:t>
      </w:r>
      <w:r>
        <w:rPr>
          <w:b w:val="0"/>
          <w:bCs w:val="0"/>
        </w:rPr>
        <w:t xml:space="preserve"> inverts Opacity</w:t>
      </w:r>
    </w:p>
    <w:p w14:paraId="04129969" w14:textId="77777777" w:rsidR="00E972BD" w:rsidRDefault="00000000">
      <w:pPr>
        <w:spacing w:after="140" w:line="264" w:lineRule="auto"/>
        <w:jc w:val="both"/>
      </w:pPr>
      <w:r>
        <w:rPr>
          <w:b/>
          <w:bCs/>
        </w:rPr>
        <w:t xml:space="preserve">Principle. </w:t>
      </w:r>
      <w:r>
        <w:t>Every algorithmic decision is inspectable, explainable, and contestable at the point of impact. The metaphor is the glass house, not the black box. The yogic locus is jñāna (knowledge) and satya (truthfulness, the second yama), set against avidyā, the root affliction of misperception in Patañjali's account [40].</w:t>
      </w:r>
    </w:p>
    <w:p w14:paraId="5893F722" w14:textId="77777777" w:rsidR="00E972BD" w:rsidRDefault="00000000">
      <w:pPr>
        <w:spacing w:after="140" w:line="264" w:lineRule="auto"/>
        <w:jc w:val="both"/>
      </w:pPr>
      <w:r>
        <w:rPr>
          <w:b/>
          <w:bCs/>
        </w:rPr>
        <w:t xml:space="preserve">Patterns. </w:t>
      </w:r>
      <w:r>
        <w:t>Inline “why am I seeing this” affordances meeting a strict standard—at most three principal signals named in plain language, at least one actionable control, reachable in two taps. Recommendation surfaces that state their inputs. The documentation triad now emerging as industry practice: model cards [32], datasheets for datasets [33], and system cards (Meta published twenty-two in 2023). Content provenance via C2PA Content Credentials, with Apple's privacy “nutrition label” as the user-facing tile template. Assistants that show their work through inline citation and visible reasoning. User-selectable algorithms, as in Bluesky's open feed marketplace. Contestability and appeal paths, grounded in the design literature on contestable systems [34].</w:t>
      </w:r>
    </w:p>
    <w:p w14:paraId="3F7CB0B6" w14:textId="77777777" w:rsidR="00E972BD" w:rsidRDefault="00000000">
      <w:pPr>
        <w:spacing w:after="140" w:line="264" w:lineRule="auto"/>
        <w:jc w:val="both"/>
      </w:pPr>
      <w:r>
        <w:rPr>
          <w:b/>
          <w:bCs/>
        </w:rPr>
        <w:t xml:space="preserve">Anti-patterns. </w:t>
      </w:r>
      <w:r>
        <w:t>Black-box recommenders with no inline explanation; “AI magic” copy that mystifies mechanism, a direct violation of satya; the ranked feed presented as a neutral chronology; disguised advertisement; opaque moderation and unannounced reach limitation; generative output shipped without provenance; and “explanation theatre”—a why-surface that offers generic, non-actionable language and fails a fidelity test. These are bounded by India's guidelines [14], DSA Article 25 [15], and the AI Act's explanation right [16].</w:t>
      </w:r>
    </w:p>
    <w:p w14:paraId="2D941C65" w14:textId="77777777" w:rsidR="00E972BD" w:rsidRDefault="00000000">
      <w:pPr>
        <w:spacing w:after="140" w:line="264" w:lineRule="auto"/>
        <w:jc w:val="both"/>
      </w:pPr>
      <w:r>
        <w:rPr>
          <w:b/>
          <w:bCs/>
        </w:rPr>
        <w:t xml:space="preserve">Measurement. </w:t>
      </w:r>
      <w:r>
        <w:rPr>
          <w:i/>
          <w:iCs/>
        </w:rPr>
        <w:t xml:space="preserve">Telemetry: </w:t>
      </w:r>
      <w:r>
        <w:t xml:space="preserve">explanation coverage (≥ 95% of ranked items), system-card and datasheet coverage (100%), provenance coverage, contestability presence, and the existence of a transparent baseline ordering. </w:t>
      </w:r>
      <w:r>
        <w:rPr>
          <w:i/>
          <w:iCs/>
        </w:rPr>
        <w:t xml:space="preserve">Quality: </w:t>
      </w:r>
      <w:r>
        <w:t xml:space="preserve">explanation fidelity (does perturbing the named signal change the decision?) and forward-simulatability (after reading the explanation, can a user predict the next decision above 70%?), following the interpretability-science criteria [41]; trust calibration rather than mere trust. </w:t>
      </w:r>
      <w:r>
        <w:rPr>
          <w:i/>
          <w:iCs/>
        </w:rPr>
        <w:t xml:space="preserve">Physiological: </w:t>
      </w:r>
      <w:r>
        <w:t>a within-subjects probe comparing identical interfaces with and without explanation. We mark this last clearly—no published study isolates explanation presence as a physiological exposure; it is a contribution the proposed trial would make.</w:t>
      </w:r>
    </w:p>
    <w:p w14:paraId="26122636" w14:textId="77777777" w:rsidR="00E972BD" w:rsidRDefault="00000000">
      <w:pPr>
        <w:pBdr>
          <w:top w:val="none" w:sz="0" w:space="0" w:color="FFFFFF"/>
          <w:left w:val="single" w:sz="18" w:space="8" w:color="555555"/>
          <w:bottom w:val="none" w:sz="0" w:space="0" w:color="FFFFFF"/>
          <w:right w:val="none" w:sz="0" w:space="0" w:color="FFFFFF"/>
        </w:pBdr>
        <w:shd w:val="clear" w:color="auto" w:fill="F1F1EC"/>
        <w:spacing w:before="80" w:after="160" w:line="252" w:lineRule="auto"/>
        <w:ind w:left="120"/>
      </w:pPr>
      <w:r>
        <w:rPr>
          <w:b/>
          <w:bCs/>
          <w:i/>
          <w:iCs/>
        </w:rPr>
        <w:t xml:space="preserve">Reasoning-shared heuristics. </w:t>
      </w:r>
      <w:r>
        <w:t>J1 Show the why, inline. J2 Name three signals at most, in plain language. J3 Every explanation carries a control. J4 Card every model, sheet every dataset. J5 Provenance by default. J6 Offer a glass baseline. J7 Every automated decision is contestable.</w:t>
      </w:r>
    </w:p>
    <w:p w14:paraId="21509F17" w14:textId="0A7A3418" w:rsidR="00E972BD" w:rsidRDefault="00000000">
      <w:pPr>
        <w:pStyle w:val="Heading3"/>
      </w:pPr>
      <w:r>
        <w:rPr>
          <w:b w:val="0"/>
          <w:bCs w:val="0"/>
        </w:rPr>
        <w:t xml:space="preserve">4.3 Sovereignty by Default </w:t>
      </w:r>
      <w:r w:rsidR="008C0CAE">
        <w:rPr>
          <w:b w:val="0"/>
          <w:bCs w:val="0"/>
        </w:rPr>
        <w:t>-</w:t>
      </w:r>
      <w:r>
        <w:rPr>
          <w:b w:val="0"/>
          <w:bCs w:val="0"/>
        </w:rPr>
        <w:t xml:space="preserve"> </w:t>
      </w:r>
      <w:r>
        <w:rPr>
          <w:b w:val="0"/>
          <w:bCs w:val="0"/>
          <w:i/>
          <w:iCs/>
        </w:rPr>
        <w:t>kaivalya</w:t>
      </w:r>
      <w:r>
        <w:rPr>
          <w:b w:val="0"/>
          <w:bCs w:val="0"/>
        </w:rPr>
        <w:t xml:space="preserve"> </w:t>
      </w:r>
      <w:r w:rsidR="008C0CAE">
        <w:rPr>
          <w:b w:val="0"/>
          <w:bCs w:val="0"/>
        </w:rPr>
        <w:t>-</w:t>
      </w:r>
      <w:r>
        <w:rPr>
          <w:b w:val="0"/>
          <w:bCs w:val="0"/>
        </w:rPr>
        <w:t xml:space="preserve"> inverts Loss of Control</w:t>
      </w:r>
    </w:p>
    <w:p w14:paraId="2CF3F50C" w14:textId="77777777" w:rsidR="00E972BD" w:rsidRDefault="00000000">
      <w:pPr>
        <w:spacing w:after="140" w:line="264" w:lineRule="auto"/>
        <w:jc w:val="both"/>
      </w:pPr>
      <w:r>
        <w:rPr>
          <w:b/>
          <w:bCs/>
        </w:rPr>
        <w:t xml:space="preserve">Principle. </w:t>
      </w:r>
      <w:r>
        <w:t>The user is treated as a sovereign adult with an inalienable right to enter, modify, export, and leave without psychological taxation. Defaults are the most conservative option; flows are symmetric, so that leaving costs no more in steps or friction than joining; and the system does not act on the user's behalf uninvited. The yogic locus is kaivalya, the “sovereign independence” that names the fourth and final book of the Yoga Sūtra, together with pratyāhāra, the withdrawal of the senses from their objects [40]. Kaivalya is a stronger word than “autonomy”: it makes disentanglement the goal, not a feature.</w:t>
      </w:r>
    </w:p>
    <w:p w14:paraId="260C8FF9" w14:textId="77777777" w:rsidR="00E972BD" w:rsidRDefault="00000000">
      <w:pPr>
        <w:spacing w:after="140" w:line="264" w:lineRule="auto"/>
        <w:jc w:val="both"/>
      </w:pPr>
      <w:r>
        <w:rPr>
          <w:b/>
          <w:bCs/>
        </w:rPr>
        <w:t xml:space="preserve">Patterns. </w:t>
      </w:r>
      <w:r>
        <w:t xml:space="preserve">No streaks and no loss-aversion gamification—count what the user has done in a way that cannot decrease, as a finished-books total does, rather than a daily streak that punishes a pause; the </w:t>
      </w:r>
      <w:r>
        <w:lastRenderedPageBreak/>
        <w:t>Duolingo streak with its purchasable freeze is the canonical anti-pattern, weaponising prospect theory's loss aversion [42]. Friction placed at the entrance to compulsion rather than the exit from commitment—a brief intervention before opening a target app reduced consumption attempts in roughly a third of cases [43]. One-tap data export at the GDPR Article 20 floor; account deletion in three screens. AI features off by default (Apple Intelligence shipped off; an always-enabled launch of a screen-recording feature was reversed after backlash). A visible end of content. User-controlled feed algorithms and account portability between providers, as the AT Protocol and ActivityPub permit.</w:t>
      </w:r>
    </w:p>
    <w:p w14:paraId="4AFC094A" w14:textId="77777777" w:rsidR="00E972BD" w:rsidRDefault="00000000">
      <w:pPr>
        <w:spacing w:after="140" w:line="264" w:lineRule="auto"/>
        <w:jc w:val="both"/>
      </w:pPr>
      <w:r>
        <w:rPr>
          <w:b/>
          <w:bCs/>
        </w:rPr>
        <w:t xml:space="preserve">Anti-patterns. </w:t>
      </w:r>
      <w:r>
        <w:t>Streaks with loss aversion; autoplay on by default; infinite scroll with no chronological terminus, which the research literature ties to dissociation; confirm-shaming; forced continuity and subscription traps; the Roach Motel of asymmetric flows; pre-ticked consent, unlawful under European case law; and AI completing the user's expression uninvited. These are bounded by the dark-patterns canon [28][29][30] and by DSA Article 25 [15].</w:t>
      </w:r>
    </w:p>
    <w:p w14:paraId="41FD40D0" w14:textId="77777777" w:rsidR="00E972BD" w:rsidRDefault="00000000">
      <w:pPr>
        <w:spacing w:after="140" w:line="264" w:lineRule="auto"/>
        <w:jc w:val="both"/>
      </w:pPr>
      <w:r>
        <w:rPr>
          <w:b/>
          <w:bCs/>
        </w:rPr>
        <w:t xml:space="preserve">Measurement. </w:t>
      </w:r>
      <w:r>
        <w:rPr>
          <w:i/>
          <w:iCs/>
        </w:rPr>
        <w:t xml:space="preserve">Telemetry, externally auditable: </w:t>
      </w:r>
      <w:r>
        <w:t xml:space="preserve">time-to-export (≤ 60s to trigger), taps-to-deletion (≤ 3 screens), exit-symmetry ratio (≤ 1.0), proportion opt-in by default (≥ 90%), and three indices that must each equal zero—streaks, default autoplay, and AI-on-by-default. </w:t>
      </w:r>
      <w:r>
        <w:rPr>
          <w:i/>
          <w:iCs/>
        </w:rPr>
        <w:t xml:space="preserve">Experiential: </w:t>
      </w:r>
      <w:r>
        <w:t xml:space="preserve">the autonomy subscale of basic-need satisfaction [8]; a sense-of-agency scale; a psychological-reactance scale. </w:t>
      </w:r>
      <w:r>
        <w:rPr>
          <w:i/>
          <w:iCs/>
        </w:rPr>
        <w:t xml:space="preserve">Physiological: </w:t>
      </w:r>
      <w:r>
        <w:t>RMSSD before and after a controlled exposure to a sovereignty-respecting versus a sovereignty-violating flow.</w:t>
      </w:r>
    </w:p>
    <w:p w14:paraId="2BAC38BD" w14:textId="77777777" w:rsidR="00E972BD" w:rsidRDefault="00000000">
      <w:pPr>
        <w:pBdr>
          <w:top w:val="none" w:sz="0" w:space="0" w:color="FFFFFF"/>
          <w:left w:val="single" w:sz="18" w:space="8" w:color="555555"/>
          <w:bottom w:val="none" w:sz="0" w:space="0" w:color="FFFFFF"/>
          <w:right w:val="none" w:sz="0" w:space="0" w:color="FFFFFF"/>
        </w:pBdr>
        <w:shd w:val="clear" w:color="auto" w:fill="F1F1EC"/>
        <w:spacing w:before="80" w:after="160" w:line="252" w:lineRule="auto"/>
        <w:ind w:left="120"/>
      </w:pPr>
      <w:r>
        <w:rPr>
          <w:b/>
          <w:bCs/>
          <w:i/>
          <w:iCs/>
        </w:rPr>
        <w:t xml:space="preserve">Sovereignty heuristics. </w:t>
      </w:r>
      <w:r>
        <w:t>S1 Symmetric exit. S2 Never penalise a pause. S3 The default is the most conservative option. S4 Show the end. S5 Friction at the entrance to compulsion, not the exit from commitment. S6 Portability is a feature, not a favour. S7 The user writes their own sentences; AI completes only when invoked.</w:t>
      </w:r>
    </w:p>
    <w:p w14:paraId="090987F3" w14:textId="61D2FCBD" w:rsidR="00E972BD" w:rsidRDefault="00000000">
      <w:pPr>
        <w:pStyle w:val="Heading3"/>
      </w:pPr>
      <w:r>
        <w:rPr>
          <w:b w:val="0"/>
          <w:bCs w:val="0"/>
        </w:rPr>
        <w:t>4.4 Community without Comparison</w:t>
      </w:r>
      <w:r w:rsidR="008C0CAE">
        <w:rPr>
          <w:b w:val="0"/>
          <w:bCs w:val="0"/>
        </w:rPr>
        <w:t xml:space="preserve"> - </w:t>
      </w:r>
      <w:r>
        <w:rPr>
          <w:b w:val="0"/>
          <w:bCs w:val="0"/>
        </w:rPr>
        <w:t xml:space="preserve">dissolution of </w:t>
      </w:r>
      <w:proofErr w:type="spellStart"/>
      <w:r>
        <w:rPr>
          <w:b w:val="0"/>
          <w:bCs w:val="0"/>
          <w:i/>
          <w:iCs/>
        </w:rPr>
        <w:t>ahaṃkāra</w:t>
      </w:r>
      <w:proofErr w:type="spellEnd"/>
      <w:r>
        <w:rPr>
          <w:b w:val="0"/>
          <w:bCs w:val="0"/>
        </w:rPr>
        <w:t xml:space="preserve"> </w:t>
      </w:r>
      <w:r w:rsidR="008C0CAE">
        <w:rPr>
          <w:b w:val="0"/>
          <w:bCs w:val="0"/>
        </w:rPr>
        <w:t>-</w:t>
      </w:r>
      <w:r>
        <w:rPr>
          <w:b w:val="0"/>
          <w:bCs w:val="0"/>
        </w:rPr>
        <w:t xml:space="preserve"> inverts Conflict</w:t>
      </w:r>
    </w:p>
    <w:p w14:paraId="4DB12E39" w14:textId="77777777" w:rsidR="00E972BD" w:rsidRDefault="00000000">
      <w:pPr>
        <w:spacing w:after="140" w:line="264" w:lineRule="auto"/>
        <w:jc w:val="both"/>
      </w:pPr>
      <w:r>
        <w:rPr>
          <w:b/>
          <w:bCs/>
        </w:rPr>
        <w:t xml:space="preserve">Principle. </w:t>
      </w:r>
      <w:r>
        <w:t>A platform creates community to the degree that participation does not produce ranked, quantified, publicly visible status. The unit of participation is the conversation, not the score. No public quantified social signal serves as primary status; chronological order is the default and engagement ranking is opt-in; and reach is not winner-take-all. The yogic locus is the dissolution of ahaṃkāra, the ego-principle of the Sāṃkhya account [44], in favour of sangha, community without hierarchy.</w:t>
      </w:r>
    </w:p>
    <w:p w14:paraId="21471C59" w14:textId="77777777" w:rsidR="00E972BD" w:rsidRDefault="00000000">
      <w:pPr>
        <w:spacing w:after="140" w:line="264" w:lineRule="auto"/>
        <w:jc w:val="both"/>
      </w:pPr>
      <w:r>
        <w:rPr>
          <w:b/>
          <w:bCs/>
        </w:rPr>
        <w:t xml:space="preserve">Patterns. </w:t>
      </w:r>
      <w:r>
        <w:t>Hidden or removed counts, read correctly (see below); the absence of follower counts as status (Snapchat; Are.na); chronological feeds by default (Mastodon, Bluesky's Following feed, RSS); threaded discussion with anti-virality mechanics (Discourse trust earned by reading rather than karma); cooperation surfaces over competition surfaces (shared playlists, collaborative documents); comparison mediated around substance rather than self (Letterboxd's taste-affinity); and the small private group treated as first-class. The artist platform Cara grew from roughly fifty thousand to over seven hundred thousand users in a single week in 2024, a demonstration that demand for comparison-free community is real and unmet.</w:t>
      </w:r>
    </w:p>
    <w:p w14:paraId="40173B6D" w14:textId="77777777" w:rsidR="00E972BD" w:rsidRDefault="00000000">
      <w:pPr>
        <w:spacing w:after="140" w:line="264" w:lineRule="auto"/>
        <w:jc w:val="both"/>
      </w:pPr>
      <w:r>
        <w:rPr>
          <w:b/>
          <w:bCs/>
        </w:rPr>
        <w:t xml:space="preserve">Anti-patterns. </w:t>
      </w:r>
      <w:r>
        <w:t>Public counts as primary signal; follower counts as status; leaderboards outside games; engagement ranking with no opt-out, now restricted for the largest platforms under European law; and amplification by emotional valence—the disclosed practice of weighting an anger reaction far above a like [12]. The Instagram hide-likes experiment is the critical case: hiding the metric while leaving the engagement-ranked algorithm intact produced null average effects. We read this not as a refutation of the sutra but as evidence that removing a metric without restructuring the system around it does nothing. A clean implementation removes the metric and the ranking that depends on it.</w:t>
      </w:r>
    </w:p>
    <w:p w14:paraId="564FAE2C" w14:textId="77777777" w:rsidR="00E972BD" w:rsidRDefault="00000000">
      <w:pPr>
        <w:spacing w:after="140" w:line="264" w:lineRule="auto"/>
        <w:jc w:val="both"/>
      </w:pPr>
      <w:r>
        <w:rPr>
          <w:b/>
          <w:bCs/>
        </w:rPr>
        <w:t xml:space="preserve">Measurement. </w:t>
      </w:r>
      <w:r>
        <w:rPr>
          <w:i/>
          <w:iCs/>
        </w:rPr>
        <w:t xml:space="preserve">Telemetry: </w:t>
      </w:r>
      <w:r>
        <w:t xml:space="preserve">a public-metrics index (zero for a community-pure product); an attention-Gini over a seven-day window (below 0.5 egalitarian, above 0.85 a star system); and a voice-diversity index, the share of reach captured by the top one percent of accounts. </w:t>
      </w:r>
      <w:r>
        <w:rPr>
          <w:i/>
          <w:iCs/>
        </w:rPr>
        <w:t xml:space="preserve">Experiential: </w:t>
      </w:r>
      <w:r>
        <w:t xml:space="preserve">the comparison-orientation measure as a covariate identifying disproportionately affected users [10]; the envy and hostility components of an affect scale, before and after. </w:t>
      </w:r>
      <w:r>
        <w:rPr>
          <w:i/>
          <w:iCs/>
        </w:rPr>
        <w:t xml:space="preserve">Physiological: </w:t>
      </w:r>
      <w:r>
        <w:t>salivary cortisol across an exposure window, following the deactivation finding [13].</w:t>
      </w:r>
    </w:p>
    <w:p w14:paraId="49D9A533" w14:textId="77777777" w:rsidR="00E972BD" w:rsidRDefault="00000000">
      <w:pPr>
        <w:pBdr>
          <w:top w:val="none" w:sz="0" w:space="0" w:color="FFFFFF"/>
          <w:left w:val="single" w:sz="18" w:space="8" w:color="555555"/>
          <w:bottom w:val="none" w:sz="0" w:space="0" w:color="FFFFFF"/>
          <w:right w:val="none" w:sz="0" w:space="0" w:color="FFFFFF"/>
        </w:pBdr>
        <w:shd w:val="clear" w:color="auto" w:fill="F1F1EC"/>
        <w:spacing w:before="80" w:after="160" w:line="252" w:lineRule="auto"/>
        <w:ind w:left="120"/>
      </w:pPr>
      <w:r>
        <w:rPr>
          <w:b/>
          <w:bCs/>
          <w:i/>
          <w:iCs/>
        </w:rPr>
        <w:lastRenderedPageBreak/>
        <w:t xml:space="preserve">Community heuristics. </w:t>
      </w:r>
      <w:r>
        <w:t>C1 No public score on a person. C2 Chronological is the default; ranking is opt-in. C3 Optimise for the bottom of the long tail. C4 The unit of belonging is the conversation, not the score. C5 Never amplify by emotional valence. C6 Cooperation surfaces beat competition surfaces. C7 Make the small group a first-class citizen.</w:t>
      </w:r>
    </w:p>
    <w:p w14:paraId="3DA37FDA" w14:textId="77777777" w:rsidR="00E972BD" w:rsidRDefault="00000000">
      <w:pPr>
        <w:pStyle w:val="Heading1"/>
      </w:pPr>
      <w:r>
        <w:rPr>
          <w:b w:val="0"/>
          <w:bCs w:val="0"/>
        </w:rPr>
        <w:t>5. A Falsifiable Test Protocol</w:t>
      </w:r>
    </w:p>
    <w:p w14:paraId="446C9E5E" w14:textId="3AEB3CE3" w:rsidR="00E972BD" w:rsidRDefault="00000000">
      <w:pPr>
        <w:spacing w:after="140" w:line="264" w:lineRule="auto"/>
        <w:jc w:val="both"/>
      </w:pPr>
      <w:r>
        <w:t>A framework that cannot be refuted is a manifesto. This section specifies the experiment that converts YOGICUX</w:t>
      </w:r>
      <w:r w:rsidR="00FE6B2C" w:rsidRPr="00FE6B2C">
        <w:rPr>
          <w:b/>
          <w:bCs/>
          <w:position w:val="10"/>
          <w:sz w:val="16"/>
          <w:szCs w:val="16"/>
          <w:vertAlign w:val="superscript"/>
        </w:rPr>
        <w:t>™</w:t>
      </w:r>
      <w:r>
        <w:t xml:space="preserve"> into a research programme, in the spirit of a paper that staked its central claim on a single calculable reduction [45]. We state the hypothesis, the primary endpoints, the effect-size threshold, and the result that would falsify the framework.</w:t>
      </w:r>
    </w:p>
    <w:p w14:paraId="692965A4" w14:textId="77777777" w:rsidR="00FE6B2C" w:rsidRDefault="00000000">
      <w:pPr>
        <w:spacing w:after="140" w:line="264" w:lineRule="auto"/>
        <w:jc w:val="both"/>
      </w:pPr>
      <w:r>
        <w:rPr>
          <w:b/>
          <w:bCs/>
        </w:rPr>
        <w:t xml:space="preserve">Hypothesis. </w:t>
      </w:r>
      <w:r>
        <w:t>An interface built against all four sutras</w:t>
      </w:r>
      <w:r w:rsidR="00FE6B2C">
        <w:t>:</w:t>
      </w:r>
    </w:p>
    <w:p w14:paraId="6D04247D" w14:textId="40D000E6" w:rsidR="00FE6B2C" w:rsidRDefault="00FE6B2C" w:rsidP="00FE6B2C">
      <w:pPr>
        <w:pStyle w:val="ListParagraph"/>
        <w:numPr>
          <w:ilvl w:val="0"/>
          <w:numId w:val="3"/>
        </w:numPr>
        <w:spacing w:after="140" w:line="264" w:lineRule="auto"/>
        <w:jc w:val="both"/>
      </w:pPr>
      <w:r>
        <w:t>Variable reward</w:t>
      </w:r>
    </w:p>
    <w:p w14:paraId="29C0DF91" w14:textId="74F5BD9C" w:rsidR="00FE6B2C" w:rsidRDefault="00FE6B2C" w:rsidP="00FE6B2C">
      <w:pPr>
        <w:pStyle w:val="ListParagraph"/>
        <w:numPr>
          <w:ilvl w:val="0"/>
          <w:numId w:val="3"/>
        </w:numPr>
        <w:spacing w:after="140" w:line="264" w:lineRule="auto"/>
        <w:jc w:val="both"/>
      </w:pPr>
      <w:r>
        <w:t>Opacity</w:t>
      </w:r>
    </w:p>
    <w:p w14:paraId="2719505C" w14:textId="2164D075" w:rsidR="00FE6B2C" w:rsidRDefault="00FE6B2C" w:rsidP="00FE6B2C">
      <w:pPr>
        <w:pStyle w:val="ListParagraph"/>
        <w:numPr>
          <w:ilvl w:val="0"/>
          <w:numId w:val="3"/>
        </w:numPr>
        <w:spacing w:after="140" w:line="264" w:lineRule="auto"/>
        <w:jc w:val="both"/>
      </w:pPr>
      <w:r>
        <w:t>Low control</w:t>
      </w:r>
    </w:p>
    <w:p w14:paraId="7D76CF96" w14:textId="77777777" w:rsidR="00FE6B2C" w:rsidRDefault="00FE6B2C" w:rsidP="00FE6B2C">
      <w:pPr>
        <w:pStyle w:val="ListParagraph"/>
        <w:numPr>
          <w:ilvl w:val="0"/>
          <w:numId w:val="3"/>
        </w:numPr>
        <w:spacing w:after="140" w:line="264" w:lineRule="auto"/>
        <w:jc w:val="both"/>
      </w:pPr>
      <w:r>
        <w:t>Salient comparison</w:t>
      </w:r>
    </w:p>
    <w:p w14:paraId="160463A1" w14:textId="477C0FCC" w:rsidR="00E972BD" w:rsidRDefault="00000000" w:rsidP="00FE6B2C">
      <w:pPr>
        <w:spacing w:after="140" w:line="264" w:lineRule="auto"/>
        <w:jc w:val="both"/>
      </w:pPr>
      <w:r>
        <w:t>and an interface built for all four, matched for total content available, time-on-platform target, social-network size, and content domain, produce divergent autonomic and HPA signatures over six months. The engagement arm is predicted to show lower resting RMSSD, a flattened diurnal cortisol slope, and reduced sleep efficiency relative to baseline; the YOGICUX arm, the opposite or stability.</w:t>
      </w:r>
    </w:p>
    <w:p w14:paraId="416EC50C" w14:textId="77777777" w:rsidR="00E972BD" w:rsidRDefault="00000000">
      <w:pPr>
        <w:pBdr>
          <w:top w:val="single" w:sz="6" w:space="6" w:color="999999"/>
          <w:left w:val="single" w:sz="6" w:space="6" w:color="999999"/>
          <w:bottom w:val="single" w:sz="6" w:space="6" w:color="999999"/>
          <w:right w:val="single" w:sz="6" w:space="6" w:color="999999"/>
        </w:pBdr>
        <w:shd w:val="clear" w:color="auto" w:fill="F4F2EC"/>
        <w:spacing w:before="120" w:after="160" w:line="264" w:lineRule="auto"/>
        <w:ind w:left="120" w:right="120"/>
      </w:pPr>
      <w:r>
        <w:rPr>
          <w:b/>
          <w:bCs/>
          <w:smallCaps/>
        </w:rPr>
        <w:t xml:space="preserve">Falsification condition </w:t>
      </w:r>
      <w:r>
        <w:t>If an interface meeting all four sutras fails to produce Cohen's d ≥ 0.25 on resting RMSSD against the matched engagement-control arm across at least three independent pre-registered replications, the framework's somatic claim is falsified at the breath layer. The framework is falsifiable per sutra; the integrated claim stands or falls on convergent evidence across replications.</w:t>
      </w:r>
    </w:p>
    <w:p w14:paraId="518A219E" w14:textId="77777777" w:rsidR="00E972BD" w:rsidRDefault="00000000">
      <w:pPr>
        <w:spacing w:after="140" w:line="264" w:lineRule="auto"/>
        <w:jc w:val="both"/>
      </w:pPr>
      <w:r>
        <w:rPr>
          <w:b/>
          <w:bCs/>
        </w:rPr>
        <w:t xml:space="preserve">Design. </w:t>
      </w:r>
      <w:r>
        <w:t>A parallel-group, individually randomised, single-blind trial with six-month exposure and 1:1 allocation. There is deliberately no abstinence arm; an abstinence comparison would confound design effects with reduced use. Both arms are matched for content richness, so that the only systematic differences are the four target levers. This is the decisive methodological commitment: it makes the study a test of design, not of screen time. For a primary endpoint of change in resting RMSSD with an expected between-arm effect of d = 0.30, α = 0.05, and power 0.80, the requirement is roughly 350 per arm, scaled to about 880 enrolled to absorb attrition.</w:t>
      </w:r>
    </w:p>
    <w:p w14:paraId="3B389672" w14:textId="77777777" w:rsidR="00E972BD" w:rsidRDefault="00000000">
      <w:pPr>
        <w:spacing w:after="140" w:line="264" w:lineRule="auto"/>
        <w:jc w:val="both"/>
      </w:pPr>
      <w:r>
        <w:rPr>
          <w:b/>
          <w:bCs/>
        </w:rPr>
        <w:t xml:space="preserve">Primary endpoints. </w:t>
      </w:r>
      <w:r>
        <w:t>Two, pre-registered: change in resting five-minute RMSSD, measured by electrocardiogram or research-grade chest strap under controlled posture and paced respiration [46]; and change in three-centimetre hair cortisol, representing chronic rather than momentary exposure. Secondary endpoints include high-frequency HRV, the cortisol awakening response under expert-consensus sampling, the diurnal cortisol slope, actigraphic sleep efficiency, polysomnographic sleep architecture in a subset, and validated self-report of stress, autonomy, and comparison. Mechanism endpoints, sampled by experience-sampling three times daily for a week at months zero, three, and six, test whether momentary uncertainty, control, and comparison statistically mediate any design-to-physiology effect—a direct test of the mechanisms in Section 1.</w:t>
      </w:r>
    </w:p>
    <w:p w14:paraId="04F06A69" w14:textId="77777777" w:rsidR="00E972BD" w:rsidRDefault="00000000">
      <w:pPr>
        <w:spacing w:after="140" w:line="264" w:lineRule="auto"/>
        <w:jc w:val="both"/>
      </w:pPr>
      <w:r>
        <w:rPr>
          <w:b/>
          <w:bCs/>
        </w:rPr>
        <w:t xml:space="preserve">Pre-registration. </w:t>
      </w:r>
      <w:r>
        <w:t>The protocol, with a locked analysis plan, is to be registered publicly, with a commitment to publish null results and to release de-identified data. Anticipated result. Under the hypothesis we expect small-to-medium between-arm differences on the physiological endpoints and larger, clearer differences on the experience-sampled mechanism variables—the realistic signature of an intervention on one part of a person's environment. We state plainly that a six-month design study speaks to mechanism, not to the population-level questions of adolescent mental health on which the wider literature remains divided.</w:t>
      </w:r>
    </w:p>
    <w:p w14:paraId="162EED34" w14:textId="77777777" w:rsidR="00E972BD" w:rsidRDefault="00000000">
      <w:pPr>
        <w:pStyle w:val="Heading1"/>
      </w:pPr>
      <w:r>
        <w:rPr>
          <w:b w:val="0"/>
          <w:bCs w:val="0"/>
        </w:rPr>
        <w:lastRenderedPageBreak/>
        <w:t>6. Reference Specification</w:t>
      </w:r>
    </w:p>
    <w:p w14:paraId="214E9A11" w14:textId="77777777" w:rsidR="00E972BD" w:rsidRDefault="00000000">
      <w:pPr>
        <w:spacing w:after="140" w:line="264" w:lineRule="auto"/>
        <w:jc w:val="both"/>
      </w:pPr>
      <w:r>
        <w:t>A principle a team cannot audit is a slogan. YOGICUX-LINT is the framework's reference audit specification: a checklist, derived from the heuristics in Section 4, that a design team can apply in a review and that an external party can score without source-code access. It is built in the manner of a constraint set derived from a null baseline—begin with an unconstrained product, and add the four sutras as successive, checkable commitments.</w:t>
      </w:r>
    </w:p>
    <w:p w14:paraId="5F793E2A" w14:textId="77777777" w:rsidR="00E972BD" w:rsidRDefault="00000000">
      <w:pPr>
        <w:spacing w:after="140" w:line="264" w:lineRule="auto"/>
        <w:jc w:val="both"/>
      </w:pPr>
      <w:r>
        <w:t xml:space="preserve">Each sutra contributes a small set of machine- or review-auditable assertions, expressed as configuration the team commits to in the open: for instance, </w:t>
      </w:r>
      <w:r>
        <w:rPr>
          <w:rFonts w:ascii="Consolas" w:eastAsia="Consolas" w:hAnsi="Consolas" w:cs="Consolas"/>
          <w:sz w:val="18"/>
          <w:szCs w:val="18"/>
        </w:rPr>
        <w:t>cadence.default-notifications = off</w:t>
      </w:r>
      <w:r>
        <w:t xml:space="preserve">, </w:t>
      </w:r>
      <w:r>
        <w:rPr>
          <w:rFonts w:ascii="Consolas" w:eastAsia="Consolas" w:hAnsi="Consolas" w:cs="Consolas"/>
          <w:sz w:val="18"/>
          <w:szCs w:val="18"/>
        </w:rPr>
        <w:t>explanation.max-signals = 3</w:t>
      </w:r>
      <w:r>
        <w:t xml:space="preserve">, </w:t>
      </w:r>
      <w:r>
        <w:rPr>
          <w:rFonts w:ascii="Consolas" w:eastAsia="Consolas" w:hAnsi="Consolas" w:cs="Consolas"/>
          <w:sz w:val="18"/>
          <w:szCs w:val="18"/>
        </w:rPr>
        <w:t>contestability.review-sla-hours = 72</w:t>
      </w:r>
      <w:r>
        <w:t xml:space="preserve">, </w:t>
      </w:r>
      <w:r>
        <w:rPr>
          <w:rFonts w:ascii="Consolas" w:eastAsia="Consolas" w:hAnsi="Consolas" w:cs="Consolas"/>
          <w:sz w:val="18"/>
          <w:szCs w:val="18"/>
        </w:rPr>
        <w:t>exit.symmetry-ratio ≤ 1.0</w:t>
      </w:r>
      <w:r>
        <w:t xml:space="preserve">, </w:t>
      </w:r>
      <w:r>
        <w:rPr>
          <w:rFonts w:ascii="Consolas" w:eastAsia="Consolas" w:hAnsi="Consolas" w:cs="Consolas"/>
          <w:sz w:val="18"/>
          <w:szCs w:val="18"/>
        </w:rPr>
        <w:t>streak.index = 0</w:t>
      </w:r>
      <w:r>
        <w:t xml:space="preserve">, and </w:t>
      </w:r>
      <w:r>
        <w:rPr>
          <w:rFonts w:ascii="Consolas" w:eastAsia="Consolas" w:hAnsi="Consolas" w:cs="Consolas"/>
          <w:sz w:val="18"/>
          <w:szCs w:val="18"/>
        </w:rPr>
        <w:t>metrics.public-on-person = 0</w:t>
      </w:r>
      <w:r>
        <w:t>. The full specification is released under an open licence so that “YOGICUX-compliant” is a claim others can check rather than a label a vendor can assert. Compliance is not all-or-nothing; a product reports its score per sutra, and the scores are designed to be honest about partial adoption.</w:t>
      </w:r>
    </w:p>
    <w:p w14:paraId="4952AFBE" w14:textId="77777777" w:rsidR="00E972BD" w:rsidRDefault="00000000">
      <w:pPr>
        <w:pStyle w:val="Heading1"/>
      </w:pPr>
      <w:r>
        <w:rPr>
          <w:b w:val="0"/>
          <w:bCs w:val="0"/>
        </w:rPr>
        <w:t>7. Limitations and Predictable Objections</w:t>
      </w:r>
    </w:p>
    <w:p w14:paraId="042CE7BD" w14:textId="77777777" w:rsidR="00E972BD" w:rsidRDefault="00000000">
      <w:pPr>
        <w:spacing w:after="120" w:line="264" w:lineRule="auto"/>
        <w:jc w:val="both"/>
      </w:pPr>
      <w:r>
        <w:rPr>
          <w:b/>
          <w:bCs/>
        </w:rPr>
        <w:t xml:space="preserve">Is this Humane Technology with Sanskrit added? </w:t>
      </w:r>
      <w:r>
        <w:t>This is the strongest objection, and we concede the vocabulary overlap openly. The novelty is the conjunction described in Section 8—a closed inversion grid, a classical-physiology substrate, and a falsifiable biomarker trial—not the diagnostic vocabulary, which we share with that lineage and credit to it.</w:t>
      </w:r>
    </w:p>
    <w:p w14:paraId="49C2FDB9" w14:textId="77777777" w:rsidR="00E972BD" w:rsidRDefault="00000000">
      <w:pPr>
        <w:spacing w:after="120" w:line="264" w:lineRule="auto"/>
        <w:jc w:val="both"/>
      </w:pPr>
      <w:r>
        <w:rPr>
          <w:b/>
          <w:bCs/>
        </w:rPr>
        <w:t xml:space="preserve">Does this depend on contested polyvagal theory? </w:t>
      </w:r>
      <w:r>
        <w:t>No, and deliberately so. The specific neuroanatomical premises of polyvagal theory have been challenged in the recent literature. We anchor the autonomic account in the neurovisceral-integration framework and standard heart-rate-variability science, and we use “vagal tone” only in its cardiovascular sense.</w:t>
      </w:r>
    </w:p>
    <w:p w14:paraId="588C87A9" w14:textId="77777777" w:rsidR="00E972BD" w:rsidRDefault="00000000">
      <w:pPr>
        <w:spacing w:after="120" w:line="264" w:lineRule="auto"/>
        <w:jc w:val="both"/>
      </w:pPr>
      <w:r>
        <w:rPr>
          <w:b/>
          <w:bCs/>
        </w:rPr>
        <w:t xml:space="preserve">Isn't the dopamine framing pop neuroscience? </w:t>
      </w:r>
      <w:r>
        <w:t>We use precise language—incentive salience under variable-ratio uncertainty, and reward-prediction error [4][5]—not “dopamine hits,” and we distinguish wanting from liking as the addiction literature requires.</w:t>
      </w:r>
    </w:p>
    <w:p w14:paraId="223D35FD" w14:textId="77777777" w:rsidR="00E972BD" w:rsidRDefault="00000000">
      <w:pPr>
        <w:spacing w:after="120" w:line="264" w:lineRule="auto"/>
        <w:jc w:val="both"/>
      </w:pPr>
      <w:r>
        <w:rPr>
          <w:b/>
          <w:bCs/>
        </w:rPr>
        <w:t xml:space="preserve">Aren't social-media harms contested? </w:t>
      </w:r>
      <w:r>
        <w:t>At the population level, yes; effect sizes are small and the matter is unsettled. Our claim is about physiological mechanism under interface exposure, which is better supported, not about the epidemiology of mental illness. We make the narrower claim on purpose.</w:t>
      </w:r>
    </w:p>
    <w:p w14:paraId="214CEB5A" w14:textId="77777777" w:rsidR="00E972BD" w:rsidRDefault="00000000">
      <w:pPr>
        <w:spacing w:after="120" w:line="264" w:lineRule="auto"/>
        <w:jc w:val="both"/>
      </w:pPr>
      <w:r>
        <w:rPr>
          <w:b/>
          <w:bCs/>
        </w:rPr>
        <w:t xml:space="preserve">Aren't cortisol and wearable HRV too noisy? </w:t>
      </w:r>
      <w:r>
        <w:t>The primary RMSSD measure uses research-grade instrumentation under controlled conditions [46], not a consumer wearable; cortisol enters as a chronic hair measure and a consensus-sampled awakening response, pre-registered as secondary.</w:t>
      </w:r>
    </w:p>
    <w:p w14:paraId="1EED9744" w14:textId="77777777" w:rsidR="00E972BD" w:rsidRDefault="00000000">
      <w:pPr>
        <w:spacing w:after="120" w:line="264" w:lineRule="auto"/>
        <w:jc w:val="both"/>
      </w:pPr>
      <w:r>
        <w:rPr>
          <w:b/>
          <w:bCs/>
        </w:rPr>
        <w:t xml:space="preserve">Are you simply measuring less screen time? </w:t>
      </w:r>
      <w:r>
        <w:t>The active-control arm is matched for total screen time and feature richness and varies only the four levers. This is precisely what makes the study a test of design rather than of abstinence.</w:t>
      </w:r>
    </w:p>
    <w:p w14:paraId="1BD0CEB1" w14:textId="77777777" w:rsidR="00E972BD" w:rsidRDefault="00000000">
      <w:pPr>
        <w:spacing w:after="120" w:line="264" w:lineRule="auto"/>
        <w:jc w:val="both"/>
      </w:pPr>
      <w:r>
        <w:rPr>
          <w:b/>
          <w:bCs/>
        </w:rPr>
        <w:t xml:space="preserve">Is this cultural appropriation? </w:t>
      </w:r>
      <w:r>
        <w:t>We cite primary texts in proper transliteration through named academic translators, credit the lineage and its Indian scholarly institutions, and we limit the metaphysical claim: the yogic categories generate testable design constraints; they are not invoked to validate the framework. We also acknowledge the scholarship showing that postural yoga as practised globally is a twentieth-century construction, and we note that YOGICUX does not depend on its antiquity—only on the textual and physiological substrate that pre-dates and outlasts it.</w:t>
      </w:r>
    </w:p>
    <w:p w14:paraId="34961E9D" w14:textId="77777777" w:rsidR="00E972BD" w:rsidRDefault="00000000">
      <w:pPr>
        <w:pStyle w:val="Heading1"/>
      </w:pPr>
      <w:r>
        <w:rPr>
          <w:b w:val="0"/>
          <w:bCs w:val="0"/>
        </w:rPr>
        <w:t>8. The Novelty Claim</w:t>
      </w:r>
    </w:p>
    <w:p w14:paraId="7E213D5B" w14:textId="6268042D" w:rsidR="00E972BD" w:rsidRDefault="00000000">
      <w:pPr>
        <w:spacing w:after="140" w:line="264" w:lineRule="auto"/>
        <w:jc w:val="both"/>
      </w:pPr>
      <w:r>
        <w:t>YOGICUX</w:t>
      </w:r>
      <w:r w:rsidR="009D1A19" w:rsidRPr="009D1A19">
        <w:rPr>
          <w:b/>
          <w:bCs/>
          <w:position w:val="10"/>
          <w:sz w:val="18"/>
          <w:szCs w:val="18"/>
          <w:vertAlign w:val="superscript"/>
        </w:rPr>
        <w:t>™</w:t>
      </w:r>
      <w:r>
        <w:t xml:space="preserve"> contribution is the conjunction of three elements, each of which alone is adjacent to prior art and none of which alone is sufficient. First, a closed inversion grid between a named engagement playbook and four design sutras, each operationalised through concrete patterns, anti-patterns mapped to the dark-patterns regulatory taxonomies, and a three-layer measurement stack. Second, an </w:t>
      </w:r>
      <w:r>
        <w:lastRenderedPageBreak/>
        <w:t>explicit substrate in classical yogic physiology—the Patañjali vocabulary and the pañca-kośa model—distinguished from secular mindfulness on three specific grounds: the sheath model supplies a layered design vocabulary that mindfulness collapses; breath regulation offers a dose-responsive physiological intervention with a quantified endpoint; and kaivalya names a normative target that “stress reduction” cannot articulate. Third, a pre-registered, falsifiable biomarker trial that converts the framework from a position into a programme. The first two without the third are a manifesto; the third is what invites refutation, and therefore citation.</w:t>
      </w:r>
    </w:p>
    <w:p w14:paraId="5C3BC178" w14:textId="77777777" w:rsidR="00E972BD" w:rsidRDefault="00000000">
      <w:pPr>
        <w:pStyle w:val="Heading1"/>
      </w:pPr>
      <w:r>
        <w:rPr>
          <w:b w:val="0"/>
          <w:bCs w:val="0"/>
        </w:rPr>
        <w:t>9. Conclusion</w:t>
      </w:r>
    </w:p>
    <w:p w14:paraId="7B7A0AB5" w14:textId="77777777" w:rsidR="00E972BD" w:rsidRDefault="00000000">
      <w:pPr>
        <w:spacing w:after="140" w:line="264" w:lineRule="auto"/>
        <w:jc w:val="both"/>
      </w:pPr>
      <w:r>
        <w:t>The interfaces a generation lives inside are assembled in a small number of rooms, by a discipline that was built to maximise reward-circuit activation and is extraordinarily good at the work it set out to do. It is no longer the right discipline, and the tools it has been handed are more powerful than it can be trusted with. A different discipline has been available for a very long time, in a tradition that never stopped operating on the same nervous system, and the conditions of this decade make its translation into product form viable in a way it has not been before. We have argued that the four levers used to manufacture engagement and the four objects that yogic physiology was developed to dissolve are the same somatic event driven in opposite directions; we have specified the four design commitments that follow; and we have stated the experiment that would prove us wrong. The diagnosis is not the contribution. Many have diagnosed. The contribution is a specification precise enough to invite its own refutation.</w:t>
      </w:r>
    </w:p>
    <w:p w14:paraId="13F9B419" w14:textId="77777777" w:rsidR="00E972BD" w:rsidRDefault="00000000">
      <w:pPr>
        <w:spacing w:before="80" w:after="200"/>
      </w:pPr>
      <w:r>
        <w:rPr>
          <w:i/>
          <w:iCs/>
        </w:rPr>
        <w:t>Hari Om Tat Sat.</w:t>
      </w:r>
    </w:p>
    <w:p w14:paraId="6D7EDD99" w14:textId="77777777" w:rsidR="00E972BD" w:rsidRDefault="00000000">
      <w:pPr>
        <w:pStyle w:val="Heading1"/>
      </w:pPr>
      <w:r>
        <w:rPr>
          <w:b w:val="0"/>
          <w:bCs w:val="0"/>
        </w:rPr>
        <w:t>References</w:t>
      </w:r>
    </w:p>
    <w:p w14:paraId="37083177" w14:textId="77777777" w:rsidR="00E972BD" w:rsidRDefault="00000000">
      <w:pPr>
        <w:pStyle w:val="ListParagraph"/>
        <w:numPr>
          <w:ilvl w:val="0"/>
          <w:numId w:val="2"/>
        </w:numPr>
        <w:spacing w:after="60" w:line="224" w:lineRule="auto"/>
        <w:jc w:val="both"/>
      </w:pPr>
      <w:r>
        <w:rPr>
          <w:sz w:val="16"/>
          <w:szCs w:val="16"/>
        </w:rPr>
        <w:t>Fogg, B. J. (2009). A Behavior Model for Persuasive Design. Proc. Persuasive '09. See also Fogg, B. J. (2002), Persuasive Technology, Morgan Kaufmann.</w:t>
      </w:r>
    </w:p>
    <w:p w14:paraId="505E77DF" w14:textId="77777777" w:rsidR="00E972BD" w:rsidRDefault="00000000">
      <w:pPr>
        <w:pStyle w:val="ListParagraph"/>
        <w:numPr>
          <w:ilvl w:val="0"/>
          <w:numId w:val="2"/>
        </w:numPr>
        <w:spacing w:after="60" w:line="224" w:lineRule="auto"/>
        <w:jc w:val="both"/>
      </w:pPr>
      <w:r>
        <w:rPr>
          <w:sz w:val="16"/>
          <w:szCs w:val="16"/>
        </w:rPr>
        <w:t>Eyal, N. (2014). Hooked: How to Build Habit-Forming Products. Portfolio.</w:t>
      </w:r>
    </w:p>
    <w:p w14:paraId="53299774" w14:textId="77777777" w:rsidR="00E972BD" w:rsidRDefault="00000000">
      <w:pPr>
        <w:pStyle w:val="ListParagraph"/>
        <w:numPr>
          <w:ilvl w:val="0"/>
          <w:numId w:val="2"/>
        </w:numPr>
        <w:spacing w:after="60" w:line="224" w:lineRule="auto"/>
        <w:jc w:val="both"/>
      </w:pPr>
      <w:r>
        <w:rPr>
          <w:sz w:val="16"/>
          <w:szCs w:val="16"/>
        </w:rPr>
        <w:t>Skinner, B. F. (1957). Schedules of Reinforcement. Appleton-Century-Crofts.</w:t>
      </w:r>
    </w:p>
    <w:p w14:paraId="7DA41720" w14:textId="77777777" w:rsidR="00E972BD" w:rsidRDefault="00000000">
      <w:pPr>
        <w:pStyle w:val="ListParagraph"/>
        <w:numPr>
          <w:ilvl w:val="0"/>
          <w:numId w:val="2"/>
        </w:numPr>
        <w:spacing w:after="60" w:line="224" w:lineRule="auto"/>
        <w:jc w:val="both"/>
      </w:pPr>
      <w:r>
        <w:rPr>
          <w:sz w:val="16"/>
          <w:szCs w:val="16"/>
        </w:rPr>
        <w:t>Schultz, W., Dayan, P., &amp; Montague, P. R. (1997). A neural substrate of prediction and reward. Science 275, 1593–1599. See also Schultz, W. (2016), Dialogues in Clinical Neuroscience 18(1), 23–32.</w:t>
      </w:r>
    </w:p>
    <w:p w14:paraId="1B182C99" w14:textId="77777777" w:rsidR="00E972BD" w:rsidRDefault="00000000">
      <w:pPr>
        <w:pStyle w:val="ListParagraph"/>
        <w:numPr>
          <w:ilvl w:val="0"/>
          <w:numId w:val="2"/>
        </w:numPr>
        <w:spacing w:after="60" w:line="224" w:lineRule="auto"/>
        <w:jc w:val="both"/>
      </w:pPr>
      <w:r>
        <w:rPr>
          <w:sz w:val="16"/>
          <w:szCs w:val="16"/>
        </w:rPr>
        <w:t>Fiorillo, C. D., Tobler, P. N., &amp; Schultz, W. (2003). Discrete coding of reward probability and uncertainty by dopamine neurons. Science 299, 1898–1902.</w:t>
      </w:r>
    </w:p>
    <w:p w14:paraId="0973BABC" w14:textId="77777777" w:rsidR="00E972BD" w:rsidRDefault="00000000">
      <w:pPr>
        <w:pStyle w:val="ListParagraph"/>
        <w:numPr>
          <w:ilvl w:val="0"/>
          <w:numId w:val="2"/>
        </w:numPr>
        <w:spacing w:after="60" w:line="224" w:lineRule="auto"/>
        <w:jc w:val="both"/>
      </w:pPr>
      <w:r>
        <w:rPr>
          <w:sz w:val="16"/>
          <w:szCs w:val="16"/>
        </w:rPr>
        <w:t>de Berker, A. O., Rutledge, R. B., Mathys, C., Marshall, L., Cross, G. F., Dolan, R. J., &amp; Bestmann, S. (2016). Computations of uncertainty mediate acute stress responses in humans. Nature Communications 7, 10996.</w:t>
      </w:r>
    </w:p>
    <w:p w14:paraId="37CF66E9" w14:textId="77777777" w:rsidR="00E972BD" w:rsidRDefault="00000000">
      <w:pPr>
        <w:pStyle w:val="ListParagraph"/>
        <w:numPr>
          <w:ilvl w:val="0"/>
          <w:numId w:val="2"/>
        </w:numPr>
        <w:spacing w:after="60" w:line="224" w:lineRule="auto"/>
        <w:jc w:val="both"/>
      </w:pPr>
      <w:r>
        <w:rPr>
          <w:sz w:val="16"/>
          <w:szCs w:val="16"/>
        </w:rPr>
        <w:t>Maier, S. F., &amp; Seligman, M. E. P. (2016). Learned helplessness at fifty: Insights from neuroscience. Psychological Review 123(4), 349–367.</w:t>
      </w:r>
    </w:p>
    <w:p w14:paraId="2AABBD5B" w14:textId="77777777" w:rsidR="00E972BD" w:rsidRDefault="00000000">
      <w:pPr>
        <w:pStyle w:val="ListParagraph"/>
        <w:numPr>
          <w:ilvl w:val="0"/>
          <w:numId w:val="2"/>
        </w:numPr>
        <w:spacing w:after="60" w:line="224" w:lineRule="auto"/>
        <w:jc w:val="both"/>
      </w:pPr>
      <w:r>
        <w:rPr>
          <w:sz w:val="16"/>
          <w:szCs w:val="16"/>
        </w:rPr>
        <w:t>Deci, E. L., &amp; Ryan, R. M. (2000). The “what” and “why” of goal pursuits. American Psychologist 55(1), 68–78; Ryan &amp; Deci (2017), Self-Determination Theory, Guilford.</w:t>
      </w:r>
    </w:p>
    <w:p w14:paraId="198C1531" w14:textId="77777777" w:rsidR="00E972BD" w:rsidRDefault="00000000">
      <w:pPr>
        <w:pStyle w:val="ListParagraph"/>
        <w:numPr>
          <w:ilvl w:val="0"/>
          <w:numId w:val="2"/>
        </w:numPr>
        <w:spacing w:after="60" w:line="224" w:lineRule="auto"/>
        <w:jc w:val="both"/>
      </w:pPr>
      <w:r>
        <w:rPr>
          <w:sz w:val="16"/>
          <w:szCs w:val="16"/>
        </w:rPr>
        <w:t>Kivimäki, M., et al. (2012). Job strain as a risk factor for coronary heart disease. The Lancet 380(9852), 1491–1497; Karasek, R. (1979), Administrative Science Quarterly 24(2), 285–308.</w:t>
      </w:r>
    </w:p>
    <w:p w14:paraId="2E15B711" w14:textId="77777777" w:rsidR="00E972BD" w:rsidRDefault="00000000">
      <w:pPr>
        <w:pStyle w:val="ListParagraph"/>
        <w:numPr>
          <w:ilvl w:val="0"/>
          <w:numId w:val="2"/>
        </w:numPr>
        <w:spacing w:after="60" w:line="224" w:lineRule="auto"/>
        <w:jc w:val="both"/>
      </w:pPr>
      <w:r>
        <w:rPr>
          <w:sz w:val="16"/>
          <w:szCs w:val="16"/>
        </w:rPr>
        <w:t>Vogel, E. A., Rose, J. P., Roberts, L. R., &amp; Eckles, K. (2014). Social comparison, social media, and self-esteem. Psychology of Popular Media Culture 3(4), 206–222.</w:t>
      </w:r>
    </w:p>
    <w:p w14:paraId="121CDED8" w14:textId="77777777" w:rsidR="00E972BD" w:rsidRDefault="00000000">
      <w:pPr>
        <w:pStyle w:val="ListParagraph"/>
        <w:numPr>
          <w:ilvl w:val="0"/>
          <w:numId w:val="2"/>
        </w:numPr>
        <w:spacing w:after="60" w:line="224" w:lineRule="auto"/>
        <w:jc w:val="both"/>
      </w:pPr>
      <w:r>
        <w:rPr>
          <w:sz w:val="16"/>
          <w:szCs w:val="16"/>
        </w:rPr>
        <w:t>Verduyn, P., et al. (2015). Passive Facebook usage undermines affective well-being. Journal of Experimental Psychology: General 144(2), 480–488.</w:t>
      </w:r>
    </w:p>
    <w:p w14:paraId="789DCBDF" w14:textId="77777777" w:rsidR="00E972BD" w:rsidRDefault="00000000">
      <w:pPr>
        <w:pStyle w:val="ListParagraph"/>
        <w:numPr>
          <w:ilvl w:val="0"/>
          <w:numId w:val="2"/>
        </w:numPr>
        <w:spacing w:after="60" w:line="224" w:lineRule="auto"/>
        <w:jc w:val="both"/>
      </w:pPr>
      <w:r>
        <w:rPr>
          <w:sz w:val="16"/>
          <w:szCs w:val="16"/>
        </w:rPr>
        <w:t>Merrill, J. B., &amp; Oremus, W. (2021). Five points for anger, one for a ‘like.’ The Washington Post, 26 Oct; Wall Street Journal, “The Facebook Files,” Sept–Oct 2021 (Haugen disclosures).</w:t>
      </w:r>
    </w:p>
    <w:p w14:paraId="58A32E2F" w14:textId="77777777" w:rsidR="00E972BD" w:rsidRDefault="00000000">
      <w:pPr>
        <w:pStyle w:val="ListParagraph"/>
        <w:numPr>
          <w:ilvl w:val="0"/>
          <w:numId w:val="2"/>
        </w:numPr>
        <w:spacing w:after="60" w:line="224" w:lineRule="auto"/>
        <w:jc w:val="both"/>
      </w:pPr>
      <w:r>
        <w:rPr>
          <w:sz w:val="16"/>
          <w:szCs w:val="16"/>
        </w:rPr>
        <w:t>Vanman, E. J., Baker, R., &amp; Tobin, S. J. (2018). The burden of online friends: The effects of giving up Facebook. Journal of Social Psychology 158(4), 496–507.</w:t>
      </w:r>
    </w:p>
    <w:p w14:paraId="072FAACD" w14:textId="77777777" w:rsidR="00E972BD" w:rsidRDefault="00000000">
      <w:pPr>
        <w:pStyle w:val="ListParagraph"/>
        <w:numPr>
          <w:ilvl w:val="0"/>
          <w:numId w:val="2"/>
        </w:numPr>
        <w:spacing w:after="60" w:line="224" w:lineRule="auto"/>
        <w:jc w:val="both"/>
      </w:pPr>
      <w:r>
        <w:rPr>
          <w:sz w:val="16"/>
          <w:szCs w:val="16"/>
        </w:rPr>
        <w:t>Central Consumer Protection Authority, India (2023). Guidelines for Prevention and Regulation of Dark Patterns, 2023 (notified 30 Nov 2023), under the Consumer Protection Act, 2019.</w:t>
      </w:r>
    </w:p>
    <w:p w14:paraId="4AB83943" w14:textId="77777777" w:rsidR="00E972BD" w:rsidRDefault="00000000">
      <w:pPr>
        <w:pStyle w:val="ListParagraph"/>
        <w:numPr>
          <w:ilvl w:val="0"/>
          <w:numId w:val="2"/>
        </w:numPr>
        <w:spacing w:after="60" w:line="224" w:lineRule="auto"/>
        <w:jc w:val="both"/>
      </w:pPr>
      <w:r>
        <w:rPr>
          <w:sz w:val="16"/>
          <w:szCs w:val="16"/>
        </w:rPr>
        <w:t>European Union (2022). Regulation 2022/2065, Digital Services Act, Article 25 (in force 17 Feb 2024).</w:t>
      </w:r>
    </w:p>
    <w:p w14:paraId="1879A16C" w14:textId="77777777" w:rsidR="00E972BD" w:rsidRDefault="00000000">
      <w:pPr>
        <w:pStyle w:val="ListParagraph"/>
        <w:numPr>
          <w:ilvl w:val="0"/>
          <w:numId w:val="2"/>
        </w:numPr>
        <w:spacing w:after="60" w:line="224" w:lineRule="auto"/>
        <w:jc w:val="both"/>
      </w:pPr>
      <w:r>
        <w:rPr>
          <w:sz w:val="16"/>
          <w:szCs w:val="16"/>
        </w:rPr>
        <w:t>European Union (2024). Regulation 2024/1689, Artificial Intelligence Act, Articles 13, 50, 86 (in force 1 Aug 2024).</w:t>
      </w:r>
    </w:p>
    <w:p w14:paraId="0D327D29" w14:textId="77777777" w:rsidR="00E972BD" w:rsidRDefault="00000000">
      <w:pPr>
        <w:pStyle w:val="ListParagraph"/>
        <w:numPr>
          <w:ilvl w:val="0"/>
          <w:numId w:val="2"/>
        </w:numPr>
        <w:spacing w:after="60" w:line="224" w:lineRule="auto"/>
        <w:jc w:val="both"/>
      </w:pPr>
      <w:r>
        <w:rPr>
          <w:sz w:val="16"/>
          <w:szCs w:val="16"/>
        </w:rPr>
        <w:t>Weiser, M. (1991). The Computer for the 21st Century. Scientific American 265(3), 94–104; Weiser &amp; Brown (1997), Beyond Calculation, Springer.</w:t>
      </w:r>
    </w:p>
    <w:p w14:paraId="64F847F6" w14:textId="77777777" w:rsidR="00E972BD" w:rsidRDefault="00000000">
      <w:pPr>
        <w:pStyle w:val="ListParagraph"/>
        <w:numPr>
          <w:ilvl w:val="0"/>
          <w:numId w:val="2"/>
        </w:numPr>
        <w:spacing w:after="60" w:line="224" w:lineRule="auto"/>
        <w:jc w:val="both"/>
      </w:pPr>
      <w:r>
        <w:rPr>
          <w:sz w:val="16"/>
          <w:szCs w:val="16"/>
        </w:rPr>
        <w:t>Case, A. (2015). Calm Technology: Principles and Patterns for Non-Intrusive Design. O'Reilly.</w:t>
      </w:r>
    </w:p>
    <w:p w14:paraId="23ED9FCE" w14:textId="77777777" w:rsidR="00E972BD" w:rsidRDefault="00000000">
      <w:pPr>
        <w:pStyle w:val="ListParagraph"/>
        <w:numPr>
          <w:ilvl w:val="0"/>
          <w:numId w:val="2"/>
        </w:numPr>
        <w:spacing w:after="60" w:line="224" w:lineRule="auto"/>
        <w:jc w:val="both"/>
      </w:pPr>
      <w:r>
        <w:rPr>
          <w:sz w:val="16"/>
          <w:szCs w:val="16"/>
        </w:rPr>
        <w:t>Harris, T. (2016). How Technology Hijacks People's Minds. Center for Humane Technology; Ledger of Harms and Humane Design Guide, humanetech.com.</w:t>
      </w:r>
    </w:p>
    <w:p w14:paraId="6E1869D7" w14:textId="77777777" w:rsidR="00E972BD" w:rsidRDefault="00000000">
      <w:pPr>
        <w:pStyle w:val="ListParagraph"/>
        <w:numPr>
          <w:ilvl w:val="0"/>
          <w:numId w:val="2"/>
        </w:numPr>
        <w:spacing w:after="60" w:line="224" w:lineRule="auto"/>
        <w:jc w:val="both"/>
      </w:pPr>
      <w:r>
        <w:rPr>
          <w:sz w:val="16"/>
          <w:szCs w:val="16"/>
        </w:rPr>
        <w:lastRenderedPageBreak/>
        <w:t>Apple Screen Time (2018) and Google Digital Wellbeing (2018), platform documentation.</w:t>
      </w:r>
    </w:p>
    <w:p w14:paraId="39A14C4D" w14:textId="77777777" w:rsidR="00E972BD" w:rsidRDefault="00000000">
      <w:pPr>
        <w:pStyle w:val="ListParagraph"/>
        <w:numPr>
          <w:ilvl w:val="0"/>
          <w:numId w:val="2"/>
        </w:numPr>
        <w:spacing w:after="60" w:line="224" w:lineRule="auto"/>
        <w:jc w:val="both"/>
      </w:pPr>
      <w:r>
        <w:rPr>
          <w:sz w:val="16"/>
          <w:szCs w:val="16"/>
        </w:rPr>
        <w:t>Lukoff, K., Yu, C., Kientz, J., &amp; Hiniker, A. (2018). What Makes Smartphone Use Meaningful or Meaningless? Proc. ACM IMWUT 2(1), Art. 22.</w:t>
      </w:r>
    </w:p>
    <w:p w14:paraId="7BF8EEBA" w14:textId="77777777" w:rsidR="00E972BD" w:rsidRDefault="00000000">
      <w:pPr>
        <w:pStyle w:val="ListParagraph"/>
        <w:numPr>
          <w:ilvl w:val="0"/>
          <w:numId w:val="2"/>
        </w:numPr>
        <w:spacing w:after="60" w:line="224" w:lineRule="auto"/>
        <w:jc w:val="both"/>
      </w:pPr>
      <w:r>
        <w:rPr>
          <w:sz w:val="16"/>
          <w:szCs w:val="16"/>
        </w:rPr>
        <w:t>Höök, K. (2018). Designing with the Body: Somaesthetic Interaction Design. MIT Press.</w:t>
      </w:r>
    </w:p>
    <w:p w14:paraId="17EB3DB9" w14:textId="77777777" w:rsidR="00E972BD" w:rsidRDefault="00000000">
      <w:pPr>
        <w:pStyle w:val="ListParagraph"/>
        <w:numPr>
          <w:ilvl w:val="0"/>
          <w:numId w:val="2"/>
        </w:numPr>
        <w:spacing w:after="60" w:line="224" w:lineRule="auto"/>
        <w:jc w:val="both"/>
      </w:pPr>
      <w:r>
        <w:rPr>
          <w:sz w:val="16"/>
          <w:szCs w:val="16"/>
        </w:rPr>
        <w:t>Levy, D. M. (2016). Mindful Tech: How to Bring Balance to Our Digital Lives. Yale University Press.</w:t>
      </w:r>
    </w:p>
    <w:p w14:paraId="36ABA81E" w14:textId="77777777" w:rsidR="00E972BD" w:rsidRDefault="00000000">
      <w:pPr>
        <w:pStyle w:val="ListParagraph"/>
        <w:numPr>
          <w:ilvl w:val="0"/>
          <w:numId w:val="2"/>
        </w:numPr>
        <w:spacing w:after="60" w:line="224" w:lineRule="auto"/>
        <w:jc w:val="both"/>
      </w:pPr>
      <w:r>
        <w:rPr>
          <w:sz w:val="16"/>
          <w:szCs w:val="16"/>
        </w:rPr>
        <w:t>Friedman, B., &amp; Hendry, D. G. (2019). Value Sensitive Design. MIT Press.</w:t>
      </w:r>
    </w:p>
    <w:p w14:paraId="725D4C6E" w14:textId="77777777" w:rsidR="00E972BD" w:rsidRDefault="00000000">
      <w:pPr>
        <w:pStyle w:val="ListParagraph"/>
        <w:numPr>
          <w:ilvl w:val="0"/>
          <w:numId w:val="2"/>
        </w:numPr>
        <w:spacing w:after="60" w:line="224" w:lineRule="auto"/>
        <w:jc w:val="both"/>
      </w:pPr>
      <w:r>
        <w:rPr>
          <w:sz w:val="16"/>
          <w:szCs w:val="16"/>
        </w:rPr>
        <w:t>Wu, T. (2016). The Attention Merchants. Knopf.</w:t>
      </w:r>
    </w:p>
    <w:p w14:paraId="004A0762" w14:textId="77777777" w:rsidR="00E972BD" w:rsidRDefault="00000000">
      <w:pPr>
        <w:pStyle w:val="ListParagraph"/>
        <w:numPr>
          <w:ilvl w:val="0"/>
          <w:numId w:val="2"/>
        </w:numPr>
        <w:spacing w:after="60" w:line="224" w:lineRule="auto"/>
        <w:jc w:val="both"/>
      </w:pPr>
      <w:r>
        <w:rPr>
          <w:sz w:val="16"/>
          <w:szCs w:val="16"/>
        </w:rPr>
        <w:t>Williams, J. (2018). Stand Out of Our Light. Cambridge University Press.</w:t>
      </w:r>
    </w:p>
    <w:p w14:paraId="3309F1FA" w14:textId="77777777" w:rsidR="00E972BD" w:rsidRDefault="00000000">
      <w:pPr>
        <w:pStyle w:val="ListParagraph"/>
        <w:numPr>
          <w:ilvl w:val="0"/>
          <w:numId w:val="2"/>
        </w:numPr>
        <w:spacing w:after="60" w:line="224" w:lineRule="auto"/>
        <w:jc w:val="both"/>
      </w:pPr>
      <w:r>
        <w:rPr>
          <w:sz w:val="16"/>
          <w:szCs w:val="16"/>
        </w:rPr>
        <w:t>Zuboff, S. (2019). The Age of Surveillance Capitalism. PublicAffairs.</w:t>
      </w:r>
    </w:p>
    <w:p w14:paraId="1F94C037" w14:textId="77777777" w:rsidR="00E972BD" w:rsidRDefault="00000000">
      <w:pPr>
        <w:pStyle w:val="ListParagraph"/>
        <w:numPr>
          <w:ilvl w:val="0"/>
          <w:numId w:val="2"/>
        </w:numPr>
        <w:spacing w:after="60" w:line="224" w:lineRule="auto"/>
        <w:jc w:val="both"/>
      </w:pPr>
      <w:r>
        <w:rPr>
          <w:sz w:val="16"/>
          <w:szCs w:val="16"/>
        </w:rPr>
        <w:t>Brignull, H. (2023). Deceptive Patterns. Testimonium Ltd; deceptive.design (2010–).</w:t>
      </w:r>
    </w:p>
    <w:p w14:paraId="289ECF48" w14:textId="77777777" w:rsidR="00E972BD" w:rsidRDefault="00000000">
      <w:pPr>
        <w:pStyle w:val="ListParagraph"/>
        <w:numPr>
          <w:ilvl w:val="0"/>
          <w:numId w:val="2"/>
        </w:numPr>
        <w:spacing w:after="60" w:line="224" w:lineRule="auto"/>
        <w:jc w:val="both"/>
      </w:pPr>
      <w:r>
        <w:rPr>
          <w:sz w:val="16"/>
          <w:szCs w:val="16"/>
        </w:rPr>
        <w:t>Gray, C. M., Kou, Y., Battles, B., Hoggatt, J., &amp; Toombs, A. L. (2018). The Dark (Patterns) Side of UX Design. Proc. CHI '18.</w:t>
      </w:r>
    </w:p>
    <w:p w14:paraId="6F82B3B4" w14:textId="77777777" w:rsidR="00E972BD" w:rsidRDefault="00000000">
      <w:pPr>
        <w:pStyle w:val="ListParagraph"/>
        <w:numPr>
          <w:ilvl w:val="0"/>
          <w:numId w:val="2"/>
        </w:numPr>
        <w:spacing w:after="60" w:line="224" w:lineRule="auto"/>
        <w:jc w:val="both"/>
      </w:pPr>
      <w:r>
        <w:rPr>
          <w:sz w:val="16"/>
          <w:szCs w:val="16"/>
        </w:rPr>
        <w:t>Mathur, A., et al. (2019). Dark Patterns at Scale. Proc. ACM HCI 3(CSCW), Art. 81.</w:t>
      </w:r>
    </w:p>
    <w:p w14:paraId="0434E33A" w14:textId="77777777" w:rsidR="00E972BD" w:rsidRDefault="00000000">
      <w:pPr>
        <w:pStyle w:val="ListParagraph"/>
        <w:numPr>
          <w:ilvl w:val="0"/>
          <w:numId w:val="2"/>
        </w:numPr>
        <w:spacing w:after="60" w:line="224" w:lineRule="auto"/>
        <w:jc w:val="both"/>
      </w:pPr>
      <w:r>
        <w:rPr>
          <w:sz w:val="16"/>
          <w:szCs w:val="16"/>
        </w:rPr>
        <w:t>Gunning, D., Vorm, E., Wang, J. Y., &amp; Turek, M. (2021). DARPA's explainable AI program: A retrospective. Applied AI Letters 2, e61.</w:t>
      </w:r>
    </w:p>
    <w:p w14:paraId="7BFDCBA8" w14:textId="77777777" w:rsidR="00E972BD" w:rsidRDefault="00000000">
      <w:pPr>
        <w:pStyle w:val="ListParagraph"/>
        <w:numPr>
          <w:ilvl w:val="0"/>
          <w:numId w:val="2"/>
        </w:numPr>
        <w:spacing w:after="60" w:line="224" w:lineRule="auto"/>
        <w:jc w:val="both"/>
      </w:pPr>
      <w:r>
        <w:rPr>
          <w:sz w:val="16"/>
          <w:szCs w:val="16"/>
        </w:rPr>
        <w:t>Mitchell, M., et al. (2019). Model Cards for Model Reporting. Proc. FAT* '19; arXiv:1810.03993.</w:t>
      </w:r>
    </w:p>
    <w:p w14:paraId="527AF6F3" w14:textId="77777777" w:rsidR="00E972BD" w:rsidRDefault="00000000">
      <w:pPr>
        <w:pStyle w:val="ListParagraph"/>
        <w:numPr>
          <w:ilvl w:val="0"/>
          <w:numId w:val="2"/>
        </w:numPr>
        <w:spacing w:after="60" w:line="224" w:lineRule="auto"/>
        <w:jc w:val="both"/>
      </w:pPr>
      <w:r>
        <w:rPr>
          <w:sz w:val="16"/>
          <w:szCs w:val="16"/>
        </w:rPr>
        <w:t>Gebru, T., et al. (2021). Datasheets for Datasets. Communications of the ACM 64(12), 86–92.</w:t>
      </w:r>
    </w:p>
    <w:p w14:paraId="526098F9" w14:textId="77777777" w:rsidR="00E972BD" w:rsidRDefault="00000000">
      <w:pPr>
        <w:pStyle w:val="ListParagraph"/>
        <w:numPr>
          <w:ilvl w:val="0"/>
          <w:numId w:val="2"/>
        </w:numPr>
        <w:spacing w:after="60" w:line="224" w:lineRule="auto"/>
        <w:jc w:val="both"/>
      </w:pPr>
      <w:r>
        <w:rPr>
          <w:sz w:val="16"/>
          <w:szCs w:val="16"/>
        </w:rPr>
        <w:t>Hirsch, T., Merced, K., Narayanan, S., Imel, Z. E., &amp; Atkins, D. C. (2017). Designing Contestability. Proc. DIS '17; Alfrink, K., et al. (2022), Minds and Machines 33.</w:t>
      </w:r>
    </w:p>
    <w:p w14:paraId="5ED97A59" w14:textId="77777777" w:rsidR="00E972BD" w:rsidRDefault="00000000">
      <w:pPr>
        <w:pStyle w:val="ListParagraph"/>
        <w:numPr>
          <w:ilvl w:val="0"/>
          <w:numId w:val="2"/>
        </w:numPr>
        <w:spacing w:after="60" w:line="224" w:lineRule="auto"/>
        <w:jc w:val="both"/>
      </w:pPr>
      <w:r>
        <w:rPr>
          <w:sz w:val="16"/>
          <w:szCs w:val="16"/>
        </w:rPr>
        <w:t>Cavoukian, A. (2011). Privacy by Design: The 7 Foundational Principles; GDPR Article 25.</w:t>
      </w:r>
    </w:p>
    <w:p w14:paraId="583785C4" w14:textId="77777777" w:rsidR="00E972BD" w:rsidRDefault="00000000">
      <w:pPr>
        <w:pStyle w:val="ListParagraph"/>
        <w:numPr>
          <w:ilvl w:val="0"/>
          <w:numId w:val="2"/>
        </w:numPr>
        <w:spacing w:after="60" w:line="224" w:lineRule="auto"/>
        <w:jc w:val="both"/>
      </w:pPr>
      <w:r>
        <w:rPr>
          <w:sz w:val="16"/>
          <w:szCs w:val="16"/>
        </w:rPr>
        <w:t>Allen, C. (2016). The Path to Self-Sovereign Identity; W3C Decentralized Identifiers (DIDs) v1.0 (2022).</w:t>
      </w:r>
    </w:p>
    <w:p w14:paraId="65139D72" w14:textId="77777777" w:rsidR="00E972BD" w:rsidRDefault="00000000">
      <w:pPr>
        <w:pStyle w:val="ListParagraph"/>
        <w:numPr>
          <w:ilvl w:val="0"/>
          <w:numId w:val="2"/>
        </w:numPr>
        <w:spacing w:after="60" w:line="224" w:lineRule="auto"/>
        <w:jc w:val="both"/>
      </w:pPr>
      <w:r>
        <w:rPr>
          <w:sz w:val="16"/>
          <w:szCs w:val="16"/>
        </w:rPr>
        <w:t>Taittirīya Upaniṣad, Brahmānanda Vallī II.1–5. See Rambachan, A. (2006), The Advaita Worldview, SUNY Press.</w:t>
      </w:r>
    </w:p>
    <w:p w14:paraId="3C8C182C" w14:textId="77777777" w:rsidR="00E972BD" w:rsidRDefault="00000000">
      <w:pPr>
        <w:pStyle w:val="ListParagraph"/>
        <w:numPr>
          <w:ilvl w:val="0"/>
          <w:numId w:val="2"/>
        </w:numPr>
        <w:spacing w:after="60" w:line="224" w:lineRule="auto"/>
        <w:jc w:val="both"/>
      </w:pPr>
      <w:r>
        <w:rPr>
          <w:sz w:val="16"/>
          <w:szCs w:val="16"/>
        </w:rPr>
        <w:t>Abdullah, S., Murnane, E. L., Matthews, M., &amp; Choudhury, T. (2014). Towards Circadian Computing. Proc. UbiComp '14.</w:t>
      </w:r>
    </w:p>
    <w:p w14:paraId="65883031" w14:textId="77777777" w:rsidR="00E972BD" w:rsidRDefault="00000000">
      <w:pPr>
        <w:pStyle w:val="ListParagraph"/>
        <w:numPr>
          <w:ilvl w:val="0"/>
          <w:numId w:val="2"/>
        </w:numPr>
        <w:spacing w:after="60" w:line="224" w:lineRule="auto"/>
        <w:jc w:val="both"/>
      </w:pPr>
      <w:r>
        <w:rPr>
          <w:sz w:val="16"/>
          <w:szCs w:val="16"/>
        </w:rPr>
        <w:t>Pieh, C., et al. (2025). The influence of smartphone reduction on heart rate variability: a secondary analysis from a randomised controlled trial. (NCT06353451.)</w:t>
      </w:r>
    </w:p>
    <w:p w14:paraId="34ADAA55" w14:textId="77777777" w:rsidR="00E972BD" w:rsidRDefault="00000000">
      <w:pPr>
        <w:pStyle w:val="ListParagraph"/>
        <w:numPr>
          <w:ilvl w:val="0"/>
          <w:numId w:val="2"/>
        </w:numPr>
        <w:spacing w:after="60" w:line="224" w:lineRule="auto"/>
        <w:jc w:val="both"/>
      </w:pPr>
      <w:r>
        <w:rPr>
          <w:sz w:val="16"/>
          <w:szCs w:val="16"/>
        </w:rPr>
        <w:t>Bryant, E. F. (2009). The Yoga Sūtras of Patañjali: A New Edition, Translation, and Commentary. North Point Press.</w:t>
      </w:r>
    </w:p>
    <w:p w14:paraId="056C5341" w14:textId="77777777" w:rsidR="00E972BD" w:rsidRDefault="00000000">
      <w:pPr>
        <w:pStyle w:val="ListParagraph"/>
        <w:numPr>
          <w:ilvl w:val="0"/>
          <w:numId w:val="2"/>
        </w:numPr>
        <w:spacing w:after="60" w:line="224" w:lineRule="auto"/>
        <w:jc w:val="both"/>
      </w:pPr>
      <w:r>
        <w:rPr>
          <w:sz w:val="16"/>
          <w:szCs w:val="16"/>
        </w:rPr>
        <w:t>Doshi-Velez, F., &amp; Kim, B. (2017). Towards A Rigorous Science of Interpretable Machine Learning. arXiv:1702.08608.</w:t>
      </w:r>
    </w:p>
    <w:p w14:paraId="27C285F5" w14:textId="77777777" w:rsidR="00E972BD" w:rsidRDefault="00000000">
      <w:pPr>
        <w:pStyle w:val="ListParagraph"/>
        <w:numPr>
          <w:ilvl w:val="0"/>
          <w:numId w:val="2"/>
        </w:numPr>
        <w:spacing w:after="60" w:line="224" w:lineRule="auto"/>
        <w:jc w:val="both"/>
      </w:pPr>
      <w:r>
        <w:rPr>
          <w:sz w:val="16"/>
          <w:szCs w:val="16"/>
        </w:rPr>
        <w:t>Kahneman, D., &amp; Tversky, A. (1979). Prospect Theory. Econometrica 47(2), 263–292.</w:t>
      </w:r>
    </w:p>
    <w:p w14:paraId="6C99DB52" w14:textId="77777777" w:rsidR="00E972BD" w:rsidRDefault="00000000">
      <w:pPr>
        <w:pStyle w:val="ListParagraph"/>
        <w:numPr>
          <w:ilvl w:val="0"/>
          <w:numId w:val="2"/>
        </w:numPr>
        <w:spacing w:after="60" w:line="224" w:lineRule="auto"/>
        <w:jc w:val="both"/>
      </w:pPr>
      <w:r>
        <w:rPr>
          <w:sz w:val="16"/>
          <w:szCs w:val="16"/>
        </w:rPr>
        <w:t>Grüning, D. J., Riedel, F., &amp; Lorenz-Spreen, P. (2023). Directing smartphone use through the self-nudge app one sec. PNAS 120(8), e2213114120.</w:t>
      </w:r>
    </w:p>
    <w:p w14:paraId="657FD864" w14:textId="77777777" w:rsidR="00E972BD" w:rsidRDefault="00000000">
      <w:pPr>
        <w:pStyle w:val="ListParagraph"/>
        <w:numPr>
          <w:ilvl w:val="0"/>
          <w:numId w:val="2"/>
        </w:numPr>
        <w:spacing w:after="60" w:line="224" w:lineRule="auto"/>
        <w:jc w:val="both"/>
      </w:pPr>
      <w:r>
        <w:rPr>
          <w:sz w:val="16"/>
          <w:szCs w:val="16"/>
        </w:rPr>
        <w:t>Larson, G. J. (1979). Classical Sāṃkhya, 2nd ed. Motilal Banarsidass; Sāṃkhya Kārikā 22–25.</w:t>
      </w:r>
    </w:p>
    <w:p w14:paraId="749D5B0D" w14:textId="77777777" w:rsidR="00E972BD" w:rsidRDefault="00000000">
      <w:pPr>
        <w:pStyle w:val="ListParagraph"/>
        <w:numPr>
          <w:ilvl w:val="0"/>
          <w:numId w:val="2"/>
        </w:numPr>
        <w:spacing w:after="60" w:line="224" w:lineRule="auto"/>
        <w:jc w:val="both"/>
      </w:pPr>
      <w:r>
        <w:rPr>
          <w:sz w:val="16"/>
          <w:szCs w:val="16"/>
        </w:rPr>
        <w:t>Nakamoto, S. (2008). Bitcoin: A Peer-to-Peer Electronic Cash System. (Structural model for the falsifiable-claim form of this paper.)</w:t>
      </w:r>
    </w:p>
    <w:p w14:paraId="53BB030C" w14:textId="77777777" w:rsidR="00E972BD" w:rsidRDefault="00000000">
      <w:pPr>
        <w:pStyle w:val="ListParagraph"/>
        <w:numPr>
          <w:ilvl w:val="0"/>
          <w:numId w:val="2"/>
        </w:numPr>
        <w:spacing w:after="60" w:line="224" w:lineRule="auto"/>
        <w:jc w:val="both"/>
      </w:pPr>
      <w:r>
        <w:rPr>
          <w:sz w:val="16"/>
          <w:szCs w:val="16"/>
        </w:rPr>
        <w:t>Laborde, S., Mosley, E., &amp; Thayer, J. F. (2017). Heart Rate Variability and Cardiac Vagal Tone in Psychophysiological Research. Frontiers in Psychology 8, 213. See also Mallinson, J., &amp; Singleton, M. (2017), Roots of Yoga, Penguin Classics; Russo et al. (2017), Breathe 13(4), 298–309; Pascoe et al. (2017), Psychoneuroendocrinology 86, 152–168; Tang, Hölzel &amp; Posner (2015), Nature Reviews Neuroscience 16(4), 213–225.</w:t>
      </w:r>
    </w:p>
    <w:sectPr w:rsidR="00E972BD">
      <w:footerReference w:type="default" r:id="rId7"/>
      <w:pgSz w:w="11906" w:h="16838"/>
      <w:pgMar w:top="1300" w:right="1273" w:bottom="1273" w:left="1273"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36ADF" w14:textId="77777777" w:rsidR="0082745D" w:rsidRDefault="0082745D">
      <w:r>
        <w:separator/>
      </w:r>
    </w:p>
  </w:endnote>
  <w:endnote w:type="continuationSeparator" w:id="0">
    <w:p w14:paraId="05A14489" w14:textId="77777777" w:rsidR="0082745D" w:rsidRDefault="00827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54324" w14:textId="77777777" w:rsidR="00E972BD" w:rsidRDefault="00000000">
    <w:pPr>
      <w:jc w:val="center"/>
    </w:pPr>
    <w:r>
      <w:rPr>
        <w:sz w:val="17"/>
        <w:szCs w:val="17"/>
      </w:rPr>
      <w:fldChar w:fldCharType="begin"/>
    </w:r>
    <w:r>
      <w:rPr>
        <w:sz w:val="17"/>
        <w:szCs w:val="17"/>
      </w:rPr>
      <w:instrText>PAGE</w:instrText>
    </w:r>
    <w:r>
      <w:rPr>
        <w:sz w:val="17"/>
        <w:szCs w:val="17"/>
      </w:rPr>
      <w:fldChar w:fldCharType="separate"/>
    </w:r>
    <w:r w:rsidR="00EA714E">
      <w:rPr>
        <w:noProof/>
        <w:sz w:val="17"/>
        <w:szCs w:val="17"/>
      </w:rPr>
      <w:t>1</w:t>
    </w:r>
    <w:r>
      <w:rPr>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AB3A4" w14:textId="77777777" w:rsidR="0082745D" w:rsidRDefault="0082745D">
      <w:r>
        <w:separator/>
      </w:r>
    </w:p>
  </w:footnote>
  <w:footnote w:type="continuationSeparator" w:id="0">
    <w:p w14:paraId="76EECACF" w14:textId="77777777" w:rsidR="0082745D" w:rsidRDefault="008274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45882"/>
    <w:multiLevelType w:val="hybridMultilevel"/>
    <w:tmpl w:val="5BB211D2"/>
    <w:lvl w:ilvl="0" w:tplc="16A8AF70">
      <w:start w:val="1"/>
      <w:numFmt w:val="decimal"/>
      <w:lvlText w:val="[%1]"/>
      <w:lvlJc w:val="left"/>
      <w:pPr>
        <w:ind w:left="480" w:hanging="360"/>
      </w:pPr>
    </w:lvl>
    <w:lvl w:ilvl="1" w:tplc="0AAE1114">
      <w:numFmt w:val="decimal"/>
      <w:lvlText w:val=""/>
      <w:lvlJc w:val="left"/>
    </w:lvl>
    <w:lvl w:ilvl="2" w:tplc="8F60E358">
      <w:numFmt w:val="decimal"/>
      <w:lvlText w:val=""/>
      <w:lvlJc w:val="left"/>
    </w:lvl>
    <w:lvl w:ilvl="3" w:tplc="6830505A">
      <w:numFmt w:val="decimal"/>
      <w:lvlText w:val=""/>
      <w:lvlJc w:val="left"/>
    </w:lvl>
    <w:lvl w:ilvl="4" w:tplc="E56608B2">
      <w:numFmt w:val="decimal"/>
      <w:lvlText w:val=""/>
      <w:lvlJc w:val="left"/>
    </w:lvl>
    <w:lvl w:ilvl="5" w:tplc="E2C2DEBC">
      <w:numFmt w:val="decimal"/>
      <w:lvlText w:val=""/>
      <w:lvlJc w:val="left"/>
    </w:lvl>
    <w:lvl w:ilvl="6" w:tplc="580C2E84">
      <w:numFmt w:val="decimal"/>
      <w:lvlText w:val=""/>
      <w:lvlJc w:val="left"/>
    </w:lvl>
    <w:lvl w:ilvl="7" w:tplc="D4429768">
      <w:numFmt w:val="decimal"/>
      <w:lvlText w:val=""/>
      <w:lvlJc w:val="left"/>
    </w:lvl>
    <w:lvl w:ilvl="8" w:tplc="F0347E2E">
      <w:numFmt w:val="decimal"/>
      <w:lvlText w:val=""/>
      <w:lvlJc w:val="left"/>
    </w:lvl>
  </w:abstractNum>
  <w:abstractNum w:abstractNumId="1" w15:restartNumberingAfterBreak="0">
    <w:nsid w:val="50773990"/>
    <w:multiLevelType w:val="hybridMultilevel"/>
    <w:tmpl w:val="0F8845F0"/>
    <w:lvl w:ilvl="0" w:tplc="8794AD9A">
      <w:start w:val="1"/>
      <w:numFmt w:val="bullet"/>
      <w:lvlText w:val="●"/>
      <w:lvlJc w:val="left"/>
      <w:pPr>
        <w:ind w:left="720" w:hanging="360"/>
      </w:pPr>
    </w:lvl>
    <w:lvl w:ilvl="1" w:tplc="5DB2E938">
      <w:start w:val="1"/>
      <w:numFmt w:val="bullet"/>
      <w:lvlText w:val="○"/>
      <w:lvlJc w:val="left"/>
      <w:pPr>
        <w:ind w:left="1440" w:hanging="360"/>
      </w:pPr>
    </w:lvl>
    <w:lvl w:ilvl="2" w:tplc="90A6BB52">
      <w:start w:val="1"/>
      <w:numFmt w:val="bullet"/>
      <w:lvlText w:val="■"/>
      <w:lvlJc w:val="left"/>
      <w:pPr>
        <w:ind w:left="2160" w:hanging="360"/>
      </w:pPr>
    </w:lvl>
    <w:lvl w:ilvl="3" w:tplc="D5188D74">
      <w:start w:val="1"/>
      <w:numFmt w:val="bullet"/>
      <w:lvlText w:val="●"/>
      <w:lvlJc w:val="left"/>
      <w:pPr>
        <w:ind w:left="2880" w:hanging="360"/>
      </w:pPr>
    </w:lvl>
    <w:lvl w:ilvl="4" w:tplc="3D788A96">
      <w:start w:val="1"/>
      <w:numFmt w:val="bullet"/>
      <w:lvlText w:val="○"/>
      <w:lvlJc w:val="left"/>
      <w:pPr>
        <w:ind w:left="3600" w:hanging="360"/>
      </w:pPr>
    </w:lvl>
    <w:lvl w:ilvl="5" w:tplc="41A01B00">
      <w:start w:val="1"/>
      <w:numFmt w:val="bullet"/>
      <w:lvlText w:val="■"/>
      <w:lvlJc w:val="left"/>
      <w:pPr>
        <w:ind w:left="4320" w:hanging="360"/>
      </w:pPr>
    </w:lvl>
    <w:lvl w:ilvl="6" w:tplc="4998BED2">
      <w:start w:val="1"/>
      <w:numFmt w:val="bullet"/>
      <w:lvlText w:val="●"/>
      <w:lvlJc w:val="left"/>
      <w:pPr>
        <w:ind w:left="5040" w:hanging="360"/>
      </w:pPr>
    </w:lvl>
    <w:lvl w:ilvl="7" w:tplc="06EE2D1E">
      <w:start w:val="1"/>
      <w:numFmt w:val="bullet"/>
      <w:lvlText w:val="●"/>
      <w:lvlJc w:val="left"/>
      <w:pPr>
        <w:ind w:left="5760" w:hanging="360"/>
      </w:pPr>
    </w:lvl>
    <w:lvl w:ilvl="8" w:tplc="66FC40AE">
      <w:start w:val="1"/>
      <w:numFmt w:val="bullet"/>
      <w:lvlText w:val="●"/>
      <w:lvlJc w:val="left"/>
      <w:pPr>
        <w:ind w:left="6480" w:hanging="360"/>
      </w:pPr>
    </w:lvl>
  </w:abstractNum>
  <w:abstractNum w:abstractNumId="2" w15:restartNumberingAfterBreak="0">
    <w:nsid w:val="6F1E25EA"/>
    <w:multiLevelType w:val="hybridMultilevel"/>
    <w:tmpl w:val="8F264628"/>
    <w:lvl w:ilvl="0" w:tplc="750A746A">
      <w:start w:val="5"/>
      <w:numFmt w:val="bullet"/>
      <w:lvlText w:val="-"/>
      <w:lvlJc w:val="left"/>
      <w:pPr>
        <w:ind w:left="720" w:hanging="360"/>
      </w:pPr>
      <w:rPr>
        <w:rFonts w:ascii="Georgia" w:eastAsia="Georgia" w:hAnsi="Georgia" w:cs="Georgia"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7792402">
    <w:abstractNumId w:val="1"/>
    <w:lvlOverride w:ilvl="0">
      <w:startOverride w:val="1"/>
    </w:lvlOverride>
  </w:num>
  <w:num w:numId="2" w16cid:durableId="1987127775">
    <w:abstractNumId w:val="0"/>
    <w:lvlOverride w:ilvl="0">
      <w:startOverride w:val="1"/>
    </w:lvlOverride>
  </w:num>
  <w:num w:numId="3" w16cid:durableId="17744772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5"/>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2BD"/>
    <w:rsid w:val="001912CD"/>
    <w:rsid w:val="003D3165"/>
    <w:rsid w:val="0041691A"/>
    <w:rsid w:val="005268AC"/>
    <w:rsid w:val="007468DB"/>
    <w:rsid w:val="0082745D"/>
    <w:rsid w:val="008C0CAE"/>
    <w:rsid w:val="009D1A19"/>
    <w:rsid w:val="00A1606F"/>
    <w:rsid w:val="00A76407"/>
    <w:rsid w:val="00BB680C"/>
    <w:rsid w:val="00D4252F"/>
    <w:rsid w:val="00DA6DC1"/>
    <w:rsid w:val="00E972BD"/>
    <w:rsid w:val="00EA714E"/>
    <w:rsid w:val="00F76859"/>
    <w:rsid w:val="00FE6B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4:docId w14:val="3056CC2F"/>
  <w15:docId w15:val="{620EE11B-DE0A-DE4B-831F-4B6A9CA1C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Georgia" w:hAnsi="Georgia" w:cs="Georgia"/>
        <w:sz w:val="21"/>
        <w:szCs w:val="21"/>
        <w:lang w:val="en-I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pBdr>
        <w:top w:val="none" w:sz="0" w:space="0" w:color="FFFFFF"/>
        <w:left w:val="none" w:sz="0" w:space="0" w:color="FFFFFF"/>
        <w:bottom w:val="single" w:sz="4" w:space="4" w:color="999999"/>
        <w:right w:val="none" w:sz="0" w:space="0" w:color="FFFFFF"/>
      </w:pBdr>
      <w:spacing w:before="280" w:after="120"/>
      <w:outlineLvl w:val="0"/>
    </w:pPr>
    <w:rPr>
      <w:b/>
      <w:bCs/>
      <w:color w:val="000000"/>
      <w:sz w:val="25"/>
      <w:szCs w:val="25"/>
    </w:rPr>
  </w:style>
  <w:style w:type="paragraph" w:styleId="Heading2">
    <w:name w:val="heading 2"/>
    <w:uiPriority w:val="9"/>
    <w:unhideWhenUsed/>
    <w:qFormat/>
    <w:pPr>
      <w:spacing w:before="200" w:after="80"/>
      <w:outlineLvl w:val="1"/>
    </w:pPr>
    <w:rPr>
      <w:b/>
      <w:bCs/>
      <w:color w:val="000000"/>
      <w:sz w:val="22"/>
      <w:szCs w:val="22"/>
    </w:rPr>
  </w:style>
  <w:style w:type="paragraph" w:styleId="Heading3">
    <w:name w:val="heading 3"/>
    <w:uiPriority w:val="9"/>
    <w:unhideWhenUsed/>
    <w:qFormat/>
    <w:pPr>
      <w:spacing w:before="160" w:after="60"/>
      <w:outlineLvl w:val="2"/>
    </w:pPr>
    <w:rPr>
      <w:b/>
      <w:bCs/>
      <w:color w:val="000000"/>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53</TotalTime>
  <Pages>9</Pages>
  <Words>5401</Words>
  <Characters>31601</Characters>
  <Application>Microsoft Office Word</Application>
  <DocSecurity>0</DocSecurity>
  <Lines>471</Lines>
  <Paragraphs>191</Paragraphs>
  <ScaleCrop>false</ScaleCrop>
  <HeadingPairs>
    <vt:vector size="2" baseType="variant">
      <vt:variant>
        <vt:lpstr>Title</vt:lpstr>
      </vt:variant>
      <vt:variant>
        <vt:i4>1</vt:i4>
      </vt:variant>
    </vt:vector>
  </HeadingPairs>
  <TitlesOfParts>
    <vt:vector size="1" baseType="lpstr">
      <vt:lpstr>YOGICUX White Paper v1.0</vt:lpstr>
    </vt:vector>
  </TitlesOfParts>
  <Company/>
  <LinksUpToDate>false</LinksUpToDate>
  <CharactersWithSpaces>36811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YOGICUX White Paper v1.0</dc:title>
  <dc:creator>Arjun — OMJOOMSUH (OPC) Private Limited</dc:creator>
  <dc:description>A Design Discipline for the Resolution, Rather Than the Exploitation, of Human Attention</dc:description>
  <cp:lastModifiedBy>Paresh Baghel</cp:lastModifiedBy>
  <cp:revision>7</cp:revision>
  <dcterms:created xsi:type="dcterms:W3CDTF">2026-06-02T10:16:00Z</dcterms:created>
  <dcterms:modified xsi:type="dcterms:W3CDTF">2026-06-03T03:59:00Z</dcterms:modified>
</cp:coreProperties>
</file>