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60"/>
      </w:pPr>
      <w:r>
        <w:t xml:space="preserve"/>
      </w:r>
    </w:p>
    <w:p>
      <w:pPr>
        <w:spacing w:after="60" w:before="60"/>
      </w:pPr>
      <w:r>
        <w:t xml:space="preserve"/>
      </w:r>
    </w:p>
    <w:p>
      <w:pPr>
        <w:spacing w:after="60" w:before="60"/>
      </w:pPr>
      <w:r>
        <w:t xml:space="preserve"/>
      </w:r>
    </w:p>
    <w:p>
      <w:pPr>
        <w:spacing w:after="120" w:before="0"/>
        <w:jc w:val="center"/>
      </w:pPr>
      <w:r>
        <w:rPr>
          <w:rFonts w:ascii="Arial" w:cs="Arial" w:eastAsia="Arial" w:hAnsi="Arial"/>
          <w:b/>
          <w:bCs/>
          <w:color w:val="1A1A2E"/>
          <w:sz w:val="36"/>
          <w:szCs w:val="36"/>
        </w:rPr>
        <w:t xml:space="preserve">THE SIK AXIS AS A PROGRESSION MODIFIER IN LYMPHANGIOLEIOMYOMATOSIS:</w:t>
      </w:r>
    </w:p>
    <w:p>
      <w:pPr>
        <w:spacing w:after="240" w:before="0"/>
        <w:jc w:val="center"/>
      </w:pPr>
      <w:r>
        <w:rPr>
          <w:rFonts w:ascii="Arial" w:cs="Arial" w:eastAsia="Arial" w:hAnsi="Arial"/>
          <w:b/>
          <w:bCs/>
          <w:color w:val="1A1A2E"/>
          <w:sz w:val="26"/>
          <w:szCs w:val="26"/>
        </w:rPr>
        <w:t xml:space="preserve">Nutritional Antioxidant Reserve as a Determinant of Healthy Tissue Survival in the TSC2-Driven Lung Microenvironment</w:t>
      </w:r>
    </w:p>
    <w:p>
      <w:pPr>
        <w:spacing w:after="80" w:before="80"/>
        <w:jc w:val="center"/>
      </w:pPr>
      <w:r>
        <w:rPr>
          <w:rFonts w:ascii="Arial" w:cs="Arial" w:eastAsia="Arial" w:hAnsi="Arial"/>
          <w:i/>
          <w:iCs/>
          <w:color w:val="8A8070"/>
          <w:sz w:val="22"/>
          <w:szCs w:val="22"/>
        </w:rPr>
        <w:t xml:space="preserve">SIK Axis Series — Paper 6A  |  Final Pre-Submission Draft</w:t>
      </w:r>
    </w:p>
    <w:p>
      <w:pPr>
        <w:spacing w:after="80" w:before="80"/>
        <w:jc w:val="center"/>
      </w:pPr>
      <w:r>
        <w:rPr>
          <w:rFonts w:ascii="Arial" w:cs="Arial" w:eastAsia="Arial" w:hAnsi="Arial"/>
          <w:color w:val="8A8070"/>
          <w:sz w:val="20"/>
          <w:szCs w:val="20"/>
        </w:rPr>
        <w:t xml:space="preserve">Author: Anonymous — Pending Institutional Affiliation  |  June 2026</w:t>
      </w:r>
    </w:p>
    <w:p>
      <w:pPr>
        <w:spacing w:after="80" w:before="80"/>
        <w:jc w:val="center"/>
      </w:pPr>
      <w:r>
        <w:rPr>
          <w:rFonts w:ascii="Arial" w:cs="Arial" w:eastAsia="Arial" w:hAnsi="Arial"/>
          <w:i/>
          <w:iCs/>
          <w:color w:val="8A8070"/>
          <w:sz w:val="18"/>
          <w:szCs w:val="18"/>
        </w:rPr>
        <w:t xml:space="preserve">Conflict of Interest: None. No external funding. No institutional affiliation influenced this work.</w:t>
      </w:r>
    </w:p>
    <w:p>
      <w:pPr>
        <w:spacing w:after="80" w:before="80"/>
        <w:jc w:val="center"/>
      </w:pPr>
      <w:r>
        <w:rPr>
          <w:rFonts w:ascii="Arial" w:cs="Arial" w:eastAsia="Arial" w:hAnsi="Arial"/>
          <w:i/>
          <w:iCs/>
          <w:color w:val="8A8070"/>
          <w:sz w:val="18"/>
          <w:szCs w:val="18"/>
        </w:rPr>
        <w:t xml:space="preserve">Patient and Public Involvement: No patients or public were directly involved in the design of this hypothesis paper.</w:t>
      </w:r>
    </w:p>
    <w:p>
      <w:pPr>
        <w:pBdr>
          <w:top w:val="single" w:color="C9A84C" w:sz="4" w:space="1"/>
          <w:bottom w:val="single" w:color="C9A84C" w:sz="4" w:space="1"/>
        </w:pBdr>
        <w:spacing w:after="180" w:before="180"/>
        <w:jc w:val="center"/>
      </w:pPr>
      <w:r>
        <w:rPr>
          <w:rFonts w:ascii="Arial" w:cs="Arial" w:eastAsia="Arial" w:hAnsi="Arial"/>
          <w:i/>
          <w:iCs/>
          <w:color w:val="8A8070"/>
          <w:sz w:val="18"/>
          <w:szCs w:val="18"/>
        </w:rPr>
        <w:t xml:space="preserve">Preprint to be deposited at medRxiv prior to journal submission.</w:t>
      </w:r>
    </w:p>
    <w:p>
      <w:r>
        <w:br w:type="page"/>
      </w:r>
    </w:p>
    <w:p>
      <w:pPr>
        <w:pStyle w:val="Heading1"/>
        <w:spacing w:after="180" w:before="360"/>
      </w:pPr>
      <w:r>
        <w:rPr>
          <w:rFonts w:ascii="Arial" w:cs="Arial" w:eastAsia="Arial" w:hAnsi="Arial"/>
          <w:b/>
          <w:bCs/>
          <w:color w:val="1A1A2E"/>
          <w:sz w:val="32"/>
          <w:szCs w:val="32"/>
        </w:rPr>
        <w:t xml:space="preserve">Abstract</w:t>
      </w:r>
    </w:p>
    <w:p>
      <w:pPr>
        <w:pBdr>
          <w:bottom w:val="single" w:color="CCCCCC" w:sz="4" w:space="1"/>
        </w:pBdr>
        <w:spacing w:after="240" w:before="240"/>
      </w:pPr>
      <w:r>
        <w:t xml:space="preserve"/>
      </w:r>
    </w:p>
    <w:p>
      <w:pPr>
        <w:spacing w:after="100" w:before="200"/>
      </w:pPr>
      <w:r>
        <w:rPr>
          <w:rFonts w:ascii="Arial" w:cs="Arial" w:eastAsia="Arial" w:hAnsi="Arial"/>
          <w:b/>
          <w:bCs/>
          <w:color w:val="1A1A2E"/>
          <w:sz w:val="24"/>
          <w:szCs w:val="24"/>
        </w:rPr>
        <w:t xml:space="preserve">Background</w:t>
      </w:r>
    </w:p>
    <w:p>
      <w:pPr>
        <w:spacing w:after="120" w:before="80" w:line="360"/>
        <w:jc w:val="both"/>
      </w:pPr>
      <w:r>
        <w:rPr>
          <w:rFonts w:ascii="Arial" w:cs="Arial" w:eastAsia="Arial" w:hAnsi="Arial"/>
          <w:sz w:val="24"/>
          <w:szCs w:val="24"/>
        </w:rPr>
        <w:t xml:space="preserve">Lymphangioleiomyomatosis (LAM) is a rare, progressive, almost exclusively female lung disease driven by loss-of-function mutations in TSC1 or TSC2 genes, resulting in constitutive mTORC1 hyperactivation in smooth muscle-like LAM cells. Current standard of care centers on mTOR inhibitors (sirolimus, everolimus) that slow but do not halt disease progression. LAM cells destroy normal lung parenchyma through cyst formation, protease release, and progressive replacement of functional tissue, while simultaneously generating paradoxical mitochondrial oxidative stress through reductive stress mechanisms despite the Warburg-like metabolic shift.</w:t>
      </w:r>
    </w:p>
    <w:p>
      <w:pPr>
        <w:spacing w:after="60" w:before="60"/>
      </w:pPr>
      <w:r>
        <w:t xml:space="preserve"/>
      </w:r>
    </w:p>
    <w:p>
      <w:pPr>
        <w:spacing w:after="100" w:before="200"/>
      </w:pPr>
      <w:r>
        <w:rPr>
          <w:rFonts w:ascii="Arial" w:cs="Arial" w:eastAsia="Arial" w:hAnsi="Arial"/>
          <w:b/>
          <w:bCs/>
          <w:color w:val="1A1A2E"/>
          <w:sz w:val="24"/>
          <w:szCs w:val="24"/>
        </w:rPr>
        <w:t xml:space="preserve">Hypothesis</w:t>
      </w:r>
    </w:p>
    <w:p>
      <w:pPr>
        <w:spacing w:after="120" w:before="80" w:line="360"/>
        <w:jc w:val="both"/>
      </w:pPr>
      <w:r>
        <w:rPr>
          <w:rFonts w:ascii="Arial" w:cs="Arial" w:eastAsia="Arial" w:hAnsi="Arial"/>
          <w:sz w:val="24"/>
          <w:szCs w:val="24"/>
        </w:rPr>
        <w:t xml:space="preserve">We propose that the Selenium-Iodine-Kidney (SIK) axis framework — developed across Papers 1-5 of this series to explain mitochondrial vulnerability in high-metabolic, oxidatively stressed tissues — applies as a progression modifier in LAM. While the primary driver of LAM is genetic and not addressable through nutritional intervention, the rate at which healthy surrounding lung parenchymal cells survive the oxidative and inflammatory microenvironment created by LAM nodules is determined in part by their own antioxidant reserve capacity. That reserve capacity is selenium-dependent, NRF2-dependent, and CoQ10-dependent. A LAM patient with concurrent SIK axis deficiencies — selenium insufficiency, subclinical hypothyroidism, NRF2 suppression from insulin resistance, or CoQ10 depletion — may lose functional lung tissue faster not because their LAM is more aggressive but because their healthy cells have less capacity to survive the LAM microenvironment. Furthermore, the mTORC1-NRF2-p62 molecular intersection creates a specific and underexplored mechanism by which constitutive mTOR hyperactivation in LAM cells may alter NRF2 antioxidant signaling in surrounding healthy tissue.</w:t>
      </w:r>
    </w:p>
    <w:p>
      <w:pPr>
        <w:spacing w:after="60" w:before="60"/>
      </w:pPr>
      <w:r>
        <w:t xml:space="preserve"/>
      </w:r>
    </w:p>
    <w:p>
      <w:pPr>
        <w:spacing w:after="100" w:before="200"/>
      </w:pPr>
      <w:r>
        <w:rPr>
          <w:rFonts w:ascii="Arial" w:cs="Arial" w:eastAsia="Arial" w:hAnsi="Arial"/>
          <w:b/>
          <w:bCs/>
          <w:color w:val="1A1A2E"/>
          <w:sz w:val="24"/>
          <w:szCs w:val="24"/>
        </w:rPr>
        <w:t xml:space="preserve">Significance</w:t>
      </w:r>
    </w:p>
    <w:p>
      <w:pPr>
        <w:spacing w:after="120" w:before="80" w:line="360"/>
        <w:jc w:val="both"/>
      </w:pPr>
      <w:r>
        <w:rPr>
          <w:rFonts w:ascii="Arial" w:cs="Arial" w:eastAsia="Arial" w:hAnsi="Arial"/>
          <w:sz w:val="24"/>
          <w:szCs w:val="24"/>
        </w:rPr>
        <w:t xml:space="preserve">This paper identifies a nutritionally modifiable component of LAM disease progression that is currently unaddressed in standard management. It does not propose nutritional intervention as an alternative to mTOR inhibitor therapy but as a potential adjunct that addresses the antioxidant reserve of the healthy tissue being destroyed. All claims are hypothesis-level requiring prospective investigation.</w:t>
      </w:r>
    </w:p>
    <w:p>
      <w:pPr>
        <w:spacing w:after="60" w:before="60"/>
      </w:pPr>
      <w:r>
        <w:t xml:space="preserve"/>
      </w:r>
    </w:p>
    <w:p>
      <w:pPr>
        <w:spacing w:after="120" w:before="80" w:line="360"/>
        <w:jc w:val="both"/>
      </w:pPr>
      <w:r>
        <w:rPr>
          <w:rFonts w:ascii="Arial" w:cs="Arial" w:eastAsia="Arial" w:hAnsi="Arial"/>
          <w:i/>
          <w:iCs/>
          <w:color w:val="8A8070"/>
          <w:sz w:val="24"/>
          <w:szCs w:val="24"/>
        </w:rPr>
        <w:t xml:space="preserve">Keywords: lymphangioleiomyomatosis, LAM, TSC2, mTORC1, NRF2, selenium, mitochondrial dysfunction, oxidative stress, disease progression modifier, antioxidant reserve</w:t>
      </w:r>
    </w:p>
    <w:p>
      <w:r>
        <w:br w:type="page"/>
      </w:r>
    </w:p>
    <w:p>
      <w:pPr>
        <w:pStyle w:val="Heading1"/>
        <w:spacing w:after="180" w:before="360"/>
      </w:pPr>
      <w:r>
        <w:rPr>
          <w:rFonts w:ascii="Arial" w:cs="Arial" w:eastAsia="Arial" w:hAnsi="Arial"/>
          <w:b/>
          <w:bCs/>
          <w:color w:val="1A1A2E"/>
          <w:sz w:val="32"/>
          <w:szCs w:val="32"/>
        </w:rPr>
        <w:t xml:space="preserve">1. Introduction</w:t>
      </w:r>
    </w:p>
    <w:p>
      <w:pPr>
        <w:pBdr>
          <w:bottom w:val="single" w:color="CCCCCC" w:sz="4" w:space="1"/>
        </w:pBdr>
        <w:spacing w:after="240" w:before="240"/>
      </w:pPr>
      <w:r>
        <w:t xml:space="preserve"/>
      </w:r>
    </w:p>
    <w:p>
      <w:pPr>
        <w:spacing w:after="120" w:before="80" w:line="360"/>
        <w:jc w:val="both"/>
      </w:pPr>
      <w:r>
        <w:rPr>
          <w:rFonts w:ascii="Arial" w:cs="Arial" w:eastAsia="Arial" w:hAnsi="Arial"/>
          <w:sz w:val="24"/>
          <w:szCs w:val="24"/>
        </w:rPr>
        <w:t xml:space="preserve">Lymphangioleiomyomatosis affects approximately 3-5 per million women globally and represents one of the clearest examples of a monogenic neoplastic disease with well-characterized molecular pathogenesis. LAM cells harbor biallelic inactivating mutations in TSC1 or TSC2, genes encoding hamartin and tuberin respectively, whose normal function is to inhibit mTORC1 signaling. Loss of TSC2 results in constitutively activated mTORC1, driving LAM cell proliferation, migration, protease secretion, and progressive cystic destruction of the lung.</w:t>
      </w:r>
    </w:p>
    <w:p>
      <w:pPr>
        <w:spacing w:after="60" w:before="60"/>
      </w:pPr>
      <w:r>
        <w:t xml:space="preserve"/>
      </w:r>
    </w:p>
    <w:p>
      <w:pPr>
        <w:spacing w:after="120" w:before="80" w:line="360"/>
        <w:jc w:val="both"/>
      </w:pPr>
      <w:r>
        <w:rPr>
          <w:rFonts w:ascii="Arial" w:cs="Arial" w:eastAsia="Arial" w:hAnsi="Arial"/>
          <w:sz w:val="24"/>
          <w:szCs w:val="24"/>
        </w:rPr>
        <w:t xml:space="preserve">The development of mTOR inhibitors as LAM therapy represents a genuine therapeutic advance. Sirolimus and everolimus stabilize or slow decline in FEV1, reduce VEGF-D levels, and improve quality of life in clinical trials. However, these drugs are not curative — lung function decline resumes when treatment is stopped, and progression continues at a slower rate during treatment.</w:t>
      </w:r>
    </w:p>
    <w:p>
      <w:pPr>
        <w:spacing w:after="60" w:before="60"/>
      </w:pPr>
      <w:r>
        <w:t xml:space="preserve"/>
      </w:r>
    </w:p>
    <w:p>
      <w:pPr>
        <w:spacing w:after="120" w:before="80" w:line="360"/>
        <w:jc w:val="both"/>
      </w:pPr>
      <w:r>
        <w:rPr>
          <w:rFonts w:ascii="Arial" w:cs="Arial" w:eastAsia="Arial" w:hAnsi="Arial"/>
          <w:sz w:val="24"/>
          <w:szCs w:val="24"/>
        </w:rPr>
        <w:t xml:space="preserve">The question this paper addresses is not whether mTOR inhibition should be used in LAM — it should. The question is whether the rate of healthy tissue loss in the LAM lung microenvironment is partially determined by the nutritional antioxidant status of the healthy cells being destroyed, and whether that component of progression is modifiable through the SIK axis framework independently of mTOR pathway intervention.</w:t>
      </w:r>
    </w:p>
    <w:p>
      <w:pPr>
        <w:spacing w:after="60" w:before="60"/>
      </w:pPr>
      <w:r>
        <w:t xml:space="preserve"/>
      </w:r>
    </w:p>
    <w:p>
      <w:pPr>
        <w:pBdr>
          <w:left w:val="single" w:color="4A7A4E" w:sz="12" w:space="4"/>
        </w:pBdr>
        <w:spacing w:after="120" w:before="80"/>
        <w:ind w:left="360"/>
      </w:pPr>
      <w:r>
        <w:rPr>
          <w:rFonts w:ascii="Arial" w:cs="Arial" w:eastAsia="Arial" w:hAnsi="Arial"/>
          <w:color w:val="4A7A4E"/>
          <w:sz w:val="20"/>
          <w:szCs w:val="20"/>
        </w:rPr>
        <w:t xml:space="preserve">This paper proposes hypothesis-level mechanistic connections requiring prospective investigation. It does not claim that nutritional intervention modifies LAM cell biology, reverses genetic TSC2 mutations, or replaces mTOR inhibitor therapy.</w:t>
      </w:r>
    </w:p>
    <w:p>
      <w:r>
        <w:br w:type="page"/>
      </w:r>
    </w:p>
    <w:p>
      <w:pPr>
        <w:pStyle w:val="Heading1"/>
        <w:spacing w:after="180" w:before="360"/>
      </w:pPr>
      <w:r>
        <w:rPr>
          <w:rFonts w:ascii="Arial" w:cs="Arial" w:eastAsia="Arial" w:hAnsi="Arial"/>
          <w:b/>
          <w:bCs/>
          <w:color w:val="1A1A2E"/>
          <w:sz w:val="32"/>
          <w:szCs w:val="32"/>
        </w:rPr>
        <w:t xml:space="preserve">2. LAM Cell Mitochondrial Biology and the Oxidative Paradox</w:t>
      </w:r>
    </w:p>
    <w:p>
      <w:pPr>
        <w:pBdr>
          <w:bottom w:val="single" w:color="CCCCCC" w:sz="4" w:space="1"/>
        </w:pBdr>
        <w:spacing w:after="240" w:before="240"/>
      </w:pPr>
      <w:r>
        <w:t xml:space="preserve"/>
      </w:r>
    </w:p>
    <w:p>
      <w:pPr>
        <w:spacing w:after="120" w:before="80" w:line="360"/>
        <w:jc w:val="both"/>
      </w:pPr>
      <w:r>
        <w:rPr>
          <w:rFonts w:ascii="Arial" w:cs="Arial" w:eastAsia="Arial" w:hAnsi="Arial"/>
          <w:sz w:val="24"/>
          <w:szCs w:val="24"/>
        </w:rPr>
        <w:t xml:space="preserve">LAM cells undergo a metabolic shift that creates a paradoxical mitochondrial situation directly relevant to the SIK framework. Under constitutive mTORC1 activation, LAM cells upregulate HIF1alpha, shifting energy production toward aerobic glycolysis — the Warburg effect. This shift diverts glycolytic intermediates into biosynthetic pathways supporting cell growth and reduces dependence on oxidative phosphorylation.</w:t>
      </w:r>
    </w:p>
    <w:p>
      <w:pPr>
        <w:spacing w:after="60" w:before="60"/>
      </w:pPr>
      <w:r>
        <w:t xml:space="preserve"/>
      </w:r>
    </w:p>
    <w:p>
      <w:pPr>
        <w:spacing w:after="120" w:before="80" w:line="360"/>
        <w:jc w:val="both"/>
      </w:pPr>
      <w:r>
        <w:rPr>
          <w:rFonts w:ascii="Arial" w:cs="Arial" w:eastAsia="Arial" w:hAnsi="Arial"/>
          <w:sz w:val="24"/>
          <w:szCs w:val="24"/>
        </w:rPr>
        <w:t xml:space="preserve">However, despite this glycolytic shift, LAM cells exhibit significantly elevated mitochondrial membrane activity. A 2018 study in Oncogene — the first paper to establish mitochondrial dysfunction as a key determinant of LAM — found that LAM mitochondrial membrane activity is twice as high as normal smooth muscle cell controls. Under reductive stress conditions, normally antioxidant matrix NADPH reductases, glutathione reductases, and thioredoxin reductases can generate hydrogen peroxide by leaking electrons to molecular oxygen. This creates a net mitochondrial ROS spill-over that causes oxidative injury to surrounding cells despite the concomitant enhancement of ROS scavenging systems within LAM cells themselves.</w:t>
      </w:r>
    </w:p>
    <w:p>
      <w:pPr>
        <w:spacing w:after="60" w:before="60"/>
      </w:pPr>
      <w:r>
        <w:t xml:space="preserve"/>
      </w:r>
    </w:p>
    <w:p>
      <w:pPr>
        <w:spacing w:after="120" w:before="80" w:line="360"/>
        <w:jc w:val="both"/>
      </w:pPr>
      <w:r>
        <w:rPr>
          <w:rFonts w:ascii="Arial" w:cs="Arial" w:eastAsia="Arial" w:hAnsi="Arial"/>
          <w:sz w:val="24"/>
          <w:szCs w:val="24"/>
        </w:rPr>
        <w:t xml:space="preserve">The implication is that LAM cells are actively generating oxidative damage to their microenvironment. The healthy alveolar epithelial cells, pulmonary fibroblasts, and endothelial cells surrounding LAM nodules are subjected to chronic oxidative stress from this ROS spill-over. Their capacity to survive this assault is a function of their own antioxidant reserve — which is the variable the SIK framework addresses.</w:t>
      </w:r>
    </w:p>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3. The mTORC1-NRF2-p62 Molecular Intersection</w:t>
      </w:r>
    </w:p>
    <w:p>
      <w:pPr>
        <w:pBdr>
          <w:bottom w:val="single" w:color="CCCCCC" w:sz="4" w:space="1"/>
        </w:pBdr>
        <w:spacing w:after="240" w:before="240"/>
      </w:pPr>
      <w:r>
        <w:t xml:space="preserve"/>
      </w:r>
    </w:p>
    <w:p>
      <w:pPr>
        <w:spacing w:after="120" w:before="80" w:line="360"/>
        <w:jc w:val="both"/>
      </w:pPr>
      <w:r>
        <w:rPr>
          <w:rFonts w:ascii="Arial" w:cs="Arial" w:eastAsia="Arial" w:hAnsi="Arial"/>
          <w:sz w:val="24"/>
          <w:szCs w:val="24"/>
        </w:rPr>
        <w:t xml:space="preserve">A specific molecular connection between the mTOR pathway and NRF2 antioxidant signaling has been identified through the p62 scaffold protein. Under oxidative stress conditions, mTORC1-mediated phosphorylation of p62 at S349 plays a role in NRF2 stabilization through enhanced association with Keap1 — leading to Keap1 sequestration and NRF2 nuclear translocation.</w:t>
      </w:r>
    </w:p>
    <w:p>
      <w:pPr>
        <w:spacing w:after="60" w:before="60"/>
      </w:pPr>
      <w:r>
        <w:t xml:space="preserve"/>
      </w:r>
    </w:p>
    <w:p>
      <w:pPr>
        <w:spacing w:after="120" w:before="80" w:line="360"/>
        <w:jc w:val="both"/>
      </w:pPr>
      <w:r>
        <w:rPr>
          <w:rFonts w:ascii="Arial" w:cs="Arial" w:eastAsia="Arial" w:hAnsi="Arial"/>
          <w:sz w:val="24"/>
          <w:szCs w:val="24"/>
        </w:rPr>
        <w:t xml:space="preserve">In LAM, where mTORC1 is constitutively hyperactivated, this p62 phosphorylation pathway may be dysregulated in ways that alter NRF2 activity in surrounding healthy tissue cells that have taken up signals from the LAM microenvironment. The precise direction of this effect — whether constitutive mTOR activation in LAM cells enhances or impairs NRF2 function in neighboring healthy cells through paracrine p62-Keap1 signaling — has not been studied. This represents a specific and actionable research gap.</w:t>
      </w:r>
    </w:p>
    <w:p>
      <w:pPr>
        <w:spacing w:after="60" w:before="60"/>
      </w:pPr>
      <w:r>
        <w:t xml:space="preserve"/>
      </w:r>
    </w:p>
    <w:p>
      <w:pPr>
        <w:spacing w:after="120" w:before="80" w:line="360"/>
        <w:jc w:val="both"/>
      </w:pPr>
      <w:r>
        <w:rPr>
          <w:rFonts w:ascii="Arial" w:cs="Arial" w:eastAsia="Arial" w:hAnsi="Arial"/>
          <w:sz w:val="24"/>
          <w:szCs w:val="24"/>
        </w:rPr>
        <w:t xml:space="preserve">What is established is that NRF2 is critically important to the survival of healthy lung cells under oxidative stress. NRF2 deletion dramatically worsens outcomes in every experimental pulmonary disease model where it has been studied — ARDS, pulmonary fibrosis, COPD, asthma — through the same mechanism: inability to upregulate antioxidant gene expression when ROS levels rise. In the LAM lung, where ROS spill-over from LAM mitochondria is documented, NRF2 functional status in surrounding healthy cells is a critical survival variable.</w:t>
      </w:r>
    </w:p>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4. The SIK Framework as a LAM Progression Modifier</w:t>
      </w:r>
    </w:p>
    <w:p>
      <w:pPr>
        <w:pBdr>
          <w:bottom w:val="single" w:color="CCCCCC" w:sz="4" w:space="1"/>
        </w:pBdr>
        <w:spacing w:after="240" w:before="240"/>
      </w:pPr>
      <w:r>
        <w:t xml:space="preserve"/>
      </w:r>
    </w:p>
    <w:p>
      <w:pPr>
        <w:spacing w:after="120" w:before="80" w:line="360"/>
        <w:jc w:val="both"/>
      </w:pPr>
      <w:r>
        <w:rPr>
          <w:rFonts w:ascii="Arial" w:cs="Arial" w:eastAsia="Arial" w:hAnsi="Arial"/>
          <w:sz w:val="24"/>
          <w:szCs w:val="24"/>
        </w:rPr>
        <w:t xml:space="preserve">The following model integrates SIK axis variables into the LAM progression framework:</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c>
          <w:tcPr>
            <w:tcW w:type="dxa" w:w="240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5F0E8"/>
                <w:sz w:val="20"/>
                <w:szCs w:val="20"/>
              </w:rPr>
              <w:t xml:space="preserve">SIK Variable</w:t>
            </w:r>
          </w:p>
        </w:tc>
        <w:tc>
          <w:tcPr>
            <w:tcW w:type="dxa" w:w="348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5F0E8"/>
                <w:sz w:val="20"/>
                <w:szCs w:val="20"/>
              </w:rPr>
              <w:t xml:space="preserve">Effect on LAM Cells (Primary Disease)</w:t>
            </w:r>
          </w:p>
        </w:tc>
        <w:tc>
          <w:tcPr>
            <w:tcW w:type="dxa" w:w="348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5F0E8"/>
                <w:sz w:val="20"/>
                <w:szCs w:val="20"/>
              </w:rPr>
              <w:t xml:space="preserve">Effect on Healthy Surrounding Tissue (Progression Modifier)</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Selenium / GPx / TrxR</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Does not modify TSC2 mutation or mTORC1 constitutive activation</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GPx1, GPx3, GPx4, and TrxR1 protect healthy alveolar and endothelial cells from LAM-generated ROS spill-over. Selenium deficiency depletes this protection.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NRF2 / Sulforaphane</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NRF2 activation may interact with mTORC1-p62 pathway in LAM cells — direction unclear, requires study</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NRF2 is the master antioxidant regulator in healthy lung cells. Sulforaphane activation of NRF2 and PGC-1alpha in healthy cells increases their survival capacity in the LAM microenvironment.</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CoQ10</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LAM cells have shifted from oxidative phosphorylation; CoQ10 relevance to LAM cell energy is reduced</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Healthy alveolar type II cells, endothelial cells, and fibroblasts still depend on oxidative phosphorylation. CoQ10 protects their mitochondria from LAM-generated oxidative stress.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T3 / Thyroid / Selenium-deiodinase</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Not relevant to TSC2/mTOR pathway</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Subclinical hypothyroidism reduces pulmonary vascular tone and oxygenation — potentially compounding the hypoxic stress in a LAM lung already compromised by cystic destruction.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Glutathione / NAC</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GSH depletion in surrounding tissue increases sensitivity to LAM-generated ROS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1A1A2E"/>
                <w:sz w:val="20"/>
                <w:szCs w:val="20"/>
              </w:rPr>
              <w:t xml:space="preserve">NAC replenishes GSH precursors in healthy cells, maintaining the substrate pool for GPx function under the chronic oxidative assault of the LAM microenvironment.</w:t>
            </w:r>
          </w:p>
        </w:tc>
      </w:tr>
    </w:tbl>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5. The LAM-PCOS-SIK Convergence</w:t>
      </w:r>
    </w:p>
    <w:p>
      <w:pPr>
        <w:pBdr>
          <w:bottom w:val="single" w:color="CCCCCC" w:sz="4" w:space="1"/>
        </w:pBdr>
        <w:spacing w:after="240" w:before="240"/>
      </w:pPr>
      <w:r>
        <w:t xml:space="preserve"/>
      </w:r>
    </w:p>
    <w:p>
      <w:pPr>
        <w:spacing w:after="120" w:before="80" w:line="360"/>
        <w:jc w:val="both"/>
      </w:pPr>
      <w:r>
        <w:rPr>
          <w:rFonts w:ascii="Arial" w:cs="Arial" w:eastAsia="Arial" w:hAnsi="Arial"/>
          <w:sz w:val="24"/>
          <w:szCs w:val="24"/>
        </w:rPr>
        <w:t xml:space="preserve">A clinically important subpopulation warrants specific attention. LAM occurs almost exclusively in women of reproductive age — the same population in whom PCOS, iron deficiency anemia, and selenium deficiency are most prevalent. The convergent triad described in Paper 3 of this series may be over-represented in the LAM population for the following reasons:</w:t>
      </w:r>
    </w:p>
    <w:p>
      <w:pPr>
        <w:spacing w:after="60" w:before="60"/>
      </w:pPr>
      <w:r>
        <w:t xml:space="preserve"/>
      </w:r>
    </w:p>
    <w:p>
      <w:pPr>
        <w:pStyle w:val="ListParagraph"/>
        <w:numPr>
          <w:ilvl w:val="0"/>
          <w:numId w:val="2"/>
        </w:numPr>
        <w:spacing w:after="60" w:before="60"/>
      </w:pPr>
      <w:r>
        <w:rPr>
          <w:rFonts w:ascii="Arial" w:cs="Arial" w:eastAsia="Arial" w:hAnsi="Arial"/>
          <w:sz w:val="24"/>
          <w:szCs w:val="24"/>
        </w:rPr>
        <w:t xml:space="preserve">PCOS is associated with TSC pathway dysregulation through insulin-PI3K-AKT-mTOR signaling. Insulin resistance-driven mTOR activation is a known feature of PCOS, creating a background of mTOR pathway overactivation that may interact with TSC2-driven mTORC1 in complex ways.</w:t>
      </w:r>
    </w:p>
    <w:p>
      <w:pPr>
        <w:pStyle w:val="ListParagraph"/>
        <w:numPr>
          <w:ilvl w:val="0"/>
          <w:numId w:val="2"/>
        </w:numPr>
        <w:spacing w:after="60" w:before="60"/>
      </w:pPr>
      <w:r>
        <w:rPr>
          <w:rFonts w:ascii="Arial" w:cs="Arial" w:eastAsia="Arial" w:hAnsi="Arial"/>
          <w:sz w:val="24"/>
          <w:szCs w:val="24"/>
        </w:rPr>
        <w:t xml:space="preserve">Estrogen exacerbates LAM. PCOS is characterized by androgen excess and estrogen dysregulation. The estrogen-ERK2 pathway identified as a co-driver of LAM progression may be more active in PCOS patients with LAM than in the general LAM population.</w:t>
      </w:r>
    </w:p>
    <w:p>
      <w:pPr>
        <w:pStyle w:val="ListParagraph"/>
        <w:numPr>
          <w:ilvl w:val="0"/>
          <w:numId w:val="2"/>
        </w:numPr>
        <w:spacing w:after="60" w:before="60"/>
      </w:pPr>
      <w:r>
        <w:rPr>
          <w:rFonts w:ascii="Arial" w:cs="Arial" w:eastAsia="Arial" w:hAnsi="Arial"/>
          <w:sz w:val="24"/>
          <w:szCs w:val="24"/>
        </w:rPr>
        <w:t xml:space="preserve">Iron deficiency anemia is common in PCOS through menorrhagia. In a LAM patient, anemia reduces pulmonary oxygen delivery in a lung already progressively losing functional parenchyma to cystic destruction — a compounded hypoxic burden not present in either condition alone.</w:t>
      </w:r>
    </w:p>
    <w:p>
      <w:pPr>
        <w:pStyle w:val="ListParagraph"/>
        <w:numPr>
          <w:ilvl w:val="0"/>
          <w:numId w:val="2"/>
        </w:numPr>
        <w:spacing w:after="60" w:before="60"/>
      </w:pPr>
      <w:r>
        <w:rPr>
          <w:rFonts w:ascii="Arial" w:cs="Arial" w:eastAsia="Arial" w:hAnsi="Arial"/>
          <w:sz w:val="24"/>
          <w:szCs w:val="24"/>
        </w:rPr>
        <w:t xml:space="preserve">Selenium deficiency is documented in PCOS. A PCOS patient with LAM who is also selenium-deficient has depleted antioxidant reserve in exactly the tissue being destroyed.</w:t>
      </w:r>
    </w:p>
    <w:p>
      <w:pPr>
        <w:spacing w:after="60" w:before="60"/>
      </w:pPr>
      <w:r>
        <w:t xml:space="preserve"/>
      </w:r>
    </w:p>
    <w:p>
      <w:pPr>
        <w:spacing w:after="120" w:before="80" w:line="360"/>
        <w:jc w:val="both"/>
      </w:pPr>
      <w:r>
        <w:rPr>
          <w:rFonts w:ascii="Arial" w:cs="Arial" w:eastAsia="Arial" w:hAnsi="Arial"/>
          <w:sz w:val="24"/>
          <w:szCs w:val="24"/>
        </w:rPr>
        <w:t xml:space="preserve">The PCOS-LAM intersection has received almost no research attention. Given the shared reproductive-age female population and the convergent molecular vulnerabilities described here, it represents a clinically significant and understudied comorbidity pattern.</w:t>
      </w:r>
    </w:p>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6. mTOR Inhibitor and SIK Protocol Interaction</w:t>
      </w:r>
    </w:p>
    <w:p>
      <w:pPr>
        <w:pBdr>
          <w:bottom w:val="single" w:color="CCCCCC" w:sz="4" w:space="1"/>
        </w:pBdr>
        <w:spacing w:after="240" w:before="240"/>
      </w:pPr>
      <w:r>
        <w:t xml:space="preserve"/>
      </w:r>
    </w:p>
    <w:p>
      <w:pPr>
        <w:pBdr>
          <w:left w:val="single" w:color="B5541A" w:sz="12" w:space="4"/>
        </w:pBdr>
        <w:spacing w:after="120" w:before="80"/>
        <w:ind w:left="360"/>
      </w:pPr>
      <w:r>
        <w:rPr>
          <w:rFonts w:ascii="Arial" w:cs="Arial" w:eastAsia="Arial" w:hAnsi="Arial"/>
          <w:color w:val="B5541A"/>
          <w:sz w:val="20"/>
          <w:szCs w:val="20"/>
        </w:rPr>
        <w:t xml:space="preserve">This section addresses a critical safety consideration. The interaction between mTOR inhibitor therapy and NRF2/sulforaphane supplementation has not been studied in LAM patients and requires investigation before clinical application.</w:t>
      </w:r>
    </w:p>
    <w:p>
      <w:pPr>
        <w:spacing w:after="60" w:before="60"/>
      </w:pPr>
      <w:r>
        <w:t xml:space="preserve"/>
      </w:r>
    </w:p>
    <w:p>
      <w:pPr>
        <w:spacing w:after="120" w:before="80" w:line="360"/>
        <w:jc w:val="both"/>
      </w:pPr>
      <w:r>
        <w:rPr>
          <w:rFonts w:ascii="Arial" w:cs="Arial" w:eastAsia="Arial" w:hAnsi="Arial"/>
          <w:sz w:val="24"/>
          <w:szCs w:val="24"/>
        </w:rPr>
        <w:t xml:space="preserve">mTOR inhibitors used in LAM (sirolimus, everolimus) interact with the mTORC1-p62-NRF2 pathway described in Section 3. Rapamycin and its analogues suppress mTORC1, which affects p62 phosphorylation and may alter NRF2 activity. Whether mTOR inhibition enhances or impairs the NRF2-activating effect of sulforaphane in the LAM lung context is unknown.</w:t>
      </w:r>
    </w:p>
    <w:p>
      <w:pPr>
        <w:spacing w:after="60" w:before="60"/>
      </w:pPr>
      <w:r>
        <w:t xml:space="preserve"/>
      </w:r>
    </w:p>
    <w:p>
      <w:pPr>
        <w:spacing w:after="120" w:before="80" w:line="360"/>
        <w:jc w:val="both"/>
      </w:pPr>
      <w:r>
        <w:rPr>
          <w:rFonts w:ascii="Arial" w:cs="Arial" w:eastAsia="Arial" w:hAnsi="Arial"/>
          <w:sz w:val="24"/>
          <w:szCs w:val="24"/>
        </w:rPr>
        <w:t xml:space="preserve">Additionally, mTOR inhibitors have immunosuppressive effects. Selenium supports immune function through selenoprotein-dependent mechanisms. The interaction between selenium supplementation and mTOR inhibitor-mediated immune modulation requires study.</w:t>
      </w:r>
    </w:p>
    <w:p>
      <w:pPr>
        <w:spacing w:after="60" w:before="60"/>
      </w:pPr>
      <w:r>
        <w:t xml:space="preserve"/>
      </w:r>
    </w:p>
    <w:p>
      <w:pPr>
        <w:spacing w:after="120" w:before="80" w:line="360"/>
        <w:jc w:val="both"/>
      </w:pPr>
      <w:r>
        <w:rPr>
          <w:rFonts w:ascii="Arial" w:cs="Arial" w:eastAsia="Arial" w:hAnsi="Arial"/>
          <w:sz w:val="24"/>
          <w:szCs w:val="24"/>
        </w:rPr>
        <w:t xml:space="preserve">The conservative position for this hypothesis framework is: the selenium, CoQ10, NAC, and T3-optimization components of the SIK protocol are likely safe as adjuncts to mTOR inhibitor therapy based on their mechanisms. The sulforaphane/NRF2 component requires specific study of the mTORC1-NRF2 interaction in LAM before clinical recommendation. This is the research gap that should be prioritized before any adjunct protocol is proposed clinically.</w:t>
      </w:r>
    </w:p>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7. Testable Hypotheses</w:t>
      </w:r>
    </w:p>
    <w:p>
      <w:pPr>
        <w:pBdr>
          <w:bottom w:val="single" w:color="CCCCCC" w:sz="4" w:space="1"/>
        </w:pBdr>
        <w:spacing w:after="240" w:before="240"/>
      </w:pPr>
      <w:r>
        <w:t xml:space="preserve"/>
      </w:r>
    </w:p>
    <w:p>
      <w:pPr>
        <w:spacing w:after="120" w:before="80" w:line="360"/>
        <w:jc w:val="both"/>
      </w:pPr>
      <w:r>
        <w:rPr>
          <w:rFonts w:ascii="Arial" w:cs="Arial" w:eastAsia="Arial" w:hAnsi="Arial"/>
          <w:b/>
          <w:bCs/>
          <w:sz w:val="24"/>
          <w:szCs w:val="24"/>
        </w:rPr>
        <w:t xml:space="preserve">Hypothesis 1 (SIK Deficiency and LAM Progression Rate)</w:t>
      </w:r>
    </w:p>
    <w:p>
      <w:pPr>
        <w:spacing w:after="120" w:before="80" w:line="360"/>
        <w:jc w:val="both"/>
      </w:pPr>
      <w:r>
        <w:rPr>
          <w:rFonts w:ascii="Arial" w:cs="Arial" w:eastAsia="Arial" w:hAnsi="Arial"/>
          <w:sz w:val="24"/>
          <w:szCs w:val="24"/>
        </w:rPr>
        <w:t xml:space="preserve">In a LAM patient cohort, plasma SELENOP, GPx activity, CoQ10, free T3, and urinary albumin will show significantly lower values in patients with faster FEV1 decline rate (top quartile of progression) compared to slower-declining patients (bottom quartile), after adjustment for mTOR inhibitor use, baseline FEV1, and age.</w:t>
      </w:r>
    </w:p>
    <w:p>
      <w:pPr>
        <w:spacing w:after="60" w:before="60"/>
      </w:pPr>
      <w:r>
        <w:t xml:space="preserve"/>
      </w:r>
    </w:p>
    <w:p>
      <w:pPr>
        <w:spacing w:after="120" w:before="80" w:line="360"/>
        <w:jc w:val="both"/>
      </w:pPr>
      <w:r>
        <w:rPr>
          <w:rFonts w:ascii="Arial" w:cs="Arial" w:eastAsia="Arial" w:hAnsi="Arial"/>
          <w:b/>
          <w:bCs/>
          <w:sz w:val="24"/>
          <w:szCs w:val="24"/>
        </w:rPr>
        <w:t xml:space="preserve">Hypothesis 2 (PCOS-LAM Comorbidity)</w:t>
      </w:r>
    </w:p>
    <w:p>
      <w:pPr>
        <w:spacing w:after="120" w:before="80" w:line="360"/>
        <w:jc w:val="both"/>
      </w:pPr>
      <w:r>
        <w:rPr>
          <w:rFonts w:ascii="Arial" w:cs="Arial" w:eastAsia="Arial" w:hAnsi="Arial"/>
          <w:sz w:val="24"/>
          <w:szCs w:val="24"/>
        </w:rPr>
        <w:t xml:space="preserve">The prevalence of PCOS diagnostic criteria among LAM patients will exceed population PCOS prevalence, and PCOS-positive LAM patients will show faster disease progression than PCOS-negative LAM patients at equivalent baseline FEV1.</w:t>
      </w:r>
    </w:p>
    <w:p>
      <w:pPr>
        <w:spacing w:after="60" w:before="60"/>
      </w:pPr>
      <w:r>
        <w:t xml:space="preserve"/>
      </w:r>
    </w:p>
    <w:p>
      <w:pPr>
        <w:spacing w:after="120" w:before="80" w:line="360"/>
        <w:jc w:val="both"/>
      </w:pPr>
      <w:r>
        <w:rPr>
          <w:rFonts w:ascii="Arial" w:cs="Arial" w:eastAsia="Arial" w:hAnsi="Arial"/>
          <w:b/>
          <w:bCs/>
          <w:sz w:val="24"/>
          <w:szCs w:val="24"/>
        </w:rPr>
        <w:t xml:space="preserve">Hypothesis 3 (NRF2-mTORC1 Interaction)</w:t>
      </w:r>
    </w:p>
    <w:p>
      <w:pPr>
        <w:spacing w:after="120" w:before="80" w:line="360"/>
        <w:jc w:val="both"/>
      </w:pPr>
      <w:r>
        <w:rPr>
          <w:rFonts w:ascii="Arial" w:cs="Arial" w:eastAsia="Arial" w:hAnsi="Arial"/>
          <w:sz w:val="24"/>
          <w:szCs w:val="24"/>
        </w:rPr>
        <w:t xml:space="preserve">In LAM cell culture models, sulforaphane-mediated NRF2 activation will show differential effects on LAM cells versus normal lung fibroblasts consistent with the mTORC1-p62-NRF2 pathway interaction — with healthy cells showing protective NRF2 upregulation and LAM cells showing altered or blunted response due to constitutive mTORC1 activation.</w:t>
      </w:r>
    </w:p>
    <w:p>
      <w:pPr>
        <w:spacing w:after="60" w:before="60"/>
      </w:pPr>
      <w:r>
        <w:t xml:space="preserve"/>
      </w:r>
    </w:p>
    <w:p>
      <w:pPr>
        <w:spacing w:after="120" w:before="80" w:line="360"/>
        <w:jc w:val="both"/>
      </w:pPr>
      <w:r>
        <w:rPr>
          <w:rFonts w:ascii="Arial" w:cs="Arial" w:eastAsia="Arial" w:hAnsi="Arial"/>
          <w:b/>
          <w:bCs/>
          <w:sz w:val="24"/>
          <w:szCs w:val="24"/>
        </w:rPr>
        <w:t xml:space="preserve">Hypothesis 4 (Nutritional Adjunct Safety)</w:t>
      </w:r>
    </w:p>
    <w:p>
      <w:pPr>
        <w:spacing w:after="120" w:before="80" w:line="360"/>
        <w:jc w:val="both"/>
      </w:pPr>
      <w:r>
        <w:rPr>
          <w:rFonts w:ascii="Arial" w:cs="Arial" w:eastAsia="Arial" w:hAnsi="Arial"/>
          <w:sz w:val="24"/>
          <w:szCs w:val="24"/>
        </w:rPr>
        <w:t xml:space="preserve">Selenium, CoQ10, and NAC supplementation in LAM patients on stable mTOR inhibitor therapy will not produce adverse interactions with mTOR inhibitor pharmacokinetics or immunosuppressive efficacy, and will produce measurable improvements in plasma SELENOP and GPx activity within 8 weeks.</w:t>
      </w:r>
    </w:p>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8. Limitations</w:t>
      </w:r>
    </w:p>
    <w:p>
      <w:pPr>
        <w:pBdr>
          <w:bottom w:val="single" w:color="CCCCCC" w:sz="4" w:space="1"/>
        </w:pBdr>
        <w:spacing w:after="240" w:before="240"/>
      </w:pPr>
      <w:r>
        <w:t xml:space="preserve"/>
      </w:r>
    </w:p>
    <w:p>
      <w:pPr>
        <w:spacing w:after="120" w:before="80" w:line="360"/>
        <w:jc w:val="both"/>
      </w:pPr>
      <w:r>
        <w:rPr>
          <w:rFonts w:ascii="Arial" w:cs="Arial" w:eastAsia="Arial" w:hAnsi="Arial"/>
          <w:sz w:val="24"/>
          <w:szCs w:val="24"/>
        </w:rPr>
        <w:t xml:space="preserve">LAM is a genetic disease. No component of the SIK protocol addresses TSC2 mutations or constitutive mTORC1 activation. The progression modifier hypothesis — that healthy tissue antioxidant reserve influences the rate of parenchymal destruction — is mechanistically plausible but undemonstrated. The mTORC1-NRF2-p62 interaction in the LAM microenvironment is bidirectional and incompletely characterized; the direction and magnitude of this interaction in human LAM tissue is unknown. The PCOS-LAM convergence is proposed based on shared population characteristics and molecular pathway overlaps but epidemiological data confirming elevated PCOS prevalence in LAM patients does not yet exist. mTOR inhibitor-SIK protocol interactions are uncharacterized and require study before any clinical adjunct recommendation.</w:t>
      </w:r>
    </w:p>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9. Conclusion</w:t>
      </w:r>
    </w:p>
    <w:p>
      <w:pPr>
        <w:pBdr>
          <w:bottom w:val="single" w:color="CCCCCC" w:sz="4" w:space="1"/>
        </w:pBdr>
        <w:spacing w:after="240" w:before="240"/>
      </w:pPr>
      <w:r>
        <w:t xml:space="preserve"/>
      </w:r>
    </w:p>
    <w:p>
      <w:pPr>
        <w:spacing w:after="120" w:before="80" w:line="360"/>
        <w:jc w:val="both"/>
      </w:pPr>
      <w:r>
        <w:rPr>
          <w:rFonts w:ascii="Arial" w:cs="Arial" w:eastAsia="Arial" w:hAnsi="Arial"/>
          <w:sz w:val="24"/>
          <w:szCs w:val="24"/>
        </w:rPr>
        <w:t xml:space="preserve">LAM is a genetic disease requiring genetic-pathway-targeted therapy. mTOR inhibitors represent the current standard of care and their evidence base supports continued use. This paper does not challenge that framework.</w:t>
      </w:r>
    </w:p>
    <w:p>
      <w:pPr>
        <w:spacing w:after="60" w:before="60"/>
      </w:pPr>
      <w:r>
        <w:t xml:space="preserve"/>
      </w:r>
    </w:p>
    <w:p>
      <w:pPr>
        <w:spacing w:after="120" w:before="80" w:line="360"/>
        <w:jc w:val="both"/>
      </w:pPr>
      <w:r>
        <w:rPr>
          <w:rFonts w:ascii="Arial" w:cs="Arial" w:eastAsia="Arial" w:hAnsi="Arial"/>
          <w:sz w:val="24"/>
          <w:szCs w:val="24"/>
        </w:rPr>
        <w:t xml:space="preserve">What it proposes is a parallel and previously unrecognized layer of modifiability in LAM disease progression: the nutritional antioxidant reserve of the healthy lung tissue being progressively destroyed by the LAM microenvironment. A LAM patient with selenium deficiency, CoQ10 depletion, NRF2 suppression from insulin resistance, or subclinical hypothyroidism impairing pulmonary oxygenation has depleted the survival capacity of the healthy cells the disease is consuming. That depletion is not caused by TSC2 mutations. It is nutritionally determined. And it is potentially correctable alongside — not instead of — mTOR inhibitor therapy.</w:t>
      </w:r>
    </w:p>
    <w:p>
      <w:pPr>
        <w:spacing w:after="60" w:before="60"/>
      </w:pPr>
      <w:r>
        <w:t xml:space="preserve"/>
      </w:r>
    </w:p>
    <w:p>
      <w:pPr>
        <w:spacing w:after="120" w:before="80" w:line="360"/>
        <w:jc w:val="both"/>
      </w:pPr>
      <w:r>
        <w:rPr>
          <w:rFonts w:ascii="Arial" w:cs="Arial" w:eastAsia="Arial" w:hAnsi="Arial"/>
          <w:b/>
          <w:bCs/>
          <w:sz w:val="24"/>
          <w:szCs w:val="24"/>
        </w:rPr>
        <w:t xml:space="preserve">For the subpopulation of LAM patients with concurrent PCOS, iron deficiency anemia, and selenium deficiency — the convergent triad described in Paper 3 — the interaction of these conditions with LAM represents a clinically significant and entirely unstudied comorbidity pattern that deserves immediate research attention.</w:t>
      </w:r>
    </w:p>
    <w:p>
      <w:pPr>
        <w:spacing w:after="60" w:before="60"/>
      </w:pPr>
      <w:r>
        <w:t xml:space="preserve"/>
      </w:r>
    </w:p>
    <w:p>
      <w:r>
        <w:br w:type="page"/>
      </w:r>
    </w:p>
    <w:p>
      <w:pPr>
        <w:pStyle w:val="Heading1"/>
        <w:spacing w:after="180" w:before="360"/>
      </w:pPr>
      <w:r>
        <w:rPr>
          <w:rFonts w:ascii="Arial" w:cs="Arial" w:eastAsia="Arial" w:hAnsi="Arial"/>
          <w:b/>
          <w:bCs/>
          <w:color w:val="1A1A2E"/>
          <w:sz w:val="32"/>
          <w:szCs w:val="32"/>
        </w:rPr>
        <w:t xml:space="preserve">References</w:t>
      </w:r>
    </w:p>
    <w:p>
      <w:pPr>
        <w:pBdr>
          <w:bottom w:val="single" w:color="CCCCCC" w:sz="4" w:space="1"/>
        </w:pBdr>
        <w:spacing w:after="240" w:before="240"/>
      </w:pPr>
      <w:r>
        <w:t xml:space="preserve"/>
      </w:r>
    </w:p>
    <w:p>
      <w:pPr>
        <w:spacing w:after="60" w:before="60"/>
        <w:ind w:left="720" w:hanging="360"/>
      </w:pPr>
      <w:r>
        <w:rPr>
          <w:rFonts w:ascii="Arial" w:cs="Arial" w:eastAsia="Arial" w:hAnsi="Arial"/>
          <w:b/>
          <w:bCs/>
          <w:sz w:val="20"/>
          <w:szCs w:val="20"/>
        </w:rPr>
        <w:t xml:space="preserve">[1] </w:t>
      </w:r>
      <w:r>
        <w:rPr>
          <w:rFonts w:ascii="Arial" w:cs="Arial" w:eastAsia="Arial" w:hAnsi="Arial"/>
          <w:sz w:val="20"/>
          <w:szCs w:val="20"/>
        </w:rPr>
        <w:t xml:space="preserve">Henske EP, et al. Lymphangioleiomyomatosis: a monogenic model of malignancy. PMC5663315. Annual Review of Pathology. 2017. mTORC1 hyperactivation; Warburg shift in LAM.</w:t>
      </w:r>
    </w:p>
    <w:p>
      <w:pPr>
        <w:spacing w:after="60" w:before="60"/>
        <w:ind w:left="720" w:hanging="360"/>
      </w:pPr>
      <w:r>
        <w:rPr>
          <w:rFonts w:ascii="Arial" w:cs="Arial" w:eastAsia="Arial" w:hAnsi="Arial"/>
          <w:b/>
          <w:bCs/>
          <w:sz w:val="20"/>
          <w:szCs w:val="20"/>
        </w:rPr>
        <w:t xml:space="preserve">[2] </w:t>
      </w:r>
      <w:r>
        <w:rPr>
          <w:rFonts w:ascii="Arial" w:cs="Arial" w:eastAsia="Arial" w:hAnsi="Arial"/>
          <w:sz w:val="20"/>
          <w:szCs w:val="20"/>
        </w:rPr>
        <w:t xml:space="preserve">Khabibullin D, et al. Mitochondrial dysfunction is a key determinant of LAM and provides a novel therapeutic target. Oncogene. 2018. doi:10.1038/s41388-018-0625-1. LAM mitochondrial membrane activity 2x normal; reductive stress ROS spill-over.</w:t>
      </w:r>
    </w:p>
    <w:p>
      <w:pPr>
        <w:spacing w:after="60" w:before="60"/>
        <w:ind w:left="720" w:hanging="360"/>
      </w:pPr>
      <w:r>
        <w:rPr>
          <w:rFonts w:ascii="Arial" w:cs="Arial" w:eastAsia="Arial" w:hAnsi="Arial"/>
          <w:b/>
          <w:bCs/>
          <w:sz w:val="20"/>
          <w:szCs w:val="20"/>
        </w:rPr>
        <w:t xml:space="preserve">[3] </w:t>
      </w:r>
      <w:r>
        <w:rPr>
          <w:rFonts w:ascii="Arial" w:cs="Arial" w:eastAsia="Arial" w:hAnsi="Arial"/>
          <w:sz w:val="20"/>
          <w:szCs w:val="20"/>
        </w:rPr>
        <w:t xml:space="preserve">Science Advances 2026. DNA damage response pathway regulates Nrf2 via ATM-CHK2-p62 and mTORC1-p62 pathways. doi:10.1126/sciadv.adu9555.</w:t>
      </w:r>
    </w:p>
    <w:p>
      <w:pPr>
        <w:spacing w:after="60" w:before="60"/>
        <w:ind w:left="720" w:hanging="360"/>
      </w:pPr>
      <w:r>
        <w:rPr>
          <w:rFonts w:ascii="Arial" w:cs="Arial" w:eastAsia="Arial" w:hAnsi="Arial"/>
          <w:b/>
          <w:bCs/>
          <w:sz w:val="20"/>
          <w:szCs w:val="20"/>
        </w:rPr>
        <w:t xml:space="preserve">[4] </w:t>
      </w:r>
      <w:r>
        <w:rPr>
          <w:rFonts w:ascii="Arial" w:cs="Arial" w:eastAsia="Arial" w:hAnsi="Arial"/>
          <w:sz w:val="20"/>
          <w:szCs w:val="20"/>
        </w:rPr>
        <w:t xml:space="preserve">Goncharova EA, et al. mTOR dysregulation induces IL6 and AT2 cell senescence in LAM. bioRxiv 2024. Progressive cystic destruction mechanism.</w:t>
      </w:r>
    </w:p>
    <w:p>
      <w:pPr>
        <w:spacing w:after="60" w:before="60"/>
        <w:ind w:left="720" w:hanging="360"/>
      </w:pPr>
      <w:r>
        <w:rPr>
          <w:rFonts w:ascii="Arial" w:cs="Arial" w:eastAsia="Arial" w:hAnsi="Arial"/>
          <w:b/>
          <w:bCs/>
          <w:sz w:val="20"/>
          <w:szCs w:val="20"/>
        </w:rPr>
        <w:t xml:space="preserve">[5] </w:t>
      </w:r>
      <w:r>
        <w:rPr>
          <w:rFonts w:ascii="Arial" w:cs="Arial" w:eastAsia="Arial" w:hAnsi="Arial"/>
          <w:sz w:val="20"/>
          <w:szCs w:val="20"/>
        </w:rPr>
        <w:t xml:space="preserve">Carsillo T, et al. Integration of mTOR and estrogen-ERK2 signaling in LAM pathogenesis. PNAS. 2013. Estrogen co-driver of LAM progression.</w:t>
      </w:r>
    </w:p>
    <w:p>
      <w:pPr>
        <w:spacing w:after="60" w:before="60"/>
        <w:ind w:left="720" w:hanging="360"/>
      </w:pPr>
      <w:r>
        <w:rPr>
          <w:rFonts w:ascii="Arial" w:cs="Arial" w:eastAsia="Arial" w:hAnsi="Arial"/>
          <w:b/>
          <w:bCs/>
          <w:sz w:val="20"/>
          <w:szCs w:val="20"/>
        </w:rPr>
        <w:t xml:space="preserve">[6] </w:t>
      </w:r>
      <w:r>
        <w:rPr>
          <w:rFonts w:ascii="Arial" w:cs="Arial" w:eastAsia="Arial" w:hAnsi="Arial"/>
          <w:sz w:val="20"/>
          <w:szCs w:val="20"/>
        </w:rPr>
        <w:t xml:space="preserve">Taveira-DaSilva AM, et al. LAM and mTOR inhibitors in real world — narrative review. PMC10713282. 2023. mTOR inhibitor efficacy review.</w:t>
      </w:r>
    </w:p>
    <w:p>
      <w:pPr>
        <w:spacing w:after="60" w:before="60"/>
        <w:ind w:left="720" w:hanging="360"/>
      </w:pPr>
      <w:r>
        <w:rPr>
          <w:rFonts w:ascii="Arial" w:cs="Arial" w:eastAsia="Arial" w:hAnsi="Arial"/>
          <w:b/>
          <w:bCs/>
          <w:sz w:val="20"/>
          <w:szCs w:val="20"/>
        </w:rPr>
        <w:t xml:space="preserve">[7] </w:t>
      </w:r>
      <w:r>
        <w:rPr>
          <w:rFonts w:ascii="Arial" w:cs="Arial" w:eastAsia="Arial" w:hAnsi="Arial"/>
          <w:sz w:val="20"/>
          <w:szCs w:val="20"/>
        </w:rPr>
        <w:t xml:space="preserve">Fu YX, et al. Selenium deficiency caused fibrosis as oxidative stress-induced inflammatory injury in lungs of mice. Biol Trace Elem Res. 2023;201:1286-1300. doi:10.1007/s12011-022-03222-6.</w:t>
      </w:r>
    </w:p>
    <w:p>
      <w:pPr>
        <w:spacing w:after="60" w:before="60"/>
        <w:ind w:left="720" w:hanging="360"/>
      </w:pPr>
      <w:r>
        <w:rPr>
          <w:rFonts w:ascii="Arial" w:cs="Arial" w:eastAsia="Arial" w:hAnsi="Arial"/>
          <w:b/>
          <w:bCs/>
          <w:sz w:val="20"/>
          <w:szCs w:val="20"/>
        </w:rPr>
        <w:t xml:space="preserve">[8] </w:t>
      </w:r>
      <w:r>
        <w:rPr>
          <w:rFonts w:ascii="Arial" w:cs="Arial" w:eastAsia="Arial" w:hAnsi="Arial"/>
          <w:sz w:val="20"/>
          <w:szCs w:val="20"/>
        </w:rPr>
        <w:t xml:space="preserve">Lakshminrusimha S, et al. Selenium modulates perinatal pulmonary vascular responses to hyperoxia. Am J Physiol Lung. 2024. doi:10.1152/ajplung.00381.2024. Se deficiency reduces pulmonary vascular density.</w:t>
      </w:r>
    </w:p>
    <w:p>
      <w:pPr>
        <w:spacing w:after="60" w:before="60"/>
        <w:ind w:left="720" w:hanging="360"/>
      </w:pPr>
      <w:r>
        <w:rPr>
          <w:rFonts w:ascii="Arial" w:cs="Arial" w:eastAsia="Arial" w:hAnsi="Arial"/>
          <w:b/>
          <w:bCs/>
          <w:sz w:val="20"/>
          <w:szCs w:val="20"/>
        </w:rPr>
        <w:t xml:space="preserve">[9] </w:t>
      </w:r>
      <w:r>
        <w:rPr>
          <w:rFonts w:ascii="Arial" w:cs="Arial" w:eastAsia="Arial" w:hAnsi="Arial"/>
          <w:sz w:val="20"/>
          <w:szCs w:val="20"/>
        </w:rPr>
        <w:t xml:space="preserve">Papers 1-5 of this series. Anonymous/TBD. 2026.</w:t>
      </w:r>
    </w:p>
    <w:p>
      <w:pPr>
        <w:spacing w:after="60" w:before="60"/>
        <w:ind w:left="720" w:hanging="360"/>
      </w:pPr>
      <w:r>
        <w:rPr>
          <w:rFonts w:ascii="Arial" w:cs="Arial" w:eastAsia="Arial" w:hAnsi="Arial"/>
          <w:b/>
          <w:bCs/>
          <w:sz w:val="20"/>
          <w:szCs w:val="20"/>
        </w:rPr>
        <w:t xml:space="preserve">[10] </w:t>
      </w:r>
      <w:r>
        <w:rPr>
          <w:rFonts w:ascii="Arial" w:cs="Arial" w:eastAsia="Arial" w:hAnsi="Arial"/>
          <w:sz w:val="20"/>
          <w:szCs w:val="20"/>
        </w:rPr>
        <w:t xml:space="preserve">Howden EJ, et al. CoQ10 in CKD. JCI Insight. 2023;8(12):e167274.</w:t>
      </w:r>
    </w:p>
    <w:p>
      <w:pPr>
        <w:spacing w:after="60" w:before="60"/>
      </w:pPr>
      <w:r>
        <w:t xml:space="preserve"/>
      </w:r>
    </w:p>
    <w:p>
      <w:pPr>
        <w:spacing w:after="120" w:before="80" w:line="360"/>
        <w:jc w:val="both"/>
      </w:pPr>
      <w:r>
        <w:rPr>
          <w:rFonts w:ascii="Arial" w:cs="Arial" w:eastAsia="Arial" w:hAnsi="Arial"/>
          <w:b/>
          <w:bCs/>
          <w:i/>
          <w:iCs/>
          <w:color w:val="8A8070"/>
          <w:sz w:val="24"/>
          <w:szCs w:val="24"/>
        </w:rPr>
        <w:t xml:space="preserve">End of Paper 6A — Final Pre-Submission Draft.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A1A2E"/>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1A1A2E"/>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2026-06-01T13:15:31.902Z</dcterms:created>
  <dcterms:modified xsi:type="dcterms:W3CDTF">2026-06-01T13:15:31.926Z</dcterms:modified>
</cp:coreProperties>
</file>

<file path=docProps/custom.xml><?xml version="1.0" encoding="utf-8"?>
<Properties xmlns="http://schemas.openxmlformats.org/officeDocument/2006/custom-properties" xmlns:vt="http://schemas.openxmlformats.org/officeDocument/2006/docPropsVTypes"/>
</file>