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480" w:lineRule="auto"/>
        <w:jc w:val="center"/>
      </w:pPr>
      <w:r>
        <w:rPr>
          <w:rFonts w:ascii="Times New Roman" w:hAnsi="Times New Roman" w:eastAsia="Times New Roman"/>
          <w:b/>
          <w:sz w:val="28"/>
        </w:rPr>
        <w:t>When Reliance Becomes Unsafe:</w:t>
        <w:br/>
        <w:t>Capacity, Coordination, Risk, and Burden Transfer Across Trust, AI, Collaboration, and Safety Events</w:t>
      </w:r>
    </w:p>
    <w:p>
      <w:pPr>
        <w:spacing w:line="480" w:lineRule="auto"/>
        <w:jc w:val="center"/>
      </w:pPr>
      <w:r>
        <w:rPr>
          <w:rFonts w:ascii="Times New Roman" w:hAnsi="Times New Roman"/>
          <w:sz w:val="24"/>
        </w:rPr>
        <w:t>Christopher W. Copeland</w:t>
        <w:br/>
        <w:t>Independent Researcher</w:t>
        <w:br/>
        <w:t>Copeland-zustandsraum.de</w:t>
        <w:br/>
        <w:t>Pre-deposit manuscript draft, Version 6</w:t>
      </w:r>
    </w:p>
    <w:p>
      <w:pPr>
        <w:pStyle w:val="Heading1"/>
        <w:spacing w:line="480" w:lineRule="auto" w:before="240" w:after="0"/>
      </w:pPr>
      <w:r>
        <w:rPr>
          <w:rFonts w:ascii="Times New Roman" w:hAnsi="Times New Roman" w:eastAsia="Times New Roman"/>
          <w:sz w:val="24"/>
        </w:rPr>
        <w:t>Author Note</w:t>
      </w:r>
    </w:p>
    <w:p>
      <w:pPr>
        <w:spacing w:line="480" w:lineRule="auto" w:after="0"/>
        <w:ind w:firstLine="720"/>
      </w:pPr>
      <w:r>
        <w:rPr>
          <w:rFonts w:ascii="Times New Roman" w:hAnsi="Times New Roman"/>
          <w:sz w:val="24"/>
        </w:rPr>
        <w:t>This manuscript revises earlier working drafts by narrowing the claim, adding admissibility and exclusion criteria, separating mapping strength from proof, reducing self-citation prominence, introducing a compact practical test for reliance safety, explicitly naming the receiver-anchored reliance window, signal-to-structural-dependency conversion, graded epistemic commitments, and pre-closure intervention logic, and clarifying term-inheritance discipline, visible extension sites, and current AI-reliance limits. It is presented as a conceptual and classificatory synthesis, not as a completed empirical validation study.</w:t>
      </w:r>
    </w:p>
    <w:p>
      <w:r>
        <w:rPr>
          <w:rFonts w:ascii="Times New Roman" w:hAnsi="Times New Roman" w:eastAsia="Times New Roman"/>
          <w:sz w:val="24"/>
        </w:rPr>
        <w:br w:type="page"/>
      </w:r>
    </w:p>
    <w:p>
      <w:pPr>
        <w:pStyle w:val="Heading1"/>
        <w:spacing w:line="480" w:lineRule="auto" w:before="240" w:after="0"/>
      </w:pPr>
      <w:r>
        <w:rPr>
          <w:rFonts w:ascii="Times New Roman" w:hAnsi="Times New Roman" w:eastAsia="Times New Roman"/>
          <w:sz w:val="24"/>
        </w:rPr>
        <w:t>Abstract</w:t>
      </w:r>
    </w:p>
    <w:p>
      <w:pPr>
        <w:spacing w:line="480" w:lineRule="auto" w:after="0"/>
        <w:ind w:firstLine="720"/>
      </w:pPr>
      <w:r>
        <w:rPr/>
        <w:t>Harmful events are often described as if they arise from a single failed actor, broken promise, incorrect output, diagnostic mistake, defective interface, or isolated system component. This paper develops a narrower cross-domain claim: in many reliance-bearing events, harm forms during an interval in which a signal has already begun to guide action, but the capacity, context, protocol, fallback, risk, and correction conditions needed for safe reliance have not yet been grounded. The paper does not claim that unchecked assumptions are newly discovered, nor that trust failure, AI overreliance, medical error, collaboration failure, or diagnostic error are the same phenomenon. It specifies a failure interval: reliance uptake, insufficient grounding, fallback narrowing, late correction, and downstream burden transfer. The resulting unit of analysis is the receiver-anchored reliance window: the period in which the receiver's remaining options determine whether reliance is still safely revisable. Selected ontology and safety literatures are used as constraints rather than as decorations, including trust theory, collaboration ontology, collaboration-context work, safety science, medical-error ontology, usability-error ontology, automation reliance, diagnostic error, risk/value ontology, and provisional burden-ontology work. A mapping-status framework distinguishes direct, functional, partial, and analogical correspondence so that cross-domain comparison carries graded epistemic commitments rather than being treated as proof of equivalence. The contribution is programmatic and methodological: a set of admissibility criteria, mapping-status rules, nine candidate failure-family lenses with exclusion conditions, a signal-to-structural-dependency account of harm formation, and a five-question reliance safety test for identifying when a system, person, workflow, label, or AI output is becoming unsafe to rely on before the failure is fully visible. Repair is correspondingly reframed as intervention on the conditions that allowed unsafe reliance to form, preferably before fallback closure rather than only after downstream burden has already been absorbed. The framework is not validated as an empirical scale; it is offered as a disciplined architecture for later case coding, vignette testing, incident review, and cross-domain comparison.</w:t>
      </w:r>
    </w:p>
    <w:p>
      <w:pPr>
        <w:spacing w:line="480" w:lineRule="auto" w:after="0"/>
      </w:pPr>
      <w:r>
        <w:rPr>
          <w:rFonts w:ascii="Times New Roman" w:hAnsi="Times New Roman" w:eastAsia="Times New Roman"/>
          <w:sz w:val="24"/>
        </w:rPr>
        <w:t>Keywords: reliance; capacity grounding; burden transfer; collaboration failure; AI reliance; medical error; usability error; diagnostic lock-in; safety science; cross-domain failure modes</w:t>
      </w:r>
    </w:p>
    <w:p>
      <w:pPr>
        <w:pStyle w:val="Heading1"/>
        <w:spacing w:line="480" w:lineRule="auto" w:before="240" w:after="0"/>
      </w:pPr>
      <w:r>
        <w:rPr>
          <w:rFonts w:ascii="Times New Roman" w:hAnsi="Times New Roman" w:eastAsia="Times New Roman"/>
          <w:sz w:val="24"/>
        </w:rPr>
        <w:t>Introduction</w:t>
      </w:r>
    </w:p>
    <w:p>
      <w:pPr>
        <w:spacing w:line="480" w:lineRule="auto" w:after="0"/>
        <w:ind w:firstLine="720"/>
      </w:pPr>
      <w:r>
        <w:rPr>
          <w:rFonts w:ascii="Times New Roman" w:hAnsi="Times New Roman" w:eastAsia="Times New Roman"/>
          <w:sz w:val="24"/>
        </w:rPr>
        <w:t>A familiar kind of harm appears before a system fully fails. Someone accepts a promise, label, workflow, recommendation, output, diagnosis, protocol, or institutional assurance as dependable enough to plan around. Alternatives narrow. Correction arrives late. The person or system downstream inherits the cost of a mismatch that was not visible early enough to contest.</w:t>
      </w:r>
    </w:p>
    <w:p>
      <w:pPr>
        <w:spacing w:line="480" w:lineRule="auto" w:after="0"/>
        <w:ind w:firstLine="720"/>
      </w:pPr>
      <w:r>
        <w:rPr>
          <w:rFonts w:ascii="Times New Roman" w:hAnsi="Times New Roman" w:eastAsia="Times New Roman"/>
          <w:sz w:val="24"/>
        </w:rPr>
        <w:t>The observation is not that assumptions can be wrong. That claim would be too broad to support a useful framework. The present paper focuses on a narrower interval: reliance has already begun, but the supporting conditions for safe reliance have not yet been grounded. The framework asks when a signal becomes load-bearing, what remains unverified, what fallback options are closing, and who carries the burden if correction comes after those options have narrowed.</w:t>
      </w:r>
    </w:p>
    <w:p>
      <w:pPr>
        <w:spacing w:line="480" w:lineRule="auto" w:after="0"/>
        <w:ind w:firstLine="720"/>
      </w:pPr>
      <w:r>
        <w:rPr>
          <w:rFonts w:ascii="Times New Roman" w:hAnsi="Times New Roman" w:eastAsia="Times New Roman"/>
          <w:sz w:val="24"/>
        </w:rPr>
        <w:t>The same structure appears in different local vocabularies. In trust and commitment, a sincere promise may recruit reliance before actual capacity and pressure tolerance have been tested. In collaboration, a participant or protocol may become load-bearing before objectives, resources, timing, handoffs, and authority are clear. In AI and interface-mediated systems, fluent output or workflow design can recruit reliance before verification, field access, tool capacity, or user correction remains adequate. In clinical safety, medical error and usability-error work already show that harmful events often emerge from intersecting human, system, interface, timing, activity, and outcome axes rather than from one person alone (Elkin et al., 2013; Mokkarala et al., 2008).</w:t>
      </w:r>
    </w:p>
    <w:p>
      <w:pPr>
        <w:spacing w:line="480" w:lineRule="auto" w:after="0"/>
        <w:ind w:firstLine="720"/>
      </w:pPr>
      <w:r>
        <w:rPr>
          <w:rFonts w:ascii="Times New Roman" w:hAnsi="Times New Roman" w:eastAsia="Times New Roman"/>
          <w:sz w:val="24"/>
        </w:rPr>
        <w:t>The paper therefore advances a cross-domain failure-mode synthesis. Its claim is architectural, not totalizing. It does not replace the literatures it touches. Trust theory, psychological contract research, collaboration ontology, system-safety theory, automation-reliance work, diagnostic-error research, medical-error ontology, and usability-error ontology retain their own terms and standards. The proposed framework names a recurrent reliance-to-harm interval that can be compared across domains without forcing those domains into one vocabulary.</w:t>
      </w:r>
    </w:p>
    <w:p>
      <w:pPr>
        <w:pStyle w:val="Heading1"/>
        <w:spacing w:line="480" w:lineRule="auto" w:before="240" w:after="0"/>
      </w:pPr>
      <w:r>
        <w:rPr>
          <w:rFonts w:ascii="Times New Roman" w:hAnsi="Times New Roman" w:eastAsia="Times New Roman"/>
          <w:sz w:val="24"/>
        </w:rPr>
        <w:t>What This Paper Adds and Does Not Add</w:t>
      </w:r>
    </w:p>
    <w:p>
      <w:pPr>
        <w:spacing w:line="480" w:lineRule="auto" w:after="0"/>
        <w:ind w:firstLine="720"/>
      </w:pPr>
      <w:r>
        <w:rPr>
          <w:rFonts w:ascii="Times New Roman" w:hAnsi="Times New Roman" w:eastAsia="Times New Roman"/>
          <w:sz w:val="24"/>
        </w:rPr>
        <w:t>The paper does not add the idea that assumptions should be checked before action. Engineers, clinicians, project managers, safety researchers, and ordinary adults already know that. It also does not add a general theory that all harms are reliance harms. Some harms are abrupt, malicious, unforeseeable, or adequately explained by a domain-specific model without this framework.</w:t>
      </w:r>
    </w:p>
    <w:p>
      <w:pPr>
        <w:spacing w:line="480" w:lineRule="auto" w:after="0"/>
        <w:ind w:firstLine="720"/>
      </w:pPr>
      <w:r>
        <w:rPr>
          <w:rFonts w:ascii="Times New Roman" w:hAnsi="Times New Roman" w:eastAsia="Times New Roman"/>
          <w:sz w:val="24"/>
        </w:rPr>
        <w:t>The added claim is narrower. A certain kind of harm becomes visible only when the analysis tracks five elements together: a reliance-bearing signal, changed behavior by a receiver or downstream actor, materially under-grounded support conditions, narrowing fallback options, and late correction or disclosure that leaves the downstream party carrying avoidable burden. The framework is useful only when those elements are present or plausibly at issue.</w:t>
      </w:r>
    </w:p>
    <w:p>
      <w:pPr/>
      <w:r>
        <w:t>The methodological shift is to treat the receiver-anchored reliance window as the unit of analysis. That window is defined less by when the signal was issued or when failure became visible than by what the receiver could still do while fallback options remained open. This matters because intervention must occur while the receiver can still revise without inheriting avoidable burden.</w:t>
      </w:r>
    </w:p>
    <w:p>
      <w:pPr>
        <w:spacing w:line="480" w:lineRule="auto" w:after="0"/>
        <w:ind w:firstLine="720"/>
      </w:pPr>
      <w:r>
        <w:rPr>
          <w:rFonts w:ascii="Times New Roman" w:hAnsi="Times New Roman" w:eastAsia="Times New Roman"/>
          <w:sz w:val="24"/>
        </w:rPr>
        <w:t>This means the framework should be used as a diagnostic question, not as a universal explanation. The central question is: when did reliance become unsafe, and what conditions would have had to be grounded before the signal became safe to plan around?</w:t>
      </w:r>
    </w:p>
    <w:p>
      <w:pPr>
        <w:pStyle w:val="Heading1"/>
        <w:spacing w:line="480" w:lineRule="auto" w:before="240" w:after="0"/>
      </w:pPr>
      <w:r>
        <w:rPr>
          <w:rFonts w:ascii="Times New Roman" w:hAnsi="Times New Roman" w:eastAsia="Times New Roman"/>
          <w:sz w:val="24"/>
        </w:rPr>
        <w:t>Use Conditions and Minimum Admissibility Criteria</w:t>
      </w:r>
    </w:p>
    <w:p>
      <w:pPr>
        <w:spacing w:line="480" w:lineRule="auto" w:after="0"/>
        <w:ind w:firstLine="720"/>
      </w:pPr>
      <w:r>
        <w:rPr>
          <w:rFonts w:ascii="Times New Roman" w:hAnsi="Times New Roman" w:eastAsia="Times New Roman"/>
          <w:sz w:val="24"/>
        </w:rPr>
        <w:t>To prevent overextension, the framework should be applied only when the following minimum criteria are satisfied or under serious review:</w:t>
      </w:r>
    </w:p>
    <w:p>
      <w:pPr>
        <w:pStyle w:val="ListBullet"/>
        <w:spacing w:line="480" w:lineRule="auto" w:after="0"/>
      </w:pPr>
      <w:r>
        <w:rPr>
          <w:rFonts w:ascii="Times New Roman" w:hAnsi="Times New Roman" w:eastAsia="Times New Roman"/>
          <w:sz w:val="24"/>
        </w:rPr>
        <w:t>A signal, promise, output, label, protocol, workflow, role, or institutional assurance became a planning input.</w:t>
      </w:r>
    </w:p>
    <w:p>
      <w:pPr>
        <w:pStyle w:val="ListBullet"/>
        <w:spacing w:line="480" w:lineRule="auto" w:after="0"/>
      </w:pPr>
      <w:r>
        <w:rPr>
          <w:rFonts w:ascii="Times New Roman" w:hAnsi="Times New Roman" w:eastAsia="Times New Roman"/>
          <w:sz w:val="24"/>
        </w:rPr>
        <w:t>A receiver, user, patient, participant, institution, or public altered behavior, allocation, expectation, or decision trajectory because of that signal.</w:t>
      </w:r>
    </w:p>
    <w:p>
      <w:pPr>
        <w:pStyle w:val="ListBullet"/>
        <w:spacing w:line="480" w:lineRule="auto" w:after="0"/>
      </w:pPr>
      <w:r>
        <w:rPr>
          <w:rFonts w:ascii="Times New Roman" w:hAnsi="Times New Roman" w:eastAsia="Times New Roman"/>
          <w:sz w:val="24"/>
        </w:rPr>
        <w:t>At least one support condition remained materially under-grounded: capacity, resources, tool access, authority, context, protocol, risk exposure, verification, or correction pathway.</w:t>
      </w:r>
    </w:p>
    <w:p>
      <w:pPr>
        <w:pStyle w:val="ListBullet"/>
        <w:spacing w:line="480" w:lineRule="auto" w:after="0"/>
      </w:pPr>
      <w:r>
        <w:rPr>
          <w:rFonts w:ascii="Times New Roman" w:hAnsi="Times New Roman" w:eastAsia="Times New Roman"/>
          <w:sz w:val="24"/>
        </w:rPr>
        <w:t>Fallback options narrowed before the limitation, error, mismatch, or uncertainty became adequately visible.</w:t>
      </w:r>
    </w:p>
    <w:p>
      <w:pPr>
        <w:pStyle w:val="ListBullet"/>
        <w:spacing w:line="480" w:lineRule="auto" w:after="0"/>
      </w:pPr>
      <w:r>
        <w:rPr>
          <w:rFonts w:ascii="Times New Roman" w:hAnsi="Times New Roman" w:eastAsia="Times New Roman"/>
          <w:sz w:val="24"/>
        </w:rPr>
        <w:t>A downstream party absorbed cost, burden, constraint, lost option, repair labor, exposure, or harm that would likely have been lower if correction had arrived earlier.</w:t>
      </w:r>
    </w:p>
    <w:p>
      <w:pPr>
        <w:spacing w:line="480" w:lineRule="auto" w:after="0"/>
        <w:ind w:firstLine="720"/>
      </w:pPr>
      <w:r>
        <w:rPr>
          <w:rFonts w:ascii="Times New Roman" w:hAnsi="Times New Roman" w:eastAsia="Times New Roman"/>
          <w:sz w:val="24"/>
        </w:rPr>
        <w:t>These criteria make the framework stricter than a general account of poor planning or complex failure. A bad outcome after expectation is not enough. Reliance uptake, under-grounded support conditions, fallback narrowing, and downstream burden must be part of the event structure.</w:t>
      </w:r>
    </w:p>
    <w:p>
      <w:pPr>
        <w:pStyle w:val="Heading1"/>
        <w:spacing w:line="480" w:lineRule="auto" w:before="240" w:after="0"/>
      </w:pPr>
      <w:r>
        <w:rPr>
          <w:rFonts w:ascii="Times New Roman" w:hAnsi="Times New Roman" w:eastAsia="Times New Roman"/>
          <w:sz w:val="24"/>
        </w:rPr>
        <w:t>Non-Use Conditions</w:t>
      </w:r>
    </w:p>
    <w:p>
      <w:pPr>
        <w:spacing w:line="480" w:lineRule="auto" w:after="0"/>
        <w:ind w:firstLine="720"/>
      </w:pPr>
      <w:r>
        <w:rPr>
          <w:rFonts w:ascii="Times New Roman" w:hAnsi="Times New Roman" w:eastAsia="Times New Roman"/>
          <w:sz w:val="24"/>
        </w:rPr>
        <w:t>Several cases should not be classified primarily under this framework. A sudden unforeseeable shock may destroy capacity after capacity had been responsibly grounded. A clear malicious deception may be better handled through fraud, bad faith, or coercion frameworks. A simple error corrected before anyone materially changes behavior does not create the same reliance interval. A diagnostic hypothesis preserved as provisional and revised when evidence changes should not be treated as diagnostic lock-in. A user mistake should not be attributed to interface/workflow-mediated failure unless the interface or workflow materially shaped perception, action, verification, or correction.</w:t>
      </w:r>
    </w:p>
    <w:p>
      <w:pPr>
        <w:spacing w:line="480" w:lineRule="auto" w:after="0"/>
        <w:ind w:firstLine="720"/>
      </w:pPr>
      <w:r>
        <w:rPr>
          <w:rFonts w:ascii="Times New Roman" w:hAnsi="Times New Roman" w:eastAsia="Times New Roman"/>
          <w:sz w:val="24"/>
        </w:rPr>
        <w:t>These exclusions are not minor. They are part of the framework. A cross-domain synthesis becomes useful only if it can say when it is not the best explanation.</w:t>
      </w:r>
    </w:p>
    <w:p>
      <w:pPr>
        <w:pStyle w:val="Heading1"/>
        <w:spacing w:line="480" w:lineRule="auto" w:before="240" w:after="0"/>
      </w:pPr>
      <w:r>
        <w:rPr>
          <w:rFonts w:ascii="Times New Roman" w:hAnsi="Times New Roman" w:eastAsia="Times New Roman"/>
          <w:sz w:val="24"/>
        </w:rPr>
        <w:t>Mapping Method and Evidence Status</w:t>
      </w:r>
    </w:p>
    <w:p>
      <w:pPr>
        <w:spacing w:line="480" w:lineRule="auto" w:after="0"/>
        <w:ind w:firstLine="720"/>
      </w:pPr>
      <w:r>
        <w:rPr>
          <w:rFonts w:ascii="Times New Roman" w:hAnsi="Times New Roman" w:eastAsia="Times New Roman"/>
          <w:sz w:val="24"/>
        </w:rPr>
        <w:t>The paper uses external ontologies and safety literatures as constraints on synthesis, not as proof that the proposed pattern has already been established under one name. Each mapping should be read according to its status.</w:t>
      </w:r>
    </w:p>
    <w:p>
      <w:pPr/>
      <w:r>
        <w:t>This mapping method also carries a broader epistemic claim: cross-domain synthesis should not assign the same evidentiary strength to every resemblance. Direct correspondences, functional correspondences, partial overlaps, and analogical extensions carry different levels of commitment, and those levels should remain visible in the argument rather than being hidden inside a single generalized framework.</w:t>
      </w:r>
    </w:p>
    <w:tbl>
      <w:tblPr>
        <w:tblStyle w:val="TableGrid"/>
        <w:tblW w:type="auto" w:w="0"/>
        <w:jc w:val="center"/>
        <w:tblLook w:firstColumn="1" w:firstRow="1" w:lastColumn="0" w:lastRow="0" w:noHBand="0" w:noVBand="1" w:val="04A0"/>
      </w:tblPr>
      <w:tblGrid>
        <w:gridCol w:w="3120"/>
        <w:gridCol w:w="3120"/>
        <w:gridCol w:w="3120"/>
      </w:tblGrid>
      <w:tr>
        <w:tc>
          <w:tcPr>
            <w:tcW w:type="dxa" w:w="3120"/>
            <w:shd w:fill="D9EAF7"/>
            <w:vAlign w:val="top"/>
          </w:tcPr>
          <w:p>
            <w:pPr>
              <w:spacing w:after="0" w:line="240" w:lineRule="auto" w:before="0"/>
              <w:jc w:val="left"/>
            </w:pPr>
            <w:r>
              <w:rPr>
                <w:b/>
                <w:sz w:val="17"/>
              </w:rPr>
            </w:r>
            <w:r>
              <w:rPr>
                <w:rFonts w:ascii="Times New Roman" w:hAnsi="Times New Roman"/>
                <w:b/>
                <w:i w:val="0"/>
                <w:sz w:val="17"/>
              </w:rPr>
              <w:t>Mapping status</w:t>
            </w:r>
          </w:p>
        </w:tc>
        <w:tc>
          <w:tcPr>
            <w:tcW w:type="dxa" w:w="3120"/>
            <w:shd w:fill="D9EAF7"/>
            <w:vAlign w:val="top"/>
          </w:tcPr>
          <w:p>
            <w:pPr>
              <w:spacing w:after="0" w:line="240" w:lineRule="auto" w:before="0"/>
              <w:jc w:val="left"/>
            </w:pPr>
            <w:r>
              <w:rPr>
                <w:b/>
                <w:sz w:val="17"/>
              </w:rPr>
            </w:r>
            <w:r>
              <w:rPr>
                <w:rFonts w:ascii="Times New Roman" w:hAnsi="Times New Roman"/>
                <w:b/>
                <w:i w:val="0"/>
                <w:sz w:val="17"/>
              </w:rPr>
              <w:t>Meaning</w:t>
            </w:r>
          </w:p>
        </w:tc>
        <w:tc>
          <w:tcPr>
            <w:tcW w:type="dxa" w:w="3120"/>
            <w:shd w:fill="D9EAF7"/>
            <w:vAlign w:val="top"/>
          </w:tcPr>
          <w:p>
            <w:pPr>
              <w:spacing w:after="0" w:line="240" w:lineRule="auto" w:before="0"/>
              <w:jc w:val="left"/>
            </w:pPr>
            <w:r>
              <w:rPr>
                <w:b/>
                <w:sz w:val="17"/>
              </w:rPr>
            </w:r>
            <w:r>
              <w:rPr>
                <w:rFonts w:ascii="Times New Roman" w:hAnsi="Times New Roman"/>
                <w:b/>
                <w:i w:val="0"/>
                <w:sz w:val="17"/>
              </w:rPr>
              <w:t>Example in this paper</w:t>
            </w:r>
          </w:p>
        </w:tc>
      </w:tr>
      <w:tr>
        <w:tc>
          <w:tcPr>
            <w:tcW w:type="dxa" w:w="3120"/>
            <w:vAlign w:val="top"/>
          </w:tcPr>
          <w:p>
            <w:pPr>
              <w:spacing w:after="0" w:line="240" w:lineRule="auto" w:before="0"/>
              <w:jc w:val="left"/>
            </w:pPr>
            <w:r>
              <w:rPr>
                <w:sz w:val="17"/>
              </w:rPr>
            </w:r>
            <w:r>
              <w:rPr>
                <w:rFonts w:ascii="Times New Roman" w:hAnsi="Times New Roman"/>
                <w:b w:val="0"/>
                <w:i w:val="0"/>
                <w:sz w:val="17"/>
              </w:rPr>
              <w:t>Direct correspondence</w:t>
            </w:r>
          </w:p>
        </w:tc>
        <w:tc>
          <w:tcPr>
            <w:tcW w:type="dxa" w:w="3120"/>
            <w:vAlign w:val="top"/>
          </w:tcPr>
          <w:p>
            <w:pPr>
              <w:spacing w:after="0" w:line="240" w:lineRule="auto" w:before="0"/>
              <w:jc w:val="left"/>
            </w:pPr>
            <w:r>
              <w:rPr>
                <w:sz w:val="17"/>
              </w:rPr>
            </w:r>
            <w:r>
              <w:rPr>
                <w:rFonts w:ascii="Times New Roman" w:hAnsi="Times New Roman"/>
                <w:b w:val="0"/>
                <w:i w:val="0"/>
                <w:sz w:val="17"/>
              </w:rPr>
              <w:t>The source construct and the manuscript construct are close enough that the inherited term should be retained.</w:t>
            </w:r>
          </w:p>
        </w:tc>
        <w:tc>
          <w:tcPr>
            <w:tcW w:type="dxa" w:w="3120"/>
            <w:vAlign w:val="top"/>
          </w:tcPr>
          <w:p>
            <w:pPr>
              <w:spacing w:after="0" w:line="240" w:lineRule="auto" w:before="0"/>
              <w:jc w:val="left"/>
            </w:pPr>
            <w:r>
              <w:rPr>
                <w:sz w:val="17"/>
              </w:rPr>
            </w:r>
            <w:r>
              <w:rPr>
                <w:rFonts w:ascii="Times New Roman" w:hAnsi="Times New Roman"/>
                <w:b w:val="0"/>
                <w:i w:val="0"/>
                <w:sz w:val="17"/>
              </w:rPr>
              <w:t>Usability error; medical error event; collaboration session; psychological contract breach.</w:t>
            </w:r>
          </w:p>
        </w:tc>
      </w:tr>
      <w:tr>
        <w:tc>
          <w:tcPr>
            <w:tcW w:type="dxa" w:w="3120"/>
            <w:vAlign w:val="top"/>
          </w:tcPr>
          <w:p>
            <w:pPr>
              <w:spacing w:after="0" w:line="240" w:lineRule="auto" w:before="0"/>
              <w:jc w:val="left"/>
            </w:pPr>
            <w:r>
              <w:rPr>
                <w:sz w:val="17"/>
              </w:rPr>
            </w:r>
            <w:r>
              <w:rPr>
                <w:rFonts w:ascii="Times New Roman" w:hAnsi="Times New Roman"/>
                <w:b w:val="0"/>
                <w:i w:val="0"/>
                <w:sz w:val="17"/>
              </w:rPr>
              <w:t>Functional correspondence</w:t>
            </w:r>
          </w:p>
        </w:tc>
        <w:tc>
          <w:tcPr>
            <w:tcW w:type="dxa" w:w="3120"/>
            <w:vAlign w:val="top"/>
          </w:tcPr>
          <w:p>
            <w:pPr>
              <w:spacing w:after="0" w:line="240" w:lineRule="auto" w:before="0"/>
              <w:jc w:val="left"/>
            </w:pPr>
            <w:r>
              <w:rPr>
                <w:sz w:val="17"/>
              </w:rPr>
            </w:r>
            <w:r>
              <w:rPr>
                <w:rFonts w:ascii="Times New Roman" w:hAnsi="Times New Roman"/>
                <w:b w:val="0"/>
                <w:i w:val="0"/>
                <w:sz w:val="17"/>
              </w:rPr>
              <w:t>The source construct performs a similar role in the failure sequence, but the vocabulary and scope differ.</w:t>
            </w:r>
          </w:p>
        </w:tc>
        <w:tc>
          <w:tcPr>
            <w:tcW w:type="dxa" w:w="3120"/>
            <w:vAlign w:val="top"/>
          </w:tcPr>
          <w:p>
            <w:pPr>
              <w:spacing w:after="0" w:line="240" w:lineRule="auto" w:before="0"/>
              <w:jc w:val="left"/>
            </w:pPr>
            <w:r>
              <w:rPr>
                <w:sz w:val="17"/>
              </w:rPr>
            </w:r>
            <w:r>
              <w:rPr>
                <w:rFonts w:ascii="Times New Roman" w:hAnsi="Times New Roman"/>
                <w:b w:val="0"/>
                <w:i w:val="0"/>
                <w:sz w:val="17"/>
              </w:rPr>
              <w:t>Interface design factors and AI interface-mediated reliance; collaboration context and capacity grounding.</w:t>
            </w:r>
          </w:p>
        </w:tc>
      </w:tr>
      <w:tr>
        <w:tc>
          <w:tcPr>
            <w:tcW w:type="dxa" w:w="3120"/>
            <w:vAlign w:val="top"/>
          </w:tcPr>
          <w:p>
            <w:pPr>
              <w:spacing w:after="0" w:line="240" w:lineRule="auto" w:before="0"/>
              <w:jc w:val="left"/>
            </w:pPr>
            <w:r>
              <w:rPr>
                <w:sz w:val="17"/>
              </w:rPr>
            </w:r>
            <w:r>
              <w:rPr>
                <w:rFonts w:ascii="Times New Roman" w:hAnsi="Times New Roman"/>
                <w:b w:val="0"/>
                <w:i w:val="0"/>
                <w:sz w:val="17"/>
              </w:rPr>
              <w:t>Partial correspondence</w:t>
            </w:r>
          </w:p>
        </w:tc>
        <w:tc>
          <w:tcPr>
            <w:tcW w:type="dxa" w:w="3120"/>
            <w:vAlign w:val="top"/>
          </w:tcPr>
          <w:p>
            <w:pPr>
              <w:spacing w:after="0" w:line="240" w:lineRule="auto" w:before="0"/>
              <w:jc w:val="left"/>
            </w:pPr>
            <w:r>
              <w:rPr>
                <w:sz w:val="17"/>
              </w:rPr>
            </w:r>
            <w:r>
              <w:rPr>
                <w:rFonts w:ascii="Times New Roman" w:hAnsi="Times New Roman"/>
                <w:b w:val="0"/>
                <w:i w:val="0"/>
                <w:sz w:val="17"/>
              </w:rPr>
              <w:t>The source covers part of the phenomenon but not the full reliance-to-harm interval.</w:t>
            </w:r>
          </w:p>
        </w:tc>
        <w:tc>
          <w:tcPr>
            <w:tcW w:type="dxa" w:w="3120"/>
            <w:vAlign w:val="top"/>
          </w:tcPr>
          <w:p>
            <w:pPr>
              <w:spacing w:after="0" w:line="240" w:lineRule="auto" w:before="0"/>
              <w:jc w:val="left"/>
            </w:pPr>
            <w:r>
              <w:rPr>
                <w:sz w:val="17"/>
              </w:rPr>
            </w:r>
            <w:r>
              <w:rPr>
                <w:rFonts w:ascii="Times New Roman" w:hAnsi="Times New Roman"/>
                <w:b w:val="0"/>
                <w:i w:val="0"/>
                <w:sz w:val="17"/>
              </w:rPr>
              <w:t>Risk/value ontology for value-at-risk; burden ontology for non-preferred obligatory participation.</w:t>
            </w:r>
          </w:p>
        </w:tc>
      </w:tr>
      <w:tr>
        <w:tc>
          <w:tcPr>
            <w:tcW w:type="dxa" w:w="3120"/>
            <w:vAlign w:val="top"/>
          </w:tcPr>
          <w:p>
            <w:pPr>
              <w:spacing w:after="0" w:line="240" w:lineRule="auto" w:before="0"/>
              <w:jc w:val="left"/>
            </w:pPr>
            <w:r>
              <w:rPr>
                <w:sz w:val="17"/>
              </w:rPr>
            </w:r>
            <w:r>
              <w:rPr>
                <w:rFonts w:ascii="Times New Roman" w:hAnsi="Times New Roman"/>
                <w:b w:val="0"/>
                <w:i w:val="0"/>
                <w:sz w:val="17"/>
              </w:rPr>
              <w:t>Analogical or exploratory correspondence</w:t>
            </w:r>
          </w:p>
        </w:tc>
        <w:tc>
          <w:tcPr>
            <w:tcW w:type="dxa" w:w="3120"/>
            <w:vAlign w:val="top"/>
          </w:tcPr>
          <w:p>
            <w:pPr>
              <w:spacing w:after="0" w:line="240" w:lineRule="auto" w:before="0"/>
              <w:jc w:val="left"/>
            </w:pPr>
            <w:r>
              <w:rPr>
                <w:sz w:val="17"/>
              </w:rPr>
            </w:r>
            <w:r>
              <w:rPr>
                <w:rFonts w:ascii="Times New Roman" w:hAnsi="Times New Roman"/>
                <w:b w:val="0"/>
                <w:i w:val="0"/>
                <w:sz w:val="17"/>
              </w:rPr>
              <w:t>The source helps frame a possible extension but should not be treated as established equivalence.</w:t>
            </w:r>
          </w:p>
        </w:tc>
        <w:tc>
          <w:tcPr>
            <w:tcW w:type="dxa" w:w="3120"/>
            <w:vAlign w:val="top"/>
          </w:tcPr>
          <w:p>
            <w:pPr>
              <w:spacing w:after="0" w:line="240" w:lineRule="auto" w:before="0"/>
              <w:jc w:val="left"/>
            </w:pPr>
            <w:r>
              <w:rPr>
                <w:sz w:val="17"/>
              </w:rPr>
            </w:r>
            <w:r>
              <w:rPr>
                <w:rFonts w:ascii="Times New Roman" w:hAnsi="Times New Roman"/>
                <w:b w:val="0"/>
                <w:i w:val="0"/>
                <w:sz w:val="17"/>
              </w:rPr>
              <w:t>Relational loss, grief, and some high-stakes AI life-decision cases.</w:t>
            </w:r>
          </w:p>
        </w:tc>
      </w:tr>
    </w:tbl>
    <w:p>
      <w:pPr>
        <w:spacing w:line="480" w:lineRule="auto" w:after="0"/>
        <w:ind w:firstLine="720"/>
      </w:pPr>
      <w:r>
        <w:rPr>
          <w:rFonts w:ascii="Times New Roman" w:hAnsi="Times New Roman" w:eastAsia="Times New Roman"/>
          <w:sz w:val="24"/>
        </w:rPr>
        <w:t>This status distinction is meant to reduce false equivalence. A medical-error ontology does not prove a trust theory. A collaboration ontology does not prove an AI-reliance model. Their value is that they supply tested local distinctions that constrain how the cross-domain pattern may be described.</w:t>
      </w:r>
    </w:p>
    <w:p>
      <w:pPr>
        <w:pStyle w:val="Heading1"/>
        <w:spacing w:line="480" w:lineRule="auto" w:before="240" w:after="0"/>
      </w:pPr>
      <w:r>
        <w:rPr>
          <w:rFonts w:ascii="Times New Roman" w:hAnsi="Times New Roman" w:eastAsia="Times New Roman"/>
          <w:sz w:val="24"/>
        </w:rPr>
        <w:t>Developmental Lineage and Source Use</w:t>
      </w:r>
    </w:p>
    <w:p>
      <w:pPr>
        <w:spacing w:line="480" w:lineRule="auto" w:after="0"/>
        <w:ind w:firstLine="720"/>
      </w:pPr>
      <w:r>
        <w:rPr>
          <w:rFonts w:ascii="Times New Roman" w:hAnsi="Times New Roman" w:eastAsia="Times New Roman"/>
          <w:sz w:val="24"/>
        </w:rPr>
        <w:t>The synthesis also draws on prior working papers by the author. Those works are treated as developmental lineage and internal continuity, not as independent external validation. Capacity-Grounded Trust supplies the immediate trust-and-commitment version of the reliance interval (Copeland, 2026a). Cooperative overextension supplies the earlier cross-locus form in which action-ready or support-ready signals exceed operative capacity (Copeland, 2026b). Burden-routing and practical-reversibility work supplies the burden and fallback dimension (Copeland, 2026c). Confidence Without Verification and Coherence Without Access supply the AI-reliance and explanation-overtrust dimension (Copeland, 2026d, 2026e). Legibility-first interpretation work supplies the methodological rule that observation, interpretation, confidence, action, and revision should remain separated under uncertainty (Copeland, 2026f).</w:t>
      </w:r>
    </w:p>
    <w:p>
      <w:r>
        <w:t>Where an established literature already supplies an adequate construct, that inherited term is used first. The author's prior work is cited for the cross-domain assembly, receiver-window formulation, or registry-specific development of the artifact, not to claim priority over component ideas already named in trust theory, safety science, human-AI interaction, diagnostic reasoning, collaboration research, or administrative-burden scholarship.</w:t>
      </w:r>
    </w:p>
    <w:p>
      <w:pPr>
        <w:spacing w:line="480" w:lineRule="auto" w:after="0"/>
        <w:ind w:firstLine="720"/>
      </w:pPr>
      <w:r>
        <w:rPr>
          <w:rFonts w:ascii="Times New Roman" w:hAnsi="Times New Roman" w:eastAsia="Times New Roman"/>
          <w:sz w:val="24"/>
        </w:rPr>
        <w:t>The author’s revision-tracked registry is cited only as infrastructure for preserving source terms, mapping correspondences, and recording claim status (Copeland, 2026g). The registry is not evidence that the present synthesis is correct. It is a tool for keeping the synthesis lossless and revisable.</w:t>
      </w:r>
    </w:p>
    <w:p>
      <w:pPr>
        <w:pStyle w:val="Heading1"/>
        <w:spacing w:line="480" w:lineRule="auto" w:before="240" w:after="0"/>
      </w:pPr>
      <w:r>
        <w:rPr>
          <w:rFonts w:ascii="Times New Roman" w:hAnsi="Times New Roman" w:eastAsia="Times New Roman"/>
          <w:sz w:val="24"/>
        </w:rPr>
        <w:t>The Recurring Failure Interval</w:t>
      </w:r>
    </w:p>
    <w:p>
      <w:pPr>
        <w:spacing w:line="480" w:lineRule="auto" w:after="0"/>
        <w:ind w:firstLine="720"/>
      </w:pPr>
      <w:r>
        <w:rPr>
          <w:rFonts w:ascii="Times New Roman" w:hAnsi="Times New Roman" w:eastAsia="Times New Roman"/>
          <w:sz w:val="24"/>
        </w:rPr>
        <w:t>The proposed event interval can be stated in operational terms. A signal enters a field. A receiver begins to rely on it. Support conditions remain insufficiently grounded. Fallback options narrow. Correction, disclosure, or visible failure arrives after the receiver has already reorganized. Burden moves downstream. Trust, classification, workflow, or governance then recalibrates after cost has already been absorbed.</w:t>
      </w:r>
    </w:p>
    <w:p>
      <w:pPr/>
      <w:r>
        <w:t>The harm-formation mechanism is the conversion of a weak or under-grounded signal into a structural dependency. On this account, harm is not located in signal failure alone, intention failure alone, or final outcome severity alone. It forms when behavior is reorganized around a signal before the support conditions for safe reliance have been established.</w:t>
      </w:r>
    </w:p>
    <w:p>
      <w:pPr>
        <w:spacing w:line="480" w:lineRule="auto" w:after="0"/>
        <w:ind w:firstLine="720"/>
      </w:pPr>
      <w:r>
        <w:rPr>
          <w:rFonts w:ascii="Times New Roman" w:hAnsi="Times New Roman" w:eastAsia="Times New Roman"/>
          <w:sz w:val="24"/>
        </w:rPr>
        <w:t>This interval matters because many failures are not harmful at the moment of the first signal. They become harmful as reliance accumulates. A promise that can be withdrawn while alternatives remain open is different from a promise withdrawn after money has been spent, other help has been declined, or a move has begun. An AI recommendation ignored during brainstorming is different from an AI recommendation built into a workflow. A provisional diagnosis is different from a label that closes rival explanations and authorizes irreversible intervention. The framework’s object is the interval in which reliance converts a weak signal into a structural dependency.</w:t>
      </w:r>
    </w:p>
    <w:p>
      <w:pPr>
        <w:pStyle w:val="Heading1"/>
        <w:spacing w:line="480" w:lineRule="auto" w:before="240" w:after="0"/>
      </w:pPr>
      <w:r>
        <w:rPr>
          <w:rFonts w:ascii="Times New Roman" w:hAnsi="Times New Roman" w:eastAsia="Times New Roman"/>
          <w:sz w:val="24"/>
        </w:rPr>
        <w:t>Core Domain One: Trust and Commitment Failure</w:t>
      </w:r>
    </w:p>
    <w:p>
      <w:pPr>
        <w:spacing w:line="480" w:lineRule="auto" w:after="0"/>
        <w:ind w:firstLine="720"/>
      </w:pPr>
      <w:r>
        <w:rPr>
          <w:rFonts w:ascii="Times New Roman" w:hAnsi="Times New Roman" w:eastAsia="Times New Roman"/>
          <w:sz w:val="24"/>
        </w:rPr>
        <w:t>Capacity-Grounded Trust is the interpersonal entry point for the synthesis. It separates sincerity, intention, interpretive adequacy, capacity grounding, reliability under pressure, and repair capacity (Copeland, 2026a). The purpose is not to multiply trust terms unnecessarily. It is to prevent one form of trust from being mistaken for another. A person may care, mean what they say, and still lack the capacity to carry a commitment once it becomes costly, stressful, inconvenient, or difficult to reverse.</w:t>
      </w:r>
    </w:p>
    <w:p>
      <w:pPr>
        <w:spacing w:line="480" w:lineRule="auto" w:after="0"/>
        <w:ind w:firstLine="720"/>
      </w:pPr>
      <w:r>
        <w:rPr>
          <w:rFonts w:ascii="Times New Roman" w:hAnsi="Times New Roman" w:eastAsia="Times New Roman"/>
          <w:sz w:val="24"/>
        </w:rPr>
        <w:t>The inherited trust literature already supplies key components. Mayer et al. (1995) distinguish ability, benevolence, and integrity as trustworthiness dimensions. Rousseau et al. (1998) define trust around vulnerability and positive expectations regarding another’s intentions or behavior. Schoorman et al. (2007) emphasize that trust changes over time as evidence emerges. Psychological contract research examines perceived promise, breach, and violation (Morrison &amp; Robinson, 1997; Rousseau, 1995). Trust-repair work distinguishes reactions to competence and integrity violations (Kim et al., 2004).</w:t>
      </w:r>
    </w:p>
    <w:p>
      <w:pPr>
        <w:spacing w:line="480" w:lineRule="auto" w:after="0"/>
        <w:ind w:firstLine="720"/>
      </w:pPr>
      <w:r>
        <w:rPr>
          <w:rFonts w:ascii="Times New Roman" w:hAnsi="Times New Roman" w:eastAsia="Times New Roman"/>
          <w:sz w:val="24"/>
        </w:rPr>
        <w:t>The added emphasis here is temporal and receiver-anchored. A person may have general ability and still be unsafe to rely on for this commitment at this moment if the receiver’s fallback options are closing faster than capacity is being grounded. This distinguishes the present synthesis from a simple ability-trust claim. The unit of analysis is not only the trustee’s attribute; it is the commitment-reliance interval.</w:t>
      </w:r>
    </w:p>
    <w:p>
      <w:r>
        <w:t>This receiver-anchored framing is not offered as the first receiver-side account of expectation or breach. Psychological contract theory already treats perceived obligation and violation from the receiver's standpoint. The narrower contribution here is temporal and operational: it asks what the receiver could still revise while fallback options remained open, and whether the signal had become safe to rely on before that option field closed.</w:t>
      </w:r>
    </w:p>
    <w:p>
      <w:pPr>
        <w:pStyle w:val="Heading1"/>
        <w:spacing w:line="480" w:lineRule="auto" w:before="240" w:after="0"/>
      </w:pPr>
      <w:r>
        <w:rPr>
          <w:rFonts w:ascii="Times New Roman" w:hAnsi="Times New Roman" w:eastAsia="Times New Roman"/>
          <w:sz w:val="24"/>
        </w:rPr>
        <w:t>Core Domain Two: Collaboration and Coordination Failure</w:t>
      </w:r>
    </w:p>
    <w:p>
      <w:pPr>
        <w:spacing w:line="480" w:lineRule="auto" w:after="0"/>
        <w:ind w:firstLine="720"/>
      </w:pPr>
      <w:r>
        <w:rPr>
          <w:rFonts w:ascii="Times New Roman" w:hAnsi="Times New Roman" w:eastAsia="Times New Roman"/>
          <w:sz w:val="24"/>
        </w:rPr>
        <w:t>Collaboration failure shows that the pattern is not limited to personal promises. Collaboration ontology represents collaboration as an event involving participants, objectives, artifacts, sites, communication, and protocol-mediated coordination (Oliveira et al., 2007). The 3C model distinguishes communication, coordination, and cooperation rather than treating collaboration as one undifferentiated social process (Ellis et al., 1991; Oliveira et al., 2007).</w:t>
      </w:r>
    </w:p>
    <w:p>
      <w:pPr>
        <w:spacing w:line="480" w:lineRule="auto" w:after="0"/>
        <w:ind w:firstLine="720"/>
      </w:pPr>
      <w:r>
        <w:rPr>
          <w:rFonts w:ascii="Times New Roman" w:hAnsi="Times New Roman" w:eastAsia="Times New Roman"/>
          <w:sz w:val="24"/>
        </w:rPr>
        <w:t>Collaboration-context work supplies the situational variables needed to assess whether cooperation can carry load: goal, collaborator, activity, resource, time, location, relation, and satisfaction (Li et al., 2019). These are not decorative context variables. They are the conditions under which a participant’s contribution can become safe to rely on. A collaboration can fail despite shared goodwill if resources, role clarity, handoffs, time, authority, and feedback remain under-specified.</w:t>
      </w:r>
    </w:p>
    <w:p>
      <w:pPr>
        <w:spacing w:line="480" w:lineRule="auto" w:after="0"/>
        <w:ind w:firstLine="720"/>
      </w:pPr>
      <w:r>
        <w:rPr>
          <w:rFonts w:ascii="Times New Roman" w:hAnsi="Times New Roman" w:eastAsia="Times New Roman"/>
          <w:sz w:val="24"/>
        </w:rPr>
        <w:t>The collaboration form of the failure is a coordination-context failure. A participant, protocol, or artifact becomes reliance-bearing before the objective, resources, timing, responsibility distribution, handoff process, communication channel, and fallback plan are sufficiently grounded. The downstream burden may appear as duplicated work, delay, conflict, reputational damage, resource waste, or project collapse. The cause may not be personal unreliability. It may be an architecture that allowed reliance to form before coordination conditions could support it.</w:t>
      </w:r>
    </w:p>
    <w:p>
      <w:pPr>
        <w:pStyle w:val="Heading1"/>
        <w:spacing w:line="480" w:lineRule="auto" w:before="240" w:after="0"/>
      </w:pPr>
      <w:r>
        <w:rPr>
          <w:rFonts w:ascii="Times New Roman" w:hAnsi="Times New Roman" w:eastAsia="Times New Roman"/>
          <w:sz w:val="24"/>
        </w:rPr>
        <w:t>Core Domain Three: AI and Interface-Mediated Reliance</w:t>
      </w:r>
    </w:p>
    <w:p>
      <w:pPr>
        <w:spacing w:line="480" w:lineRule="auto" w:after="0"/>
        <w:ind w:firstLine="720"/>
      </w:pPr>
      <w:r>
        <w:rPr>
          <w:rFonts w:ascii="Times New Roman" w:hAnsi="Times New Roman" w:eastAsia="Times New Roman"/>
          <w:sz w:val="24"/>
        </w:rPr>
        <w:t>AI systems create a related but distinct reliance problem. The human case may involve sincerity or overpromise. Current LLM systems should not be treated as sincere or insincere in that human sense. The safer formulation is structural: LLM outputs can participate in reliance formation when users treat coherent interpretation as decision support despite limited access to material constraints, affected parties, fallback options, tool permissions, retrieval state, or verification conditions.</w:t>
      </w:r>
    </w:p>
    <w:p>
      <w:pPr>
        <w:spacing w:line="480" w:lineRule="auto" w:after="0"/>
        <w:ind w:firstLine="720"/>
      </w:pPr>
      <w:r>
        <w:rPr>
          <w:rFonts w:ascii="Times New Roman" w:hAnsi="Times New Roman" w:eastAsia="Times New Roman"/>
          <w:sz w:val="24"/>
        </w:rPr>
        <w:t>Automation research already warns against both misuse and disuse of automated systems. Parasuraman and Riley (1997) describe use, misuse, disuse, and abuse of automation. Lee and See (2004) frame trust in automation as a design problem involving appropriate reliance. Bainbridge’s (1983) “ironies of automation” shows how automation can leave humans responsible for difficult residual tasks while reducing the practice needed to perform them well. Skitka et al. (1999) examine automation bias in decision making, and newer work on AI-assisted decision-making shows that forcing users to think before accepting AI suggestions can reduce overreliance (Buçinca et al., 2021).</w:t>
      </w:r>
    </w:p>
    <w:p>
      <w:r>
        <w:t>Recent human-AI and human-LM reliance work reinforces the same caution in more current settings. Studies of explanation use, uncertainty presentation, and interaction-centered language-model reliance suggest that reliance is shaped not only by model accuracy, but also by user intuition, uncertainty display, perceived competence, interface friction, and interaction context (Cao et al., 2024; Chen et al., 2023; Zhou et al., 2024). These newer sources are used cautiously because the literature is still developing, but they support the paper's narrower claim that verification and fallback timing matter when AI output begins to guide action.</w:t>
      </w:r>
    </w:p>
    <w:p>
      <w:pPr>
        <w:spacing w:line="480" w:lineRule="auto" w:after="0"/>
        <w:ind w:firstLine="720"/>
      </w:pPr>
      <w:r>
        <w:rPr>
          <w:rFonts w:ascii="Times New Roman" w:hAnsi="Times New Roman" w:eastAsia="Times New Roman"/>
          <w:sz w:val="24"/>
        </w:rPr>
        <w:t>The present paper does not replace that literature. It specifies where the reliance-to-harm interval appears in AI-mediated settings. A fluent output or interface cue becomes dangerous when it changes user action before the user can verify whether the system has the relevant access, authority, memory, tools, current data, or domain coverage. The failure may not be a false statement alone. It may be a workflow condition in which the user’s independent checking, fallback planning, or correction capacity is weakened.</w:t>
      </w:r>
    </w:p>
    <w:p>
      <w:pPr>
        <w:spacing w:line="480" w:lineRule="auto" w:after="0"/>
        <w:ind w:firstLine="720"/>
      </w:pPr>
      <w:r>
        <w:rPr>
          <w:rFonts w:ascii="Times New Roman" w:hAnsi="Times New Roman" w:eastAsia="Times New Roman"/>
          <w:sz w:val="24"/>
        </w:rPr>
        <w:t>Usability-error ontology is relevant because it treats system and interface design weaknesses as possible contributors to harm. Elkin et al. (2013) classify usability errors in clinical systems and include workflow issues, cognitive and non-cognitive usability errors, perception issues, understanding issues, missing alerts, missing logic, incorrect data, and alert fatigue. The correspondence to AI is functional rather than direct. The claim is not that an AI interface is identical to a clinical CPOE system. The claim is that interface and workflow conditions can materially shape what users notice, trust, omit, verify, or fail to correct.</w:t>
      </w:r>
    </w:p>
    <w:p>
      <w:pPr>
        <w:pStyle w:val="Heading1"/>
        <w:spacing w:line="480" w:lineRule="auto" w:before="240" w:after="0"/>
      </w:pPr>
      <w:r>
        <w:rPr>
          <w:rFonts w:ascii="Times New Roman" w:hAnsi="Times New Roman" w:eastAsia="Times New Roman"/>
          <w:sz w:val="24"/>
        </w:rPr>
        <w:t>Core Domain Four: Clinical Safety, Medical Error, Usability, and Classification</w:t>
      </w:r>
    </w:p>
    <w:p>
      <w:pPr>
        <w:spacing w:line="480" w:lineRule="auto" w:after="0"/>
        <w:ind w:firstLine="720"/>
      </w:pPr>
      <w:r>
        <w:rPr>
          <w:rFonts w:ascii="Times New Roman" w:hAnsi="Times New Roman" w:eastAsia="Times New Roman"/>
          <w:sz w:val="24"/>
        </w:rPr>
        <w:t>Clinical safety provides a mature precedent for multi-axis harmful-event modeling. Mokkarala et al. (2008) developed a medical-error ontology by integrating eight published taxonomies into a reference ontology with twelve axes: practitioners involved, patient profile, health care service, error location, contributing factors, professional activity, time of error, system factors, patient outcome, human factors, interface design factors, and medical product involved. A medical error event is represented through the intersection of axes rather than through one cause alone.</w:t>
      </w:r>
    </w:p>
    <w:p>
      <w:pPr>
        <w:spacing w:line="480" w:lineRule="auto" w:after="0"/>
        <w:ind w:firstLine="720"/>
      </w:pPr>
      <w:r>
        <w:rPr>
          <w:rFonts w:ascii="Times New Roman" w:hAnsi="Times New Roman" w:eastAsia="Times New Roman"/>
          <w:sz w:val="24"/>
        </w:rPr>
        <w:t>Safety science supplies related constraints. Reason’s (1997, 2000) organizational accident work directs attention to active failures, latent conditions, and layered defenses. Leveson’s (2011) systems-theoretic approach treats accidents as control problems in socio-technical systems rather than as chains of component failure alone. Rasmussen (1997) describes risk management in dynamic systems where work migrates under pressure toward boundaries. Dekker (2014) argues against treating human error as a sufficient endpoint of explanation. These sources do not say the same thing as the present framework, but they make the same warning unavoidable: harmful events should not be reduced prematurely to individual fault when system conditions shape what becomes possible, visible, and correctable.</w:t>
      </w:r>
    </w:p>
    <w:p>
      <w:pPr>
        <w:spacing w:line="480" w:lineRule="auto" w:after="0"/>
        <w:ind w:firstLine="720"/>
      </w:pPr>
      <w:r>
        <w:rPr>
          <w:rFonts w:ascii="Times New Roman" w:hAnsi="Times New Roman" w:eastAsia="Times New Roman"/>
          <w:sz w:val="24"/>
        </w:rPr>
        <w:t>Diagnostic and classification lock-in is included as a cross-cutting variant, not as a complete diagnostic theory. Diagnostic-error literature has long emphasized cognitive and system factors, including premature closure, anchoring, incomplete information, and failures of follow-up or communication (Croskerry, 2003; Graber et al., 2005; National Academies of Sciences, Engineering, and Medicine, 2015; Schiff et al., 2009). The present framework applies only when a label, diagnosis, risk category, or classification becomes operationally authoritative while rival explanations, uncertainty, and correction pathways are prematurely narrowed.</w:t>
      </w:r>
    </w:p>
    <w:p>
      <w:pPr>
        <w:spacing w:line="480" w:lineRule="auto" w:after="0"/>
        <w:ind w:firstLine="720"/>
      </w:pPr>
      <w:r>
        <w:rPr>
          <w:rFonts w:ascii="Times New Roman" w:hAnsi="Times New Roman" w:eastAsia="Times New Roman"/>
          <w:sz w:val="24"/>
        </w:rPr>
        <w:t>Not every wrong diagnosis is diagnostic lock-in. Rare presentations, limited tests, time pressure, and reasonable but wrong provisional judgment can all produce diagnostic error without fitting the present pattern. The pattern appears when the classification becomes load-bearing, alternatives narrow, rival interpretations are suppressed or neglected, and the affected person carries the burden of correction after the label has begun organizing the system’s behavior.</w:t>
      </w:r>
    </w:p>
    <w:p>
      <w:pPr>
        <w:pStyle w:val="Heading1"/>
        <w:spacing w:line="480" w:lineRule="auto" w:before="240" w:after="0"/>
      </w:pPr>
      <w:r>
        <w:rPr>
          <w:rFonts w:ascii="Times New Roman" w:hAnsi="Times New Roman" w:eastAsia="Times New Roman"/>
          <w:sz w:val="24"/>
        </w:rPr>
        <w:t>Risk, Value, Burden, and Harm</w:t>
      </w:r>
    </w:p>
    <w:p>
      <w:pPr>
        <w:spacing w:line="480" w:lineRule="auto" w:after="0"/>
        <w:ind w:firstLine="720"/>
      </w:pPr>
      <w:r>
        <w:rPr>
          <w:rFonts w:ascii="Times New Roman" w:hAnsi="Times New Roman" w:eastAsia="Times New Roman"/>
          <w:sz w:val="24"/>
        </w:rPr>
        <w:t>Risk and burden operate across the four core domains. The Common Ontology of Value and Risk treats risk as inseparable from value, goals, uncertainty, likelihood, events, and impact (Sales et al., 2018). This matters because reliance failure cannot be evaluated only by asking whether a signal failed. A failed reminder to bring coffee and a failed childcare commitment during a job interview both involve nonperformance; they do not place the same value at risk. The relevant question is what opportunity, safety condition, role, legal interest, relationship, health outcome, or future path was exposed by reliance.</w:t>
      </w:r>
    </w:p>
    <w:p>
      <w:pPr>
        <w:spacing w:line="480" w:lineRule="auto" w:after="0"/>
        <w:ind w:firstLine="720"/>
      </w:pPr>
      <w:r>
        <w:rPr>
          <w:rFonts w:ascii="Times New Roman" w:hAnsi="Times New Roman" w:eastAsia="Times New Roman"/>
          <w:sz w:val="24"/>
        </w:rPr>
        <w:t>Burden is related to harm but not identical to harm. Burden transfer is a pathway: cost, effort, constraint, repair labor, non-preferred participation, or emergency adaptation moves downstream. Harm is an outcome: practical loss, clinical injury, relational damage, financial cost, reputational injury, restricted access, or loss of future possibility. Some burden transfer may be expected, tolerable, or reversible. Some harms may occur without burden transfer in the strict sense.</w:t>
      </w:r>
    </w:p>
    <w:p>
      <w:pPr>
        <w:spacing w:line="480" w:lineRule="auto" w:after="0"/>
        <w:ind w:firstLine="720"/>
      </w:pPr>
      <w:r>
        <w:t>The fallback-loss claim does not depend on a completed burden ontology. It follows from the paper’s own burden-transfer definition, from the risk/value requirement to identify what is at stake, and from the practical-reversibility lineage identified above (Copeland, 2026c; Sales et al., 2018). A provisional Biomedical Burden Ontology remains useful as a limited parenthetical support because it treats burden through an Atlassian lens: a subject is obliged, or effectively obliged, to participate in a process the subject would prefer not to participate in (Smart et al., n.d.). Because that source is unpublished and undated, it is not treated as load-bearing evidence for the present framework.</w:t>
      </w:r>
    </w:p>
    <w:p>
      <w:pPr>
        <w:pStyle w:val="Heading1"/>
      </w:pPr>
      <w:r>
        <w:br w:type="page"/>
      </w:r>
    </w:p>
    <w:p>
      <w:pPr>
        <w:pStyle w:val="Heading1"/>
        <w:spacing w:line="480" w:lineRule="auto" w:before="240" w:after="0"/>
      </w:pPr>
      <w:r>
        <w:rPr>
          <w:rFonts w:ascii="Times New Roman" w:hAnsi="Times New Roman" w:eastAsia="Times New Roman"/>
          <w:sz w:val="24"/>
        </w:rPr>
        <w:t>Cross-Cutting Failure Families</w:t>
      </w:r>
    </w:p>
    <w:p>
      <w:pPr>
        <w:spacing w:line="480" w:lineRule="auto" w:after="0"/>
        <w:ind w:firstLine="720"/>
      </w:pPr>
      <w:r>
        <w:rPr>
          <w:rFonts w:ascii="Times New Roman" w:hAnsi="Times New Roman" w:eastAsia="Times New Roman"/>
          <w:sz w:val="24"/>
        </w:rPr>
        <w:t>The following families are coding lenses, not mutually exclusive natural kinds. A single event may instantiate several at once. Their purpose is to identify which part of the reliance-to-harm interval failed. The exclusion column is as important as the definition because it keeps the framework from absorbing every complex failure.</w:t>
      </w:r>
    </w:p>
    <w:tbl>
      <w:tblPr>
        <w:tblStyle w:val="TableGrid"/>
        <w:tblW w:type="auto" w:w="0"/>
        <w:jc w:val="center"/>
        <w:tblLook w:firstColumn="1" w:firstRow="1" w:lastColumn="0" w:lastRow="0" w:noHBand="0" w:noVBand="1" w:val="04A0"/>
      </w:tblPr>
      <w:tblGrid>
        <w:gridCol w:w="2340"/>
        <w:gridCol w:w="2340"/>
        <w:gridCol w:w="2340"/>
        <w:gridCol w:w="2340"/>
      </w:tblGrid>
      <w:tr>
        <w:tc>
          <w:tcPr>
            <w:tcW w:type="dxa" w:w="2340"/>
            <w:shd w:fill="D9EAF7"/>
            <w:vAlign w:val="top"/>
          </w:tcPr>
          <w:p>
            <w:pPr>
              <w:spacing w:after="0" w:line="240" w:lineRule="auto" w:before="0"/>
              <w:jc w:val="left"/>
            </w:pPr>
            <w:r>
              <w:rPr>
                <w:b/>
                <w:sz w:val="14"/>
              </w:rPr>
            </w:r>
            <w:r>
              <w:rPr>
                <w:rFonts w:ascii="Times New Roman" w:hAnsi="Times New Roman"/>
                <w:b/>
                <w:i w:val="0"/>
                <w:sz w:val="14"/>
              </w:rPr>
              <w:t>Failure family</w:t>
            </w:r>
          </w:p>
        </w:tc>
        <w:tc>
          <w:tcPr>
            <w:tcW w:type="dxa" w:w="2340"/>
            <w:shd w:fill="D9EAF7"/>
            <w:vAlign w:val="top"/>
          </w:tcPr>
          <w:p>
            <w:pPr>
              <w:spacing w:after="0" w:line="240" w:lineRule="auto" w:before="0"/>
              <w:jc w:val="left"/>
            </w:pPr>
            <w:r>
              <w:rPr>
                <w:b/>
                <w:sz w:val="14"/>
              </w:rPr>
            </w:r>
            <w:r>
              <w:rPr>
                <w:rFonts w:ascii="Times New Roman" w:hAnsi="Times New Roman"/>
                <w:b/>
                <w:i w:val="0"/>
                <w:sz w:val="14"/>
              </w:rPr>
              <w:t>Working definition</w:t>
            </w:r>
          </w:p>
        </w:tc>
        <w:tc>
          <w:tcPr>
            <w:tcW w:type="dxa" w:w="2340"/>
            <w:shd w:fill="D9EAF7"/>
            <w:vAlign w:val="top"/>
          </w:tcPr>
          <w:p>
            <w:pPr>
              <w:spacing w:after="0" w:line="240" w:lineRule="auto" w:before="0"/>
              <w:jc w:val="left"/>
            </w:pPr>
            <w:r>
              <w:rPr>
                <w:b/>
                <w:sz w:val="14"/>
              </w:rPr>
            </w:r>
            <w:r>
              <w:rPr>
                <w:rFonts w:ascii="Times New Roman" w:hAnsi="Times New Roman"/>
                <w:b/>
                <w:i w:val="0"/>
                <w:sz w:val="14"/>
              </w:rPr>
              <w:t>Primary question</w:t>
            </w:r>
          </w:p>
        </w:tc>
        <w:tc>
          <w:tcPr>
            <w:tcW w:type="dxa" w:w="2340"/>
            <w:shd w:fill="D9EAF7"/>
            <w:vAlign w:val="top"/>
          </w:tcPr>
          <w:p>
            <w:pPr>
              <w:spacing w:after="0" w:line="240" w:lineRule="auto" w:before="0"/>
              <w:jc w:val="left"/>
            </w:pPr>
            <w:r>
              <w:rPr>
                <w:b/>
                <w:sz w:val="14"/>
              </w:rPr>
            </w:r>
            <w:r>
              <w:rPr>
                <w:rFonts w:ascii="Times New Roman" w:hAnsi="Times New Roman"/>
                <w:b/>
                <w:i w:val="0"/>
                <w:sz w:val="14"/>
              </w:rPr>
              <w:t>Exclusion condition</w:t>
            </w:r>
          </w:p>
        </w:tc>
      </w:tr>
      <w:tr>
        <w:tc>
          <w:tcPr>
            <w:tcW w:type="dxa" w:w="2340"/>
            <w:vAlign w:val="top"/>
          </w:tcPr>
          <w:p>
            <w:pPr>
              <w:spacing w:after="0" w:line="240" w:lineRule="auto" w:before="0"/>
              <w:jc w:val="left"/>
            </w:pPr>
            <w:r>
              <w:rPr>
                <w:sz w:val="14"/>
              </w:rPr>
            </w:r>
            <w:r>
              <w:rPr>
                <w:rFonts w:ascii="Times New Roman" w:hAnsi="Times New Roman"/>
                <w:b w:val="0"/>
                <w:i w:val="0"/>
                <w:sz w:val="14"/>
              </w:rPr>
              <w:t>Capacity-grounding failure</w:t>
            </w:r>
          </w:p>
        </w:tc>
        <w:tc>
          <w:tcPr>
            <w:tcW w:type="dxa" w:w="2340"/>
            <w:vAlign w:val="top"/>
          </w:tcPr>
          <w:p>
            <w:pPr>
              <w:spacing w:after="0" w:line="240" w:lineRule="auto" w:before="0"/>
              <w:jc w:val="left"/>
            </w:pPr>
            <w:r>
              <w:rPr>
                <w:sz w:val="14"/>
              </w:rPr>
            </w:r>
            <w:r>
              <w:rPr>
                <w:rFonts w:ascii="Times New Roman" w:hAnsi="Times New Roman"/>
                <w:b w:val="0"/>
                <w:i w:val="0"/>
                <w:sz w:val="14"/>
              </w:rPr>
              <w:t>A commitment, role, tool, or output becomes reliance-bearing before actual capacity, resources, permissions, or pressure tolerance are adequately grounded.</w:t>
            </w:r>
          </w:p>
        </w:tc>
        <w:tc>
          <w:tcPr>
            <w:tcW w:type="dxa" w:w="2340"/>
            <w:vAlign w:val="top"/>
          </w:tcPr>
          <w:p>
            <w:pPr>
              <w:spacing w:after="0" w:line="240" w:lineRule="auto" w:before="0"/>
              <w:jc w:val="left"/>
            </w:pPr>
            <w:r>
              <w:rPr>
                <w:sz w:val="14"/>
              </w:rPr>
            </w:r>
            <w:r>
              <w:rPr>
                <w:rFonts w:ascii="Times New Roman" w:hAnsi="Times New Roman"/>
                <w:b w:val="0"/>
                <w:i w:val="0"/>
                <w:sz w:val="14"/>
              </w:rPr>
              <w:t>What capacity was assumed rather than checked?</w:t>
            </w:r>
          </w:p>
        </w:tc>
        <w:tc>
          <w:tcPr>
            <w:tcW w:type="dxa" w:w="2340"/>
            <w:vAlign w:val="top"/>
          </w:tcPr>
          <w:p>
            <w:pPr>
              <w:spacing w:after="0" w:line="240" w:lineRule="auto" w:before="0"/>
              <w:jc w:val="left"/>
            </w:pPr>
            <w:r>
              <w:rPr>
                <w:sz w:val="14"/>
              </w:rPr>
            </w:r>
            <w:r>
              <w:rPr>
                <w:rFonts w:ascii="Times New Roman" w:hAnsi="Times New Roman"/>
                <w:b w:val="0"/>
                <w:i w:val="0"/>
                <w:sz w:val="14"/>
              </w:rPr>
              <w:t>Excludes cases where capacity was responsibly grounded but later destroyed by an unforeseeable external shock.</w:t>
            </w:r>
          </w:p>
        </w:tc>
      </w:tr>
      <w:tr>
        <w:tc>
          <w:tcPr>
            <w:tcW w:type="dxa" w:w="2340"/>
            <w:vAlign w:val="top"/>
          </w:tcPr>
          <w:p>
            <w:pPr>
              <w:spacing w:after="0" w:line="240" w:lineRule="auto" w:before="0"/>
              <w:jc w:val="left"/>
            </w:pPr>
            <w:r>
              <w:rPr>
                <w:sz w:val="14"/>
              </w:rPr>
            </w:r>
            <w:r>
              <w:rPr>
                <w:rFonts w:ascii="Times New Roman" w:hAnsi="Times New Roman"/>
                <w:b w:val="0"/>
                <w:i w:val="0"/>
                <w:sz w:val="14"/>
              </w:rPr>
              <w:t>Coordination/protocol failure</w:t>
            </w:r>
          </w:p>
        </w:tc>
        <w:tc>
          <w:tcPr>
            <w:tcW w:type="dxa" w:w="2340"/>
            <w:vAlign w:val="top"/>
          </w:tcPr>
          <w:p>
            <w:pPr>
              <w:spacing w:after="0" w:line="240" w:lineRule="auto" w:before="0"/>
              <w:jc w:val="left"/>
            </w:pPr>
            <w:r>
              <w:rPr>
                <w:sz w:val="14"/>
              </w:rPr>
            </w:r>
            <w:r>
              <w:rPr>
                <w:rFonts w:ascii="Times New Roman" w:hAnsi="Times New Roman"/>
                <w:b w:val="0"/>
                <w:i w:val="0"/>
                <w:sz w:val="14"/>
              </w:rPr>
              <w:t>Participants share an objective, but rules, responsibilities, handoffs, timing, or authority are under-specified.</w:t>
            </w:r>
          </w:p>
        </w:tc>
        <w:tc>
          <w:tcPr>
            <w:tcW w:type="dxa" w:w="2340"/>
            <w:vAlign w:val="top"/>
          </w:tcPr>
          <w:p>
            <w:pPr>
              <w:spacing w:after="0" w:line="240" w:lineRule="auto" w:before="0"/>
              <w:jc w:val="left"/>
            </w:pPr>
            <w:r>
              <w:rPr>
                <w:sz w:val="14"/>
              </w:rPr>
            </w:r>
            <w:r>
              <w:rPr>
                <w:rFonts w:ascii="Times New Roman" w:hAnsi="Times New Roman"/>
                <w:b w:val="0"/>
                <w:i w:val="0"/>
                <w:sz w:val="14"/>
              </w:rPr>
              <w:t>What handoff or authority condition was missing?</w:t>
            </w:r>
          </w:p>
        </w:tc>
        <w:tc>
          <w:tcPr>
            <w:tcW w:type="dxa" w:w="2340"/>
            <w:vAlign w:val="top"/>
          </w:tcPr>
          <w:p>
            <w:pPr>
              <w:spacing w:after="0" w:line="240" w:lineRule="auto" w:before="0"/>
              <w:jc w:val="left"/>
            </w:pPr>
            <w:r>
              <w:rPr>
                <w:sz w:val="14"/>
              </w:rPr>
            </w:r>
            <w:r>
              <w:rPr>
                <w:rFonts w:ascii="Times New Roman" w:hAnsi="Times New Roman"/>
                <w:b w:val="0"/>
                <w:i w:val="0"/>
                <w:sz w:val="14"/>
              </w:rPr>
              <w:t>Excludes cases where protocol was clear, available, and deliberately violated.</w:t>
            </w:r>
          </w:p>
        </w:tc>
      </w:tr>
      <w:tr>
        <w:tc>
          <w:tcPr>
            <w:tcW w:type="dxa" w:w="2340"/>
            <w:vAlign w:val="top"/>
          </w:tcPr>
          <w:p>
            <w:pPr>
              <w:spacing w:after="0" w:line="240" w:lineRule="auto" w:before="0"/>
              <w:jc w:val="left"/>
            </w:pPr>
            <w:r>
              <w:rPr>
                <w:sz w:val="14"/>
              </w:rPr>
            </w:r>
            <w:r>
              <w:rPr>
                <w:rFonts w:ascii="Times New Roman" w:hAnsi="Times New Roman"/>
                <w:b w:val="0"/>
                <w:i w:val="0"/>
                <w:sz w:val="14"/>
              </w:rPr>
              <w:t>Context-underclassification failure</w:t>
            </w:r>
          </w:p>
        </w:tc>
        <w:tc>
          <w:tcPr>
            <w:tcW w:type="dxa" w:w="2340"/>
            <w:vAlign w:val="top"/>
          </w:tcPr>
          <w:p>
            <w:pPr>
              <w:spacing w:after="0" w:line="240" w:lineRule="auto" w:before="0"/>
              <w:jc w:val="left"/>
            </w:pPr>
            <w:r>
              <w:rPr>
                <w:sz w:val="14"/>
              </w:rPr>
            </w:r>
            <w:r>
              <w:rPr>
                <w:rFonts w:ascii="Times New Roman" w:hAnsi="Times New Roman"/>
                <w:b w:val="0"/>
                <w:i w:val="0"/>
                <w:sz w:val="14"/>
              </w:rPr>
              <w:t>A situation is treated as simpler than it is because relevant context dimensions are omitted.</w:t>
            </w:r>
          </w:p>
        </w:tc>
        <w:tc>
          <w:tcPr>
            <w:tcW w:type="dxa" w:w="2340"/>
            <w:vAlign w:val="top"/>
          </w:tcPr>
          <w:p>
            <w:pPr>
              <w:spacing w:after="0" w:line="240" w:lineRule="auto" w:before="0"/>
              <w:jc w:val="left"/>
            </w:pPr>
            <w:r>
              <w:rPr>
                <w:sz w:val="14"/>
              </w:rPr>
            </w:r>
            <w:r>
              <w:rPr>
                <w:rFonts w:ascii="Times New Roman" w:hAnsi="Times New Roman"/>
                <w:b w:val="0"/>
                <w:i w:val="0"/>
                <w:sz w:val="14"/>
              </w:rPr>
              <w:t>Which context dimension changed the interpretation?</w:t>
            </w:r>
          </w:p>
        </w:tc>
        <w:tc>
          <w:tcPr>
            <w:tcW w:type="dxa" w:w="2340"/>
            <w:vAlign w:val="top"/>
          </w:tcPr>
          <w:p>
            <w:pPr>
              <w:spacing w:after="0" w:line="240" w:lineRule="auto" w:before="0"/>
              <w:jc w:val="left"/>
            </w:pPr>
            <w:r>
              <w:rPr>
                <w:sz w:val="14"/>
              </w:rPr>
            </w:r>
            <w:r>
              <w:rPr>
                <w:rFonts w:ascii="Times New Roman" w:hAnsi="Times New Roman"/>
                <w:b w:val="0"/>
                <w:i w:val="0"/>
                <w:sz w:val="14"/>
              </w:rPr>
              <w:t>Excludes cases where the omitted detail was immaterial to reliance, action, or outcome.</w:t>
            </w:r>
          </w:p>
        </w:tc>
      </w:tr>
      <w:tr>
        <w:tc>
          <w:tcPr>
            <w:tcW w:type="dxa" w:w="2340"/>
            <w:vAlign w:val="top"/>
          </w:tcPr>
          <w:p>
            <w:pPr>
              <w:spacing w:after="0" w:line="240" w:lineRule="auto" w:before="0"/>
              <w:jc w:val="left"/>
            </w:pPr>
            <w:r>
              <w:rPr>
                <w:sz w:val="14"/>
              </w:rPr>
            </w:r>
            <w:r>
              <w:rPr>
                <w:rFonts w:ascii="Times New Roman" w:hAnsi="Times New Roman"/>
                <w:b w:val="0"/>
                <w:i w:val="0"/>
                <w:sz w:val="14"/>
              </w:rPr>
              <w:t>Interface/workflow-mediated failure</w:t>
            </w:r>
          </w:p>
        </w:tc>
        <w:tc>
          <w:tcPr>
            <w:tcW w:type="dxa" w:w="2340"/>
            <w:vAlign w:val="top"/>
          </w:tcPr>
          <w:p>
            <w:pPr>
              <w:spacing w:after="0" w:line="240" w:lineRule="auto" w:before="0"/>
              <w:jc w:val="left"/>
            </w:pPr>
            <w:r>
              <w:rPr>
                <w:sz w:val="14"/>
              </w:rPr>
            </w:r>
            <w:r>
              <w:rPr>
                <w:rFonts w:ascii="Times New Roman" w:hAnsi="Times New Roman"/>
                <w:b w:val="0"/>
                <w:i w:val="0"/>
                <w:sz w:val="14"/>
              </w:rPr>
              <w:t>System design, workflow change, missing alert, incorrect data, or confusing interface shapes what users notice, trust, or do.</w:t>
            </w:r>
          </w:p>
        </w:tc>
        <w:tc>
          <w:tcPr>
            <w:tcW w:type="dxa" w:w="2340"/>
            <w:vAlign w:val="top"/>
          </w:tcPr>
          <w:p>
            <w:pPr>
              <w:spacing w:after="0" w:line="240" w:lineRule="auto" w:before="0"/>
              <w:jc w:val="left"/>
            </w:pPr>
            <w:r>
              <w:rPr>
                <w:sz w:val="14"/>
              </w:rPr>
            </w:r>
            <w:r>
              <w:rPr>
                <w:rFonts w:ascii="Times New Roman" w:hAnsi="Times New Roman"/>
                <w:b w:val="0"/>
                <w:i w:val="0"/>
                <w:sz w:val="14"/>
              </w:rPr>
              <w:t>How did the interface or workflow shape action?</w:t>
            </w:r>
          </w:p>
        </w:tc>
        <w:tc>
          <w:tcPr>
            <w:tcW w:type="dxa" w:w="2340"/>
            <w:vAlign w:val="top"/>
          </w:tcPr>
          <w:p>
            <w:pPr>
              <w:spacing w:after="0" w:line="240" w:lineRule="auto" w:before="0"/>
              <w:jc w:val="left"/>
            </w:pPr>
            <w:r>
              <w:rPr>
                <w:sz w:val="14"/>
              </w:rPr>
            </w:r>
            <w:r>
              <w:rPr>
                <w:rFonts w:ascii="Times New Roman" w:hAnsi="Times New Roman"/>
                <w:b w:val="0"/>
                <w:i w:val="0"/>
                <w:sz w:val="14"/>
              </w:rPr>
              <w:t>Excludes ordinary user error where interface and workflow conditions did not materially affect perception, verification, or action.</w:t>
            </w:r>
          </w:p>
        </w:tc>
      </w:tr>
      <w:tr>
        <w:tc>
          <w:tcPr>
            <w:tcW w:type="dxa" w:w="2340"/>
            <w:vAlign w:val="top"/>
          </w:tcPr>
          <w:p>
            <w:pPr>
              <w:spacing w:after="0" w:line="240" w:lineRule="auto" w:before="0"/>
              <w:jc w:val="left"/>
            </w:pPr>
            <w:r>
              <w:rPr>
                <w:sz w:val="14"/>
              </w:rPr>
            </w:r>
            <w:r>
              <w:rPr>
                <w:rFonts w:ascii="Times New Roman" w:hAnsi="Times New Roman"/>
                <w:b w:val="0"/>
                <w:i w:val="0"/>
                <w:sz w:val="14"/>
              </w:rPr>
              <w:t>Risk/value misalignment</w:t>
            </w:r>
          </w:p>
        </w:tc>
        <w:tc>
          <w:tcPr>
            <w:tcW w:type="dxa" w:w="2340"/>
            <w:vAlign w:val="top"/>
          </w:tcPr>
          <w:p>
            <w:pPr>
              <w:spacing w:after="0" w:line="240" w:lineRule="auto" w:before="0"/>
              <w:jc w:val="left"/>
            </w:pPr>
            <w:r>
              <w:rPr>
                <w:sz w:val="14"/>
              </w:rPr>
            </w:r>
            <w:r>
              <w:rPr>
                <w:rFonts w:ascii="Times New Roman" w:hAnsi="Times New Roman"/>
                <w:b w:val="0"/>
                <w:i w:val="0"/>
                <w:sz w:val="14"/>
              </w:rPr>
              <w:t>Risk is assessed without identifying whose goals or values are at stake under uncertainty and impact.</w:t>
            </w:r>
          </w:p>
        </w:tc>
        <w:tc>
          <w:tcPr>
            <w:tcW w:type="dxa" w:w="2340"/>
            <w:vAlign w:val="top"/>
          </w:tcPr>
          <w:p>
            <w:pPr>
              <w:spacing w:after="0" w:line="240" w:lineRule="auto" w:before="0"/>
              <w:jc w:val="left"/>
            </w:pPr>
            <w:r>
              <w:rPr>
                <w:sz w:val="14"/>
              </w:rPr>
            </w:r>
            <w:r>
              <w:rPr>
                <w:rFonts w:ascii="Times New Roman" w:hAnsi="Times New Roman"/>
                <w:b w:val="0"/>
                <w:i w:val="0"/>
                <w:sz w:val="14"/>
              </w:rPr>
              <w:t>Whose value field was left out?</w:t>
            </w:r>
          </w:p>
        </w:tc>
        <w:tc>
          <w:tcPr>
            <w:tcW w:type="dxa" w:w="2340"/>
            <w:vAlign w:val="top"/>
          </w:tcPr>
          <w:p>
            <w:pPr>
              <w:spacing w:after="0" w:line="240" w:lineRule="auto" w:before="0"/>
              <w:jc w:val="left"/>
            </w:pPr>
            <w:r>
              <w:rPr>
                <w:sz w:val="14"/>
              </w:rPr>
            </w:r>
            <w:r>
              <w:rPr>
                <w:rFonts w:ascii="Times New Roman" w:hAnsi="Times New Roman"/>
                <w:b w:val="0"/>
                <w:i w:val="0"/>
                <w:sz w:val="14"/>
              </w:rPr>
              <w:t>Excludes cases where value-at-risk was explicit and proportionately handled, even if the outcome was bad.</w:t>
            </w:r>
          </w:p>
        </w:tc>
      </w:tr>
      <w:tr>
        <w:tc>
          <w:tcPr>
            <w:tcW w:type="dxa" w:w="2340"/>
            <w:vAlign w:val="top"/>
          </w:tcPr>
          <w:p>
            <w:pPr>
              <w:spacing w:after="0" w:line="240" w:lineRule="auto" w:before="0"/>
              <w:jc w:val="left"/>
            </w:pPr>
            <w:r>
              <w:rPr>
                <w:sz w:val="14"/>
              </w:rPr>
            </w:r>
            <w:r>
              <w:rPr>
                <w:rFonts w:ascii="Times New Roman" w:hAnsi="Times New Roman"/>
                <w:b w:val="0"/>
                <w:i w:val="0"/>
                <w:sz w:val="14"/>
              </w:rPr>
              <w:t>Burden-transfer failure</w:t>
            </w:r>
          </w:p>
        </w:tc>
        <w:tc>
          <w:tcPr>
            <w:tcW w:type="dxa" w:w="2340"/>
            <w:vAlign w:val="top"/>
          </w:tcPr>
          <w:p>
            <w:pPr>
              <w:spacing w:after="0" w:line="240" w:lineRule="auto" w:before="0"/>
              <w:jc w:val="left"/>
            </w:pPr>
            <w:r>
              <w:rPr>
                <w:sz w:val="14"/>
              </w:rPr>
            </w:r>
            <w:r>
              <w:rPr>
                <w:rFonts w:ascii="Times New Roman" w:hAnsi="Times New Roman"/>
                <w:b w:val="0"/>
                <w:i w:val="0"/>
                <w:sz w:val="14"/>
              </w:rPr>
              <w:t>The unresolved cost of mismatch moves to a downstream person, user, patient, participant, institution, or public.</w:t>
            </w:r>
          </w:p>
        </w:tc>
        <w:tc>
          <w:tcPr>
            <w:tcW w:type="dxa" w:w="2340"/>
            <w:vAlign w:val="top"/>
          </w:tcPr>
          <w:p>
            <w:pPr>
              <w:spacing w:after="0" w:line="240" w:lineRule="auto" w:before="0"/>
              <w:jc w:val="left"/>
            </w:pPr>
            <w:r>
              <w:rPr>
                <w:sz w:val="14"/>
              </w:rPr>
            </w:r>
            <w:r>
              <w:rPr>
                <w:rFonts w:ascii="Times New Roman" w:hAnsi="Times New Roman"/>
                <w:b w:val="0"/>
                <w:i w:val="0"/>
                <w:sz w:val="14"/>
              </w:rPr>
              <w:t>Who had to perform repair or absorb constraint?</w:t>
            </w:r>
          </w:p>
        </w:tc>
        <w:tc>
          <w:tcPr>
            <w:tcW w:type="dxa" w:w="2340"/>
            <w:vAlign w:val="top"/>
          </w:tcPr>
          <w:p>
            <w:pPr>
              <w:spacing w:after="0" w:line="240" w:lineRule="auto" w:before="0"/>
              <w:jc w:val="left"/>
            </w:pPr>
            <w:r>
              <w:rPr>
                <w:sz w:val="14"/>
              </w:rPr>
            </w:r>
            <w:r>
              <w:rPr>
                <w:rFonts w:ascii="Times New Roman" w:hAnsi="Times New Roman"/>
                <w:b w:val="0"/>
                <w:i w:val="0"/>
                <w:sz w:val="14"/>
              </w:rPr>
              <w:t>Excludes ordinary assigned responsibility where burden was known, consented to, resourced, and reversible.</w:t>
            </w:r>
          </w:p>
        </w:tc>
      </w:tr>
      <w:tr>
        <w:tc>
          <w:tcPr>
            <w:tcW w:type="dxa" w:w="2340"/>
            <w:vAlign w:val="top"/>
          </w:tcPr>
          <w:p>
            <w:pPr>
              <w:spacing w:after="0" w:line="240" w:lineRule="auto" w:before="0"/>
              <w:jc w:val="left"/>
            </w:pPr>
            <w:r>
              <w:rPr>
                <w:sz w:val="14"/>
              </w:rPr>
            </w:r>
            <w:r>
              <w:rPr>
                <w:rFonts w:ascii="Times New Roman" w:hAnsi="Times New Roman"/>
                <w:b w:val="0"/>
                <w:i w:val="0"/>
                <w:sz w:val="14"/>
              </w:rPr>
              <w:t>Reversibility-window failure</w:t>
            </w:r>
          </w:p>
        </w:tc>
        <w:tc>
          <w:tcPr>
            <w:tcW w:type="dxa" w:w="2340"/>
            <w:vAlign w:val="top"/>
          </w:tcPr>
          <w:p>
            <w:pPr>
              <w:spacing w:before="0" w:after="0" w:line="240" w:lineRule="auto"/>
              <w:jc w:val="left"/>
            </w:pPr>
            <w:r>
              <w:rPr>
                <w:sz w:val="14"/>
              </w:rPr>
              <w:t>Correction arrives after fallback options have narrowed below a comparable safe path (Copeland, 2026a).</w:t>
            </w:r>
          </w:p>
        </w:tc>
        <w:tc>
          <w:tcPr>
            <w:tcW w:type="dxa" w:w="2340"/>
            <w:vAlign w:val="top"/>
          </w:tcPr>
          <w:p>
            <w:pPr>
              <w:spacing w:after="0" w:line="240" w:lineRule="auto" w:before="0"/>
              <w:jc w:val="left"/>
            </w:pPr>
            <w:r>
              <w:rPr>
                <w:sz w:val="14"/>
              </w:rPr>
            </w:r>
            <w:r>
              <w:rPr>
                <w:rFonts w:ascii="Times New Roman" w:hAnsi="Times New Roman"/>
                <w:b w:val="0"/>
                <w:i w:val="0"/>
                <w:sz w:val="14"/>
              </w:rPr>
              <w:t>What fallback closed before correction?</w:t>
            </w:r>
          </w:p>
        </w:tc>
        <w:tc>
          <w:tcPr>
            <w:tcW w:type="dxa" w:w="2340"/>
            <w:vAlign w:val="top"/>
          </w:tcPr>
          <w:p>
            <w:pPr>
              <w:spacing w:after="0" w:line="240" w:lineRule="auto" w:before="0"/>
              <w:jc w:val="left"/>
            </w:pPr>
            <w:r>
              <w:rPr>
                <w:sz w:val="14"/>
              </w:rPr>
            </w:r>
            <w:r>
              <w:rPr>
                <w:rFonts w:ascii="Times New Roman" w:hAnsi="Times New Roman"/>
                <w:b w:val="0"/>
                <w:i w:val="0"/>
                <w:sz w:val="14"/>
              </w:rPr>
              <w:t>Excludes failures corrected while comparable fallback options remained available.</w:t>
            </w:r>
          </w:p>
        </w:tc>
      </w:tr>
      <w:tr>
        <w:tc>
          <w:tcPr>
            <w:tcW w:type="dxa" w:w="2340"/>
            <w:vAlign w:val="top"/>
          </w:tcPr>
          <w:p>
            <w:pPr>
              <w:spacing w:after="0" w:line="240" w:lineRule="auto" w:before="0"/>
              <w:jc w:val="left"/>
            </w:pPr>
            <w:r>
              <w:rPr>
                <w:sz w:val="14"/>
              </w:rPr>
            </w:r>
            <w:r>
              <w:rPr>
                <w:rFonts w:ascii="Times New Roman" w:hAnsi="Times New Roman"/>
                <w:b w:val="0"/>
                <w:i w:val="0"/>
                <w:sz w:val="14"/>
              </w:rPr>
              <w:t>Semantic/granularity mismatch</w:t>
            </w:r>
          </w:p>
        </w:tc>
        <w:tc>
          <w:tcPr>
            <w:tcW w:type="dxa" w:w="2340"/>
            <w:vAlign w:val="top"/>
          </w:tcPr>
          <w:p>
            <w:pPr>
              <w:spacing w:after="0" w:line="240" w:lineRule="auto" w:before="0"/>
              <w:jc w:val="left"/>
            </w:pPr>
            <w:r>
              <w:rPr>
                <w:sz w:val="14"/>
              </w:rPr>
            </w:r>
            <w:r>
              <w:rPr>
                <w:rFonts w:ascii="Times New Roman" w:hAnsi="Times New Roman"/>
                <w:b w:val="0"/>
                <w:i w:val="0"/>
                <w:sz w:val="14"/>
              </w:rPr>
              <w:t>Actors or systems use similar terms at different levels of meaning, producing false agreement or bad mapping.</w:t>
            </w:r>
          </w:p>
        </w:tc>
        <w:tc>
          <w:tcPr>
            <w:tcW w:type="dxa" w:w="2340"/>
            <w:vAlign w:val="top"/>
          </w:tcPr>
          <w:p>
            <w:pPr>
              <w:spacing w:after="0" w:line="240" w:lineRule="auto" w:before="0"/>
              <w:jc w:val="left"/>
            </w:pPr>
            <w:r>
              <w:rPr>
                <w:sz w:val="14"/>
              </w:rPr>
            </w:r>
            <w:r>
              <w:rPr>
                <w:rFonts w:ascii="Times New Roman" w:hAnsi="Times New Roman"/>
                <w:b w:val="0"/>
                <w:i w:val="0"/>
                <w:sz w:val="14"/>
              </w:rPr>
              <w:t>Which term appeared shared but operated differently?</w:t>
            </w:r>
          </w:p>
        </w:tc>
        <w:tc>
          <w:tcPr>
            <w:tcW w:type="dxa" w:w="2340"/>
            <w:vAlign w:val="top"/>
          </w:tcPr>
          <w:p>
            <w:pPr>
              <w:spacing w:after="0" w:line="240" w:lineRule="auto" w:before="0"/>
              <w:jc w:val="left"/>
            </w:pPr>
            <w:r>
              <w:rPr>
                <w:sz w:val="14"/>
              </w:rPr>
            </w:r>
            <w:r>
              <w:rPr>
                <w:rFonts w:ascii="Times New Roman" w:hAnsi="Times New Roman"/>
                <w:b w:val="0"/>
                <w:i w:val="0"/>
                <w:sz w:val="14"/>
              </w:rPr>
              <w:t>Excludes ordinary disagreement where the parties know they are using different meanings.</w:t>
            </w:r>
          </w:p>
        </w:tc>
      </w:tr>
      <w:tr>
        <w:tc>
          <w:tcPr>
            <w:tcW w:type="dxa" w:w="2340"/>
            <w:vAlign w:val="top"/>
          </w:tcPr>
          <w:p>
            <w:pPr>
              <w:spacing w:after="0" w:line="240" w:lineRule="auto" w:before="0"/>
              <w:jc w:val="left"/>
            </w:pPr>
            <w:r>
              <w:rPr>
                <w:sz w:val="14"/>
              </w:rPr>
            </w:r>
            <w:r>
              <w:rPr>
                <w:rFonts w:ascii="Times New Roman" w:hAnsi="Times New Roman"/>
                <w:b w:val="0"/>
                <w:i w:val="0"/>
                <w:sz w:val="14"/>
              </w:rPr>
              <w:t>Diagnostic/classification lock-in</w:t>
            </w:r>
          </w:p>
        </w:tc>
        <w:tc>
          <w:tcPr>
            <w:tcW w:type="dxa" w:w="2340"/>
            <w:vAlign w:val="top"/>
          </w:tcPr>
          <w:p>
            <w:pPr>
              <w:spacing w:after="0" w:line="240" w:lineRule="auto" w:before="0"/>
              <w:jc w:val="left"/>
            </w:pPr>
            <w:r>
              <w:rPr>
                <w:sz w:val="14"/>
              </w:rPr>
            </w:r>
            <w:r>
              <w:rPr>
                <w:rFonts w:ascii="Times New Roman" w:hAnsi="Times New Roman"/>
                <w:b w:val="0"/>
                <w:i w:val="0"/>
                <w:sz w:val="14"/>
              </w:rPr>
              <w:t>A label, diagnosis, category, or risk classification becomes operationally authoritative before uncertainty, rivals, and correction pathways are preserved.</w:t>
            </w:r>
          </w:p>
        </w:tc>
        <w:tc>
          <w:tcPr>
            <w:tcW w:type="dxa" w:w="2340"/>
            <w:vAlign w:val="top"/>
          </w:tcPr>
          <w:p>
            <w:pPr>
              <w:spacing w:after="0" w:line="240" w:lineRule="auto" w:before="0"/>
              <w:jc w:val="left"/>
            </w:pPr>
            <w:r>
              <w:rPr>
                <w:sz w:val="14"/>
              </w:rPr>
            </w:r>
            <w:r>
              <w:rPr>
                <w:rFonts w:ascii="Times New Roman" w:hAnsi="Times New Roman"/>
                <w:b w:val="0"/>
                <w:i w:val="0"/>
                <w:sz w:val="14"/>
              </w:rPr>
              <w:t>What label began organizing action before it remained revisable?</w:t>
            </w:r>
          </w:p>
        </w:tc>
        <w:tc>
          <w:tcPr>
            <w:tcW w:type="dxa" w:w="2340"/>
            <w:vAlign w:val="top"/>
          </w:tcPr>
          <w:p>
            <w:pPr>
              <w:spacing w:after="0" w:line="240" w:lineRule="auto" w:before="0"/>
              <w:jc w:val="left"/>
            </w:pPr>
            <w:r>
              <w:rPr>
                <w:sz w:val="14"/>
              </w:rPr>
            </w:r>
            <w:r>
              <w:rPr>
                <w:rFonts w:ascii="Times New Roman" w:hAnsi="Times New Roman"/>
                <w:b w:val="0"/>
                <w:i w:val="0"/>
                <w:sz w:val="14"/>
              </w:rPr>
              <w:t>Excludes reasonable provisional classification preserved as provisional and updated when evidence changed.</w:t>
            </w:r>
          </w:p>
        </w:tc>
      </w:tr>
    </w:tbl>
    <w:p>
      <w:pPr>
        <w:pStyle w:val="Heading1"/>
      </w:pPr>
      <w:r>
        <w:br w:type="page"/>
      </w:r>
    </w:p>
    <w:p>
      <w:pPr>
        <w:pStyle w:val="Heading1"/>
        <w:spacing w:line="480" w:lineRule="auto" w:before="240" w:after="0"/>
      </w:pPr>
      <w:r>
        <w:rPr>
          <w:rFonts w:ascii="Times New Roman" w:hAnsi="Times New Roman" w:eastAsia="Times New Roman"/>
          <w:sz w:val="24"/>
        </w:rPr>
        <w:t>Compact Cross-Domain Comparison</w:t>
      </w:r>
    </w:p>
    <w:p>
      <w:pPr>
        <w:spacing w:line="480" w:lineRule="auto" w:after="0"/>
        <w:ind w:firstLine="720"/>
      </w:pPr>
      <w:r>
        <w:rPr>
          <w:rFonts w:ascii="Times New Roman" w:hAnsi="Times New Roman" w:eastAsia="Times New Roman"/>
          <w:sz w:val="24"/>
        </w:rPr>
        <w:t>A compact comparison shows the difference between the framework and a general warning to check assumptions. The same coding questions travel across domains, but local terminology remains intact.</w:t>
      </w:r>
    </w:p>
    <w:tbl>
      <w:tblPr>
        <w:tblStyle w:val="TableGrid"/>
        <w:tblW w:type="auto" w:w="0"/>
        <w:jc w:val="center"/>
        <w:tblLook w:firstColumn="1" w:firstRow="1" w:lastColumn="0" w:lastRow="0" w:noHBand="0" w:noVBand="1" w:val="04A0"/>
      </w:tblPr>
      <w:tblGrid>
        <w:gridCol w:w="1337"/>
        <w:gridCol w:w="1337"/>
        <w:gridCol w:w="1337"/>
        <w:gridCol w:w="1337"/>
        <w:gridCol w:w="1337"/>
        <w:gridCol w:w="1337"/>
        <w:gridCol w:w="1337"/>
      </w:tblGrid>
      <w:tr>
        <w:tc>
          <w:tcPr>
            <w:tcW w:type="dxa" w:w="1337"/>
            <w:shd w:fill="D9EAF7"/>
            <w:vAlign w:val="top"/>
          </w:tcPr>
          <w:p>
            <w:pPr>
              <w:spacing w:after="0" w:line="240" w:lineRule="auto" w:before="0"/>
              <w:jc w:val="left"/>
            </w:pPr>
            <w:r>
              <w:rPr>
                <w:b/>
                <w:sz w:val="14"/>
              </w:rPr>
            </w:r>
            <w:r>
              <w:rPr>
                <w:rFonts w:ascii="Times New Roman" w:hAnsi="Times New Roman"/>
                <w:b/>
                <w:i w:val="0"/>
                <w:sz w:val="14"/>
              </w:rPr>
              <w:t>Domain</w:t>
            </w:r>
          </w:p>
        </w:tc>
        <w:tc>
          <w:tcPr>
            <w:tcW w:type="dxa" w:w="1337"/>
            <w:shd w:fill="D9EAF7"/>
            <w:vAlign w:val="top"/>
          </w:tcPr>
          <w:p>
            <w:pPr>
              <w:spacing w:after="0" w:line="240" w:lineRule="auto" w:before="0"/>
              <w:jc w:val="left"/>
            </w:pPr>
            <w:r>
              <w:rPr>
                <w:b/>
                <w:sz w:val="14"/>
              </w:rPr>
            </w:r>
            <w:r>
              <w:rPr>
                <w:rFonts w:ascii="Times New Roman" w:hAnsi="Times New Roman"/>
                <w:b/>
                <w:i w:val="0"/>
                <w:sz w:val="14"/>
              </w:rPr>
              <w:t>Signal</w:t>
            </w:r>
          </w:p>
        </w:tc>
        <w:tc>
          <w:tcPr>
            <w:tcW w:type="dxa" w:w="1337"/>
            <w:shd w:fill="D9EAF7"/>
            <w:vAlign w:val="top"/>
          </w:tcPr>
          <w:p>
            <w:pPr>
              <w:spacing w:after="0" w:line="240" w:lineRule="auto" w:before="0"/>
              <w:jc w:val="left"/>
            </w:pPr>
            <w:r>
              <w:rPr>
                <w:b/>
                <w:sz w:val="14"/>
              </w:rPr>
            </w:r>
            <w:r>
              <w:rPr>
                <w:rFonts w:ascii="Times New Roman" w:hAnsi="Times New Roman"/>
                <w:b/>
                <w:i w:val="0"/>
                <w:sz w:val="14"/>
              </w:rPr>
              <w:t>Reliance uptake</w:t>
            </w:r>
          </w:p>
        </w:tc>
        <w:tc>
          <w:tcPr>
            <w:tcW w:type="dxa" w:w="1337"/>
            <w:shd w:fill="D9EAF7"/>
            <w:vAlign w:val="top"/>
          </w:tcPr>
          <w:p>
            <w:pPr>
              <w:spacing w:after="0" w:line="240" w:lineRule="auto" w:before="0"/>
              <w:jc w:val="left"/>
            </w:pPr>
            <w:r>
              <w:rPr>
                <w:b/>
                <w:sz w:val="14"/>
              </w:rPr>
            </w:r>
            <w:r>
              <w:rPr>
                <w:rFonts w:ascii="Times New Roman" w:hAnsi="Times New Roman"/>
                <w:b/>
                <w:i w:val="0"/>
                <w:sz w:val="14"/>
              </w:rPr>
              <w:t>Under-grounded condition</w:t>
            </w:r>
          </w:p>
        </w:tc>
        <w:tc>
          <w:tcPr>
            <w:tcW w:type="dxa" w:w="1337"/>
            <w:shd w:fill="D9EAF7"/>
            <w:vAlign w:val="top"/>
          </w:tcPr>
          <w:p>
            <w:pPr>
              <w:spacing w:after="0" w:line="240" w:lineRule="auto" w:before="0"/>
              <w:jc w:val="left"/>
            </w:pPr>
            <w:r>
              <w:rPr>
                <w:b/>
                <w:sz w:val="14"/>
              </w:rPr>
            </w:r>
            <w:r>
              <w:rPr>
                <w:rFonts w:ascii="Times New Roman" w:hAnsi="Times New Roman"/>
                <w:b/>
                <w:i w:val="0"/>
                <w:sz w:val="14"/>
              </w:rPr>
              <w:t>Fallback narrowing</w:t>
            </w:r>
          </w:p>
        </w:tc>
        <w:tc>
          <w:tcPr>
            <w:tcW w:type="dxa" w:w="1337"/>
            <w:shd w:fill="D9EAF7"/>
            <w:vAlign w:val="top"/>
          </w:tcPr>
          <w:p>
            <w:pPr>
              <w:spacing w:after="0" w:line="240" w:lineRule="auto" w:before="0"/>
              <w:jc w:val="left"/>
            </w:pPr>
            <w:r>
              <w:rPr>
                <w:b/>
                <w:sz w:val="14"/>
              </w:rPr>
            </w:r>
            <w:r>
              <w:rPr>
                <w:rFonts w:ascii="Times New Roman" w:hAnsi="Times New Roman"/>
                <w:b/>
                <w:i w:val="0"/>
                <w:sz w:val="14"/>
              </w:rPr>
              <w:t>Burden pathway</w:t>
            </w:r>
          </w:p>
        </w:tc>
        <w:tc>
          <w:tcPr>
            <w:tcW w:type="dxa" w:w="1337"/>
            <w:shd w:fill="D9EAF7"/>
            <w:vAlign w:val="top"/>
          </w:tcPr>
          <w:p>
            <w:pPr>
              <w:spacing w:after="0" w:line="240" w:lineRule="auto" w:before="0"/>
              <w:jc w:val="left"/>
            </w:pPr>
            <w:r>
              <w:rPr>
                <w:b/>
                <w:sz w:val="14"/>
              </w:rPr>
            </w:r>
            <w:r>
              <w:rPr>
                <w:rFonts w:ascii="Times New Roman" w:hAnsi="Times New Roman"/>
                <w:b/>
                <w:i w:val="0"/>
                <w:sz w:val="14"/>
              </w:rPr>
              <w:t>Local terms retained</w:t>
            </w:r>
          </w:p>
        </w:tc>
      </w:tr>
      <w:tr>
        <w:tc>
          <w:tcPr>
            <w:tcW w:type="dxa" w:w="1337"/>
            <w:vAlign w:val="top"/>
          </w:tcPr>
          <w:p>
            <w:pPr>
              <w:spacing w:after="0" w:line="240" w:lineRule="auto" w:before="0"/>
              <w:jc w:val="left"/>
            </w:pPr>
            <w:r>
              <w:rPr>
                <w:sz w:val="14"/>
              </w:rPr>
            </w:r>
            <w:r>
              <w:rPr>
                <w:rFonts w:ascii="Times New Roman" w:hAnsi="Times New Roman"/>
                <w:b w:val="0"/>
                <w:i w:val="0"/>
                <w:sz w:val="14"/>
              </w:rPr>
              <w:t>Interpersonal commitment</w:t>
            </w:r>
          </w:p>
        </w:tc>
        <w:tc>
          <w:tcPr>
            <w:tcW w:type="dxa" w:w="1337"/>
            <w:vAlign w:val="top"/>
          </w:tcPr>
          <w:p>
            <w:pPr>
              <w:spacing w:after="0" w:line="240" w:lineRule="auto" w:before="0"/>
              <w:jc w:val="left"/>
            </w:pPr>
            <w:r>
              <w:rPr>
                <w:sz w:val="14"/>
              </w:rPr>
            </w:r>
            <w:r>
              <w:rPr>
                <w:rFonts w:ascii="Times New Roman" w:hAnsi="Times New Roman"/>
                <w:b w:val="0"/>
                <w:i w:val="0"/>
                <w:sz w:val="14"/>
              </w:rPr>
              <w:t>A sibling promises moving help and storage.</w:t>
            </w:r>
          </w:p>
        </w:tc>
        <w:tc>
          <w:tcPr>
            <w:tcW w:type="dxa" w:w="1337"/>
            <w:vAlign w:val="top"/>
          </w:tcPr>
          <w:p>
            <w:pPr>
              <w:spacing w:after="0" w:line="240" w:lineRule="auto" w:before="0"/>
              <w:jc w:val="left"/>
            </w:pPr>
            <w:r>
              <w:rPr>
                <w:sz w:val="14"/>
              </w:rPr>
            </w:r>
            <w:r>
              <w:rPr>
                <w:rFonts w:ascii="Times New Roman" w:hAnsi="Times New Roman"/>
                <w:b w:val="0"/>
                <w:i w:val="0"/>
                <w:sz w:val="14"/>
              </w:rPr>
              <w:t>The family cancels storage and declines other help.</w:t>
            </w:r>
          </w:p>
        </w:tc>
        <w:tc>
          <w:tcPr>
            <w:tcW w:type="dxa" w:w="1337"/>
            <w:vAlign w:val="top"/>
          </w:tcPr>
          <w:p>
            <w:pPr>
              <w:spacing w:after="0" w:line="240" w:lineRule="auto" w:before="0"/>
              <w:jc w:val="left"/>
            </w:pPr>
            <w:r>
              <w:rPr>
                <w:sz w:val="14"/>
              </w:rPr>
            </w:r>
            <w:r>
              <w:rPr>
                <w:rFonts w:ascii="Times New Roman" w:hAnsi="Times New Roman"/>
                <w:b w:val="0"/>
                <w:i w:val="0"/>
                <w:sz w:val="14"/>
              </w:rPr>
              <w:t>Actual schedule, space, and pressure tolerance were not checked.</w:t>
            </w:r>
          </w:p>
        </w:tc>
        <w:tc>
          <w:tcPr>
            <w:tcW w:type="dxa" w:w="1337"/>
            <w:vAlign w:val="top"/>
          </w:tcPr>
          <w:p>
            <w:pPr>
              <w:spacing w:after="0" w:line="240" w:lineRule="auto" w:before="0"/>
              <w:jc w:val="left"/>
            </w:pPr>
            <w:r>
              <w:rPr>
                <w:sz w:val="14"/>
              </w:rPr>
            </w:r>
            <w:r>
              <w:rPr>
                <w:rFonts w:ascii="Times New Roman" w:hAnsi="Times New Roman"/>
                <w:b w:val="0"/>
                <w:i w:val="0"/>
                <w:sz w:val="14"/>
              </w:rPr>
              <w:t>Alternatives are unavailable the day before the move.</w:t>
            </w:r>
          </w:p>
        </w:tc>
        <w:tc>
          <w:tcPr>
            <w:tcW w:type="dxa" w:w="1337"/>
            <w:vAlign w:val="top"/>
          </w:tcPr>
          <w:p>
            <w:pPr>
              <w:spacing w:after="0" w:line="240" w:lineRule="auto" w:before="0"/>
              <w:jc w:val="left"/>
            </w:pPr>
            <w:r>
              <w:rPr>
                <w:sz w:val="14"/>
              </w:rPr>
            </w:r>
            <w:r>
              <w:rPr>
                <w:rFonts w:ascii="Times New Roman" w:hAnsi="Times New Roman"/>
                <w:b w:val="0"/>
                <w:i w:val="0"/>
                <w:sz w:val="14"/>
              </w:rPr>
              <w:t>Emergency cost, stress, and repair labor shift to the receiver.</w:t>
            </w:r>
          </w:p>
        </w:tc>
        <w:tc>
          <w:tcPr>
            <w:tcW w:type="dxa" w:w="1337"/>
            <w:vAlign w:val="top"/>
          </w:tcPr>
          <w:p>
            <w:pPr>
              <w:spacing w:after="0" w:line="240" w:lineRule="auto" w:before="0"/>
              <w:jc w:val="left"/>
            </w:pPr>
            <w:r>
              <w:rPr>
                <w:sz w:val="14"/>
              </w:rPr>
            </w:r>
            <w:r>
              <w:rPr>
                <w:rFonts w:ascii="Times New Roman" w:hAnsi="Times New Roman"/>
                <w:b w:val="0"/>
                <w:i w:val="0"/>
                <w:sz w:val="14"/>
              </w:rPr>
              <w:t>ABI trust and psychological contract language remain relevant.</w:t>
            </w:r>
          </w:p>
        </w:tc>
      </w:tr>
      <w:tr>
        <w:tc>
          <w:tcPr>
            <w:tcW w:type="dxa" w:w="1337"/>
            <w:vAlign w:val="top"/>
          </w:tcPr>
          <w:p>
            <w:pPr>
              <w:spacing w:after="0" w:line="240" w:lineRule="auto" w:before="0"/>
              <w:jc w:val="left"/>
            </w:pPr>
            <w:r>
              <w:rPr>
                <w:sz w:val="14"/>
              </w:rPr>
            </w:r>
            <w:r>
              <w:rPr>
                <w:rFonts w:ascii="Times New Roman" w:hAnsi="Times New Roman"/>
                <w:b w:val="0"/>
                <w:i w:val="0"/>
                <w:sz w:val="14"/>
              </w:rPr>
              <w:t>Collaboration/project work</w:t>
            </w:r>
          </w:p>
        </w:tc>
        <w:tc>
          <w:tcPr>
            <w:tcW w:type="dxa" w:w="1337"/>
            <w:vAlign w:val="top"/>
          </w:tcPr>
          <w:p>
            <w:pPr>
              <w:spacing w:after="0" w:line="240" w:lineRule="auto" w:before="0"/>
              <w:jc w:val="left"/>
            </w:pPr>
            <w:r>
              <w:rPr>
                <w:sz w:val="14"/>
              </w:rPr>
            </w:r>
            <w:r>
              <w:rPr>
                <w:rFonts w:ascii="Times New Roman" w:hAnsi="Times New Roman"/>
                <w:b w:val="0"/>
                <w:i w:val="0"/>
                <w:sz w:val="14"/>
              </w:rPr>
              <w:t>A participant accepts responsibility for a key deliverable.</w:t>
            </w:r>
          </w:p>
        </w:tc>
        <w:tc>
          <w:tcPr>
            <w:tcW w:type="dxa" w:w="1337"/>
            <w:vAlign w:val="top"/>
          </w:tcPr>
          <w:p>
            <w:pPr>
              <w:spacing w:after="0" w:line="240" w:lineRule="auto" w:before="0"/>
              <w:jc w:val="left"/>
            </w:pPr>
            <w:r>
              <w:rPr>
                <w:sz w:val="14"/>
              </w:rPr>
            </w:r>
            <w:r>
              <w:rPr>
                <w:rFonts w:ascii="Times New Roman" w:hAnsi="Times New Roman"/>
                <w:b w:val="0"/>
                <w:i w:val="0"/>
                <w:sz w:val="14"/>
              </w:rPr>
              <w:t>Other contributors build the timeline around that deliverable.</w:t>
            </w:r>
          </w:p>
        </w:tc>
        <w:tc>
          <w:tcPr>
            <w:tcW w:type="dxa" w:w="1337"/>
            <w:vAlign w:val="top"/>
          </w:tcPr>
          <w:p>
            <w:pPr>
              <w:spacing w:after="0" w:line="240" w:lineRule="auto" w:before="0"/>
              <w:jc w:val="left"/>
            </w:pPr>
            <w:r>
              <w:rPr>
                <w:sz w:val="14"/>
              </w:rPr>
            </w:r>
            <w:r>
              <w:rPr>
                <w:rFonts w:ascii="Times New Roman" w:hAnsi="Times New Roman"/>
                <w:b w:val="0"/>
                <w:i w:val="0"/>
                <w:sz w:val="14"/>
              </w:rPr>
              <w:t>Protocol, authority, resources, and handoff criteria remain unclear.</w:t>
            </w:r>
          </w:p>
        </w:tc>
        <w:tc>
          <w:tcPr>
            <w:tcW w:type="dxa" w:w="1337"/>
            <w:vAlign w:val="top"/>
          </w:tcPr>
          <w:p>
            <w:pPr>
              <w:spacing w:after="0" w:line="240" w:lineRule="auto" w:before="0"/>
              <w:jc w:val="left"/>
            </w:pPr>
            <w:r>
              <w:rPr>
                <w:sz w:val="14"/>
              </w:rPr>
            </w:r>
            <w:r>
              <w:rPr>
                <w:rFonts w:ascii="Times New Roman" w:hAnsi="Times New Roman"/>
                <w:b w:val="0"/>
                <w:i w:val="0"/>
                <w:sz w:val="14"/>
              </w:rPr>
              <w:t>Deadline passes and alternate routing is no longer feasible.</w:t>
            </w:r>
          </w:p>
        </w:tc>
        <w:tc>
          <w:tcPr>
            <w:tcW w:type="dxa" w:w="1337"/>
            <w:vAlign w:val="top"/>
          </w:tcPr>
          <w:p>
            <w:pPr>
              <w:spacing w:after="0" w:line="240" w:lineRule="auto" w:before="0"/>
              <w:jc w:val="left"/>
            </w:pPr>
            <w:r>
              <w:rPr>
                <w:sz w:val="14"/>
              </w:rPr>
            </w:r>
            <w:r>
              <w:rPr>
                <w:rFonts w:ascii="Times New Roman" w:hAnsi="Times New Roman"/>
                <w:b w:val="0"/>
                <w:i w:val="0"/>
                <w:sz w:val="14"/>
              </w:rPr>
              <w:t>Others perform rescue work or absorb reputational/project cost.</w:t>
            </w:r>
          </w:p>
        </w:tc>
        <w:tc>
          <w:tcPr>
            <w:tcW w:type="dxa" w:w="1337"/>
            <w:vAlign w:val="top"/>
          </w:tcPr>
          <w:p>
            <w:pPr>
              <w:spacing w:after="0" w:line="240" w:lineRule="auto" w:before="0"/>
              <w:jc w:val="left"/>
            </w:pPr>
            <w:r>
              <w:rPr>
                <w:sz w:val="14"/>
              </w:rPr>
            </w:r>
            <w:r>
              <w:rPr>
                <w:rFonts w:ascii="Times New Roman" w:hAnsi="Times New Roman"/>
                <w:b w:val="0"/>
                <w:i w:val="0"/>
                <w:sz w:val="14"/>
              </w:rPr>
              <w:t>Collaboration ontology and project governance terms remain relevant.</w:t>
            </w:r>
          </w:p>
        </w:tc>
      </w:tr>
      <w:tr>
        <w:tc>
          <w:tcPr>
            <w:tcW w:type="dxa" w:w="1337"/>
            <w:vAlign w:val="top"/>
          </w:tcPr>
          <w:p>
            <w:pPr>
              <w:spacing w:after="0" w:line="240" w:lineRule="auto" w:before="0"/>
              <w:jc w:val="left"/>
            </w:pPr>
            <w:r>
              <w:rPr>
                <w:sz w:val="14"/>
              </w:rPr>
            </w:r>
            <w:r>
              <w:rPr>
                <w:rFonts w:ascii="Times New Roman" w:hAnsi="Times New Roman"/>
                <w:b w:val="0"/>
                <w:i w:val="0"/>
                <w:sz w:val="14"/>
              </w:rPr>
              <w:t>AI workflow reliance</w:t>
            </w:r>
          </w:p>
        </w:tc>
        <w:tc>
          <w:tcPr>
            <w:tcW w:type="dxa" w:w="1337"/>
            <w:vAlign w:val="top"/>
          </w:tcPr>
          <w:p>
            <w:pPr>
              <w:spacing w:after="0" w:line="240" w:lineRule="auto" w:before="0"/>
              <w:jc w:val="left"/>
            </w:pPr>
            <w:r>
              <w:rPr>
                <w:sz w:val="14"/>
              </w:rPr>
            </w:r>
            <w:r>
              <w:rPr>
                <w:rFonts w:ascii="Times New Roman" w:hAnsi="Times New Roman"/>
                <w:b w:val="0"/>
                <w:i w:val="0"/>
                <w:sz w:val="14"/>
              </w:rPr>
              <w:t>An LLM produces confident guidance or a generated document.</w:t>
            </w:r>
          </w:p>
        </w:tc>
        <w:tc>
          <w:tcPr>
            <w:tcW w:type="dxa" w:w="1337"/>
            <w:vAlign w:val="top"/>
          </w:tcPr>
          <w:p>
            <w:pPr>
              <w:spacing w:after="0" w:line="240" w:lineRule="auto" w:before="0"/>
              <w:jc w:val="left"/>
            </w:pPr>
            <w:r>
              <w:rPr>
                <w:sz w:val="14"/>
              </w:rPr>
            </w:r>
            <w:r>
              <w:rPr>
                <w:rFonts w:ascii="Times New Roman" w:hAnsi="Times New Roman"/>
                <w:b w:val="0"/>
                <w:i w:val="0"/>
                <w:sz w:val="14"/>
              </w:rPr>
              <w:t>The user incorporates it into work before independent verification.</w:t>
            </w:r>
          </w:p>
        </w:tc>
        <w:tc>
          <w:tcPr>
            <w:tcW w:type="dxa" w:w="1337"/>
            <w:vAlign w:val="top"/>
          </w:tcPr>
          <w:p>
            <w:pPr>
              <w:spacing w:after="0" w:line="240" w:lineRule="auto" w:before="0"/>
              <w:jc w:val="left"/>
            </w:pPr>
            <w:r>
              <w:rPr>
                <w:sz w:val="14"/>
              </w:rPr>
            </w:r>
            <w:r>
              <w:rPr>
                <w:rFonts w:ascii="Times New Roman" w:hAnsi="Times New Roman"/>
                <w:b w:val="0"/>
                <w:i w:val="0"/>
                <w:sz w:val="14"/>
              </w:rPr>
              <w:t>Tool access, source status, memory, retrieval, and field constraints are not grounded.</w:t>
            </w:r>
          </w:p>
        </w:tc>
        <w:tc>
          <w:tcPr>
            <w:tcW w:type="dxa" w:w="1337"/>
            <w:vAlign w:val="top"/>
          </w:tcPr>
          <w:p>
            <w:pPr>
              <w:spacing w:after="0" w:line="240" w:lineRule="auto" w:before="0"/>
              <w:jc w:val="left"/>
            </w:pPr>
            <w:r>
              <w:rPr>
                <w:sz w:val="14"/>
              </w:rPr>
            </w:r>
            <w:r>
              <w:rPr>
                <w:rFonts w:ascii="Times New Roman" w:hAnsi="Times New Roman"/>
                <w:b w:val="0"/>
                <w:i w:val="0"/>
                <w:sz w:val="14"/>
              </w:rPr>
              <w:t>The user’s workflow has advanced too far to cheaply re-check everything.</w:t>
            </w:r>
          </w:p>
        </w:tc>
        <w:tc>
          <w:tcPr>
            <w:tcW w:type="dxa" w:w="1337"/>
            <w:vAlign w:val="top"/>
          </w:tcPr>
          <w:p>
            <w:pPr>
              <w:spacing w:after="0" w:line="240" w:lineRule="auto" w:before="0"/>
              <w:jc w:val="left"/>
            </w:pPr>
            <w:r>
              <w:rPr>
                <w:sz w:val="14"/>
              </w:rPr>
            </w:r>
            <w:r>
              <w:rPr>
                <w:rFonts w:ascii="Times New Roman" w:hAnsi="Times New Roman"/>
                <w:b w:val="0"/>
                <w:i w:val="0"/>
                <w:sz w:val="14"/>
              </w:rPr>
              <w:t>Verification labor, correction, or reputational risk shifts to the user.</w:t>
            </w:r>
          </w:p>
        </w:tc>
        <w:tc>
          <w:tcPr>
            <w:tcW w:type="dxa" w:w="1337"/>
            <w:vAlign w:val="top"/>
          </w:tcPr>
          <w:p>
            <w:pPr>
              <w:spacing w:after="0" w:line="240" w:lineRule="auto" w:before="0"/>
              <w:jc w:val="left"/>
            </w:pPr>
            <w:r>
              <w:rPr>
                <w:sz w:val="14"/>
              </w:rPr>
            </w:r>
            <w:r>
              <w:rPr>
                <w:rFonts w:ascii="Times New Roman" w:hAnsi="Times New Roman"/>
                <w:b w:val="0"/>
                <w:i w:val="0"/>
                <w:sz w:val="14"/>
              </w:rPr>
              <w:t>Automation bias, trust calibration, and HCI terms remain relevant.</w:t>
            </w:r>
          </w:p>
        </w:tc>
      </w:tr>
      <w:tr>
        <w:tc>
          <w:tcPr>
            <w:tcW w:type="dxa" w:w="1337"/>
            <w:vAlign w:val="top"/>
          </w:tcPr>
          <w:p>
            <w:pPr>
              <w:spacing w:after="0" w:line="240" w:lineRule="auto" w:before="0"/>
              <w:jc w:val="left"/>
            </w:pPr>
            <w:r>
              <w:rPr>
                <w:sz w:val="14"/>
              </w:rPr>
            </w:r>
            <w:r>
              <w:rPr>
                <w:rFonts w:ascii="Times New Roman" w:hAnsi="Times New Roman"/>
                <w:b w:val="0"/>
                <w:i w:val="0"/>
                <w:sz w:val="14"/>
              </w:rPr>
              <w:t>Clinical usability/medical error</w:t>
            </w:r>
          </w:p>
        </w:tc>
        <w:tc>
          <w:tcPr>
            <w:tcW w:type="dxa" w:w="1337"/>
            <w:vAlign w:val="top"/>
          </w:tcPr>
          <w:p>
            <w:pPr>
              <w:spacing w:after="0" w:line="240" w:lineRule="auto" w:before="0"/>
              <w:jc w:val="left"/>
            </w:pPr>
            <w:r>
              <w:rPr>
                <w:sz w:val="14"/>
              </w:rPr>
            </w:r>
            <w:r>
              <w:rPr>
                <w:rFonts w:ascii="Times New Roman" w:hAnsi="Times New Roman"/>
                <w:b w:val="0"/>
                <w:i w:val="0"/>
                <w:sz w:val="14"/>
              </w:rPr>
              <w:t>A clinical system presents or suppresses workflow information.</w:t>
            </w:r>
          </w:p>
        </w:tc>
        <w:tc>
          <w:tcPr>
            <w:tcW w:type="dxa" w:w="1337"/>
            <w:vAlign w:val="top"/>
          </w:tcPr>
          <w:p>
            <w:pPr>
              <w:spacing w:after="0" w:line="240" w:lineRule="auto" w:before="0"/>
              <w:jc w:val="left"/>
            </w:pPr>
            <w:r>
              <w:rPr>
                <w:sz w:val="14"/>
              </w:rPr>
            </w:r>
            <w:r>
              <w:rPr>
                <w:rFonts w:ascii="Times New Roman" w:hAnsi="Times New Roman"/>
                <w:b w:val="0"/>
                <w:i w:val="0"/>
                <w:sz w:val="14"/>
              </w:rPr>
              <w:t>Clinician action follows the displayed workflow or alert structure.</w:t>
            </w:r>
          </w:p>
        </w:tc>
        <w:tc>
          <w:tcPr>
            <w:tcW w:type="dxa" w:w="1337"/>
            <w:vAlign w:val="top"/>
          </w:tcPr>
          <w:p>
            <w:pPr>
              <w:spacing w:after="0" w:line="240" w:lineRule="auto" w:before="0"/>
              <w:jc w:val="left"/>
            </w:pPr>
            <w:r>
              <w:rPr>
                <w:sz w:val="14"/>
              </w:rPr>
            </w:r>
            <w:r>
              <w:rPr>
                <w:rFonts w:ascii="Times New Roman" w:hAnsi="Times New Roman"/>
                <w:b w:val="0"/>
                <w:i w:val="0"/>
                <w:sz w:val="14"/>
              </w:rPr>
              <w:t>Interface logic, data status, alert burden, or workflow change is under-specified.</w:t>
            </w:r>
          </w:p>
        </w:tc>
        <w:tc>
          <w:tcPr>
            <w:tcW w:type="dxa" w:w="1337"/>
            <w:vAlign w:val="top"/>
          </w:tcPr>
          <w:p>
            <w:pPr>
              <w:spacing w:after="0" w:line="240" w:lineRule="auto" w:before="0"/>
              <w:jc w:val="left"/>
            </w:pPr>
            <w:r>
              <w:rPr>
                <w:sz w:val="14"/>
              </w:rPr>
            </w:r>
            <w:r>
              <w:rPr>
                <w:rFonts w:ascii="Times New Roman" w:hAnsi="Times New Roman"/>
                <w:b w:val="0"/>
                <w:i w:val="0"/>
                <w:sz w:val="14"/>
              </w:rPr>
              <w:t>The event persists through care process before detection.</w:t>
            </w:r>
          </w:p>
        </w:tc>
        <w:tc>
          <w:tcPr>
            <w:tcW w:type="dxa" w:w="1337"/>
            <w:vAlign w:val="top"/>
          </w:tcPr>
          <w:p>
            <w:pPr>
              <w:spacing w:after="0" w:line="240" w:lineRule="auto" w:before="0"/>
              <w:jc w:val="left"/>
            </w:pPr>
            <w:r>
              <w:rPr>
                <w:sz w:val="14"/>
              </w:rPr>
            </w:r>
            <w:r>
              <w:rPr>
                <w:rFonts w:ascii="Times New Roman" w:hAnsi="Times New Roman"/>
                <w:b w:val="0"/>
                <w:i w:val="0"/>
                <w:sz w:val="14"/>
              </w:rPr>
              <w:t>Patient, clinician, or institution absorbs adverse-event consequence.</w:t>
            </w:r>
          </w:p>
        </w:tc>
        <w:tc>
          <w:tcPr>
            <w:tcW w:type="dxa" w:w="1337"/>
            <w:vAlign w:val="top"/>
          </w:tcPr>
          <w:p>
            <w:pPr>
              <w:spacing w:after="0" w:line="240" w:lineRule="auto" w:before="0"/>
              <w:jc w:val="left"/>
            </w:pPr>
            <w:r>
              <w:rPr>
                <w:sz w:val="14"/>
              </w:rPr>
            </w:r>
            <w:r>
              <w:rPr>
                <w:rFonts w:ascii="Times New Roman" w:hAnsi="Times New Roman"/>
                <w:b w:val="0"/>
                <w:i w:val="0"/>
                <w:sz w:val="14"/>
              </w:rPr>
              <w:t>Medical-error and usability-error ontologies remain primary.</w:t>
            </w:r>
          </w:p>
        </w:tc>
      </w:tr>
      <w:tr>
        <w:tc>
          <w:tcPr>
            <w:tcW w:type="dxa" w:w="1337"/>
            <w:vAlign w:val="top"/>
          </w:tcPr>
          <w:p>
            <w:pPr>
              <w:spacing w:after="0" w:line="240" w:lineRule="auto" w:before="0"/>
              <w:jc w:val="left"/>
            </w:pPr>
            <w:r>
              <w:rPr>
                <w:sz w:val="14"/>
              </w:rPr>
            </w:r>
            <w:r>
              <w:rPr>
                <w:rFonts w:ascii="Times New Roman" w:hAnsi="Times New Roman"/>
                <w:b w:val="0"/>
                <w:i w:val="0"/>
                <w:sz w:val="14"/>
              </w:rPr>
              <w:t>Diagnostic/classification lock-in</w:t>
            </w:r>
          </w:p>
        </w:tc>
        <w:tc>
          <w:tcPr>
            <w:tcW w:type="dxa" w:w="1337"/>
            <w:vAlign w:val="top"/>
          </w:tcPr>
          <w:p>
            <w:pPr>
              <w:spacing w:after="0" w:line="240" w:lineRule="auto" w:before="0"/>
              <w:jc w:val="left"/>
            </w:pPr>
            <w:r>
              <w:rPr>
                <w:sz w:val="14"/>
              </w:rPr>
            </w:r>
            <w:r>
              <w:rPr>
                <w:rFonts w:ascii="Times New Roman" w:hAnsi="Times New Roman"/>
                <w:b w:val="0"/>
                <w:i w:val="0"/>
                <w:sz w:val="14"/>
              </w:rPr>
              <w:t>A diagnosis or risk label becomes authoritative.</w:t>
            </w:r>
          </w:p>
        </w:tc>
        <w:tc>
          <w:tcPr>
            <w:tcW w:type="dxa" w:w="1337"/>
            <w:vAlign w:val="top"/>
          </w:tcPr>
          <w:p>
            <w:pPr>
              <w:spacing w:after="0" w:line="240" w:lineRule="auto" w:before="0"/>
              <w:jc w:val="left"/>
            </w:pPr>
            <w:r>
              <w:rPr>
                <w:sz w:val="14"/>
              </w:rPr>
            </w:r>
            <w:r>
              <w:rPr>
                <w:rFonts w:ascii="Times New Roman" w:hAnsi="Times New Roman"/>
                <w:b w:val="0"/>
                <w:i w:val="0"/>
                <w:sz w:val="14"/>
              </w:rPr>
              <w:t>Treatment, exclusion, access, or institutional interpretation follows the label.</w:t>
            </w:r>
          </w:p>
        </w:tc>
        <w:tc>
          <w:tcPr>
            <w:tcW w:type="dxa" w:w="1337"/>
            <w:vAlign w:val="top"/>
          </w:tcPr>
          <w:p>
            <w:pPr>
              <w:spacing w:after="0" w:line="240" w:lineRule="auto" w:before="0"/>
              <w:jc w:val="left"/>
            </w:pPr>
            <w:r>
              <w:rPr>
                <w:sz w:val="14"/>
              </w:rPr>
            </w:r>
            <w:r>
              <w:rPr>
                <w:rFonts w:ascii="Times New Roman" w:hAnsi="Times New Roman"/>
                <w:b w:val="0"/>
                <w:i w:val="0"/>
                <w:sz w:val="14"/>
              </w:rPr>
              <w:t>Differential uncertainty, rival explanations, and review triggers are weak.</w:t>
            </w:r>
          </w:p>
        </w:tc>
        <w:tc>
          <w:tcPr>
            <w:tcW w:type="dxa" w:w="1337"/>
            <w:vAlign w:val="top"/>
          </w:tcPr>
          <w:p>
            <w:pPr>
              <w:spacing w:after="0" w:line="240" w:lineRule="auto" w:before="0"/>
              <w:jc w:val="left"/>
            </w:pPr>
            <w:r>
              <w:rPr>
                <w:sz w:val="14"/>
              </w:rPr>
            </w:r>
            <w:r>
              <w:rPr>
                <w:rFonts w:ascii="Times New Roman" w:hAnsi="Times New Roman"/>
                <w:b w:val="0"/>
                <w:i w:val="0"/>
                <w:sz w:val="14"/>
              </w:rPr>
              <w:t>Records and care pathways become harder to redirect.</w:t>
            </w:r>
          </w:p>
        </w:tc>
        <w:tc>
          <w:tcPr>
            <w:tcW w:type="dxa" w:w="1337"/>
            <w:vAlign w:val="top"/>
          </w:tcPr>
          <w:p>
            <w:pPr>
              <w:spacing w:after="0" w:line="240" w:lineRule="auto" w:before="0"/>
              <w:jc w:val="left"/>
            </w:pPr>
            <w:r>
              <w:rPr>
                <w:sz w:val="14"/>
              </w:rPr>
            </w:r>
            <w:r>
              <w:rPr>
                <w:rFonts w:ascii="Times New Roman" w:hAnsi="Times New Roman"/>
                <w:b w:val="0"/>
                <w:i w:val="0"/>
                <w:sz w:val="14"/>
              </w:rPr>
              <w:t>The classified person carries stigma, treatment burden, or delayed correction.</w:t>
            </w:r>
          </w:p>
        </w:tc>
        <w:tc>
          <w:tcPr>
            <w:tcW w:type="dxa" w:w="1337"/>
            <w:vAlign w:val="top"/>
          </w:tcPr>
          <w:p>
            <w:pPr>
              <w:spacing w:after="0" w:line="240" w:lineRule="auto" w:before="0"/>
              <w:jc w:val="left"/>
            </w:pPr>
            <w:r>
              <w:rPr>
                <w:sz w:val="14"/>
              </w:rPr>
            </w:r>
            <w:r>
              <w:rPr>
                <w:rFonts w:ascii="Times New Roman" w:hAnsi="Times New Roman"/>
                <w:b w:val="0"/>
                <w:i w:val="0"/>
                <w:sz w:val="14"/>
              </w:rPr>
              <w:t>Diagnostic safety and clinical reasoning literature remain primary.</w:t>
            </w:r>
          </w:p>
        </w:tc>
      </w:tr>
    </w:tbl>
    <w:p>
      <w:pPr>
        <w:pStyle w:val="Heading1"/>
        <w:pageBreakBefore/>
      </w:pPr>
      <w:r>
        <w:t>Visible Extension Sites</w:t>
      </w:r>
    </w:p>
    <w:p>
      <w:r>
        <w:t>The four core domains are anchor domains rather than exhaustive application areas. Each contains visible social sites where the same receiver-anchored reliance-window test may be useful, provided local vocabularies remain primary. These sites are not added as separate domains in the present paper. They are extension sites where the paper's questions may be applied alongside established terms.</w:t>
      </w:r>
    </w:p>
    <w:tbl>
      <w:tblPr>
        <w:tblStyle w:val="TableGrid"/>
        <w:tblW w:type="auto" w:w="0"/>
        <w:tblLook w:firstColumn="1" w:firstRow="1" w:lastColumn="0" w:lastRow="0" w:noHBand="0" w:noVBand="1" w:val="04A0"/>
      </w:tblPr>
      <w:tblGrid>
        <w:gridCol w:w="2340"/>
        <w:gridCol w:w="2340"/>
        <w:gridCol w:w="2340"/>
        <w:gridCol w:w="2340"/>
      </w:tblGrid>
      <w:tr>
        <w:tc>
          <w:tcPr>
            <w:tcW w:type="dxa" w:w="2340"/>
          </w:tcPr>
          <w:p>
            <w:r>
              <w:rPr>
                <w:b/>
                <w:sz w:val="17"/>
              </w:rPr>
              <w:t>Anchor domain</w:t>
            </w:r>
          </w:p>
        </w:tc>
        <w:tc>
          <w:tcPr>
            <w:tcW w:type="dxa" w:w="2340"/>
          </w:tcPr>
          <w:p>
            <w:r>
              <w:rPr>
                <w:b/>
                <w:sz w:val="17"/>
              </w:rPr>
              <w:t>Visible sites included by implication</w:t>
            </w:r>
          </w:p>
        </w:tc>
        <w:tc>
          <w:tcPr>
            <w:tcW w:type="dxa" w:w="2340"/>
          </w:tcPr>
          <w:p>
            <w:r>
              <w:rPr>
                <w:b/>
                <w:sz w:val="17"/>
              </w:rPr>
              <w:t>Local terms to preserve</w:t>
            </w:r>
          </w:p>
        </w:tc>
        <w:tc>
          <w:tcPr>
            <w:tcW w:type="dxa" w:w="2340"/>
          </w:tcPr>
          <w:p>
            <w:r>
              <w:rPr>
                <w:b/>
                <w:sz w:val="17"/>
              </w:rPr>
              <w:t>Status in this paper</w:t>
            </w:r>
          </w:p>
        </w:tc>
      </w:tr>
      <w:tr>
        <w:tc>
          <w:tcPr>
            <w:tcW w:type="dxa" w:w="2340"/>
          </w:tcPr>
          <w:p>
            <w:r>
              <w:rPr>
                <w:sz w:val="17"/>
              </w:rPr>
              <w:t>Trust / commitment</w:t>
            </w:r>
          </w:p>
        </w:tc>
        <w:tc>
          <w:tcPr>
            <w:tcW w:type="dxa" w:w="2340"/>
          </w:tcPr>
          <w:p>
            <w:r>
              <w:rPr>
                <w:sz w:val="17"/>
              </w:rPr>
              <w:t>Family support, caregiving, housing promises, employer assurances, financial commitments, informal rescue promises.</w:t>
            </w:r>
          </w:p>
        </w:tc>
        <w:tc>
          <w:tcPr>
            <w:tcW w:type="dxa" w:w="2340"/>
          </w:tcPr>
          <w:p>
            <w:r>
              <w:rPr>
                <w:sz w:val="17"/>
              </w:rPr>
              <w:t>Trustworthiness, psychological contract, role strain, caregiving burden, organizational justice.</w:t>
            </w:r>
          </w:p>
        </w:tc>
        <w:tc>
          <w:tcPr>
            <w:tcW w:type="dxa" w:w="2340"/>
          </w:tcPr>
          <w:p>
            <w:r>
              <w:rPr>
                <w:sz w:val="17"/>
              </w:rPr>
              <w:t>Extension sites, not full domain sections.</w:t>
            </w:r>
          </w:p>
        </w:tc>
      </w:tr>
      <w:tr>
        <w:tc>
          <w:tcPr>
            <w:tcW w:type="dxa" w:w="2340"/>
          </w:tcPr>
          <w:p>
            <w:r>
              <w:rPr>
                <w:sz w:val="17"/>
              </w:rPr>
              <w:t>Collaboration / coordination</w:t>
            </w:r>
          </w:p>
        </w:tc>
        <w:tc>
          <w:tcPr>
            <w:tcW w:type="dxa" w:w="2340"/>
          </w:tcPr>
          <w:p>
            <w:r>
              <w:rPr>
                <w:sz w:val="17"/>
              </w:rPr>
              <w:t>Workplace teams, project governance, service delivery, emergency response, public administration, interagency cooperation.</w:t>
            </w:r>
          </w:p>
        </w:tc>
        <w:tc>
          <w:tcPr>
            <w:tcW w:type="dxa" w:w="2340"/>
          </w:tcPr>
          <w:p>
            <w:r>
              <w:rPr>
                <w:sz w:val="17"/>
              </w:rPr>
              <w:t>Coordination, protocol, role clarity, handoff, accountability, street-level bureaucracy.</w:t>
            </w:r>
          </w:p>
        </w:tc>
        <w:tc>
          <w:tcPr>
            <w:tcW w:type="dxa" w:w="2340"/>
          </w:tcPr>
          <w:p>
            <w:r>
              <w:rPr>
                <w:sz w:val="17"/>
              </w:rPr>
              <w:t>Extension sites, not full domain sections.</w:t>
            </w:r>
          </w:p>
        </w:tc>
      </w:tr>
      <w:tr>
        <w:tc>
          <w:tcPr>
            <w:tcW w:type="dxa" w:w="2340"/>
          </w:tcPr>
          <w:p>
            <w:r>
              <w:rPr>
                <w:sz w:val="17"/>
              </w:rPr>
              <w:t>AI / interface-mediated reliance</w:t>
            </w:r>
          </w:p>
        </w:tc>
        <w:tc>
          <w:tcPr>
            <w:tcW w:type="dxa" w:w="2340"/>
          </w:tcPr>
          <w:p>
            <w:r>
              <w:rPr>
                <w:sz w:val="17"/>
              </w:rPr>
              <w:t>LLM-assisted work, automated eligibility systems, platform moderation, AI summaries, decision-support tools, workflow portals.</w:t>
            </w:r>
          </w:p>
        </w:tc>
        <w:tc>
          <w:tcPr>
            <w:tcW w:type="dxa" w:w="2340"/>
          </w:tcPr>
          <w:p>
            <w:r>
              <w:rPr>
                <w:sz w:val="17"/>
              </w:rPr>
              <w:t>Appropriate reliance, automation bias, HCI, usability, verification, human-AI trust calibration.</w:t>
            </w:r>
          </w:p>
        </w:tc>
        <w:tc>
          <w:tcPr>
            <w:tcW w:type="dxa" w:w="2340"/>
          </w:tcPr>
          <w:p>
            <w:r>
              <w:rPr>
                <w:sz w:val="17"/>
              </w:rPr>
              <w:t>Extension sites, not full domain sections.</w:t>
            </w:r>
          </w:p>
        </w:tc>
      </w:tr>
      <w:tr>
        <w:tc>
          <w:tcPr>
            <w:tcW w:type="dxa" w:w="2340"/>
          </w:tcPr>
          <w:p>
            <w:r>
              <w:rPr>
                <w:sz w:val="17"/>
              </w:rPr>
              <w:t>Clinical safety / classification</w:t>
            </w:r>
          </w:p>
        </w:tc>
        <w:tc>
          <w:tcPr>
            <w:tcW w:type="dxa" w:w="2340"/>
          </w:tcPr>
          <w:p>
            <w:r>
              <w:rPr>
                <w:sz w:val="17"/>
              </w:rPr>
              <w:t>Diagnostic error, health information technology usability, care coordination, psychiatric labeling, educational classification, risk categorization.</w:t>
            </w:r>
          </w:p>
        </w:tc>
        <w:tc>
          <w:tcPr>
            <w:tcW w:type="dxa" w:w="2340"/>
          </w:tcPr>
          <w:p>
            <w:r>
              <w:rPr>
                <w:sz w:val="17"/>
              </w:rPr>
              <w:t>Medical error, diagnostic safety, usability error, classification, differential diagnosis, assessment validity.</w:t>
            </w:r>
          </w:p>
        </w:tc>
        <w:tc>
          <w:tcPr>
            <w:tcW w:type="dxa" w:w="2340"/>
          </w:tcPr>
          <w:p>
            <w:r>
              <w:rPr>
                <w:sz w:val="17"/>
              </w:rPr>
              <w:t>Extension sites, not full domain sections.</w:t>
            </w:r>
          </w:p>
        </w:tc>
      </w:tr>
    </w:tbl>
    <w:p>
      <w:r>
        <w:t>The extension table does not authorize new terminology where established terms already exist. It only indicates where the receiver-anchored reliance-window test may help identify unsafe reliance formation inside existing workplace, family, administrative, educational, public-service, AI, and clinical vocabularies.</w:t>
      </w:r>
    </w:p>
    <w:p>
      <w:pPr>
        <w:pStyle w:val="Heading1"/>
        <w:spacing w:line="480" w:lineRule="auto" w:before="240" w:after="0"/>
      </w:pPr>
      <w:r>
        <w:rPr>
          <w:rFonts w:ascii="Times New Roman" w:hAnsi="Times New Roman" w:eastAsia="Times New Roman"/>
          <w:sz w:val="24"/>
        </w:rPr>
        <w:t>Five-Question Reliance Safety Test</w:t>
      </w:r>
    </w:p>
    <w:p>
      <w:pPr>
        <w:spacing w:line="480" w:lineRule="auto" w:after="0"/>
        <w:ind w:firstLine="720"/>
      </w:pPr>
      <w:r>
        <w:rPr>
          <w:rFonts w:ascii="Times New Roman" w:hAnsi="Times New Roman" w:eastAsia="Times New Roman"/>
          <w:sz w:val="24"/>
        </w:rPr>
        <w:t>The framework becomes practical when reduced to a short test that can be asked before a signal becomes load-bearing:</w:t>
      </w:r>
    </w:p>
    <w:p>
      <w:pPr>
        <w:pStyle w:val="ListBullet"/>
        <w:spacing w:line="480" w:lineRule="auto" w:after="0"/>
      </w:pPr>
      <w:r>
        <w:rPr>
          <w:rFonts w:ascii="Times New Roman" w:hAnsi="Times New Roman" w:eastAsia="Times New Roman"/>
          <w:sz w:val="24"/>
        </w:rPr>
        <w:t>What signal is being relied on?</w:t>
      </w:r>
    </w:p>
    <w:p>
      <w:pPr>
        <w:pStyle w:val="ListBullet"/>
        <w:spacing w:line="480" w:lineRule="auto" w:after="0"/>
      </w:pPr>
      <w:r>
        <w:rPr>
          <w:rFonts w:ascii="Times New Roman" w:hAnsi="Times New Roman" w:eastAsia="Times New Roman"/>
          <w:sz w:val="24"/>
        </w:rPr>
        <w:t>Who is changing behavior because of it?</w:t>
      </w:r>
    </w:p>
    <w:p>
      <w:pPr>
        <w:pStyle w:val="ListBullet"/>
        <w:spacing w:line="480" w:lineRule="auto" w:after="0"/>
      </w:pPr>
      <w:r>
        <w:rPr>
          <w:rFonts w:ascii="Times New Roman" w:hAnsi="Times New Roman" w:eastAsia="Times New Roman"/>
          <w:sz w:val="24"/>
        </w:rPr>
        <w:t>What capacity, context, protocol, access, verification, or correction pathway remains ungrounded?</w:t>
      </w:r>
    </w:p>
    <w:p>
      <w:pPr>
        <w:pStyle w:val="ListBullet"/>
        <w:spacing w:line="480" w:lineRule="auto" w:after="0"/>
      </w:pPr>
      <w:r>
        <w:rPr>
          <w:rFonts w:ascii="Times New Roman" w:hAnsi="Times New Roman" w:eastAsia="Times New Roman"/>
          <w:sz w:val="24"/>
        </w:rPr>
        <w:t>What fallback options are narrowing as reliance increases?</w:t>
      </w:r>
    </w:p>
    <w:p>
      <w:pPr>
        <w:pStyle w:val="ListBullet"/>
        <w:spacing w:line="480" w:lineRule="auto" w:after="0"/>
      </w:pPr>
      <w:r>
        <w:rPr>
          <w:rFonts w:ascii="Times New Roman" w:hAnsi="Times New Roman" w:eastAsia="Times New Roman"/>
          <w:sz w:val="24"/>
        </w:rPr>
        <w:t>Who carries the burden if correction arrives late?</w:t>
      </w:r>
    </w:p>
    <w:p>
      <w:pPr>
        <w:spacing w:line="480" w:lineRule="auto" w:after="0"/>
        <w:ind w:firstLine="720"/>
      </w:pPr>
      <w:r>
        <w:rPr>
          <w:rFonts w:ascii="Times New Roman" w:hAnsi="Times New Roman" w:eastAsia="Times New Roman"/>
          <w:sz w:val="24"/>
        </w:rPr>
        <w:t>These questions do not replace domain expertise. They act as a pre-closure screen. If the answers are unclear and the decision is high-stakes, the system should not treat the signal as safely reliance-bearing yet.</w:t>
      </w:r>
    </w:p>
    <w:p>
      <w:pPr/>
      <w:r>
        <w:t>The test therefore identifies a pre-closure intervention window. That window closes as fallback options close. After that point, correction may still be possible, but it usually requires someone downstream to absorb cost, constraint, repair labor, or lost opportunity that earlier grounding could have prevented.</w:t>
      </w:r>
    </w:p>
    <w:p>
      <w:pPr>
        <w:pStyle w:val="Heading1"/>
        <w:spacing w:line="480" w:lineRule="auto" w:before="240" w:after="0"/>
      </w:pPr>
      <w:r>
        <w:rPr>
          <w:rFonts w:ascii="Times New Roman" w:hAnsi="Times New Roman" w:eastAsia="Times New Roman"/>
          <w:sz w:val="24"/>
        </w:rPr>
        <w:t>Empirical Posture and Testable Propositions</w:t>
      </w:r>
    </w:p>
    <w:p>
      <w:pPr>
        <w:spacing w:line="480" w:lineRule="auto" w:after="0"/>
        <w:ind w:firstLine="720"/>
      </w:pPr>
      <w:r>
        <w:rPr>
          <w:rFonts w:ascii="Times New Roman" w:hAnsi="Times New Roman" w:eastAsia="Times New Roman"/>
          <w:sz w:val="24"/>
        </w:rPr>
        <w:t>The framework is not validated by conceptual fit. It becomes stronger only if it supports reliable coding, predicts differences that existing models do not already explain, or improves incident review without flattening local domain distinctions. Several propositions make the architecture testable.</w:t>
      </w:r>
    </w:p>
    <w:p>
      <w:pPr>
        <w:pStyle w:val="ListBullet"/>
        <w:spacing w:line="480" w:lineRule="auto" w:after="0"/>
      </w:pPr>
      <w:r>
        <w:rPr>
          <w:rFonts w:ascii="Times New Roman" w:hAnsi="Times New Roman" w:eastAsia="Times New Roman"/>
          <w:sz w:val="24"/>
        </w:rPr>
        <w:t>Fallback-narrowing proposition: failed commitments or system signals will be judged as more harmful when comparable fallback options had closed before correction, even after controlling for perceived benevolence, integrity, and ability in trust cases.</w:t>
      </w:r>
    </w:p>
    <w:p>
      <w:pPr>
        <w:pStyle w:val="ListBullet"/>
        <w:spacing w:line="480" w:lineRule="auto" w:after="0"/>
      </w:pPr>
      <w:r>
        <w:rPr>
          <w:rFonts w:ascii="Times New Roman" w:hAnsi="Times New Roman" w:eastAsia="Times New Roman"/>
          <w:sz w:val="24"/>
        </w:rPr>
        <w:t>Disclosure-timing proposition: late disclosure after reliance transfer will increase perceived burden transfer more than early disclosure under otherwise similar failure conditions.</w:t>
      </w:r>
    </w:p>
    <w:p>
      <w:pPr>
        <w:pStyle w:val="ListBullet"/>
        <w:spacing w:line="480" w:lineRule="auto" w:after="0"/>
      </w:pPr>
      <w:r>
        <w:rPr>
          <w:rFonts w:ascii="Times New Roman" w:hAnsi="Times New Roman" w:eastAsia="Times New Roman"/>
          <w:sz w:val="24"/>
        </w:rPr>
        <w:t>Multi-axis coding proposition: incident reviews using capacity, context, protocol, fallback, value-at-risk, interface/workflow, and correction-timing fields will identify contributing factors missed by single-cause attribution.</w:t>
      </w:r>
    </w:p>
    <w:p>
      <w:pPr>
        <w:pStyle w:val="ListBullet"/>
        <w:spacing w:line="480" w:lineRule="auto" w:after="0"/>
      </w:pPr>
      <w:r>
        <w:t>Added-value proposition: if cases that include reliance uptake and fallback narrowing are consistently better explained by established local models without using the reliance-to-harm interval, that would count against the synthesis’s added value.</w:t>
      </w:r>
    </w:p>
    <w:p>
      <w:pPr>
        <w:spacing w:line="480" w:lineRule="auto" w:after="0"/>
        <w:ind w:firstLine="720"/>
      </w:pPr>
      <w:r>
        <w:rPr>
          <w:rFonts w:ascii="Times New Roman" w:hAnsi="Times New Roman" w:eastAsia="Times New Roman"/>
          <w:sz w:val="24"/>
        </w:rPr>
        <w:t>Negative or mixed results would matter. If fallback narrowing adds no explanatory value beyond established ability, psychological contract, automation bias, safety, or diagnostic-error variables, the framework should be narrowed or treated as a descriptive synthesis rather than as a stronger event architecture.</w:t>
      </w:r>
    </w:p>
    <w:p>
      <w:pPr>
        <w:pStyle w:val="Heading1"/>
        <w:spacing w:line="480" w:lineRule="auto" w:before="240" w:after="0"/>
      </w:pPr>
      <w:r>
        <w:rPr>
          <w:rFonts w:ascii="Times New Roman" w:hAnsi="Times New Roman" w:eastAsia="Times New Roman"/>
          <w:sz w:val="24"/>
        </w:rPr>
        <w:t>Discussion</w:t>
      </w:r>
    </w:p>
    <w:p>
      <w:pPr>
        <w:spacing w:line="480" w:lineRule="auto" w:after="0"/>
        <w:ind w:firstLine="720"/>
      </w:pPr>
      <w:r>
        <w:rPr>
          <w:rFonts w:ascii="Times New Roman" w:hAnsi="Times New Roman" w:eastAsia="Times New Roman"/>
          <w:sz w:val="24"/>
        </w:rPr>
        <w:t>The synthesis shifts attention from isolated defect to unsafe reliance formation. In trust, the question is not only whether a promise was sincere or whether a person had general ability. It is whether the receiver was safe to reorganize around that promise at the time reliance formed. In collaboration, the question is not only whether participants shared a goal. It is whether objectives, resources, protocols, timing, authority, and feedback were grounded enough for the collaboration to carry load. In AI, the question is not only whether the output was fluent or locally correct. It is whether the user treated that output as decision support despite limited access, verification, and fallback. In clinical safety, the question is not only who erred. It is how human factors, system factors, interface conditions, activity, time, outcome, and contributing factors intersected.</w:t>
      </w:r>
    </w:p>
    <w:p>
      <w:pPr>
        <w:spacing w:line="480" w:lineRule="auto" w:after="0"/>
        <w:ind w:firstLine="720"/>
      </w:pPr>
      <w:r>
        <w:t>The framework also resists two common moral shortcuts. It resists treating every harmful failure as deception, incompetence, or bad faith. It also resists excusing harm because nobody intended it. The key question is not only whether the actor meant well or whether the system produced a plausible signal. The question is whether the signal had earned the reliance placed in it.</w:t>
      </w:r>
    </w:p>
    <w:p>
      <w:pPr>
        <w:spacing w:line="480" w:lineRule="auto" w:after="0"/>
        <w:ind w:firstLine="720"/>
      </w:pPr>
      <w:r>
        <w:rPr>
          <w:rFonts w:ascii="Times New Roman" w:hAnsi="Times New Roman" w:eastAsia="Times New Roman"/>
          <w:sz w:val="24"/>
        </w:rPr>
        <w:t>Repair also changes under this framing. Repair cannot mean only apology, explanation, rollback, or compensation after the downstream party has already carried the burden. Repair must address the conditions that made unsafe reliance possible: unclear capacity, weak protocol, missing context, inadequate interface design, unpreserved uncertainty, late disclosure, or loss of fallback options. A repaired system should become harder to rely on unsafely, not merely better at explaining the last failure.</w:t>
      </w:r>
    </w:p>
    <w:p>
      <w:pPr>
        <w:pStyle w:val="Heading1"/>
        <w:spacing w:line="480" w:lineRule="auto" w:before="240" w:after="0"/>
      </w:pPr>
      <w:r>
        <w:rPr>
          <w:rFonts w:ascii="Times New Roman" w:hAnsi="Times New Roman" w:eastAsia="Times New Roman"/>
          <w:sz w:val="24"/>
        </w:rPr>
        <w:t>Limitations and Boundary Conditions</w:t>
      </w:r>
    </w:p>
    <w:p>
      <w:pPr>
        <w:spacing w:line="480" w:lineRule="auto" w:after="0"/>
        <w:ind w:firstLine="720"/>
      </w:pPr>
      <w:r>
        <w:rPr>
          <w:rFonts w:ascii="Times New Roman" w:hAnsi="Times New Roman" w:eastAsia="Times New Roman"/>
          <w:sz w:val="24"/>
        </w:rPr>
        <w:t>The main risk is overbreadth. A cross-domain architecture can become too elastic if it absorbs every bad outcome that follows expectation. The minimum admissibility criteria and exclusion conditions are therefore part of the framework rather than optional qualifiers. The framework should not be applied where reliance did not form, fallback did not narrow, support conditions were appropriately grounded, or a local domain theory explains the event more precisely.</w:t>
      </w:r>
    </w:p>
    <w:p>
      <w:pPr>
        <w:spacing w:line="480" w:lineRule="auto" w:after="0"/>
        <w:ind w:firstLine="720"/>
      </w:pPr>
      <w:r>
        <w:rPr>
          <w:rFonts w:ascii="Times New Roman" w:hAnsi="Times New Roman" w:eastAsia="Times New Roman"/>
          <w:sz w:val="24"/>
        </w:rPr>
        <w:t>The source base also remains uneven. Trust, medical error, usability error, automation reliance, safety science, and diagnostic error are mature literatures. Newer human-AI and human-LM reliance work is rapidly developing, and several current sources are preprint or conference-stage contributions rather than settled syntheses. Some burden-ontology and relational-loss mappings remain provisional or partial. Those weaker mappings should not carry the paper's strongest claims. They are included to help describe consequences, not to establish the full architecture.</w:t>
      </w:r>
    </w:p>
    <w:p>
      <w:pPr>
        <w:spacing w:line="480" w:lineRule="auto" w:after="0"/>
        <w:ind w:firstLine="720"/>
      </w:pPr>
      <w:r>
        <w:rPr>
          <w:rFonts w:ascii="Times New Roman" w:hAnsi="Times New Roman" w:eastAsia="Times New Roman"/>
          <w:sz w:val="24"/>
        </w:rPr>
        <w:t>The framework is also not yet a validated instrument. The failure-family table, comparison table, and reliance safety test are analytic surfaces. They require later inter-rater testing, case coding, vignette experiments, and domain-specific refinement before they should be treated as reliable tools.</w:t>
      </w:r>
    </w:p>
    <w:p>
      <w:pPr>
        <w:pStyle w:val="Heading1"/>
        <w:spacing w:line="480" w:lineRule="auto" w:before="240" w:after="0"/>
      </w:pPr>
      <w:r>
        <w:rPr>
          <w:rFonts w:ascii="Times New Roman" w:hAnsi="Times New Roman" w:eastAsia="Times New Roman"/>
          <w:sz w:val="24"/>
        </w:rPr>
        <w:t>Conclusion</w:t>
      </w:r>
    </w:p>
    <w:p>
      <w:pPr>
        <w:spacing w:line="480" w:lineRule="auto" w:after="0"/>
        <w:ind w:firstLine="720"/>
      </w:pPr>
      <w:r>
        <w:rPr>
          <w:rFonts w:ascii="Times New Roman" w:hAnsi="Times New Roman" w:eastAsia="Times New Roman"/>
          <w:sz w:val="24"/>
        </w:rPr>
        <w:t>One recurring pattern is that systems become unsafe to rely on before the failure is fully legible as failure. The danger forms between signal and collapse: a promise, label, output, role, protocol, workflow, or institution becomes load-bearing before its support conditions have been grounded. By the time the mismatch is visible, the affected party may have lost alternatives and inherited the burden of correction.</w:t>
      </w:r>
    </w:p>
    <w:p>
      <w:pPr>
        <w:spacing w:line="480" w:lineRule="auto" w:after="0"/>
        <w:ind w:firstLine="720"/>
      </w:pPr>
      <w:r>
        <w:rPr>
          <w:rFonts w:ascii="Times New Roman" w:hAnsi="Times New Roman" w:eastAsia="Times New Roman"/>
          <w:sz w:val="24"/>
        </w:rPr>
        <w:t>The contribution of this paper is not the discovery that assumptions fail. It is the specification of a reliance-to-harm interval that can be asked about across domains without erasing local terms: What signal was relied on? Who changed behavior because of it? What remained ungrounded? What fallback options closed? What value was at risk? Who carried the burden when correction arrived late?</w:t>
      </w:r>
    </w:p>
    <w:p>
      <w:pPr/>
      <w:r>
        <w:t>The same timing logic changes the meaning of repair. The strongest repair is not only post-failure apology, explanation, or compensation. It is the redesign of the conditions that allowed unsafe reliance to form: earlier grounding, preserved alternatives, clearer authority, stronger verification, and correction before fallback closure.</w:t>
      </w:r>
    </w:p>
    <w:p>
      <w:pPr>
        <w:spacing w:line="480" w:lineRule="auto" w:after="0"/>
        <w:ind w:firstLine="720"/>
      </w:pPr>
      <w:r>
        <w:rPr>
          <w:rFonts w:ascii="Times New Roman" w:hAnsi="Times New Roman" w:eastAsia="Times New Roman"/>
          <w:sz w:val="24"/>
        </w:rPr>
        <w:t>If those questions are asked early enough, some harms may become visible before they become irreversible.</w:t>
      </w:r>
    </w:p>
    <w:p>
      <w:pPr>
        <w:pStyle w:val="Heading1"/>
        <w:spacing w:line="480" w:lineRule="auto" w:before="240" w:after="0"/>
      </w:pPr>
      <w:r>
        <w:rPr>
          <w:rFonts w:ascii="Times New Roman" w:hAnsi="Times New Roman" w:eastAsia="Times New Roman"/>
          <w:sz w:val="24"/>
        </w:rPr>
        <w:t>References</w:t>
      </w:r>
    </w:p>
    <w:p>
      <w:pPr>
        <w:spacing w:after="80"/>
        <w:ind w:left="504" w:hanging="504"/>
        <w:jc w:val="left"/>
      </w:pPr>
      <w:r>
        <w:rPr>
          <w:sz w:val="20"/>
        </w:rPr>
        <w:t>Bainbridge, L. (1983). Ironies of automation. Automatica, 19(6), 775-779. https://doi.org/10.1016/0005-1098(83)90046-8</w:t>
      </w:r>
    </w:p>
    <w:p>
      <w:pPr>
        <w:spacing w:after="80"/>
        <w:ind w:left="504" w:hanging="504"/>
        <w:jc w:val="left"/>
      </w:pPr>
      <w:r>
        <w:rPr>
          <w:sz w:val="20"/>
        </w:rPr>
        <w:t>Buçinca, Z., Malaya, M. B., &amp; Gajos, K. Z. (2021). To trust or to think: Cognitive forcing functions can reduce overreliance on AI in AI-assisted decision-making. Proceedings of the ACM on Human-Computer Interaction, 5(CSCW1), Article 188. https://doi.org/10.1145/3449287</w:t>
      </w:r>
    </w:p>
    <w:p>
      <w:pPr>
        <w:spacing w:after="80"/>
        <w:ind w:left="504" w:hanging="504"/>
        <w:jc w:val="left"/>
      </w:pPr>
      <w:r>
        <w:rPr>
          <w:sz w:val="20"/>
        </w:rPr>
        <w:t>Cao, S., Liu, A., &amp; Huang, C.-M. (2024). Designing for appropriate reliance: The roles of AI uncertainty presentation, initial user decision, and user demographics in AI-assisted decision-making. arXiv. https://arxiv.org/abs/2401.05612</w:t>
      </w:r>
    </w:p>
    <w:p>
      <w:pPr>
        <w:spacing w:after="80"/>
        <w:ind w:left="504" w:hanging="504"/>
        <w:jc w:val="left"/>
      </w:pPr>
      <w:r>
        <w:rPr>
          <w:sz w:val="20"/>
        </w:rPr>
        <w:t>Chen, V., Liao, Q. V., Vaughan, J. W., &amp; Bansal, G. (2023). Understanding the role of human intuition on reliance in human-AI decision-making with explanations. arXiv. https://arxiv.org/abs/2301.07255</w:t>
      </w:r>
    </w:p>
    <w:p>
      <w:pPr>
        <w:spacing w:after="80"/>
        <w:ind w:left="504" w:hanging="504"/>
        <w:jc w:val="left"/>
      </w:pPr>
      <w:r>
        <w:rPr>
          <w:sz w:val="20"/>
        </w:rPr>
        <w:t>Copeland, C. W. (2026a). When sincere commitments become unsafe to rely on: Capacity grounding, reversibility, and the commitment-reliance interval. Zenodo. https://doi.org/10.5281/zenodo.20483751</w:t>
      </w:r>
    </w:p>
    <w:p>
      <w:pPr>
        <w:spacing w:after="80"/>
        <w:ind w:left="504" w:hanging="504"/>
        <w:jc w:val="left"/>
      </w:pPr>
      <w:r>
        <w:rPr>
          <w:sz w:val="20"/>
        </w:rPr>
        <w:t>Copeland, C. W. (2026b). Cooperative overextension and capacity-grounding failure: Cross-locus taxonomy entries for AI action overclaim and commitment signaling beyond operative capacity. Zenodo. https://doi.org/10.5281/zenodo.18989192</w:t>
      </w:r>
    </w:p>
    <w:p>
      <w:pPr>
        <w:spacing w:after="80"/>
        <w:ind w:left="504" w:hanging="504"/>
        <w:jc w:val="left"/>
      </w:pPr>
      <w:r>
        <w:rPr>
          <w:sz w:val="20"/>
        </w:rPr>
        <w:t>Copeland, C. W. (2026c). Burden routing, moral compression, and practical reversibility: A framework for American moral order with a first contemporary case demonstration. Zenodo. https://doi.org/10.5281/zenodo.20336817</w:t>
      </w:r>
    </w:p>
    <w:p>
      <w:pPr>
        <w:spacing w:after="80"/>
        <w:ind w:left="504" w:hanging="504"/>
        <w:jc w:val="left"/>
      </w:pPr>
      <w:r>
        <w:rPr>
          <w:sz w:val="20"/>
        </w:rPr>
        <w:t>Copeland, C. W. (2026d). Confidence without verification: Verification-lagged workflow dependence in generative AI systems. Zenodo. https://doi.org/10.5281/zenodo.20018290</w:t>
      </w:r>
    </w:p>
    <w:p>
      <w:pPr>
        <w:spacing w:after="80"/>
        <w:ind w:left="504" w:hanging="504"/>
        <w:jc w:val="left"/>
      </w:pPr>
      <w:r>
        <w:rPr>
          <w:sz w:val="20"/>
        </w:rPr>
        <w:t>Copeland, C. W. (2026e). Coherence without access: Layered constraint, unfaithful self-report, and the overtrusted explanation problem. Zenodo. https://doi.org/10.5281/zenodo.18990519</w:t>
      </w:r>
    </w:p>
    <w:p>
      <w:pPr>
        <w:spacing w:after="80"/>
        <w:ind w:left="504" w:hanging="504"/>
        <w:jc w:val="left"/>
      </w:pPr>
      <w:r>
        <w:rPr>
          <w:sz w:val="20"/>
        </w:rPr>
        <w:t>Copeland, C. W. (2026f). Toward a legibility-first interpretation framework: Governance-orientation principles, formal specification layer, and institutional assessment instruments. Zenodo. https://doi.org/10.5281/zenodo.19370395</w:t>
      </w:r>
    </w:p>
    <w:p>
      <w:pPr>
        <w:spacing w:after="80"/>
        <w:ind w:left="504" w:hanging="504"/>
        <w:jc w:val="left"/>
      </w:pPr>
      <w:r>
        <w:rPr>
          <w:sz w:val="20"/>
        </w:rPr>
        <w:t>Copeland, C. W. (2026g). Copeland Ontologic Registry 0w-0019: A revision-tracked meta-ontology for cross-domain legibility analysis. Zenodo. https://doi.org/10.5281/zenodo.20389858</w:t>
      </w:r>
    </w:p>
    <w:p>
      <w:pPr>
        <w:spacing w:after="80"/>
        <w:ind w:left="504" w:hanging="504"/>
        <w:jc w:val="left"/>
      </w:pPr>
      <w:r>
        <w:rPr>
          <w:sz w:val="20"/>
        </w:rPr>
        <w:t>Croskerry, P. (2003). The importance of cognitive errors in diagnosis and strategies to minimize them. Academic Medicine, 78(8), 775-780. https://doi.org/10.1097/00001888-200308000-00003</w:t>
      </w:r>
    </w:p>
    <w:p>
      <w:pPr>
        <w:spacing w:after="80"/>
        <w:ind w:left="504" w:hanging="504"/>
        <w:jc w:val="left"/>
      </w:pPr>
      <w:r>
        <w:rPr>
          <w:sz w:val="20"/>
        </w:rPr>
        <w:t>Dekker, S. (2014). The field guide to understanding human error (3rd ed.). CRC Press.</w:t>
      </w:r>
    </w:p>
    <w:p>
      <w:pPr>
        <w:spacing w:after="80"/>
        <w:ind w:left="504" w:hanging="504"/>
        <w:jc w:val="left"/>
      </w:pPr>
      <w:r>
        <w:rPr>
          <w:sz w:val="20"/>
        </w:rPr>
        <w:t>Elkin, P. L., Beuscart-Zéphir, M.-C., Pelayo, S., Patel, V., &amp; Nøhr, C. (2013). The usability-error ontology. Studies in Health Technology and Informatics, 194, 91-96. https://doi.org/10.3233/978-1-61499-293-6-91</w:t>
      </w:r>
    </w:p>
    <w:p>
      <w:pPr>
        <w:spacing w:after="80"/>
        <w:ind w:left="504" w:hanging="504"/>
        <w:jc w:val="left"/>
      </w:pPr>
      <w:r>
        <w:rPr>
          <w:sz w:val="20"/>
        </w:rPr>
        <w:t>Ellis, C. A., Gibbs, S. J., &amp; Rein, G. L. (1991). Groupware: Some issues and experiences. Communications of the ACM, 34(1), 38-58. https://doi.org/10.1145/99977.99987</w:t>
      </w:r>
    </w:p>
    <w:p>
      <w:pPr>
        <w:spacing w:after="80"/>
        <w:ind w:left="504" w:hanging="504"/>
        <w:jc w:val="left"/>
      </w:pPr>
      <w:r>
        <w:rPr>
          <w:sz w:val="20"/>
        </w:rPr>
        <w:t>Graber, M. L., Franklin, N., &amp; Gordon, R. (2005). Diagnostic error in internal medicine. Archives of Internal Medicine, 165(13), 1493-1499. https://doi.org/10.1001/archinte.165.13.1493</w:t>
      </w:r>
    </w:p>
    <w:p>
      <w:pPr>
        <w:spacing w:after="80"/>
        <w:ind w:left="504" w:hanging="504"/>
        <w:jc w:val="left"/>
      </w:pPr>
      <w:r>
        <w:rPr>
          <w:sz w:val="20"/>
        </w:rPr>
        <w:t>Kim, P. H., Ferrin, D. L., Cooper, C. D., &amp; Dirks, K. T. (2004). Removing the shadow of suspicion: The effects of apology versus denial for repairing competence- versus integrity-based trust violations. Journal of Applied Psychology, 89(1), 104-118. https://doi.org/10.1037/0021-9010.89.1.104</w:t>
      </w:r>
    </w:p>
    <w:p>
      <w:pPr>
        <w:spacing w:after="80"/>
        <w:ind w:left="504" w:hanging="504"/>
        <w:jc w:val="left"/>
      </w:pPr>
      <w:r>
        <w:rPr>
          <w:sz w:val="20"/>
        </w:rPr>
        <w:t>Lee, J. D., &amp; See, K. A. (2004). Trust in automation: Designing for appropriate reliance. Human Factors, 46(1), 50-80. https://doi.org/10.1518/hfes.46.1.50_30392</w:t>
      </w:r>
    </w:p>
    <w:p>
      <w:pPr>
        <w:spacing w:after="80"/>
        <w:ind w:left="504" w:hanging="504"/>
        <w:jc w:val="left"/>
      </w:pPr>
      <w:r>
        <w:rPr>
          <w:sz w:val="20"/>
        </w:rPr>
        <w:t>Leveson, N. G. (2011). Engineering a safer world: Systems thinking applied to safety. MIT Press.</w:t>
      </w:r>
    </w:p>
    <w:p>
      <w:pPr>
        <w:spacing w:after="80"/>
        <w:ind w:left="504" w:hanging="504"/>
        <w:jc w:val="left"/>
      </w:pPr>
      <w:r>
        <w:rPr>
          <w:sz w:val="20"/>
        </w:rPr>
        <w:t>Li, S., Abel, M.-H., &amp; Negre, E. (2019). Towards a collaboration context ontology. In Proceedings of the 23rd IEEE International Conference on Computer Supported Cooperative Work in Design (CSCWD 2019) (pp. 93-98). IEEE. https://doi.org/10.1109/CSCWD.2019.8791845</w:t>
      </w:r>
    </w:p>
    <w:p>
      <w:pPr>
        <w:spacing w:after="80"/>
        <w:ind w:left="504" w:hanging="504"/>
        <w:jc w:val="left"/>
      </w:pPr>
      <w:r>
        <w:rPr>
          <w:sz w:val="20"/>
        </w:rPr>
        <w:t>Mayer, R. C., Davis, J. H., &amp; Schoorman, F. D. (1995). An integrative model of organizational trust. Academy of Management Review, 20(3), 709-734. https://doi.org/10.2307/258792</w:t>
      </w:r>
    </w:p>
    <w:p>
      <w:pPr>
        <w:spacing w:after="80"/>
        <w:ind w:left="504" w:hanging="504"/>
        <w:jc w:val="left"/>
      </w:pPr>
      <w:r>
        <w:rPr>
          <w:sz w:val="20"/>
        </w:rPr>
        <w:t>Mokkarala, P., Brixey, J., Johnson, T. R., Patel, V. L., Zhang, J., &amp; Turley, J. P. (2008). Development of a comprehensive medical error ontology. In K. Henriksen, J. B. Battles, M. A. Keyes, &amp; M. L. Grady (Eds.), Advances in patient safety: New directions and alternative approaches (Vol. 1). Agency for Healthcare Research and Quality. https://www.ncbi.nlm.nih.gov/books/NBK43635/</w:t>
      </w:r>
    </w:p>
    <w:p>
      <w:pPr>
        <w:spacing w:after="80"/>
        <w:ind w:left="504" w:hanging="504"/>
        <w:jc w:val="left"/>
      </w:pPr>
      <w:r>
        <w:rPr>
          <w:sz w:val="20"/>
        </w:rPr>
        <w:t>Morrison, E. W., &amp; Robinson, S. L. (1997). When employees feel betrayed: A model of how psychological contract violation develops. Academy of Management Review, 22(1), 226-256. https://doi.org/10.2307/259230</w:t>
      </w:r>
    </w:p>
    <w:p>
      <w:pPr>
        <w:spacing w:after="80"/>
        <w:ind w:left="504" w:hanging="504"/>
        <w:jc w:val="left"/>
      </w:pPr>
      <w:r>
        <w:rPr>
          <w:sz w:val="20"/>
        </w:rPr>
        <w:t>National Academies of Sciences, Engineering, and Medicine. (2015). Improving diagnosis in health care. National Academies Press. https://doi.org/10.17226/21794</w:t>
      </w:r>
    </w:p>
    <w:p>
      <w:pPr>
        <w:spacing w:after="80"/>
        <w:ind w:left="504" w:hanging="504"/>
        <w:jc w:val="left"/>
      </w:pPr>
      <w:r>
        <w:rPr>
          <w:sz w:val="20"/>
        </w:rPr>
        <w:t>Oliveira, F. F., Antunes, J. C. P., &amp; Guizzardi, R. S. S. (2007). Towards a collaboration ontology [Unpublished manuscript]. zAgile Inc.; Federal University of Espírito Santo.</w:t>
      </w:r>
    </w:p>
    <w:p>
      <w:pPr>
        <w:spacing w:after="80"/>
        <w:ind w:left="504" w:hanging="504"/>
        <w:jc w:val="left"/>
      </w:pPr>
      <w:r>
        <w:rPr>
          <w:sz w:val="20"/>
        </w:rPr>
        <w:t>Parasuraman, R., &amp; Riley, V. (1997). Humans and automation: Use, misuse, disuse, abuse. Human Factors, 39(2), 230-253. https://doi.org/10.1518/001872097778543886</w:t>
      </w:r>
    </w:p>
    <w:p>
      <w:pPr>
        <w:spacing w:after="80"/>
        <w:ind w:left="504" w:hanging="504"/>
        <w:jc w:val="left"/>
      </w:pPr>
      <w:r>
        <w:rPr>
          <w:sz w:val="20"/>
        </w:rPr>
        <w:t>Rasmussen, J. (1997). Risk management in a dynamic society: A modelling problem. Safety Science, 27(2-3), 183-213. https://doi.org/10.1016/S0925-7535(97)00052-0</w:t>
      </w:r>
    </w:p>
    <w:p>
      <w:pPr>
        <w:spacing w:after="80"/>
        <w:ind w:left="504" w:hanging="504"/>
        <w:jc w:val="left"/>
      </w:pPr>
      <w:r>
        <w:rPr>
          <w:sz w:val="20"/>
        </w:rPr>
        <w:t>Reason, J. (1997). Managing the risks of organizational accidents. Ashgate.</w:t>
      </w:r>
    </w:p>
    <w:p>
      <w:pPr>
        <w:spacing w:after="80"/>
        <w:ind w:left="504" w:hanging="504"/>
        <w:jc w:val="left"/>
      </w:pPr>
      <w:r>
        <w:rPr>
          <w:sz w:val="20"/>
        </w:rPr>
        <w:t>Reason, J. (2000). Human error: Models and management. BMJ, 320(7237), 768-770. https://doi.org/10.1136/bmj.320.7237.768</w:t>
      </w:r>
    </w:p>
    <w:p>
      <w:pPr>
        <w:spacing w:after="80"/>
        <w:ind w:left="504" w:hanging="504"/>
        <w:jc w:val="left"/>
      </w:pPr>
      <w:r>
        <w:rPr>
          <w:sz w:val="20"/>
        </w:rPr>
        <w:t>Rousseau, D. M. (1995). Psychological contracts in organizations: Understanding written and unwritten agreements. Sage.</w:t>
      </w:r>
    </w:p>
    <w:p>
      <w:pPr>
        <w:spacing w:after="80"/>
        <w:ind w:left="504" w:hanging="504"/>
        <w:jc w:val="left"/>
      </w:pPr>
      <w:r>
        <w:rPr>
          <w:sz w:val="20"/>
        </w:rPr>
        <w:t>Rousseau, D. M., Sitkin, S. B., Burt, R. S., &amp; Camerer, C. (1998). Not so different after all: A cross-discipline view of trust. Academy of Management Review, 23(3), 393-404. https://doi.org/10.5465/amr.1998.926617</w:t>
      </w:r>
    </w:p>
    <w:p>
      <w:pPr>
        <w:spacing w:after="80"/>
        <w:ind w:left="504" w:hanging="504"/>
        <w:jc w:val="left"/>
      </w:pPr>
      <w:r>
        <w:rPr>
          <w:sz w:val="20"/>
        </w:rPr>
        <w:t>Sales, T. P., Baião, F., Guizzardi, G., Almeida, J. P. A., Guarino, N., &amp; Mylopoulos, J. (2018). The common ontology of value and risk. In Proceedings of the 37th International Conference on Conceptual Modeling (ER 2018).</w:t>
      </w:r>
    </w:p>
    <w:p>
      <w:pPr>
        <w:spacing w:after="80"/>
        <w:ind w:left="504" w:hanging="504"/>
        <w:jc w:val="left"/>
      </w:pPr>
      <w:r>
        <w:rPr>
          <w:sz w:val="20"/>
        </w:rPr>
        <w:t>Schiff, G. D., Hasan, O., Kim, S., Abrams, R., Cosby, K., Lambert, B. L., Elstein, A. S., Hasler, S., Kabongo, M. L., Krosnjar, N., Odwazny, R., Wisniewski, M. F., &amp; McNutt, R. A. (2009). Diagnostic error in medicine: Analysis of 583 physician-reported errors. Archives of Internal Medicine, 169(20), 1881-1887. https://doi.org/10.1001/archinternmed.2009.333</w:t>
      </w:r>
    </w:p>
    <w:p>
      <w:pPr>
        <w:spacing w:after="80"/>
        <w:ind w:left="504" w:hanging="504"/>
        <w:jc w:val="left"/>
      </w:pPr>
      <w:r>
        <w:rPr>
          <w:sz w:val="20"/>
        </w:rPr>
        <w:t>Schoorman, F. D., Mayer, R. C., &amp; Davis, J. H. (2007). An integrative model of organizational trust: Past, present, and future. Academy of Management Review, 32(2), 344-354. https://doi.org/10.5465/amr.2007.24348410</w:t>
      </w:r>
    </w:p>
    <w:p>
      <w:pPr>
        <w:spacing w:after="80"/>
        <w:ind w:left="504" w:hanging="504"/>
        <w:jc w:val="left"/>
      </w:pPr>
      <w:r>
        <w:rPr>
          <w:sz w:val="20"/>
        </w:rPr>
        <w:t>Skitka, L. J., Mosier, K. L., &amp; Burdick, M. (1999). Does automation bias decision-making? International Journal of Human-Computer Studies, 51(5), 991-1006. https://doi.org/10.1006/ijhc.1999.0252</w:t>
      </w:r>
    </w:p>
    <w:p>
      <w:pPr>
        <w:spacing w:after="80"/>
        <w:ind w:left="504" w:hanging="504"/>
        <w:jc w:val="left"/>
      </w:pPr>
      <w:r>
        <w:rPr>
          <w:sz w:val="20"/>
        </w:rPr>
        <w:t>Smart, P., Fair, N., &amp; Boniface, M. (n.d.). Understanding the burden of illness: Steps towards an ontology of patient experience [Unpublished manuscript].</w:t>
      </w:r>
    </w:p>
    <w:p>
      <w:pPr>
        <w:spacing w:after="80"/>
        <w:ind w:left="504" w:hanging="504"/>
        <w:jc w:val="left"/>
      </w:pPr>
      <w:r>
        <w:rPr>
          <w:sz w:val="20"/>
        </w:rPr>
        <w:t>Zhou, K., Hwang, J. D., Ren, X., Dziri, N., Jurafsky, D., &amp; Sap, M. (2024). Rel-A.I.: An interaction-centered approach to measuring human-LM reliance. arXiv. https://arxiv.org/abs/2407.07950</w:t>
      </w:r>
    </w:p>
    <w:sectPr w:rsidR="00FC693F" w:rsidRPr="0006063C" w:rsidSect="00034616">
      <w:footerReference w:type="default" r:id="rId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spacing w:line="240" w:lineRule="auto"/>
      <w:jc w:val="right"/>
    </w:pPr>
    <w:r>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eastAsia="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eastAsia="Times New Roman"/>
      <w:b/>
      <w:bCs/>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eastAsia="Times New Roman"/>
      <w:b/>
      <w:bCs/>
      <w:sz w:val="24"/>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Times New Roman" w:hAnsi="Times New Roman" w:eastAsia="Times New Roman"/>
      <w:b/>
      <w:bCs/>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rPr>
      <w:rFonts w:ascii="Times New Roman" w:hAnsi="Times New Roman" w:eastAsia="Times New Roman"/>
      <w:sz w:val="24"/>
    </w:r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rPr>
      <w:rFonts w:ascii="Times New Roman" w:hAnsi="Times New Roman" w:eastAsia="Times New Roman"/>
      <w:sz w:val="24"/>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When Reliance Becomes Unsafe</dc:title>
  <dc:subject/>
  <dc:creator>Christopher W. Copeland</dc:creator>
  <cp:keywords/>
  <dc:description>generated by python-docx</dc:description>
  <cp:lastModifiedBy/>
  <cp:revision>1</cp:revision>
  <dcterms:created xsi:type="dcterms:W3CDTF">2013-12-23T23:15:00Z</dcterms:created>
  <dcterms:modified xsi:type="dcterms:W3CDTF">2013-12-23T23:15:00Z</dcterms:modified>
  <cp:category/>
</cp:coreProperties>
</file>