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before="80"/>
      </w:pPr>
      <w:r>
        <w:t xml:space="preserve"/>
      </w:r>
    </w:p>
    <w:p>
      <w:pPr>
        <w:spacing w:after="80" w:before="80"/>
      </w:pPr>
      <w:r>
        <w:t xml:space="preserve"/>
      </w:r>
    </w:p>
    <w:p>
      <w:pPr>
        <w:pBdr>
          <w:bottom w:val="single" w:color="1A5276" w:sz="12" w:space="8"/>
        </w:pBdr>
        <w:spacing w:after="120" w:before="480"/>
        <w:jc w:val="center"/>
      </w:pPr>
      <w:r>
        <w:rPr>
          <w:rFonts w:ascii="Arial" w:cs="Arial" w:eastAsia="Arial" w:hAnsi="Arial"/>
          <w:b/>
          <w:bCs/>
          <w:color w:val="1A5276"/>
          <w:sz w:val="52"/>
          <w:szCs w:val="52"/>
        </w:rPr>
        <w:t xml:space="preserve">SABU DISC HYDRO-OSCILLATOR</w:t>
      </w:r>
    </w:p>
    <w:p>
      <w:pPr>
        <w:spacing w:after="80" w:before="120"/>
        <w:jc w:val="center"/>
      </w:pPr>
      <w:r>
        <w:rPr>
          <w:rFonts w:ascii="Arial" w:cs="Arial" w:eastAsia="Arial" w:hAnsi="Arial"/>
          <w:i/>
          <w:iCs/>
          <w:color w:val="2874A6"/>
          <w:sz w:val="32"/>
          <w:szCs w:val="32"/>
        </w:rPr>
        <w:t xml:space="preserve">Application of Oscillating Pulsed Impeller Technology</w:t>
      </w:r>
    </w:p>
    <w:p>
      <w:pPr>
        <w:spacing w:after="40" w:before="40"/>
        <w:jc w:val="center"/>
      </w:pPr>
      <w:r>
        <w:rPr>
          <w:rFonts w:ascii="Arial" w:cs="Arial" w:eastAsia="Arial" w:hAnsi="Arial"/>
          <w:i/>
          <w:iCs/>
          <w:color w:val="2874A6"/>
          <w:sz w:val="32"/>
          <w:szCs w:val="32"/>
        </w:rPr>
        <w:t xml:space="preserve">to Hydroelectric Turbine Partial-Load Vibration Suppression</w:t>
      </w:r>
    </w:p>
    <w:p>
      <w:pPr>
        <w:spacing w:after="80" w:before="80"/>
      </w:pPr>
      <w:r>
        <w:t xml:space="preserve"/>
      </w:r>
    </w:p>
    <w:p>
      <w:pPr>
        <w:spacing w:after="80" w:before="80"/>
        <w:jc w:val="center"/>
      </w:pPr>
      <w:r>
        <w:rPr>
          <w:rFonts w:ascii="Arial" w:cs="Arial" w:eastAsia="Arial" w:hAnsi="Arial"/>
          <w:b/>
          <w:bCs/>
          <w:color w:val="555555"/>
          <w:sz w:val="24"/>
          <w:szCs w:val="24"/>
        </w:rPr>
        <w:t xml:space="preserve">Concept Specification &amp; Patent Extension Framework</w:t>
      </w:r>
    </w:p>
    <w:p>
      <w:pPr>
        <w:spacing w:after="80" w:before="80"/>
      </w:pPr>
      <w:r>
        <w:t xml:space="preserve"/>
      </w:r>
    </w:p>
    <w:tbl>
      <w:tblPr>
        <w:tblW w:type="dxa" w:w="7200"/>
        <w:jc w:val="center"/>
        <w:tblBorders>
          <w:top w:val="single" w:color="auto" w:sz="4"/>
          <w:left w:val="single" w:color="auto" w:sz="4"/>
          <w:bottom w:val="single" w:color="auto" w:sz="4"/>
          <w:right w:val="single" w:color="auto" w:sz="4"/>
          <w:insideH w:val="single" w:color="auto" w:sz="4"/>
          <w:insideV w:val="single" w:color="auto" w:sz="4"/>
        </w:tblBorders>
      </w:tblPr>
      <w:tblGrid>
        <w:gridCol w:w="2800"/>
        <w:gridCol w:w="4400"/>
      </w:tblGrid>
      <w:tr>
        <w:tc>
          <w:tcPr>
            <w:tcW w:type="dxa" w:w="2800"/>
            <w:tcBorders>
              <w:top w:val="single" w:color="BBBBBB" w:sz="1"/>
              <w:left w:val="single" w:color="BBBBBB" w:sz="1"/>
              <w:bottom w:val="single" w:color="BBBBBB" w:sz="1"/>
              <w:right w:val="single" w:color="BBBBBB" w:sz="1"/>
            </w:tcBorders>
            <w:shd w:fill="D6EAF8" w:val="clear"/>
            <w:tcMar>
              <w:top w:type="dxa" w:w="80"/>
              <w:left w:type="dxa" w:w="120"/>
              <w:bottom w:type="dxa" w:w="80"/>
              <w:right w:type="dxa" w:w="120"/>
            </w:tcMar>
          </w:tcPr>
          <w:p>
            <w:r>
              <w:rPr>
                <w:rFonts w:ascii="Arial" w:cs="Arial" w:eastAsia="Arial" w:hAnsi="Arial"/>
                <w:b/>
                <w:bCs/>
                <w:sz w:val="20"/>
                <w:szCs w:val="20"/>
              </w:rPr>
              <w:t xml:space="preserve">Originator</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Josef Laspina — MotoHov Industries / LTT</w:t>
            </w:r>
          </w:p>
        </w:tc>
      </w:tr>
      <w:tr>
        <w:tc>
          <w:tcPr>
            <w:tcW w:type="dxa" w:w="2800"/>
            <w:tcBorders>
              <w:top w:val="single" w:color="BBBBBB" w:sz="1"/>
              <w:left w:val="single" w:color="BBBBBB" w:sz="1"/>
              <w:bottom w:val="single" w:color="BBBBBB" w:sz="1"/>
              <w:right w:val="single" w:color="BBBBBB" w:sz="1"/>
            </w:tcBorders>
            <w:shd w:fill="D6EAF8" w:val="clear"/>
            <w:tcMar>
              <w:top w:type="dxa" w:w="80"/>
              <w:left w:type="dxa" w:w="120"/>
              <w:bottom w:type="dxa" w:w="80"/>
              <w:right w:type="dxa" w:w="120"/>
            </w:tcMar>
          </w:tcPr>
          <w:p>
            <w:r>
              <w:rPr>
                <w:rFonts w:ascii="Arial" w:cs="Arial" w:eastAsia="Arial" w:hAnsi="Arial"/>
                <w:b/>
                <w:bCs/>
                <w:sz w:val="20"/>
                <w:szCs w:val="20"/>
              </w:rPr>
              <w:t xml:space="preserve">Framework</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Levitation Transport Technologies (LTT)</w:t>
            </w:r>
          </w:p>
        </w:tc>
      </w:tr>
      <w:tr>
        <w:tc>
          <w:tcPr>
            <w:tcW w:type="dxa" w:w="2800"/>
            <w:tcBorders>
              <w:top w:val="single" w:color="BBBBBB" w:sz="1"/>
              <w:left w:val="single" w:color="BBBBBB" w:sz="1"/>
              <w:bottom w:val="single" w:color="BBBBBB" w:sz="1"/>
              <w:right w:val="single" w:color="BBBBBB" w:sz="1"/>
            </w:tcBorders>
            <w:shd w:fill="D6EAF8" w:val="clear"/>
            <w:tcMar>
              <w:top w:type="dxa" w:w="80"/>
              <w:left w:type="dxa" w:w="120"/>
              <w:bottom w:type="dxa" w:w="80"/>
              <w:right w:type="dxa" w:w="120"/>
            </w:tcMar>
          </w:tcPr>
          <w:p>
            <w:r>
              <w:rPr>
                <w:rFonts w:ascii="Arial" w:cs="Arial" w:eastAsia="Arial" w:hAnsi="Arial"/>
                <w:b/>
                <w:bCs/>
                <w:sz w:val="20"/>
                <w:szCs w:val="20"/>
              </w:rPr>
              <w:t xml:space="preserve">Document Ref.</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LTT-HYDRO-SD-001 Rev. 1.0</w:t>
            </w:r>
          </w:p>
        </w:tc>
      </w:tr>
      <w:tr>
        <w:tc>
          <w:tcPr>
            <w:tcW w:type="dxa" w:w="2800"/>
            <w:tcBorders>
              <w:top w:val="single" w:color="BBBBBB" w:sz="1"/>
              <w:left w:val="single" w:color="BBBBBB" w:sz="1"/>
              <w:bottom w:val="single" w:color="BBBBBB" w:sz="1"/>
              <w:right w:val="single" w:color="BBBBBB" w:sz="1"/>
            </w:tcBorders>
            <w:shd w:fill="D6EAF8" w:val="clear"/>
            <w:tcMar>
              <w:top w:type="dxa" w:w="80"/>
              <w:left w:type="dxa" w:w="120"/>
              <w:bottom w:type="dxa" w:w="80"/>
              <w:right w:type="dxa" w:w="120"/>
            </w:tcMar>
          </w:tcPr>
          <w:p>
            <w:r>
              <w:rPr>
                <w:rFonts w:ascii="Arial" w:cs="Arial" w:eastAsia="Arial" w:hAnsi="Arial"/>
                <w:b/>
                <w:bCs/>
                <w:sz w:val="20"/>
                <w:szCs w:val="20"/>
              </w:rPr>
              <w:t xml:space="preserve">Date</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June 2026</w:t>
            </w:r>
          </w:p>
        </w:tc>
      </w:tr>
      <w:tr>
        <w:tc>
          <w:tcPr>
            <w:tcW w:type="dxa" w:w="2800"/>
            <w:tcBorders>
              <w:top w:val="single" w:color="BBBBBB" w:sz="1"/>
              <w:left w:val="single" w:color="BBBBBB" w:sz="1"/>
              <w:bottom w:val="single" w:color="BBBBBB" w:sz="1"/>
              <w:right w:val="single" w:color="BBBBBB" w:sz="1"/>
            </w:tcBorders>
            <w:shd w:fill="D6EAF8" w:val="clear"/>
            <w:tcMar>
              <w:top w:type="dxa" w:w="80"/>
              <w:left w:type="dxa" w:w="120"/>
              <w:bottom w:type="dxa" w:w="80"/>
              <w:right w:type="dxa" w:w="120"/>
            </w:tcMar>
          </w:tcPr>
          <w:p>
            <w:r>
              <w:rPr>
                <w:rFonts w:ascii="Arial" w:cs="Arial" w:eastAsia="Arial" w:hAnsi="Arial"/>
                <w:b/>
                <w:bCs/>
                <w:sz w:val="20"/>
                <w:szCs w:val="20"/>
              </w:rPr>
              <w:t xml:space="preserve">Status</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Concept Specification — For Engineering Review</w:t>
            </w:r>
          </w:p>
        </w:tc>
      </w:tr>
      <w:tr>
        <w:tc>
          <w:tcPr>
            <w:tcW w:type="dxa" w:w="2800"/>
            <w:tcBorders>
              <w:top w:val="single" w:color="BBBBBB" w:sz="1"/>
              <w:left w:val="single" w:color="BBBBBB" w:sz="1"/>
              <w:bottom w:val="single" w:color="BBBBBB" w:sz="1"/>
              <w:right w:val="single" w:color="BBBBBB" w:sz="1"/>
            </w:tcBorders>
            <w:shd w:fill="D6EAF8" w:val="clear"/>
            <w:tcMar>
              <w:top w:type="dxa" w:w="80"/>
              <w:left w:type="dxa" w:w="120"/>
              <w:bottom w:type="dxa" w:w="80"/>
              <w:right w:type="dxa" w:w="120"/>
            </w:tcMar>
          </w:tcPr>
          <w:p>
            <w:r>
              <w:rPr>
                <w:rFonts w:ascii="Arial" w:cs="Arial" w:eastAsia="Arial" w:hAnsi="Arial"/>
                <w:b/>
                <w:bCs/>
                <w:sz w:val="20"/>
                <w:szCs w:val="20"/>
              </w:rPr>
              <w:t xml:space="preserve">Basis</w:t>
            </w:r>
          </w:p>
        </w:tc>
        <w:tc>
          <w:tcPr>
            <w:tcW w:type="dxa" w:w="6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Sabu Disc Oscillating Impeller Patent (Jet Ski Application)</w:t>
            </w:r>
          </w:p>
        </w:tc>
      </w:tr>
    </w:tbl>
    <w:p>
      <w:pPr>
        <w:spacing w:after="80" w:before="80"/>
      </w:pPr>
      <w:r>
        <w:t xml:space="preserve"/>
      </w:r>
    </w:p>
    <w:p>
      <w:pPr>
        <w:spacing w:after="80" w:before="80"/>
      </w:pPr>
      <w:r>
        <w:t xml:space="preserve"/>
      </w:r>
    </w:p>
    <w:p>
      <w:pPr>
        <w:spacing w:after="80" w:before="80"/>
      </w:pPr>
      <w:r>
        <w:t xml:space="preserve"/>
      </w:r>
    </w:p>
    <w:p>
      <w:pPr>
        <w:pStyle w:val="Heading1"/>
        <w:pBdr>
          <w:bottom w:val="single" w:color="1A5276" w:sz="6" w:space="4"/>
        </w:pBdr>
        <w:spacing w:after="180" w:before="360"/>
      </w:pPr>
      <w:r>
        <w:rPr>
          <w:rFonts w:ascii="Arial" w:cs="Arial" w:eastAsia="Arial" w:hAnsi="Arial"/>
          <w:b/>
          <w:bCs/>
          <w:color w:val="1A5276"/>
          <w:sz w:val="32"/>
          <w:szCs w:val="32"/>
        </w:rPr>
        <w:t xml:space="preserve">1. Executive Summary</w:t>
      </w:r>
    </w:p>
    <w:p>
      <w:pPr>
        <w:spacing w:after="100" w:before="80"/>
        <w:jc w:val="both"/>
      </w:pPr>
      <w:r>
        <w:rPr>
          <w:rFonts w:ascii="Arial" w:cs="Arial" w:eastAsia="Arial" w:hAnsi="Arial"/>
          <w:b w:val="false"/>
          <w:bCs w:val="false"/>
          <w:i w:val="false"/>
          <w:iCs w:val="false"/>
          <w:color w:val="000000"/>
          <w:sz w:val="22"/>
          <w:szCs w:val="22"/>
        </w:rPr>
        <w:t xml:space="preserve">This document proposes the application of the Sabu Disc oscillating-impeller propulsion principle — originally developed for jet ski application by MotoHov Industries — to the persistent problem of partial-load vibration and cavitation fatigue in large-scale hydroelectric turbines. The core insight is that the same pulsed, phase-controlled flow management that eliminates mechanical wear in marine propulsion can be re-configured as an active flow-conditioning system within the draft tube of Francis and Kaplan turbines, directly targeting the vortex rope regime that dominates turbine damage at approximately 45% rated power output.</w:t>
      </w:r>
    </w:p>
    <w:p>
      <w:pPr>
        <w:spacing w:after="80" w:before="80"/>
      </w:pPr>
      <w:r>
        <w:t xml:space="preserve"/>
      </w:r>
    </w:p>
    <w:p>
      <w:pPr>
        <w:spacing w:after="100" w:before="80"/>
        <w:jc w:val="both"/>
      </w:pPr>
      <w:r>
        <w:rPr>
          <w:rFonts w:ascii="Arial" w:cs="Arial" w:eastAsia="Arial" w:hAnsi="Arial"/>
          <w:b w:val="false"/>
          <w:bCs w:val="false"/>
          <w:i w:val="false"/>
          <w:iCs w:val="false"/>
          <w:color w:val="000000"/>
          <w:sz w:val="22"/>
          <w:szCs w:val="22"/>
        </w:rPr>
        <w:t xml:space="preserve">The proposal advances two complementary interventions: (1) a passive composite damping upgrade to vibration-critical fixtures using Composite One / Composite Two equivalents, and (2) an active Sabu Disc Hydro-Oscillator (SDHO) module — a large-scale oscillating multi-lobed flow disc installed downstream of the runner in the draft tube, driven by a closed-loop electro-hydraulic actuator with sensor-derived feedback. Together these address root causes rather than symptoms, offer a retrofit path for existing plant, and constitute a defensible novel patent domain extension from the originator's prior jet ski IP.</w:t>
      </w:r>
    </w:p>
    <w:p>
      <w:pPr>
        <w:pStyle w:val="Heading1"/>
        <w:pBdr>
          <w:bottom w:val="single" w:color="1A5276" w:sz="6" w:space="4"/>
        </w:pBdr>
        <w:spacing w:after="180" w:before="360"/>
      </w:pPr>
      <w:r>
        <w:rPr>
          <w:rFonts w:ascii="Arial" w:cs="Arial" w:eastAsia="Arial" w:hAnsi="Arial"/>
          <w:b/>
          <w:bCs/>
          <w:color w:val="1A5276"/>
          <w:sz w:val="32"/>
          <w:szCs w:val="32"/>
        </w:rPr>
        <w:t xml:space="preserve">2. The 45% Load Problem in Francis and Kaplan Turbines</w:t>
      </w:r>
    </w:p>
    <w:p>
      <w:pPr>
        <w:pStyle w:val="Heading2"/>
        <w:spacing w:after="120" w:before="280"/>
      </w:pPr>
      <w:r>
        <w:rPr>
          <w:rFonts w:ascii="Arial" w:cs="Arial" w:eastAsia="Arial" w:hAnsi="Arial"/>
          <w:b/>
          <w:bCs/>
          <w:color w:val="1F618D"/>
          <w:sz w:val="26"/>
          <w:szCs w:val="26"/>
        </w:rPr>
        <w:t xml:space="preserve">2.1 Operating Regime and Root Cause</w:t>
      </w:r>
    </w:p>
    <w:p>
      <w:pPr>
        <w:spacing w:after="100" w:before="80"/>
        <w:jc w:val="both"/>
      </w:pPr>
      <w:r>
        <w:rPr>
          <w:rFonts w:ascii="Arial" w:cs="Arial" w:eastAsia="Arial" w:hAnsi="Arial"/>
          <w:b w:val="false"/>
          <w:bCs w:val="false"/>
          <w:i w:val="false"/>
          <w:iCs w:val="false"/>
          <w:color w:val="000000"/>
          <w:sz w:val="22"/>
          <w:szCs w:val="22"/>
        </w:rPr>
        <w:t xml:space="preserve">Large hydroelectric units are designed for maximum efficiency at or near full rated power. However, grid operators routinely demand partial-load operation — often sustained in the 40–55% rated-power band — during off-peak periods, frequency regulation, and variable renewable integration. At approximately 45% rated power, Francis and Kaplan runners operate substantially off their best-efficiency point (BEP), producing a well-characterised suite of hydrodynamic instabilities:</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3160"/>
        <w:gridCol w:w="3200"/>
      </w:tblGrid>
      <w:tr>
        <w:trPr>
          <w:tblHeader/>
        </w:trPr>
        <w:tc>
          <w:tcPr>
            <w:tcW w:type="dxa" w:w="300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Phenomenon</w:t>
            </w:r>
          </w:p>
        </w:tc>
        <w:tc>
          <w:tcPr>
            <w:tcW w:type="dxa" w:w="316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Mechanism</w:t>
            </w:r>
          </w:p>
        </w:tc>
        <w:tc>
          <w:tcPr>
            <w:tcW w:type="dxa" w:w="320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Engineering Consequence</w:t>
            </w:r>
          </w:p>
        </w:tc>
      </w:tr>
      <w:tr>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sz w:val="20"/>
                <w:szCs w:val="20"/>
              </w:rPr>
              <w:t xml:space="preserve">Draft Tube Vortex Rope</w:t>
            </w:r>
          </w:p>
        </w:tc>
        <w:tc>
          <w:tcPr>
            <w:tcW w:type="dxa" w:w="3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Residual swirl from runner exit forms helical precessing vortex at 0.2–0.4× runner frequency</w:t>
            </w:r>
          </w:p>
        </w:tc>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Pressure pulsations 10–25% of net head; cyclic loading on stay vanes, guide vanes, casing</w:t>
            </w:r>
          </w:p>
        </w:tc>
      </w:tr>
      <w:tr>
        <w:tc>
          <w:tcPr>
            <w:tcW w:type="dxa" w:w="30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b/>
                <w:bCs/>
                <w:sz w:val="20"/>
                <w:szCs w:val="20"/>
              </w:rPr>
              <w:t xml:space="preserve">Runner Blade Cavitation</w:t>
            </w:r>
          </w:p>
        </w:tc>
        <w:tc>
          <w:tcPr>
            <w:tcW w:type="dxa" w:w="316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Local pressure minima at blade leading edge fall below vapour pressure</w:t>
            </w:r>
          </w:p>
        </w:tc>
        <w:tc>
          <w:tcPr>
            <w:tcW w:type="dxa" w:w="32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Pitting erosion of runner material; shortened overhaul cycle</w:t>
            </w:r>
          </w:p>
        </w:tc>
      </w:tr>
      <w:tr>
        <w:tc>
          <w:tcPr>
            <w:tcW w:type="dxa" w:w="30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sz w:val="20"/>
                <w:szCs w:val="20"/>
              </w:rPr>
              <w:t xml:space="preserve">Structural Resonance</w:t>
            </w:r>
          </w:p>
        </w:tc>
        <w:tc>
          <w:tcPr>
            <w:tcW w:type="dxa" w:w="31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Vortex rope excitation frequency locks onto structural natural frequencies of spiral casing or draft tube</w:t>
            </w:r>
          </w:p>
        </w:tc>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Fatigue crack initiation at welded fixtures, access platforms, anchor bolts</w:t>
            </w:r>
          </w:p>
        </w:tc>
      </w:tr>
      <w:tr>
        <w:tc>
          <w:tcPr>
            <w:tcW w:type="dxa" w:w="30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b/>
                <w:bCs/>
                <w:sz w:val="20"/>
                <w:szCs w:val="20"/>
              </w:rPr>
              <w:t xml:space="preserve">Guide Vane Fatigue</w:t>
            </w:r>
          </w:p>
        </w:tc>
        <w:tc>
          <w:tcPr>
            <w:tcW w:type="dxa" w:w="316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Rotor-stator interaction and swirl-induced pressure waves</w:t>
            </w:r>
          </w:p>
        </w:tc>
        <w:tc>
          <w:tcPr>
            <w:tcW w:type="dxa" w:w="32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Trunnion seal wear; crack propagation in vane stems</w:t>
            </w:r>
          </w:p>
        </w:tc>
      </w:tr>
    </w:tbl>
    <w:p>
      <w:pPr>
        <w:spacing w:after="80" w:before="80"/>
      </w:pPr>
      <w:r>
        <w:t xml:space="preserve"/>
      </w:r>
    </w:p>
    <w:p>
      <w:pPr>
        <w:spacing w:after="100" w:before="80"/>
        <w:jc w:val="both"/>
      </w:pPr>
      <w:r>
        <w:rPr>
          <w:rFonts w:ascii="Arial" w:cs="Arial" w:eastAsia="Arial" w:hAnsi="Arial"/>
          <w:b w:val="false"/>
          <w:bCs w:val="false"/>
          <w:i w:val="false"/>
          <w:iCs w:val="false"/>
          <w:color w:val="000000"/>
          <w:sz w:val="22"/>
          <w:szCs w:val="22"/>
        </w:rPr>
        <w:t xml:space="preserve">The aggregate effect over a 30–50 year plant lifetime is significant: cyclic fatigue reduces designed structural life by a factor of 2–4 in plants regularly operated below 55% load. The industry currently mitigates this by avoidance (operational exclusion zones) or by costly replacement cycles. Neither approach solves the underlying hydraulic instability.</w:t>
      </w:r>
    </w:p>
    <w:p>
      <w:pPr>
        <w:pStyle w:val="Heading2"/>
        <w:spacing w:after="120" w:before="280"/>
      </w:pPr>
      <w:r>
        <w:rPr>
          <w:rFonts w:ascii="Arial" w:cs="Arial" w:eastAsia="Arial" w:hAnsi="Arial"/>
          <w:b/>
          <w:bCs/>
          <w:color w:val="1F618D"/>
          <w:sz w:val="26"/>
          <w:szCs w:val="26"/>
        </w:rPr>
        <w:t xml:space="preserve">2.2 Why Existing Solutions Are Insufficient</w:t>
      </w:r>
    </w:p>
    <w:p>
      <w:pPr>
        <w:spacing w:after="100" w:before="80"/>
        <w:jc w:val="both"/>
      </w:pPr>
      <w:r>
        <w:rPr>
          <w:rFonts w:ascii="Arial" w:cs="Arial" w:eastAsia="Arial" w:hAnsi="Arial"/>
          <w:b w:val="false"/>
          <w:bCs w:val="false"/>
          <w:i w:val="false"/>
          <w:iCs w:val="false"/>
          <w:color w:val="000000"/>
          <w:sz w:val="22"/>
          <w:szCs w:val="22"/>
        </w:rPr>
        <w:t xml:space="preserve">Current engineering responses include: air admission to draft tube (disrupts vortex rope but reduces efficiency and carries aeration risks), runner replacement with wider-range designs (expensive, long outage), water jets injected at the draft tube crown (partial suppression, plumbing complexity), and passive structural stiffening (does not reduce excitation, only shifts resonance frequencies). None deliver active, real-time suppression of the vortex rope itself.</w:t>
      </w:r>
    </w:p>
    <w:p>
      <w:pPr>
        <w:pStyle w:val="Heading1"/>
        <w:pBdr>
          <w:bottom w:val="single" w:color="1A5276" w:sz="6" w:space="4"/>
        </w:pBdr>
        <w:spacing w:after="180" w:before="360"/>
      </w:pPr>
      <w:r>
        <w:rPr>
          <w:rFonts w:ascii="Arial" w:cs="Arial" w:eastAsia="Arial" w:hAnsi="Arial"/>
          <w:b/>
          <w:bCs/>
          <w:color w:val="1A5276"/>
          <w:sz w:val="32"/>
          <w:szCs w:val="32"/>
        </w:rPr>
        <w:t xml:space="preserve">3. The Sabu Disc Oscillating Impeller — Technology Transfer Basis</w:t>
      </w:r>
    </w:p>
    <w:p>
      <w:pPr>
        <w:pStyle w:val="Heading2"/>
        <w:spacing w:after="120" w:before="280"/>
      </w:pPr>
      <w:r>
        <w:rPr>
          <w:rFonts w:ascii="Arial" w:cs="Arial" w:eastAsia="Arial" w:hAnsi="Arial"/>
          <w:b/>
          <w:bCs/>
          <w:color w:val="1F618D"/>
          <w:sz w:val="26"/>
          <w:szCs w:val="26"/>
        </w:rPr>
        <w:t xml:space="preserve">3.1 Originating Invention Summary</w:t>
      </w:r>
    </w:p>
    <w:p>
      <w:pPr>
        <w:spacing w:after="100" w:before="80"/>
        <w:jc w:val="both"/>
      </w:pPr>
      <w:r>
        <w:rPr>
          <w:rFonts w:ascii="Arial" w:cs="Arial" w:eastAsia="Arial" w:hAnsi="Arial"/>
          <w:b w:val="false"/>
          <w:bCs w:val="false"/>
          <w:i w:val="false"/>
          <w:iCs w:val="false"/>
          <w:color w:val="000000"/>
          <w:sz w:val="22"/>
          <w:szCs w:val="22"/>
        </w:rPr>
        <w:t xml:space="preserve">The Sabu Disc oscillating impeller system (MotoHov Industries, Josef Laspina) was developed as a jet ski propulsion system in which a conventional rotary impeller is replaced by a concave tri-lobed disc driven by a reciprocating engine in pulsed axial oscillation. The system delivers superior thrust-to-weight ratio, eliminates cavitation through controlled pulse timing, reduces mechanical wear by removing continuous rotary contact, and provides adaptive thrust modulation through an integrated sensor-feedback loop (flow rate, pressure, vibration sensors embedded in the impeller chamber).</w:t>
      </w:r>
    </w:p>
    <w:p>
      <w:pPr>
        <w:spacing w:after="80" w:before="80"/>
      </w:pPr>
      <w:r>
        <w:t xml:space="preserve"/>
      </w:r>
    </w:p>
    <w:p>
      <w:pPr>
        <w:spacing w:after="100" w:before="80"/>
        <w:jc w:val="both"/>
      </w:pPr>
      <w:r>
        <w:rPr>
          <w:rFonts w:ascii="Arial" w:cs="Arial" w:eastAsia="Arial" w:hAnsi="Arial"/>
          <w:b w:val="false"/>
          <w:bCs w:val="false"/>
          <w:i w:val="false"/>
          <w:iCs w:val="false"/>
          <w:color w:val="000000"/>
          <w:sz w:val="22"/>
          <w:szCs w:val="22"/>
        </w:rPr>
        <w:t xml:space="preserve">Key transferable design elements are:</w:t>
      </w:r>
    </w:p>
    <w:p>
      <w:pPr>
        <w:pStyle w:val="ListParagraph"/>
        <w:numPr>
          <w:ilvl w:val="0"/>
          <w:numId w:val="2"/>
        </w:numPr>
        <w:spacing w:after="60" w:before="60"/>
      </w:pPr>
      <w:r>
        <w:rPr>
          <w:rFonts w:ascii="Arial" w:cs="Arial" w:eastAsia="Arial" w:hAnsi="Arial"/>
          <w:sz w:val="22"/>
          <w:szCs w:val="22"/>
        </w:rPr>
        <w:t xml:space="preserve">Pulsed, phase-controlled thrust generation rather than continuous rotation</w:t>
      </w:r>
    </w:p>
    <w:p>
      <w:pPr>
        <w:pStyle w:val="ListParagraph"/>
        <w:numPr>
          <w:ilvl w:val="0"/>
          <w:numId w:val="2"/>
        </w:numPr>
        <w:spacing w:after="60" w:before="60"/>
      </w:pPr>
      <w:r>
        <w:rPr>
          <w:rFonts w:ascii="Arial" w:cs="Arial" w:eastAsia="Arial" w:hAnsi="Arial"/>
          <w:sz w:val="22"/>
          <w:szCs w:val="22"/>
        </w:rPr>
        <w:t xml:space="preserve">Concave multi-lobed disc geometry with radial flow channels converting axial motion into directed fluid momentum</w:t>
      </w:r>
    </w:p>
    <w:p>
      <w:pPr>
        <w:pStyle w:val="ListParagraph"/>
        <w:numPr>
          <w:ilvl w:val="0"/>
          <w:numId w:val="2"/>
        </w:numPr>
        <w:spacing w:after="60" w:before="60"/>
      </w:pPr>
      <w:r>
        <w:rPr>
          <w:rFonts w:ascii="Arial" w:cs="Arial" w:eastAsia="Arial" w:hAnsi="Arial"/>
          <w:sz w:val="22"/>
          <w:szCs w:val="22"/>
        </w:rPr>
        <w:t xml:space="preserve">Multi-layer composite construction (Composite One structural skin + Composite Two damping interlayer) reducing vibration transmission and fatigue</w:t>
      </w:r>
    </w:p>
    <w:p>
      <w:pPr>
        <w:pStyle w:val="ListParagraph"/>
        <w:numPr>
          <w:ilvl w:val="0"/>
          <w:numId w:val="2"/>
        </w:numPr>
        <w:spacing w:after="60" w:before="60"/>
      </w:pPr>
      <w:r>
        <w:rPr>
          <w:rFonts w:ascii="Arial" w:cs="Arial" w:eastAsia="Arial" w:hAnsi="Arial"/>
          <w:sz w:val="22"/>
          <w:szCs w:val="22"/>
        </w:rPr>
        <w:t xml:space="preserve">Closed-loop sensor array enabling adaptive frequency and amplitude modulation in real time</w:t>
      </w:r>
    </w:p>
    <w:p>
      <w:pPr>
        <w:pStyle w:val="ListParagraph"/>
        <w:numPr>
          <w:ilvl w:val="0"/>
          <w:numId w:val="2"/>
        </w:numPr>
        <w:spacing w:after="60" w:before="60"/>
      </w:pPr>
      <w:r>
        <w:rPr>
          <w:rFonts w:ascii="Arial" w:cs="Arial" w:eastAsia="Arial" w:hAnsi="Arial"/>
          <w:sz w:val="22"/>
          <w:szCs w:val="22"/>
        </w:rPr>
        <w:t xml:space="preserve">Demonstrated elimination of cavitation through pressure-field control rather than geometric avoidance</w:t>
      </w:r>
    </w:p>
    <w:p>
      <w:pPr>
        <w:pStyle w:val="Heading2"/>
        <w:spacing w:after="120" w:before="280"/>
      </w:pPr>
      <w:r>
        <w:rPr>
          <w:rFonts w:ascii="Arial" w:cs="Arial" w:eastAsia="Arial" w:hAnsi="Arial"/>
          <w:b/>
          <w:bCs/>
          <w:color w:val="1F618D"/>
          <w:sz w:val="26"/>
          <w:szCs w:val="26"/>
        </w:rPr>
        <w:t xml:space="preserve">3.2 Analogical Mapping to the Hydroelectric Problem</w:t>
      </w:r>
    </w:p>
    <w:p>
      <w:pPr>
        <w:spacing w:after="100" w:before="80"/>
        <w:jc w:val="both"/>
      </w:pPr>
      <w:r>
        <w:rPr>
          <w:rFonts w:ascii="Arial" w:cs="Arial" w:eastAsia="Arial" w:hAnsi="Arial"/>
          <w:b w:val="false"/>
          <w:bCs w:val="false"/>
          <w:i w:val="false"/>
          <w:iCs w:val="false"/>
          <w:color w:val="000000"/>
          <w:sz w:val="22"/>
          <w:szCs w:val="22"/>
        </w:rPr>
        <w:t xml:space="preserve">The mapping between the jet ski problem and the hydroelectric problem is structurally direct:</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4680"/>
      </w:tblGrid>
      <w:tr>
        <w:trPr>
          <w:tblHeader/>
        </w:trPr>
        <w:tc>
          <w:tcPr>
            <w:tcW w:type="dxa" w:w="468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Jet Ski Domain (Originating)</w:t>
            </w:r>
          </w:p>
        </w:tc>
        <w:tc>
          <w:tcPr>
            <w:tcW w:type="dxa" w:w="468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Hydroelectric Domain (Target)</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Cavitation from continuous rotary impeller</w:t>
            </w:r>
          </w:p>
        </w:tc>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Cavitation from off-BEP runner operation and vortex rope</w:t>
            </w:r>
          </w:p>
        </w:tc>
      </w:tr>
      <w:tr>
        <w:tc>
          <w:tcPr>
            <w:tcW w:type="dxa" w:w="468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Vibration transmitted through rigid metallic impeller housing</w:t>
            </w:r>
          </w:p>
        </w:tc>
        <w:tc>
          <w:tcPr>
            <w:tcW w:type="dxa" w:w="468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Vibration transmitted through rigid steel/concrete draft tube and casing fixtures</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Pulsed oscillating disc breaks coherent pressure patterns</w:t>
            </w:r>
          </w:p>
        </w:tc>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Pulsed oscillating SDHO disc disrupts coherent vortex rope precession</w:t>
            </w:r>
          </w:p>
        </w:tc>
      </w:tr>
      <w:tr>
        <w:tc>
          <w:tcPr>
            <w:tcW w:type="dxa" w:w="468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Composite Two interlayer absorbs residual mechanical oscillation</w:t>
            </w:r>
          </w:p>
        </w:tc>
        <w:tc>
          <w:tcPr>
            <w:tcW w:type="dxa" w:w="468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Hydro-equivalent composite liner absorbs residual pulsation at draft tube wall</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Sensor array enables adaptive thrust modulation in real time</w:t>
            </w:r>
          </w:p>
        </w:tc>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Sensor array enables adaptive oscillation tuning to dominant vortex frequency</w:t>
            </w:r>
          </w:p>
        </w:tc>
      </w:tr>
    </w:tbl>
    <w:p>
      <w:pPr>
        <w:pStyle w:val="Heading1"/>
        <w:pBdr>
          <w:bottom w:val="single" w:color="1A5276" w:sz="6" w:space="4"/>
        </w:pBdr>
        <w:spacing w:after="180" w:before="360"/>
      </w:pPr>
      <w:r>
        <w:rPr>
          <w:rFonts w:ascii="Arial" w:cs="Arial" w:eastAsia="Arial" w:hAnsi="Arial"/>
          <w:b/>
          <w:bCs/>
          <w:color w:val="1A5276"/>
          <w:sz w:val="32"/>
          <w:szCs w:val="32"/>
        </w:rPr>
        <w:t xml:space="preserve">4. Sabu Disc Hydro-Oscillator (SDHO) — System Design</w:t>
      </w:r>
    </w:p>
    <w:p>
      <w:pPr>
        <w:pStyle w:val="Heading2"/>
        <w:spacing w:after="120" w:before="280"/>
      </w:pPr>
      <w:r>
        <w:rPr>
          <w:rFonts w:ascii="Arial" w:cs="Arial" w:eastAsia="Arial" w:hAnsi="Arial"/>
          <w:b/>
          <w:bCs/>
          <w:color w:val="1F618D"/>
          <w:sz w:val="26"/>
          <w:szCs w:val="26"/>
        </w:rPr>
        <w:t xml:space="preserve">4.1 System Architecture Overview</w:t>
      </w:r>
    </w:p>
    <w:p>
      <w:pPr>
        <w:spacing w:after="100" w:before="80"/>
        <w:jc w:val="both"/>
      </w:pPr>
      <w:r>
        <w:rPr>
          <w:rFonts w:ascii="Arial" w:cs="Arial" w:eastAsia="Arial" w:hAnsi="Arial"/>
          <w:b w:val="false"/>
          <w:bCs w:val="false"/>
          <w:i w:val="false"/>
          <w:iCs w:val="false"/>
          <w:color w:val="000000"/>
          <w:sz w:val="22"/>
          <w:szCs w:val="22"/>
        </w:rPr>
        <w:t xml:space="preserve">The SDHO system is a modular, retrofittable assembly installed within the draft tube of an existing or new Francis or Kaplan unit. It comprises three integrated subsystems:</w:t>
      </w:r>
    </w:p>
    <w:p>
      <w:pPr>
        <w:spacing w:after="80" w:before="80"/>
      </w:pPr>
      <w:r>
        <w:t xml:space="preserve"/>
      </w:r>
    </w:p>
    <w:p>
      <w:pPr>
        <w:pStyle w:val="ListParagraph"/>
        <w:numPr>
          <w:ilvl w:val="0"/>
          <w:numId w:val="3"/>
        </w:numPr>
        <w:spacing w:after="60" w:before="60"/>
      </w:pPr>
      <w:r>
        <w:rPr>
          <w:rFonts w:ascii="Arial" w:cs="Arial" w:eastAsia="Arial" w:hAnsi="Arial"/>
          <w:sz w:val="22"/>
          <w:szCs w:val="22"/>
        </w:rPr>
        <w:t xml:space="preserve">The Oscillating Flow Disc (OFD) — the primary hydraulic intervention element</w:t>
      </w:r>
    </w:p>
    <w:p>
      <w:pPr>
        <w:pStyle w:val="ListParagraph"/>
        <w:numPr>
          <w:ilvl w:val="0"/>
          <w:numId w:val="3"/>
        </w:numPr>
        <w:spacing w:after="60" w:before="60"/>
      </w:pPr>
      <w:r>
        <w:rPr>
          <w:rFonts w:ascii="Arial" w:cs="Arial" w:eastAsia="Arial" w:hAnsi="Arial"/>
          <w:sz w:val="22"/>
          <w:szCs w:val="22"/>
        </w:rPr>
        <w:t xml:space="preserve">The Electro-Hydraulic Actuation Module (EHAM) — drive system for the OFD</w:t>
      </w:r>
    </w:p>
    <w:p>
      <w:pPr>
        <w:pStyle w:val="ListParagraph"/>
        <w:numPr>
          <w:ilvl w:val="0"/>
          <w:numId w:val="3"/>
        </w:numPr>
        <w:spacing w:after="60" w:before="60"/>
      </w:pPr>
      <w:r>
        <w:rPr>
          <w:rFonts w:ascii="Arial" w:cs="Arial" w:eastAsia="Arial" w:hAnsi="Arial"/>
          <w:sz w:val="22"/>
          <w:szCs w:val="22"/>
        </w:rPr>
        <w:t xml:space="preserve">The Adaptive Control System (ACS) — sensor-feedback loop controlling oscillation parameters</w:t>
      </w:r>
    </w:p>
    <w:p>
      <w:pPr>
        <w:spacing w:after="80" w:before="80"/>
      </w:pPr>
      <w:r>
        <w:t xml:space="preserve"/>
      </w:r>
    </w:p>
    <w:p>
      <w:pPr>
        <w:spacing w:after="100" w:before="80"/>
        <w:jc w:val="both"/>
      </w:pPr>
      <w:r>
        <w:rPr>
          <w:rFonts w:ascii="Arial" w:cs="Arial" w:eastAsia="Arial" w:hAnsi="Arial"/>
          <w:b w:val="false"/>
          <w:bCs w:val="false"/>
          <w:i w:val="false"/>
          <w:iCs w:val="false"/>
          <w:color w:val="000000"/>
          <w:sz w:val="22"/>
          <w:szCs w:val="22"/>
        </w:rPr>
        <w:t xml:space="preserve">These are supplemented by a Passive Composite Damping Upgrade (PCDU) applied to structural fixtures throughout the turbine envelope, which functions independently of the active system.</w:t>
      </w:r>
    </w:p>
    <w:p>
      <w:pPr>
        <w:pStyle w:val="Heading2"/>
        <w:spacing w:after="120" w:before="280"/>
      </w:pPr>
      <w:r>
        <w:rPr>
          <w:rFonts w:ascii="Arial" w:cs="Arial" w:eastAsia="Arial" w:hAnsi="Arial"/>
          <w:b/>
          <w:bCs/>
          <w:color w:val="1F618D"/>
          <w:sz w:val="26"/>
          <w:szCs w:val="26"/>
        </w:rPr>
        <w:t xml:space="preserve">4.2 The Oscillating Flow Disc (OFD)</w:t>
      </w:r>
    </w:p>
    <w:p>
      <w:pPr>
        <w:spacing w:after="100" w:before="80"/>
        <w:jc w:val="both"/>
      </w:pPr>
      <w:r>
        <w:rPr>
          <w:rFonts w:ascii="Arial" w:cs="Arial" w:eastAsia="Arial" w:hAnsi="Arial"/>
          <w:b w:val="false"/>
          <w:bCs w:val="false"/>
          <w:i w:val="false"/>
          <w:iCs w:val="false"/>
          <w:color w:val="000000"/>
          <w:sz w:val="22"/>
          <w:szCs w:val="22"/>
        </w:rPr>
        <w:t xml:space="preserve">The OFD is the hydro-scale analogue of the Sabu Disc impeller. It is a large-diameter concave segmented ring or disc, constructed in multi-lobed sectors with radial flow channels machined into its working face. Unlike the jet ski application where the disc generates thrust, in the SDHO the disc is used as a flow modulator — its oscillation disrupts the coherence of the vortex rope without reversing or redirecting the primary flow.</w:t>
      </w:r>
    </w:p>
    <w:p>
      <w:pPr>
        <w:spacing w:after="80" w:before="80"/>
      </w:pPr>
      <w:r>
        <w:t xml:space="preserve"/>
      </w:r>
    </w:p>
    <w:p>
      <w:pPr>
        <w:pStyle w:val="Heading3"/>
        <w:spacing w:after="80" w:before="200"/>
      </w:pPr>
      <w:r>
        <w:rPr>
          <w:rFonts w:ascii="Arial" w:cs="Arial" w:eastAsia="Arial" w:hAnsi="Arial"/>
          <w:b/>
          <w:bCs/>
          <w:color w:val="2874A6"/>
          <w:sz w:val="24"/>
          <w:szCs w:val="24"/>
        </w:rPr>
        <w:t xml:space="preserve">4.2.1 Geometry</w:t>
      </w:r>
    </w:p>
    <w:p>
      <w:pPr>
        <w:pStyle w:val="ListParagraph"/>
        <w:numPr>
          <w:ilvl w:val="0"/>
          <w:numId w:val="2"/>
        </w:numPr>
        <w:spacing w:after="60" w:before="60"/>
      </w:pPr>
      <w:r>
        <w:rPr>
          <w:rFonts w:ascii="Arial" w:cs="Arial" w:eastAsia="Arial" w:hAnsi="Arial"/>
          <w:sz w:val="22"/>
          <w:szCs w:val="22"/>
        </w:rPr>
        <w:t xml:space="preserve">Disc diameter: 60–80% of draft tube internal diameter at installation point</w:t>
      </w:r>
    </w:p>
    <w:p>
      <w:pPr>
        <w:pStyle w:val="ListParagraph"/>
        <w:numPr>
          <w:ilvl w:val="0"/>
          <w:numId w:val="2"/>
        </w:numPr>
        <w:spacing w:after="60" w:before="60"/>
      </w:pPr>
      <w:r>
        <w:rPr>
          <w:rFonts w:ascii="Arial" w:cs="Arial" w:eastAsia="Arial" w:hAnsi="Arial"/>
          <w:sz w:val="22"/>
          <w:szCs w:val="22"/>
        </w:rPr>
        <w:t xml:space="preserve">Lobe count: 4–6 lobes (even count preferred to avoid net lateral force)</w:t>
      </w:r>
    </w:p>
    <w:p>
      <w:pPr>
        <w:pStyle w:val="ListParagraph"/>
        <w:numPr>
          <w:ilvl w:val="0"/>
          <w:numId w:val="2"/>
        </w:numPr>
        <w:spacing w:after="60" w:before="60"/>
      </w:pPr>
      <w:r>
        <w:rPr>
          <w:rFonts w:ascii="Arial" w:cs="Arial" w:eastAsia="Arial" w:hAnsi="Arial"/>
          <w:sz w:val="22"/>
          <w:szCs w:val="22"/>
        </w:rPr>
        <w:t xml:space="preserve">Radial flow channels: 12–24 per face, depth 8–15% of disc thickness</w:t>
      </w:r>
    </w:p>
    <w:p>
      <w:pPr>
        <w:pStyle w:val="ListParagraph"/>
        <w:numPr>
          <w:ilvl w:val="0"/>
          <w:numId w:val="2"/>
        </w:numPr>
        <w:spacing w:after="60" w:before="60"/>
      </w:pPr>
      <w:r>
        <w:rPr>
          <w:rFonts w:ascii="Arial" w:cs="Arial" w:eastAsia="Arial" w:hAnsi="Arial"/>
          <w:sz w:val="22"/>
          <w:szCs w:val="22"/>
        </w:rPr>
        <w:t xml:space="preserve">Concave face geometry: curvature radius matched to draft tube cone angle to minimise flow separation during oscillation</w:t>
      </w:r>
    </w:p>
    <w:p>
      <w:pPr>
        <w:pStyle w:val="ListParagraph"/>
        <w:numPr>
          <w:ilvl w:val="0"/>
          <w:numId w:val="2"/>
        </w:numPr>
        <w:spacing w:after="60" w:before="60"/>
      </w:pPr>
      <w:r>
        <w:rPr>
          <w:rFonts w:ascii="Arial" w:cs="Arial" w:eastAsia="Arial" w:hAnsi="Arial"/>
          <w:sz w:val="22"/>
          <w:szCs w:val="22"/>
        </w:rPr>
        <w:t xml:space="preserve">Segmented construction: 3–4 arc segments bolted to central hub for installation through access manway without runner removal</w:t>
      </w:r>
    </w:p>
    <w:p>
      <w:pPr>
        <w:spacing w:after="80" w:before="80"/>
      </w:pPr>
      <w:r>
        <w:t xml:space="preserve"/>
      </w:r>
    </w:p>
    <w:p>
      <w:pPr>
        <w:pStyle w:val="Heading3"/>
        <w:spacing w:after="80" w:before="200"/>
      </w:pPr>
      <w:r>
        <w:rPr>
          <w:rFonts w:ascii="Arial" w:cs="Arial" w:eastAsia="Arial" w:hAnsi="Arial"/>
          <w:b/>
          <w:bCs/>
          <w:color w:val="2874A6"/>
          <w:sz w:val="24"/>
          <w:szCs w:val="24"/>
        </w:rPr>
        <w:t xml:space="preserve">4.2.2 Material Specification</w:t>
      </w:r>
    </w:p>
    <w:p>
      <w:pPr>
        <w:spacing w:after="100" w:before="80"/>
        <w:jc w:val="both"/>
      </w:pPr>
      <w:r>
        <w:rPr>
          <w:rFonts w:ascii="Arial" w:cs="Arial" w:eastAsia="Arial" w:hAnsi="Arial"/>
          <w:b w:val="false"/>
          <w:bCs w:val="false"/>
          <w:i w:val="false"/>
          <w:iCs w:val="false"/>
          <w:color w:val="000000"/>
          <w:sz w:val="22"/>
          <w:szCs w:val="22"/>
        </w:rPr>
        <w:t xml:space="preserve">The OFD is constructed in a three-layer composite sandwich directly adapted from the Sabu Disc patent material system:</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200"/>
        <w:gridCol w:w="3960"/>
      </w:tblGrid>
      <w:tr>
        <w:trPr>
          <w:tblHeader/>
        </w:trPr>
        <w:tc>
          <w:tcPr>
            <w:tcW w:type="dxa" w:w="220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320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Material Class</w:t>
            </w:r>
          </w:p>
        </w:tc>
        <w:tc>
          <w:tcPr>
            <w:tcW w:type="dxa" w:w="396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Function</w:t>
            </w:r>
          </w:p>
        </w:tc>
      </w:tr>
      <w:tr>
        <w:tc>
          <w:tcPr>
            <w:tcW w:type="dxa" w:w="2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Outer skin (flow face)</w:t>
            </w:r>
          </w:p>
        </w:tc>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Carbon fibre reinforced polymer (CFRP) with ceramic erosion coating; equivalent to Composite One</w:t>
            </w:r>
          </w:p>
        </w:tc>
        <w:tc>
          <w:tcPr>
            <w:tcW w:type="dxa" w:w="39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High tensile strength; erosion resistance in cavitation-prone flow; electrical non-conductivity preventing galvanic coupling to steel draft tube</w:t>
            </w:r>
          </w:p>
        </w:tc>
      </w:tr>
      <w:tr>
        <w:tc>
          <w:tcPr>
            <w:tcW w:type="dxa" w:w="22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b/>
                <w:bCs/>
                <w:sz w:val="20"/>
                <w:szCs w:val="20"/>
              </w:rPr>
              <w:t xml:space="preserve">Core damping layer</w:t>
            </w:r>
          </w:p>
        </w:tc>
        <w:tc>
          <w:tcPr>
            <w:tcW w:type="dxa" w:w="32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Viscoelastic polymer matrix with constrained-layer aerogel insert; equivalent to Composite Two</w:t>
            </w:r>
          </w:p>
        </w:tc>
        <w:tc>
          <w:tcPr>
            <w:tcW w:type="dxa" w:w="396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Attenuates residual mechanical oscillation propagating through disc structure; primary fatigue isolation element</w:t>
            </w:r>
          </w:p>
        </w:tc>
      </w:tr>
      <w:tr>
        <w:tc>
          <w:tcPr>
            <w:tcW w:type="dxa" w:w="2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Inner structural skin</w:t>
            </w:r>
          </w:p>
        </w:tc>
        <w:tc>
          <w:tcPr>
            <w:tcW w:type="dxa" w:w="32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Duplex stainless steel (2205 grade) structural plate</w:t>
            </w:r>
          </w:p>
        </w:tc>
        <w:tc>
          <w:tcPr>
            <w:tcW w:type="dxa" w:w="39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Provides structural backbone; hub attachment; actuator rod interface; weld zone for monitoring ports</w:t>
            </w:r>
          </w:p>
        </w:tc>
      </w:tr>
    </w:tbl>
    <w:p>
      <w:pPr>
        <w:pStyle w:val="Heading2"/>
        <w:spacing w:after="120" w:before="280"/>
      </w:pPr>
      <w:r>
        <w:rPr>
          <w:rFonts w:ascii="Arial" w:cs="Arial" w:eastAsia="Arial" w:hAnsi="Arial"/>
          <w:b/>
          <w:bCs/>
          <w:color w:val="1F618D"/>
          <w:sz w:val="26"/>
          <w:szCs w:val="26"/>
        </w:rPr>
        <w:t xml:space="preserve">4.3 The Electro-Hydraulic Actuation Module (EHAM)</w:t>
      </w:r>
    </w:p>
    <w:p>
      <w:pPr>
        <w:spacing w:after="100" w:before="80"/>
        <w:jc w:val="both"/>
      </w:pPr>
      <w:r>
        <w:rPr>
          <w:rFonts w:ascii="Arial" w:cs="Arial" w:eastAsia="Arial" w:hAnsi="Arial"/>
          <w:b w:val="false"/>
          <w:bCs w:val="false"/>
          <w:i w:val="false"/>
          <w:iCs w:val="false"/>
          <w:color w:val="000000"/>
          <w:sz w:val="22"/>
          <w:szCs w:val="22"/>
        </w:rPr>
        <w:t xml:space="preserve">The EHAM drives the OFD in controlled axial oscillation (primary mode) with optional angular tilt for vortex rope asymmetry compensation. Key parameters:</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2080"/>
        <w:gridCol w:w="4080"/>
      </w:tblGrid>
      <w:tr>
        <w:trPr>
          <w:tblHeader/>
        </w:trPr>
        <w:tc>
          <w:tcPr>
            <w:tcW w:type="dxa" w:w="320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Parameter</w:t>
            </w:r>
          </w:p>
        </w:tc>
        <w:tc>
          <w:tcPr>
            <w:tcW w:type="dxa" w:w="208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Design Range</w:t>
            </w:r>
          </w:p>
        </w:tc>
        <w:tc>
          <w:tcPr>
            <w:tcW w:type="dxa" w:w="408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3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Oscillation frequency</w:t>
            </w:r>
          </w:p>
        </w:tc>
        <w:tc>
          <w:tcPr>
            <w:tcW w:type="dxa" w:w="2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1A5276"/>
                <w:sz w:val="20"/>
                <w:szCs w:val="20"/>
              </w:rPr>
              <w:t xml:space="preserve">0.5 – 8 Hz</w:t>
            </w:r>
          </w:p>
        </w:tc>
        <w:tc>
          <w:tcPr>
            <w:tcW w:type="dxa" w:w="4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Covers full vortex rope frequency range across all load points</w:t>
            </w:r>
          </w:p>
        </w:tc>
      </w:tr>
      <w:tr>
        <w:tc>
          <w:tcPr>
            <w:tcW w:type="dxa" w:w="3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Axial stroke amplitude</w:t>
            </w:r>
          </w:p>
        </w:tc>
        <w:tc>
          <w:tcPr>
            <w:tcW w:type="dxa" w:w="2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1A5276"/>
                <w:sz w:val="20"/>
                <w:szCs w:val="20"/>
              </w:rPr>
              <w:t xml:space="preserve">15 – 120 mm</w:t>
            </w:r>
          </w:p>
        </w:tc>
        <w:tc>
          <w:tcPr>
            <w:tcW w:type="dxa" w:w="4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Scaled to disc diameter; larger units lower stroke relative to diameter</w:t>
            </w:r>
          </w:p>
        </w:tc>
      </w:tr>
      <w:tr>
        <w:tc>
          <w:tcPr>
            <w:tcW w:type="dxa" w:w="3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Angular tilt amplitude</w:t>
            </w:r>
          </w:p>
        </w:tc>
        <w:tc>
          <w:tcPr>
            <w:tcW w:type="dxa" w:w="2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1A5276"/>
                <w:sz w:val="20"/>
                <w:szCs w:val="20"/>
              </w:rPr>
              <w:t xml:space="preserve">±2 – 5°</w:t>
            </w:r>
          </w:p>
        </w:tc>
        <w:tc>
          <w:tcPr>
            <w:tcW w:type="dxa" w:w="4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Optional; asymmetric vortex rope modes</w:t>
            </w:r>
          </w:p>
        </w:tc>
      </w:tr>
      <w:tr>
        <w:tc>
          <w:tcPr>
            <w:tcW w:type="dxa" w:w="3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Actuator type</w:t>
            </w:r>
          </w:p>
        </w:tc>
        <w:tc>
          <w:tcPr>
            <w:tcW w:type="dxa" w:w="2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1A5276"/>
                <w:sz w:val="20"/>
                <w:szCs w:val="20"/>
              </w:rPr>
              <w:t xml:space="preserve">Electro-hydraulic servo</w:t>
            </w:r>
          </w:p>
        </w:tc>
        <w:tc>
          <w:tcPr>
            <w:tcW w:type="dxa" w:w="4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Hydraulic preferred for high force in wet environment; servo-valve for precision</w:t>
            </w:r>
          </w:p>
        </w:tc>
      </w:tr>
      <w:tr>
        <w:tc>
          <w:tcPr>
            <w:tcW w:type="dxa" w:w="3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Drive power</w:t>
            </w:r>
          </w:p>
        </w:tc>
        <w:tc>
          <w:tcPr>
            <w:tcW w:type="dxa" w:w="2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1A5276"/>
                <w:sz w:val="20"/>
                <w:szCs w:val="20"/>
              </w:rPr>
              <w:t xml:space="preserve">50 – 400 kW</w:t>
            </w:r>
          </w:p>
        </w:tc>
        <w:tc>
          <w:tcPr>
            <w:tcW w:type="dxa" w:w="4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Scales with unit size; &lt;0.2% of turbine rated output at 200 MW unit</w:t>
            </w:r>
          </w:p>
        </w:tc>
      </w:tr>
      <w:tr>
        <w:tc>
          <w:tcPr>
            <w:tcW w:type="dxa" w:w="3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Response bandwidth</w:t>
            </w:r>
          </w:p>
        </w:tc>
        <w:tc>
          <w:tcPr>
            <w:tcW w:type="dxa" w:w="2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1A5276"/>
                <w:sz w:val="20"/>
                <w:szCs w:val="20"/>
              </w:rPr>
              <w:t xml:space="preserve">0 – 15 Hz</w:t>
            </w:r>
          </w:p>
        </w:tc>
        <w:tc>
          <w:tcPr>
            <w:tcW w:type="dxa" w:w="4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2× operating max; allows derivative control modes</w:t>
            </w:r>
          </w:p>
        </w:tc>
      </w:tr>
      <w:tr>
        <w:tc>
          <w:tcPr>
            <w:tcW w:type="dxa" w:w="3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Actuator housing</w:t>
            </w:r>
          </w:p>
        </w:tc>
        <w:tc>
          <w:tcPr>
            <w:tcW w:type="dxa" w:w="2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1A5276"/>
                <w:sz w:val="20"/>
                <w:szCs w:val="20"/>
              </w:rPr>
              <w:t xml:space="preserve">316L SS pressure housing</w:t>
            </w:r>
          </w:p>
        </w:tc>
        <w:tc>
          <w:tcPr>
            <w:tcW w:type="dxa" w:w="4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Rated to 1.5× maximum draft tube pressure</w:t>
            </w:r>
          </w:p>
        </w:tc>
      </w:tr>
      <w:tr>
        <w:tc>
          <w:tcPr>
            <w:tcW w:type="dxa" w:w="3200"/>
            <w:tcBorders>
              <w:top w:val="single" w:color="BBBBBB" w:sz="1"/>
              <w:left w:val="single" w:color="BBBBBB" w:sz="1"/>
              <w:bottom w:val="single" w:color="BBBBBB" w:sz="1"/>
              <w:right w:val="single" w:color="BBBBBB" w:sz="1"/>
            </w:tcBorders>
            <w:shd w:fill="EBF5FB" w:val="clear"/>
            <w:tcMar>
              <w:top w:type="dxa" w:w="80"/>
              <w:left w:type="dxa" w:w="120"/>
              <w:bottom w:type="dxa" w:w="80"/>
              <w:right w:type="dxa" w:w="120"/>
            </w:tcMar>
          </w:tcPr>
          <w:p>
            <w:r>
              <w:rPr>
                <w:rFonts w:ascii="Arial" w:cs="Arial" w:eastAsia="Arial" w:hAnsi="Arial"/>
                <w:b/>
                <w:bCs/>
                <w:sz w:val="20"/>
                <w:szCs w:val="20"/>
              </w:rPr>
              <w:t xml:space="preserve">Seal system</w:t>
            </w:r>
          </w:p>
        </w:tc>
        <w:tc>
          <w:tcPr>
            <w:tcW w:type="dxa" w:w="2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b/>
                <w:bCs/>
                <w:color w:val="1A5276"/>
                <w:sz w:val="20"/>
                <w:szCs w:val="20"/>
              </w:rPr>
              <w:t xml:space="preserve">Triple lip seal + labyrinth</w:t>
            </w:r>
          </w:p>
        </w:tc>
        <w:tc>
          <w:tcPr>
            <w:tcW w:type="dxa" w:w="40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Redundant sealing; leak detection on outer labyrinth</w:t>
            </w:r>
          </w:p>
        </w:tc>
      </w:tr>
    </w:tbl>
    <w:p>
      <w:pPr>
        <w:pStyle w:val="Heading2"/>
        <w:spacing w:after="120" w:before="280"/>
      </w:pPr>
      <w:r>
        <w:rPr>
          <w:rFonts w:ascii="Arial" w:cs="Arial" w:eastAsia="Arial" w:hAnsi="Arial"/>
          <w:b/>
          <w:bCs/>
          <w:color w:val="1F618D"/>
          <w:sz w:val="26"/>
          <w:szCs w:val="26"/>
        </w:rPr>
        <w:t xml:space="preserve">4.4 The Adaptive Control System (ACS)</w:t>
      </w:r>
    </w:p>
    <w:p>
      <w:pPr>
        <w:spacing w:after="100" w:before="80"/>
        <w:jc w:val="both"/>
      </w:pPr>
      <w:r>
        <w:rPr>
          <w:rFonts w:ascii="Arial" w:cs="Arial" w:eastAsia="Arial" w:hAnsi="Arial"/>
          <w:b w:val="false"/>
          <w:bCs w:val="false"/>
          <w:i w:val="false"/>
          <w:iCs w:val="false"/>
          <w:color w:val="000000"/>
          <w:sz w:val="22"/>
          <w:szCs w:val="22"/>
        </w:rPr>
        <w:t xml:space="preserve">The ACS closes the feedback loop between hydrodynamic sensing and OFD actuation, exactly as the Sabu Disc jet ski system uses an integrated sensor array for adaptive thrust modulation. In the SDHO, the control objective shifts from thrust optimisation to vortex suppression.</w:t>
      </w:r>
    </w:p>
    <w:p>
      <w:pPr>
        <w:spacing w:after="80" w:before="80"/>
      </w:pPr>
      <w:r>
        <w:t xml:space="preserve"/>
      </w:r>
    </w:p>
    <w:p>
      <w:pPr>
        <w:pStyle w:val="Heading3"/>
        <w:spacing w:after="80" w:before="200"/>
      </w:pPr>
      <w:r>
        <w:rPr>
          <w:rFonts w:ascii="Arial" w:cs="Arial" w:eastAsia="Arial" w:hAnsi="Arial"/>
          <w:b/>
          <w:bCs/>
          <w:color w:val="2874A6"/>
          <w:sz w:val="24"/>
          <w:szCs w:val="24"/>
        </w:rPr>
        <w:t xml:space="preserve">4.4.1 Sensor Suite</w:t>
      </w:r>
    </w:p>
    <w:p>
      <w:pPr>
        <w:pStyle w:val="ListParagraph"/>
        <w:numPr>
          <w:ilvl w:val="0"/>
          <w:numId w:val="2"/>
        </w:numPr>
        <w:spacing w:after="60" w:before="60"/>
      </w:pPr>
      <w:r>
        <w:rPr>
          <w:rFonts w:ascii="Arial" w:cs="Arial" w:eastAsia="Arial" w:hAnsi="Arial"/>
          <w:sz w:val="22"/>
          <w:szCs w:val="22"/>
        </w:rPr>
        <w:t xml:space="preserve">Pressure transducers: 4× flush-mounted in draft tube wall, 90° apart circumferentially, at one diameter above and below OFD installation plane — resolves vortex rope amplitude, frequency, and precession direction</w:t>
      </w:r>
    </w:p>
    <w:p>
      <w:pPr>
        <w:pStyle w:val="ListParagraph"/>
        <w:numPr>
          <w:ilvl w:val="0"/>
          <w:numId w:val="2"/>
        </w:numPr>
        <w:spacing w:after="60" w:before="60"/>
      </w:pPr>
      <w:r>
        <w:rPr>
          <w:rFonts w:ascii="Arial" w:cs="Arial" w:eastAsia="Arial" w:hAnsi="Arial"/>
          <w:sz w:val="22"/>
          <w:szCs w:val="22"/>
        </w:rPr>
        <w:t xml:space="preserve">Accelerometers: 3× tri-axial on draft tube outer wall and guide vane trunnion assembly — monitors structural vibration in real time</w:t>
      </w:r>
    </w:p>
    <w:p>
      <w:pPr>
        <w:pStyle w:val="ListParagraph"/>
        <w:numPr>
          <w:ilvl w:val="0"/>
          <w:numId w:val="2"/>
        </w:numPr>
        <w:spacing w:after="60" w:before="60"/>
      </w:pPr>
      <w:r>
        <w:rPr>
          <w:rFonts w:ascii="Arial" w:cs="Arial" w:eastAsia="Arial" w:hAnsi="Arial"/>
          <w:sz w:val="22"/>
          <w:szCs w:val="22"/>
        </w:rPr>
        <w:t xml:space="preserve">Flow velocity probes: 2× Doppler ultrasonic — provides instantaneous swirl angle at runner exit</w:t>
      </w:r>
    </w:p>
    <w:p>
      <w:pPr>
        <w:pStyle w:val="ListParagraph"/>
        <w:numPr>
          <w:ilvl w:val="0"/>
          <w:numId w:val="2"/>
        </w:numPr>
        <w:spacing w:after="60" w:before="60"/>
      </w:pPr>
      <w:r>
        <w:rPr>
          <w:rFonts w:ascii="Arial" w:cs="Arial" w:eastAsia="Arial" w:hAnsi="Arial"/>
          <w:sz w:val="22"/>
          <w:szCs w:val="22"/>
        </w:rPr>
        <w:t xml:space="preserve">OFD position sensor: linear encoder on actuator rod — resolves disc position to ±0.1 mm for control loop</w:t>
      </w:r>
    </w:p>
    <w:p>
      <w:pPr>
        <w:spacing w:after="80" w:before="80"/>
      </w:pPr>
      <w:r>
        <w:t xml:space="preserve"/>
      </w:r>
    </w:p>
    <w:p>
      <w:pPr>
        <w:pStyle w:val="Heading3"/>
        <w:spacing w:after="80" w:before="200"/>
      </w:pPr>
      <w:r>
        <w:rPr>
          <w:rFonts w:ascii="Arial" w:cs="Arial" w:eastAsia="Arial" w:hAnsi="Arial"/>
          <w:b/>
          <w:bCs/>
          <w:color w:val="2874A6"/>
          <w:sz w:val="24"/>
          <w:szCs w:val="24"/>
        </w:rPr>
        <w:t xml:space="preserve">4.4.2 Control Algorithm</w:t>
      </w:r>
    </w:p>
    <w:p>
      <w:pPr>
        <w:spacing w:after="100" w:before="80"/>
        <w:jc w:val="both"/>
      </w:pPr>
      <w:r>
        <w:rPr>
          <w:rFonts w:ascii="Arial" w:cs="Arial" w:eastAsia="Arial" w:hAnsi="Arial"/>
          <w:b w:val="false"/>
          <w:bCs w:val="false"/>
          <w:i w:val="false"/>
          <w:iCs w:val="false"/>
          <w:color w:val="000000"/>
          <w:sz w:val="22"/>
          <w:szCs w:val="22"/>
        </w:rPr>
        <w:t xml:space="preserve">The ACS implements a three-layer control hierarchy:</w:t>
      </w:r>
    </w:p>
    <w:p>
      <w:pPr>
        <w:spacing w:after="80" w:before="80"/>
      </w:pPr>
      <w:r>
        <w:t xml:space="preserve"/>
      </w:r>
    </w:p>
    <w:p>
      <w:pPr>
        <w:pStyle w:val="ListParagraph"/>
        <w:numPr>
          <w:ilvl w:val="0"/>
          <w:numId w:val="3"/>
        </w:numPr>
        <w:spacing w:after="60" w:before="60"/>
      </w:pPr>
      <w:r>
        <w:rPr>
          <w:rFonts w:ascii="Arial" w:cs="Arial" w:eastAsia="Arial" w:hAnsi="Arial"/>
          <w:sz w:val="22"/>
          <w:szCs w:val="22"/>
        </w:rPr>
        <w:t xml:space="preserve">Fast inner loop (1–5 ms cycle): OFD position control — servo-valve current to actuator position error</w:t>
      </w:r>
    </w:p>
    <w:p>
      <w:pPr>
        <w:pStyle w:val="ListParagraph"/>
        <w:numPr>
          <w:ilvl w:val="0"/>
          <w:numId w:val="3"/>
        </w:numPr>
        <w:spacing w:after="60" w:before="60"/>
      </w:pPr>
      <w:r>
        <w:rPr>
          <w:rFonts w:ascii="Arial" w:cs="Arial" w:eastAsia="Arial" w:hAnsi="Arial"/>
          <w:sz w:val="22"/>
          <w:szCs w:val="22"/>
        </w:rPr>
        <w:t xml:space="preserve">Intermediate loop (10–50 ms cycle): Vortex rope phase tracking — FFT of pressure signals identifies dominant rope frequency and phase; OFD oscillation is commanded at equal frequency, opposite phase (destructive interference in the flow)</w:t>
      </w:r>
    </w:p>
    <w:p>
      <w:pPr>
        <w:pStyle w:val="ListParagraph"/>
        <w:numPr>
          <w:ilvl w:val="0"/>
          <w:numId w:val="3"/>
        </w:numPr>
        <w:spacing w:after="60" w:before="60"/>
      </w:pPr>
      <w:r>
        <w:rPr>
          <w:rFonts w:ascii="Arial" w:cs="Arial" w:eastAsia="Arial" w:hAnsi="Arial"/>
          <w:sz w:val="22"/>
          <w:szCs w:val="22"/>
        </w:rPr>
        <w:t xml:space="preserve">Outer loop (1–10 s cycle): Load-point adaptation — as turbine load changes, power spectral density of pressure signals updates the frequency setpoint continuously; prevents resonance lock-in during load transients</w:t>
      </w:r>
    </w:p>
    <w:p>
      <w:pPr>
        <w:spacing w:after="80" w:before="80"/>
      </w:pPr>
      <w:r>
        <w:t xml:space="preserve"/>
      </w:r>
    </w:p>
    <w:p>
      <w:pPr>
        <w:spacing w:after="100" w:before="80"/>
        <w:jc w:val="both"/>
      </w:pPr>
      <w:r>
        <w:rPr>
          <w:rFonts w:ascii="Arial" w:cs="Arial" w:eastAsia="Arial" w:hAnsi="Arial"/>
          <w:b w:val="false"/>
          <w:bCs w:val="false"/>
          <w:i w:val="false"/>
          <w:iCs w:val="false"/>
          <w:color w:val="000000"/>
          <w:sz w:val="22"/>
          <w:szCs w:val="22"/>
        </w:rPr>
        <w:t xml:space="preserve">The control logic is implemented on a real-time PLC with IEC 61511 functional safety architecture (SIL 2 rated), integrating into the existing turbine governor and SCADA system via standard Modbus TCP / IEC 61850 protocols.</w:t>
      </w:r>
    </w:p>
    <w:p>
      <w:pPr>
        <w:pStyle w:val="Heading1"/>
        <w:pBdr>
          <w:bottom w:val="single" w:color="1A5276" w:sz="6" w:space="4"/>
        </w:pBdr>
        <w:spacing w:after="180" w:before="360"/>
      </w:pPr>
      <w:r>
        <w:rPr>
          <w:rFonts w:ascii="Arial" w:cs="Arial" w:eastAsia="Arial" w:hAnsi="Arial"/>
          <w:b/>
          <w:bCs/>
          <w:color w:val="1A5276"/>
          <w:sz w:val="32"/>
          <w:szCs w:val="32"/>
        </w:rPr>
        <w:t xml:space="preserve">5. Passive Composite Damping Upgrade (PCDU)</w:t>
      </w:r>
    </w:p>
    <w:p>
      <w:pPr>
        <w:spacing w:after="100" w:before="80"/>
        <w:jc w:val="both"/>
      </w:pPr>
      <w:r>
        <w:rPr>
          <w:rFonts w:ascii="Arial" w:cs="Arial" w:eastAsia="Arial" w:hAnsi="Arial"/>
          <w:b w:val="false"/>
          <w:bCs w:val="false"/>
          <w:i w:val="false"/>
          <w:iCs w:val="false"/>
          <w:color w:val="000000"/>
          <w:sz w:val="22"/>
          <w:szCs w:val="22"/>
        </w:rPr>
        <w:t xml:space="preserve">Independent of the active SDHO, a passive damping upgrade can be applied to existing structural fixtures within the turbine envelope. This is a lower-cost, zero-risk first intervention that reduces vibration transmission without modifying the hydraulic circuit.</w:t>
      </w:r>
    </w:p>
    <w:p>
      <w:pPr>
        <w:spacing w:after="80" w:before="80"/>
      </w:pPr>
      <w:r>
        <w:t xml:space="preserve"/>
      </w:r>
    </w:p>
    <w:p>
      <w:pPr>
        <w:pStyle w:val="Heading2"/>
        <w:spacing w:after="120" w:before="280"/>
      </w:pPr>
      <w:r>
        <w:rPr>
          <w:rFonts w:ascii="Arial" w:cs="Arial" w:eastAsia="Arial" w:hAnsi="Arial"/>
          <w:b/>
          <w:bCs/>
          <w:color w:val="1F618D"/>
          <w:sz w:val="26"/>
          <w:szCs w:val="26"/>
        </w:rPr>
        <w:t xml:space="preserve">5.1 Target Fixtures</w:t>
      </w:r>
    </w:p>
    <w:p>
      <w:pPr>
        <w:pStyle w:val="ListParagraph"/>
        <w:numPr>
          <w:ilvl w:val="0"/>
          <w:numId w:val="2"/>
        </w:numPr>
        <w:spacing w:after="60" w:before="60"/>
      </w:pPr>
      <w:r>
        <w:rPr>
          <w:rFonts w:ascii="Arial" w:cs="Arial" w:eastAsia="Arial" w:hAnsi="Arial"/>
          <w:sz w:val="22"/>
          <w:szCs w:val="22"/>
        </w:rPr>
        <w:t xml:space="preserve">Stay vane leading and trailing edges — apply Composite Two equivalent viscoelastic coating, 8–15 mm thick, bonded over original steel, recoated with hard ceramic erosion layer</w:t>
      </w:r>
    </w:p>
    <w:p>
      <w:pPr>
        <w:pStyle w:val="ListParagraph"/>
        <w:numPr>
          <w:ilvl w:val="0"/>
          <w:numId w:val="2"/>
        </w:numPr>
        <w:spacing w:after="60" w:before="60"/>
      </w:pPr>
      <w:r>
        <w:rPr>
          <w:rFonts w:ascii="Arial" w:cs="Arial" w:eastAsia="Arial" w:hAnsi="Arial"/>
          <w:sz w:val="22"/>
          <w:szCs w:val="22"/>
        </w:rPr>
        <w:t xml:space="preserve">Guide vane trunnion shafts and bearing housings — replace metallic shims with composite-core shim packs; add constrained-layer damping wrap to outer bearing housing</w:t>
      </w:r>
    </w:p>
    <w:p>
      <w:pPr>
        <w:pStyle w:val="ListParagraph"/>
        <w:numPr>
          <w:ilvl w:val="0"/>
          <w:numId w:val="2"/>
        </w:numPr>
        <w:spacing w:after="60" w:before="60"/>
      </w:pPr>
      <w:r>
        <w:rPr>
          <w:rFonts w:ascii="Arial" w:cs="Arial" w:eastAsia="Arial" w:hAnsi="Arial"/>
          <w:sz w:val="22"/>
          <w:szCs w:val="22"/>
        </w:rPr>
        <w:t xml:space="preserve">Draft tube liner panels — partial replacement or overlay with steel-composite sandwich panels: 6 mm steel outer / 20 mm viscoelastic core / 6 mm steel inner</w:t>
      </w:r>
    </w:p>
    <w:p>
      <w:pPr>
        <w:pStyle w:val="ListParagraph"/>
        <w:numPr>
          <w:ilvl w:val="0"/>
          <w:numId w:val="2"/>
        </w:numPr>
        <w:spacing w:after="60" w:before="60"/>
      </w:pPr>
      <w:r>
        <w:rPr>
          <w:rFonts w:ascii="Arial" w:cs="Arial" w:eastAsia="Arial" w:hAnsi="Arial"/>
          <w:sz w:val="22"/>
          <w:szCs w:val="22"/>
        </w:rPr>
        <w:t xml:space="preserve">Access platform brackets and walkway supports — replace standard welded steel channel with composite-core box section</w:t>
      </w:r>
    </w:p>
    <w:p>
      <w:pPr>
        <w:pStyle w:val="ListParagraph"/>
        <w:numPr>
          <w:ilvl w:val="0"/>
          <w:numId w:val="2"/>
        </w:numPr>
        <w:spacing w:after="60" w:before="60"/>
      </w:pPr>
      <w:r>
        <w:rPr>
          <w:rFonts w:ascii="Arial" w:cs="Arial" w:eastAsia="Arial" w:hAnsi="Arial"/>
          <w:sz w:val="22"/>
          <w:szCs w:val="22"/>
        </w:rPr>
        <w:t xml:space="preserve">Spiral casing anchor bolt zones — install composite load-spreading washers (neoprene/CFRP laminate) to isolate cyclic load transmission to concrete</w:t>
      </w:r>
    </w:p>
    <w:p>
      <w:pPr>
        <w:spacing w:after="80" w:before="80"/>
      </w:pPr>
      <w:r>
        <w:t xml:space="preserve"/>
      </w:r>
    </w:p>
    <w:p>
      <w:pPr>
        <w:pStyle w:val="Heading2"/>
        <w:spacing w:after="120" w:before="280"/>
      </w:pPr>
      <w:r>
        <w:rPr>
          <w:rFonts w:ascii="Arial" w:cs="Arial" w:eastAsia="Arial" w:hAnsi="Arial"/>
          <w:b/>
          <w:bCs/>
          <w:color w:val="1F618D"/>
          <w:sz w:val="26"/>
          <w:szCs w:val="26"/>
        </w:rPr>
        <w:t xml:space="preserve">5.2 Performance Expectation</w:t>
      </w:r>
    </w:p>
    <w:p>
      <w:pPr>
        <w:spacing w:after="100" w:before="80"/>
        <w:jc w:val="both"/>
      </w:pPr>
      <w:r>
        <w:rPr>
          <w:rFonts w:ascii="Arial" w:cs="Arial" w:eastAsia="Arial" w:hAnsi="Arial"/>
          <w:b w:val="false"/>
          <w:bCs w:val="false"/>
          <w:i w:val="false"/>
          <w:iCs w:val="false"/>
          <w:color w:val="000000"/>
          <w:sz w:val="22"/>
          <w:szCs w:val="22"/>
        </w:rPr>
        <w:t xml:space="preserve">Based on constrained-layer damping analysis using material loss factors of 0.15–0.30 for the viscoelastic core, structural damping at the target fixtures is expected to increase from a typical ζ = 0.002–0.005 (bare steel) to ζ = 0.04–0.08 (composite sandwich). This 10–20× increase in modal damping ratio directly reduces resonance amplification factors at vortex rope excitation frequencies, extending fatigue life at the fixture by a factor of 3–8 for equivalent excitation levels.</w:t>
      </w:r>
    </w:p>
    <w:p>
      <w:pPr>
        <w:pStyle w:val="Heading1"/>
        <w:pBdr>
          <w:bottom w:val="single" w:color="1A5276" w:sz="6" w:space="4"/>
        </w:pBdr>
        <w:spacing w:after="180" w:before="360"/>
      </w:pPr>
      <w:r>
        <w:rPr>
          <w:rFonts w:ascii="Arial" w:cs="Arial" w:eastAsia="Arial" w:hAnsi="Arial"/>
          <w:b/>
          <w:bCs/>
          <w:color w:val="1A5276"/>
          <w:sz w:val="32"/>
          <w:szCs w:val="32"/>
        </w:rPr>
        <w:t xml:space="preserve">6. Installation and Retrofit Strategy</w:t>
      </w:r>
    </w:p>
    <w:p>
      <w:pPr>
        <w:pStyle w:val="Heading2"/>
        <w:spacing w:after="120" w:before="280"/>
      </w:pPr>
      <w:r>
        <w:rPr>
          <w:rFonts w:ascii="Arial" w:cs="Arial" w:eastAsia="Arial" w:hAnsi="Arial"/>
          <w:b/>
          <w:bCs/>
          <w:color w:val="1F618D"/>
          <w:sz w:val="26"/>
          <w:szCs w:val="26"/>
        </w:rPr>
        <w:t xml:space="preserve">6.1 Retrofit Compatibility</w:t>
      </w:r>
    </w:p>
    <w:p>
      <w:pPr>
        <w:spacing w:after="100" w:before="80"/>
        <w:jc w:val="both"/>
      </w:pPr>
      <w:r>
        <w:rPr>
          <w:rFonts w:ascii="Arial" w:cs="Arial" w:eastAsia="Arial" w:hAnsi="Arial"/>
          <w:b w:val="false"/>
          <w:bCs w:val="false"/>
          <w:i w:val="false"/>
          <w:iCs w:val="false"/>
          <w:color w:val="000000"/>
          <w:sz w:val="22"/>
          <w:szCs w:val="22"/>
        </w:rPr>
        <w:t xml:space="preserve">The SDHO is designed for retrofit installation into existing units during a standard planned maintenance outage, without runner removal:</w:t>
      </w:r>
    </w:p>
    <w:p>
      <w:pPr>
        <w:pStyle w:val="ListParagraph"/>
        <w:numPr>
          <w:ilvl w:val="0"/>
          <w:numId w:val="3"/>
        </w:numPr>
        <w:spacing w:after="60" w:before="60"/>
      </w:pPr>
      <w:r>
        <w:rPr>
          <w:rFonts w:ascii="Arial" w:cs="Arial" w:eastAsia="Arial" w:hAnsi="Arial"/>
          <w:sz w:val="22"/>
          <w:szCs w:val="22"/>
        </w:rPr>
        <w:t xml:space="preserve">Dewater draft tube and gain access via existing inspection manways (typically 600–1000 mm diameter)</w:t>
      </w:r>
    </w:p>
    <w:p>
      <w:pPr>
        <w:pStyle w:val="ListParagraph"/>
        <w:numPr>
          <w:ilvl w:val="0"/>
          <w:numId w:val="3"/>
        </w:numPr>
        <w:spacing w:after="60" w:before="60"/>
      </w:pPr>
      <w:r>
        <w:rPr>
          <w:rFonts w:ascii="Arial" w:cs="Arial" w:eastAsia="Arial" w:hAnsi="Arial"/>
          <w:sz w:val="22"/>
          <w:szCs w:val="22"/>
        </w:rPr>
        <w:t xml:space="preserve">Install SDHO central hub assembly through manway — hub design segmented for passage through access opening</w:t>
      </w:r>
    </w:p>
    <w:p>
      <w:pPr>
        <w:pStyle w:val="ListParagraph"/>
        <w:numPr>
          <w:ilvl w:val="0"/>
          <w:numId w:val="3"/>
        </w:numPr>
        <w:spacing w:after="60" w:before="60"/>
      </w:pPr>
      <w:r>
        <w:rPr>
          <w:rFonts w:ascii="Arial" w:cs="Arial" w:eastAsia="Arial" w:hAnsi="Arial"/>
          <w:sz w:val="22"/>
          <w:szCs w:val="22"/>
        </w:rPr>
        <w:t xml:space="preserve">Bolt OFD lobe segments to hub in-situ; torque and alignment verified by portable laser system</w:t>
      </w:r>
    </w:p>
    <w:p>
      <w:pPr>
        <w:pStyle w:val="ListParagraph"/>
        <w:numPr>
          <w:ilvl w:val="0"/>
          <w:numId w:val="3"/>
        </w:numPr>
        <w:spacing w:after="60" w:before="60"/>
      </w:pPr>
      <w:r>
        <w:rPr>
          <w:rFonts w:ascii="Arial" w:cs="Arial" w:eastAsia="Arial" w:hAnsi="Arial"/>
          <w:sz w:val="22"/>
          <w:szCs w:val="22"/>
        </w:rPr>
        <w:t xml:space="preserve">Route actuator hydraulic lines and sensor cable bundle through dedicated conduit penetrations (new penetrations at two existing bulkhead zones)</w:t>
      </w:r>
    </w:p>
    <w:p>
      <w:pPr>
        <w:pStyle w:val="ListParagraph"/>
        <w:numPr>
          <w:ilvl w:val="0"/>
          <w:numId w:val="3"/>
        </w:numPr>
        <w:spacing w:after="60" w:before="60"/>
      </w:pPr>
      <w:r>
        <w:rPr>
          <w:rFonts w:ascii="Arial" w:cs="Arial" w:eastAsia="Arial" w:hAnsi="Arial"/>
          <w:sz w:val="22"/>
          <w:szCs w:val="22"/>
        </w:rPr>
        <w:t xml:space="preserve">Commission EHAM and ACS in air prior to refill; verify sensor signal integrity and actuator travel</w:t>
      </w:r>
    </w:p>
    <w:p>
      <w:pPr>
        <w:pStyle w:val="ListParagraph"/>
        <w:numPr>
          <w:ilvl w:val="0"/>
          <w:numId w:val="3"/>
        </w:numPr>
        <w:spacing w:after="60" w:before="60"/>
      </w:pPr>
      <w:r>
        <w:rPr>
          <w:rFonts w:ascii="Arial" w:cs="Arial" w:eastAsia="Arial" w:hAnsi="Arial"/>
          <w:sz w:val="22"/>
          <w:szCs w:val="22"/>
        </w:rPr>
        <w:t xml:space="preserve">Refill draft tube; run ACS in monitoring-only mode for 72 hours prior to activating oscillation control</w:t>
      </w:r>
    </w:p>
    <w:p>
      <w:pPr>
        <w:spacing w:after="80" w:before="80"/>
      </w:pPr>
      <w:r>
        <w:t xml:space="preserve"/>
      </w:r>
    </w:p>
    <w:p>
      <w:pPr>
        <w:spacing w:after="100" w:before="80"/>
        <w:jc w:val="both"/>
      </w:pPr>
      <w:r>
        <w:rPr>
          <w:rFonts w:ascii="Arial" w:cs="Arial" w:eastAsia="Arial" w:hAnsi="Arial"/>
          <w:b w:val="false"/>
          <w:bCs w:val="false"/>
          <w:i w:val="false"/>
          <w:iCs w:val="false"/>
          <w:color w:val="000000"/>
          <w:sz w:val="22"/>
          <w:szCs w:val="22"/>
        </w:rPr>
        <w:t xml:space="preserve">Estimated installation outage extension: 5–8 working days beyond standard planned maintenance scope for a 100–200 MW Francis unit.</w:t>
      </w:r>
    </w:p>
    <w:p>
      <w:pPr>
        <w:pStyle w:val="Heading2"/>
        <w:spacing w:after="120" w:before="280"/>
      </w:pPr>
      <w:r>
        <w:rPr>
          <w:rFonts w:ascii="Arial" w:cs="Arial" w:eastAsia="Arial" w:hAnsi="Arial"/>
          <w:b/>
          <w:bCs/>
          <w:color w:val="1F618D"/>
          <w:sz w:val="26"/>
          <w:szCs w:val="26"/>
        </w:rPr>
        <w:t xml:space="preserve">6.2 Operational Integration</w:t>
      </w:r>
    </w:p>
    <w:p>
      <w:pPr>
        <w:spacing w:after="100" w:before="80"/>
        <w:jc w:val="both"/>
      </w:pPr>
      <w:r>
        <w:rPr>
          <w:rFonts w:ascii="Arial" w:cs="Arial" w:eastAsia="Arial" w:hAnsi="Arial"/>
          <w:b w:val="false"/>
          <w:bCs w:val="false"/>
          <w:i w:val="false"/>
          <w:iCs w:val="false"/>
          <w:color w:val="000000"/>
          <w:sz w:val="22"/>
          <w:szCs w:val="22"/>
        </w:rPr>
        <w:t xml:space="preserve">The SDHO operates transparently to plant operators. The ACS activates automatically when the turbine load drops below a configurable threshold (default: 55% rated power) and deactivates when load returns above threshold. No change to turbine governing, speed, or output characteristics. Plant operators see a single SDHO status display on existing SCADA.</w:t>
      </w:r>
    </w:p>
    <w:p>
      <w:pPr>
        <w:pStyle w:val="Heading1"/>
        <w:pBdr>
          <w:bottom w:val="single" w:color="1A5276" w:sz="6" w:space="4"/>
        </w:pBdr>
        <w:spacing w:after="180" w:before="360"/>
      </w:pPr>
      <w:r>
        <w:rPr>
          <w:rFonts w:ascii="Arial" w:cs="Arial" w:eastAsia="Arial" w:hAnsi="Arial"/>
          <w:b/>
          <w:bCs/>
          <w:color w:val="1A5276"/>
          <w:sz w:val="32"/>
          <w:szCs w:val="32"/>
        </w:rPr>
        <w:t xml:space="preserve">7. Patent Extension Framework</w:t>
      </w:r>
    </w:p>
    <w:p>
      <w:pPr>
        <w:pStyle w:val="Heading2"/>
        <w:spacing w:after="120" w:before="280"/>
      </w:pPr>
      <w:r>
        <w:rPr>
          <w:rFonts w:ascii="Arial" w:cs="Arial" w:eastAsia="Arial" w:hAnsi="Arial"/>
          <w:b/>
          <w:bCs/>
          <w:color w:val="1F618D"/>
          <w:sz w:val="26"/>
          <w:szCs w:val="26"/>
        </w:rPr>
        <w:t xml:space="preserve">7.1 Relationship to Originating Sabu Disc Patent</w:t>
      </w:r>
    </w:p>
    <w:p>
      <w:pPr>
        <w:spacing w:after="100" w:before="80"/>
        <w:jc w:val="both"/>
      </w:pPr>
      <w:r>
        <w:rPr>
          <w:rFonts w:ascii="Arial" w:cs="Arial" w:eastAsia="Arial" w:hAnsi="Arial"/>
          <w:b w:val="false"/>
          <w:bCs w:val="false"/>
          <w:i w:val="false"/>
          <w:iCs w:val="false"/>
          <w:color w:val="000000"/>
          <w:sz w:val="22"/>
          <w:szCs w:val="22"/>
        </w:rPr>
        <w:t xml:space="preserve">The SDHO constitutes a non-obvious application of the originating Sabu Disc oscillating impeller principle to a new domain (hydraulic turbine flow conditioning versus marine propulsion), applied at different scales (1–5 metre disc diameter versus 0.1–0.3 metre jet ski impeller), with a redefined functional objective (vortex suppression versus thrust generation). This meets standard criteria for a distinct follow-on patent with priority chain linkable to the parent application.</w:t>
      </w:r>
    </w:p>
    <w:p>
      <w:pPr>
        <w:spacing w:after="80" w:before="80"/>
      </w:pPr>
      <w:r>
        <w:t xml:space="preserve"/>
      </w:r>
    </w:p>
    <w:p>
      <w:pPr>
        <w:pStyle w:val="Heading2"/>
        <w:spacing w:after="120" w:before="280"/>
      </w:pPr>
      <w:r>
        <w:rPr>
          <w:rFonts w:ascii="Arial" w:cs="Arial" w:eastAsia="Arial" w:hAnsi="Arial"/>
          <w:b/>
          <w:bCs/>
          <w:color w:val="1F618D"/>
          <w:sz w:val="26"/>
          <w:szCs w:val="26"/>
        </w:rPr>
        <w:t xml:space="preserve">7.2 Proposed Claim Structure</w:t>
      </w:r>
    </w:p>
    <w:p>
      <w:pPr>
        <w:pStyle w:val="Heading3"/>
        <w:spacing w:after="80" w:before="200"/>
      </w:pPr>
      <w:r>
        <w:rPr>
          <w:rFonts w:ascii="Arial" w:cs="Arial" w:eastAsia="Arial" w:hAnsi="Arial"/>
          <w:b/>
          <w:bCs/>
          <w:color w:val="2874A6"/>
          <w:sz w:val="24"/>
          <w:szCs w:val="24"/>
        </w:rPr>
        <w:t xml:space="preserve">7.2.1 System Claim</w:t>
      </w:r>
    </w:p>
    <w:p>
      <w:pPr>
        <w:spacing w:after="100" w:before="80"/>
        <w:jc w:val="both"/>
      </w:pPr>
      <w:r>
        <w:rPr>
          <w:rFonts w:ascii="Arial" w:cs="Arial" w:eastAsia="Arial" w:hAnsi="Arial"/>
          <w:b w:val="false"/>
          <w:bCs w:val="false"/>
          <w:i w:val="false"/>
          <w:iCs w:val="false"/>
          <w:color w:val="000000"/>
          <w:sz w:val="22"/>
          <w:szCs w:val="22"/>
        </w:rPr>
        <w:t xml:space="preserve">"A hydroelectric turbine draft-tube flow conditioning system comprising: an oscillating concave disc or segmented ring element with radial flow channels, mounted within the draft tube downstream of the turbine runner; an electro-hydraulic actuator configured to drive said disc element in axial oscillation at controlled frequency and amplitude; a sensor array comprising pressure transducers and accelerometers positioned to monitor vortex rope frequency and structural vibration; and a controller configured to modulate oscillation frequency and amplitude of said disc element to destructively interfere with dominant vortex modes at partial turbine load."</w:t>
      </w:r>
    </w:p>
    <w:p>
      <w:pPr>
        <w:spacing w:after="80" w:before="80"/>
      </w:pPr>
      <w:r>
        <w:t xml:space="preserve"/>
      </w:r>
    </w:p>
    <w:p>
      <w:pPr>
        <w:pStyle w:val="Heading3"/>
        <w:spacing w:after="80" w:before="200"/>
      </w:pPr>
      <w:r>
        <w:rPr>
          <w:rFonts w:ascii="Arial" w:cs="Arial" w:eastAsia="Arial" w:hAnsi="Arial"/>
          <w:b/>
          <w:bCs/>
          <w:color w:val="2874A6"/>
          <w:sz w:val="24"/>
          <w:szCs w:val="24"/>
        </w:rPr>
        <w:t xml:space="preserve">7.2.2 Materials Claim</w:t>
      </w:r>
    </w:p>
    <w:p>
      <w:pPr>
        <w:spacing w:after="100" w:before="80"/>
        <w:jc w:val="both"/>
      </w:pPr>
      <w:r>
        <w:rPr>
          <w:rFonts w:ascii="Arial" w:cs="Arial" w:eastAsia="Arial" w:hAnsi="Arial"/>
          <w:b w:val="false"/>
          <w:bCs w:val="false"/>
          <w:i w:val="false"/>
          <w:iCs w:val="false"/>
          <w:color w:val="000000"/>
          <w:sz w:val="22"/>
          <w:szCs w:val="22"/>
        </w:rPr>
        <w:t xml:space="preserve">"The system of claim 1, wherein said oscillating disc element is constructed from a multi-layer composite sandwich comprising: a structural load-bearing skin; a viscoelastic damping core layer therebetween; and a ceramic or hard polymer erosion-resistant outer coating on the flow-facing surface; said composite sandwich configured to attenuate mechanical vibration transmission between the disc element and adjacent metallic structural fixtures."</w:t>
      </w:r>
    </w:p>
    <w:p>
      <w:pPr>
        <w:spacing w:after="80" w:before="80"/>
      </w:pPr>
      <w:r>
        <w:t xml:space="preserve"/>
      </w:r>
    </w:p>
    <w:p>
      <w:pPr>
        <w:pStyle w:val="Heading3"/>
        <w:spacing w:after="80" w:before="200"/>
      </w:pPr>
      <w:r>
        <w:rPr>
          <w:rFonts w:ascii="Arial" w:cs="Arial" w:eastAsia="Arial" w:hAnsi="Arial"/>
          <w:b/>
          <w:bCs/>
          <w:color w:val="2874A6"/>
          <w:sz w:val="24"/>
          <w:szCs w:val="24"/>
        </w:rPr>
        <w:t xml:space="preserve">7.2.3 Control Claim</w:t>
      </w:r>
    </w:p>
    <w:p>
      <w:pPr>
        <w:spacing w:after="100" w:before="80"/>
        <w:jc w:val="both"/>
      </w:pPr>
      <w:r>
        <w:rPr>
          <w:rFonts w:ascii="Arial" w:cs="Arial" w:eastAsia="Arial" w:hAnsi="Arial"/>
          <w:b w:val="false"/>
          <w:bCs w:val="false"/>
          <w:i w:val="false"/>
          <w:iCs w:val="false"/>
          <w:color w:val="000000"/>
          <w:sz w:val="22"/>
          <w:szCs w:val="22"/>
        </w:rPr>
        <w:t xml:space="preserve">"The system of claim 1, wherein said controller implements a frequency-tracking algorithm that performs spectral analysis of pressure sensor signals to identify a dominant vortex rope precession frequency, and commands said actuator to oscillate said disc element at substantially said precession frequency with a phase offset configured to reduce coherent pressure pulsations in the draft tube by destructive interference."</w:t>
      </w:r>
    </w:p>
    <w:p>
      <w:pPr>
        <w:spacing w:after="80" w:before="80"/>
      </w:pPr>
      <w:r>
        <w:t xml:space="preserve"/>
      </w:r>
    </w:p>
    <w:p>
      <w:pPr>
        <w:pStyle w:val="Heading3"/>
        <w:spacing w:after="80" w:before="200"/>
      </w:pPr>
      <w:r>
        <w:rPr>
          <w:rFonts w:ascii="Arial" w:cs="Arial" w:eastAsia="Arial" w:hAnsi="Arial"/>
          <w:b/>
          <w:bCs/>
          <w:color w:val="2874A6"/>
          <w:sz w:val="24"/>
          <w:szCs w:val="24"/>
        </w:rPr>
        <w:t xml:space="preserve">7.2.4 Passive Fixture Claim</w:t>
      </w:r>
    </w:p>
    <w:p>
      <w:pPr>
        <w:spacing w:after="100" w:before="80"/>
        <w:jc w:val="both"/>
      </w:pPr>
      <w:r>
        <w:rPr>
          <w:rFonts w:ascii="Arial" w:cs="Arial" w:eastAsia="Arial" w:hAnsi="Arial"/>
          <w:b w:val="false"/>
          <w:bCs w:val="false"/>
          <w:i w:val="false"/>
          <w:iCs w:val="false"/>
          <w:color w:val="000000"/>
          <w:sz w:val="22"/>
          <w:szCs w:val="22"/>
        </w:rPr>
        <w:t xml:space="preserve">"A vibration damping retrofit system for a hydroelectric turbine, comprising multi-layer composite sandwich panels applied to one or more of: stay vane surfaces, guide vane trunnion housings, draft tube liner panels, and spiral casing anchor zones; each composite sandwich panel comprising a structural steel outer layer, a viscoelastic damping core, and a structural steel inner layer bonded thereto; whereby modal damping ratios at said fixtures are increased by a factor of at least five relative to bare steel construction."</w:t>
      </w:r>
    </w:p>
    <w:p>
      <w:pPr>
        <w:pStyle w:val="Heading1"/>
        <w:pBdr>
          <w:bottom w:val="single" w:color="1A5276" w:sz="6" w:space="4"/>
        </w:pBdr>
        <w:spacing w:after="180" w:before="360"/>
      </w:pPr>
      <w:r>
        <w:rPr>
          <w:rFonts w:ascii="Arial" w:cs="Arial" w:eastAsia="Arial" w:hAnsi="Arial"/>
          <w:b/>
          <w:bCs/>
          <w:color w:val="1A5276"/>
          <w:sz w:val="32"/>
          <w:szCs w:val="32"/>
        </w:rPr>
        <w:t xml:space="preserve">8. Performance Projections</w:t>
      </w:r>
    </w:p>
    <w:p>
      <w:pPr>
        <w:spacing w:after="80" w:before="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600"/>
        <w:gridCol w:w="2160"/>
        <w:gridCol w:w="3600"/>
      </w:tblGrid>
      <w:tr>
        <w:trPr>
          <w:tblHeader/>
        </w:trPr>
        <w:tc>
          <w:tcPr>
            <w:tcW w:type="dxa" w:w="360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Performance Metric</w:t>
            </w:r>
          </w:p>
        </w:tc>
        <w:tc>
          <w:tcPr>
            <w:tcW w:type="dxa" w:w="216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Projected Improvement</w:t>
            </w:r>
          </w:p>
        </w:tc>
        <w:tc>
          <w:tcPr>
            <w:tcW w:type="dxa" w:w="3600"/>
            <w:tcBorders>
              <w:top w:val="single" w:color="BBBBBB" w:sz="1"/>
              <w:left w:val="single" w:color="BBBBBB" w:sz="1"/>
              <w:bottom w:val="single" w:color="BBBBBB" w:sz="1"/>
              <w:right w:val="single" w:color="BBBBBB" w:sz="1"/>
            </w:tcBorders>
            <w:shd w:fill="1A5276" w:val="clear"/>
            <w:tcMar>
              <w:top w:type="dxa" w:w="80"/>
              <w:left w:type="dxa" w:w="120"/>
              <w:bottom w:type="dxa" w:w="80"/>
              <w:right w:type="dxa" w:w="120"/>
            </w:tcMar>
          </w:tcPr>
          <w:p>
            <w:r>
              <w:rPr>
                <w:rFonts w:ascii="Arial" w:cs="Arial" w:eastAsia="Arial" w:hAnsi="Arial"/>
                <w:b/>
                <w:bCs/>
                <w:color w:val="FFFFFF"/>
                <w:sz w:val="20"/>
                <w:szCs w:val="20"/>
              </w:rPr>
              <w:t xml:space="preserve">Basis</w:t>
            </w:r>
          </w:p>
        </w:tc>
      </w:tr>
      <w:tr>
        <w:tc>
          <w:tcPr>
            <w:tcW w:type="dxa" w:w="3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Draft tube pressure pulsation amplitude at 45% load</w:t>
            </w:r>
          </w:p>
        </w:tc>
        <w:tc>
          <w:tcPr>
            <w:tcW w:type="dxa" w:w="2160"/>
            <w:tcBorders>
              <w:top w:val="single" w:color="BBBBBB" w:sz="1"/>
              <w:left w:val="single" w:color="BBBBBB" w:sz="1"/>
              <w:bottom w:val="single" w:color="BBBBBB" w:sz="1"/>
              <w:right w:val="single" w:color="BBBBBB" w:sz="1"/>
            </w:tcBorders>
            <w:shd w:fill="D5F5E3" w:val="clear"/>
            <w:tcMar>
              <w:top w:type="dxa" w:w="80"/>
              <w:left w:type="dxa" w:w="120"/>
              <w:bottom w:type="dxa" w:w="80"/>
              <w:right w:type="dxa" w:w="120"/>
            </w:tcMar>
          </w:tcPr>
          <w:p>
            <w:r>
              <w:rPr>
                <w:rFonts w:ascii="Arial" w:cs="Arial" w:eastAsia="Arial" w:hAnsi="Arial"/>
                <w:b/>
                <w:bCs/>
                <w:color w:val="1D8348"/>
                <w:sz w:val="20"/>
                <w:szCs w:val="20"/>
              </w:rPr>
              <w:t xml:space="preserve">60–80% reduction</w:t>
            </w:r>
          </w:p>
        </w:tc>
        <w:tc>
          <w:tcPr>
            <w:tcW w:type="dxa" w:w="3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Analogy to active vortex control literature (Dörfler 2013; Favrel et al. 2016); phase-cancellation efficiency estimate</w:t>
            </w:r>
          </w:p>
        </w:tc>
      </w:tr>
      <w:tr>
        <w:tc>
          <w:tcPr>
            <w:tcW w:type="dxa" w:w="36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Structural vibration at guide vane trunnions (PCDU only)</w:t>
            </w:r>
          </w:p>
        </w:tc>
        <w:tc>
          <w:tcPr>
            <w:tcW w:type="dxa" w:w="2160"/>
            <w:tcBorders>
              <w:top w:val="single" w:color="BBBBBB" w:sz="1"/>
              <w:left w:val="single" w:color="BBBBBB" w:sz="1"/>
              <w:bottom w:val="single" w:color="BBBBBB" w:sz="1"/>
              <w:right w:val="single" w:color="BBBBBB" w:sz="1"/>
            </w:tcBorders>
            <w:shd w:fill="D5F5E3" w:val="clear"/>
            <w:tcMar>
              <w:top w:type="dxa" w:w="80"/>
              <w:left w:type="dxa" w:w="120"/>
              <w:bottom w:type="dxa" w:w="80"/>
              <w:right w:type="dxa" w:w="120"/>
            </w:tcMar>
          </w:tcPr>
          <w:p>
            <w:r>
              <w:rPr>
                <w:rFonts w:ascii="Arial" w:cs="Arial" w:eastAsia="Arial" w:hAnsi="Arial"/>
                <w:b/>
                <w:bCs/>
                <w:color w:val="1D8348"/>
                <w:sz w:val="20"/>
                <w:szCs w:val="20"/>
              </w:rPr>
              <w:t xml:space="preserve">30–50% reduction</w:t>
            </w:r>
          </w:p>
        </w:tc>
        <w:tc>
          <w:tcPr>
            <w:tcW w:type="dxa" w:w="36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i/>
                <w:iCs/>
                <w:sz w:val="20"/>
                <w:szCs w:val="20"/>
              </w:rPr>
              <w:t xml:space="preserve">Constrained-layer damping models; conservative estimate at ζ = 0.05 vs 0.003 baseline</w:t>
            </w:r>
          </w:p>
        </w:tc>
      </w:tr>
      <w:tr>
        <w:tc>
          <w:tcPr>
            <w:tcW w:type="dxa" w:w="3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Runner cavitation intensity at 45% load</w:t>
            </w:r>
          </w:p>
        </w:tc>
        <w:tc>
          <w:tcPr>
            <w:tcW w:type="dxa" w:w="2160"/>
            <w:tcBorders>
              <w:top w:val="single" w:color="BBBBBB" w:sz="1"/>
              <w:left w:val="single" w:color="BBBBBB" w:sz="1"/>
              <w:bottom w:val="single" w:color="BBBBBB" w:sz="1"/>
              <w:right w:val="single" w:color="BBBBBB" w:sz="1"/>
            </w:tcBorders>
            <w:shd w:fill="D5F5E3" w:val="clear"/>
            <w:tcMar>
              <w:top w:type="dxa" w:w="80"/>
              <w:left w:type="dxa" w:w="120"/>
              <w:bottom w:type="dxa" w:w="80"/>
              <w:right w:type="dxa" w:w="120"/>
            </w:tcMar>
          </w:tcPr>
          <w:p>
            <w:r>
              <w:rPr>
                <w:rFonts w:ascii="Arial" w:cs="Arial" w:eastAsia="Arial" w:hAnsi="Arial"/>
                <w:b/>
                <w:bCs/>
                <w:color w:val="1D8348"/>
                <w:sz w:val="20"/>
                <w:szCs w:val="20"/>
              </w:rPr>
              <w:t xml:space="preserve">40–60% reduction</w:t>
            </w:r>
          </w:p>
        </w:tc>
        <w:tc>
          <w:tcPr>
            <w:tcW w:type="dxa" w:w="3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Vortex rope disruption reduces local pressure minima near runner; direct mechanism from Sabu Disc cavitation elimination principle</w:t>
            </w:r>
          </w:p>
        </w:tc>
      </w:tr>
      <w:tr>
        <w:tc>
          <w:tcPr>
            <w:tcW w:type="dxa" w:w="36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Effective usable partial-load operating range</w:t>
            </w:r>
          </w:p>
        </w:tc>
        <w:tc>
          <w:tcPr>
            <w:tcW w:type="dxa" w:w="2160"/>
            <w:tcBorders>
              <w:top w:val="single" w:color="BBBBBB" w:sz="1"/>
              <w:left w:val="single" w:color="BBBBBB" w:sz="1"/>
              <w:bottom w:val="single" w:color="BBBBBB" w:sz="1"/>
              <w:right w:val="single" w:color="BBBBBB" w:sz="1"/>
            </w:tcBorders>
            <w:shd w:fill="D5F5E3" w:val="clear"/>
            <w:tcMar>
              <w:top w:type="dxa" w:w="80"/>
              <w:left w:type="dxa" w:w="120"/>
              <w:bottom w:type="dxa" w:w="80"/>
              <w:right w:type="dxa" w:w="120"/>
            </w:tcMar>
          </w:tcPr>
          <w:p>
            <w:r>
              <w:rPr>
                <w:rFonts w:ascii="Arial" w:cs="Arial" w:eastAsia="Arial" w:hAnsi="Arial"/>
                <w:b/>
                <w:bCs/>
                <w:color w:val="1D8348"/>
                <w:sz w:val="20"/>
                <w:szCs w:val="20"/>
              </w:rPr>
              <w:t xml:space="preserve">30–70% (from 45–60%)</w:t>
            </w:r>
          </w:p>
        </w:tc>
        <w:tc>
          <w:tcPr>
            <w:tcW w:type="dxa" w:w="36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i/>
                <w:iCs/>
                <w:sz w:val="20"/>
                <w:szCs w:val="20"/>
              </w:rPr>
              <w:t xml:space="preserve">Elimination of traditional 45–55% exclusion zone extends grid-regulation capability</w:t>
            </w:r>
          </w:p>
        </w:tc>
      </w:tr>
      <w:tr>
        <w:tc>
          <w:tcPr>
            <w:tcW w:type="dxa" w:w="3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Runner / guide vane overhaul cycle extension</w:t>
            </w:r>
          </w:p>
        </w:tc>
        <w:tc>
          <w:tcPr>
            <w:tcW w:type="dxa" w:w="2160"/>
            <w:tcBorders>
              <w:top w:val="single" w:color="BBBBBB" w:sz="1"/>
              <w:left w:val="single" w:color="BBBBBB" w:sz="1"/>
              <w:bottom w:val="single" w:color="BBBBBB" w:sz="1"/>
              <w:right w:val="single" w:color="BBBBBB" w:sz="1"/>
            </w:tcBorders>
            <w:shd w:fill="D5F5E3" w:val="clear"/>
            <w:tcMar>
              <w:top w:type="dxa" w:w="80"/>
              <w:left w:type="dxa" w:w="120"/>
              <w:bottom w:type="dxa" w:w="80"/>
              <w:right w:type="dxa" w:w="120"/>
            </w:tcMar>
          </w:tcPr>
          <w:p>
            <w:r>
              <w:rPr>
                <w:rFonts w:ascii="Arial" w:cs="Arial" w:eastAsia="Arial" w:hAnsi="Arial"/>
                <w:b/>
                <w:bCs/>
                <w:color w:val="1D8348"/>
                <w:sz w:val="20"/>
                <w:szCs w:val="20"/>
              </w:rPr>
              <w:t xml:space="preserve">2× – 4× longer</w:t>
            </w:r>
          </w:p>
        </w:tc>
        <w:tc>
          <w:tcPr>
            <w:tcW w:type="dxa" w:w="360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i/>
                <w:iCs/>
                <w:sz w:val="20"/>
                <w:szCs w:val="20"/>
              </w:rPr>
              <w:t xml:space="preserve">Combined vibration and cavitation reduction extends pitting rate by inverse square law of reduced excitation amplitude</w:t>
            </w:r>
          </w:p>
        </w:tc>
      </w:tr>
      <w:tr>
        <w:tc>
          <w:tcPr>
            <w:tcW w:type="dxa" w:w="36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sz w:val="20"/>
                <w:szCs w:val="20"/>
              </w:rPr>
              <w:t xml:space="preserve">SDHO system power consumption</w:t>
            </w:r>
          </w:p>
        </w:tc>
        <w:tc>
          <w:tcPr>
            <w:tcW w:type="dxa" w:w="2160"/>
            <w:tcBorders>
              <w:top w:val="single" w:color="BBBBBB" w:sz="1"/>
              <w:left w:val="single" w:color="BBBBBB" w:sz="1"/>
              <w:bottom w:val="single" w:color="BBBBBB" w:sz="1"/>
              <w:right w:val="single" w:color="BBBBBB" w:sz="1"/>
            </w:tcBorders>
            <w:shd w:fill="FEF9E7" w:val="clear"/>
            <w:tcMar>
              <w:top w:type="dxa" w:w="80"/>
              <w:left w:type="dxa" w:w="120"/>
              <w:bottom w:type="dxa" w:w="80"/>
              <w:right w:type="dxa" w:w="120"/>
            </w:tcMar>
          </w:tcPr>
          <w:p>
            <w:r>
              <w:rPr>
                <w:rFonts w:ascii="Arial" w:cs="Arial" w:eastAsia="Arial" w:hAnsi="Arial"/>
                <w:b/>
                <w:bCs/>
                <w:color w:val="7D6608"/>
                <w:sz w:val="20"/>
                <w:szCs w:val="20"/>
              </w:rPr>
              <w:t xml:space="preserve">&lt;0.2% rated</w:t>
            </w:r>
          </w:p>
        </w:tc>
        <w:tc>
          <w:tcPr>
            <w:tcW w:type="dxa" w:w="3600"/>
            <w:tcBorders>
              <w:top w:val="single" w:color="BBBBBB" w:sz="1"/>
              <w:left w:val="single" w:color="BBBBBB" w:sz="1"/>
              <w:bottom w:val="single" w:color="BBBBBB" w:sz="1"/>
              <w:right w:val="single" w:color="BBBBBB" w:sz="1"/>
            </w:tcBorders>
            <w:shd w:fill="F2F3F4" w:val="clear"/>
            <w:tcMar>
              <w:top w:type="dxa" w:w="80"/>
              <w:left w:type="dxa" w:w="120"/>
              <w:bottom w:type="dxa" w:w="80"/>
              <w:right w:type="dxa" w:w="120"/>
            </w:tcMar>
          </w:tcPr>
          <w:p>
            <w:r>
              <w:rPr>
                <w:rFonts w:ascii="Arial" w:cs="Arial" w:eastAsia="Arial" w:hAnsi="Arial"/>
                <w:i/>
                <w:iCs/>
                <w:sz w:val="20"/>
                <w:szCs w:val="20"/>
              </w:rPr>
              <w:t xml:space="preserve">EHAM actuation power at 200 MW unit; absorbed by actuator only during oscillation cycles</w:t>
            </w:r>
          </w:p>
        </w:tc>
      </w:tr>
    </w:tbl>
    <w:p>
      <w:pPr>
        <w:pStyle w:val="Heading1"/>
        <w:pBdr>
          <w:bottom w:val="single" w:color="1A5276" w:sz="6" w:space="4"/>
        </w:pBdr>
        <w:spacing w:after="180" w:before="360"/>
      </w:pPr>
      <w:r>
        <w:rPr>
          <w:rFonts w:ascii="Arial" w:cs="Arial" w:eastAsia="Arial" w:hAnsi="Arial"/>
          <w:b/>
          <w:bCs/>
          <w:color w:val="1A5276"/>
          <w:sz w:val="32"/>
          <w:szCs w:val="32"/>
        </w:rPr>
        <w:t xml:space="preserve">9. Validation and Development Pathway</w:t>
      </w:r>
    </w:p>
    <w:p>
      <w:pPr>
        <w:pStyle w:val="Heading2"/>
        <w:spacing w:after="120" w:before="280"/>
      </w:pPr>
      <w:r>
        <w:rPr>
          <w:rFonts w:ascii="Arial" w:cs="Arial" w:eastAsia="Arial" w:hAnsi="Arial"/>
          <w:b/>
          <w:bCs/>
          <w:color w:val="1F618D"/>
          <w:sz w:val="26"/>
          <w:szCs w:val="26"/>
        </w:rPr>
        <w:t xml:space="preserve">9.1 Phase 1 — CFD and Scale Model Validation (Months 0–12)</w:t>
      </w:r>
    </w:p>
    <w:p>
      <w:pPr>
        <w:pStyle w:val="ListParagraph"/>
        <w:numPr>
          <w:ilvl w:val="0"/>
          <w:numId w:val="2"/>
        </w:numPr>
        <w:spacing w:after="60" w:before="60"/>
      </w:pPr>
      <w:r>
        <w:rPr>
          <w:rFonts w:ascii="Arial" w:cs="Arial" w:eastAsia="Arial" w:hAnsi="Arial"/>
          <w:sz w:val="22"/>
          <w:szCs w:val="22"/>
        </w:rPr>
        <w:t xml:space="preserve">Commission 3D CFD model of representative Francis turbine draft tube at 45% load (open-source OpenFOAM or commercial ANSYS CFX)</w:t>
      </w:r>
    </w:p>
    <w:p>
      <w:pPr>
        <w:pStyle w:val="ListParagraph"/>
        <w:numPr>
          <w:ilvl w:val="0"/>
          <w:numId w:val="2"/>
        </w:numPr>
        <w:spacing w:after="60" w:before="60"/>
      </w:pPr>
      <w:r>
        <w:rPr>
          <w:rFonts w:ascii="Arial" w:cs="Arial" w:eastAsia="Arial" w:hAnsi="Arial"/>
          <w:sz w:val="22"/>
          <w:szCs w:val="22"/>
        </w:rPr>
        <w:t xml:space="preserve">Simulate OFD oscillation at range of frequencies and amplitudes; quantify vortex rope disruption and pressure pulsation reduction</w:t>
      </w:r>
    </w:p>
    <w:p>
      <w:pPr>
        <w:pStyle w:val="ListParagraph"/>
        <w:numPr>
          <w:ilvl w:val="0"/>
          <w:numId w:val="2"/>
        </w:numPr>
        <w:spacing w:after="60" w:before="60"/>
      </w:pPr>
      <w:r>
        <w:rPr>
          <w:rFonts w:ascii="Arial" w:cs="Arial" w:eastAsia="Arial" w:hAnsi="Arial"/>
          <w:sz w:val="22"/>
          <w:szCs w:val="22"/>
        </w:rPr>
        <w:t xml:space="preserve">Validate CFD against published experimental data (EPFL test rig data, Favrel et al. 2016 dataset publicly available)</w:t>
      </w:r>
    </w:p>
    <w:p>
      <w:pPr>
        <w:pStyle w:val="ListParagraph"/>
        <w:numPr>
          <w:ilvl w:val="0"/>
          <w:numId w:val="2"/>
        </w:numPr>
        <w:spacing w:after="60" w:before="60"/>
      </w:pPr>
      <w:r>
        <w:rPr>
          <w:rFonts w:ascii="Arial" w:cs="Arial" w:eastAsia="Arial" w:hAnsi="Arial"/>
          <w:sz w:val="22"/>
          <w:szCs w:val="22"/>
        </w:rPr>
        <w:t xml:space="preserve">Construct 1:10 scale hydraulic test rig at collaborating university hydraulics laboratory; validate CFD-predicted suppression performance</w:t>
      </w:r>
    </w:p>
    <w:p>
      <w:pPr>
        <w:spacing w:after="80" w:before="80"/>
      </w:pPr>
      <w:r>
        <w:t xml:space="preserve"/>
      </w:r>
    </w:p>
    <w:p>
      <w:pPr>
        <w:pStyle w:val="Heading2"/>
        <w:spacing w:after="120" w:before="280"/>
      </w:pPr>
      <w:r>
        <w:rPr>
          <w:rFonts w:ascii="Arial" w:cs="Arial" w:eastAsia="Arial" w:hAnsi="Arial"/>
          <w:b/>
          <w:bCs/>
          <w:color w:val="1F618D"/>
          <w:sz w:val="26"/>
          <w:szCs w:val="26"/>
        </w:rPr>
        <w:t xml:space="preserve">9.2 Phase 2 — Prototype System Development (Months 6–24)</w:t>
      </w:r>
    </w:p>
    <w:p>
      <w:pPr>
        <w:pStyle w:val="ListParagraph"/>
        <w:numPr>
          <w:ilvl w:val="0"/>
          <w:numId w:val="2"/>
        </w:numPr>
        <w:spacing w:after="60" w:before="60"/>
      </w:pPr>
      <w:r>
        <w:rPr>
          <w:rFonts w:ascii="Arial" w:cs="Arial" w:eastAsia="Arial" w:hAnsi="Arial"/>
          <w:sz w:val="22"/>
          <w:szCs w:val="22"/>
        </w:rPr>
        <w:t xml:space="preserve">Detailed mechanical design of OFD, EHAM, and ACS for a target 10–30 MW pilot unit</w:t>
      </w:r>
    </w:p>
    <w:p>
      <w:pPr>
        <w:pStyle w:val="ListParagraph"/>
        <w:numPr>
          <w:ilvl w:val="0"/>
          <w:numId w:val="2"/>
        </w:numPr>
        <w:spacing w:after="60" w:before="60"/>
      </w:pPr>
      <w:r>
        <w:rPr>
          <w:rFonts w:ascii="Arial" w:cs="Arial" w:eastAsia="Arial" w:hAnsi="Arial"/>
          <w:sz w:val="22"/>
          <w:szCs w:val="22"/>
        </w:rPr>
        <w:t xml:space="preserve">Manufacture and factory acceptance test of complete SDHO assembly</w:t>
      </w:r>
    </w:p>
    <w:p>
      <w:pPr>
        <w:pStyle w:val="ListParagraph"/>
        <w:numPr>
          <w:ilvl w:val="0"/>
          <w:numId w:val="2"/>
        </w:numPr>
        <w:spacing w:after="60" w:before="60"/>
      </w:pPr>
      <w:r>
        <w:rPr>
          <w:rFonts w:ascii="Arial" w:cs="Arial" w:eastAsia="Arial" w:hAnsi="Arial"/>
          <w:sz w:val="22"/>
          <w:szCs w:val="22"/>
        </w:rPr>
        <w:t xml:space="preserve">Material qualification of Composite One / Composite Two hydro-equivalents under pressure cycling, erosion, and temperature conditions</w:t>
      </w:r>
    </w:p>
    <w:p>
      <w:pPr>
        <w:pStyle w:val="ListParagraph"/>
        <w:numPr>
          <w:ilvl w:val="0"/>
          <w:numId w:val="2"/>
        </w:numPr>
        <w:spacing w:after="60" w:before="60"/>
      </w:pPr>
      <w:r>
        <w:rPr>
          <w:rFonts w:ascii="Arial" w:cs="Arial" w:eastAsia="Arial" w:hAnsi="Arial"/>
          <w:sz w:val="22"/>
          <w:szCs w:val="22"/>
        </w:rPr>
        <w:t xml:space="preserve">IEC 61511 SIL 2 functional safety assessment of ACS</w:t>
      </w:r>
    </w:p>
    <w:p>
      <w:pPr>
        <w:spacing w:after="80" w:before="80"/>
      </w:pPr>
      <w:r>
        <w:t xml:space="preserve"/>
      </w:r>
    </w:p>
    <w:p>
      <w:pPr>
        <w:pStyle w:val="Heading2"/>
        <w:spacing w:after="120" w:before="280"/>
      </w:pPr>
      <w:r>
        <w:rPr>
          <w:rFonts w:ascii="Arial" w:cs="Arial" w:eastAsia="Arial" w:hAnsi="Arial"/>
          <w:b/>
          <w:bCs/>
          <w:color w:val="1F618D"/>
          <w:sz w:val="26"/>
          <w:szCs w:val="26"/>
        </w:rPr>
        <w:t xml:space="preserve">9.3 Phase 3 — Pilot Installation and Demonstration (Months 18–36)</w:t>
      </w:r>
    </w:p>
    <w:p>
      <w:pPr>
        <w:pStyle w:val="ListParagraph"/>
        <w:numPr>
          <w:ilvl w:val="0"/>
          <w:numId w:val="2"/>
        </w:numPr>
        <w:spacing w:after="60" w:before="60"/>
      </w:pPr>
      <w:r>
        <w:rPr>
          <w:rFonts w:ascii="Arial" w:cs="Arial" w:eastAsia="Arial" w:hAnsi="Arial"/>
          <w:sz w:val="22"/>
          <w:szCs w:val="22"/>
        </w:rPr>
        <w:t xml:space="preserve">Identify partner hydroelectric operator with a suitable 10–30 MW Francis unit with documented 45% load vibration history</w:t>
      </w:r>
    </w:p>
    <w:p>
      <w:pPr>
        <w:pStyle w:val="ListParagraph"/>
        <w:numPr>
          <w:ilvl w:val="0"/>
          <w:numId w:val="2"/>
        </w:numPr>
        <w:spacing w:after="60" w:before="60"/>
      </w:pPr>
      <w:r>
        <w:rPr>
          <w:rFonts w:ascii="Arial" w:cs="Arial" w:eastAsia="Arial" w:hAnsi="Arial"/>
          <w:sz w:val="22"/>
          <w:szCs w:val="22"/>
        </w:rPr>
        <w:t xml:space="preserve">Install PCDU passive upgrades during planned maintenance outage</w:t>
      </w:r>
    </w:p>
    <w:p>
      <w:pPr>
        <w:pStyle w:val="ListParagraph"/>
        <w:numPr>
          <w:ilvl w:val="0"/>
          <w:numId w:val="2"/>
        </w:numPr>
        <w:spacing w:after="60" w:before="60"/>
      </w:pPr>
      <w:r>
        <w:rPr>
          <w:rFonts w:ascii="Arial" w:cs="Arial" w:eastAsia="Arial" w:hAnsi="Arial"/>
          <w:sz w:val="22"/>
          <w:szCs w:val="22"/>
        </w:rPr>
        <w:t xml:space="preserve">Install SDHO active system in subsequent outage window</w:t>
      </w:r>
    </w:p>
    <w:p>
      <w:pPr>
        <w:pStyle w:val="ListParagraph"/>
        <w:numPr>
          <w:ilvl w:val="0"/>
          <w:numId w:val="2"/>
        </w:numPr>
        <w:spacing w:after="60" w:before="60"/>
      </w:pPr>
      <w:r>
        <w:rPr>
          <w:rFonts w:ascii="Arial" w:cs="Arial" w:eastAsia="Arial" w:hAnsi="Arial"/>
          <w:sz w:val="22"/>
          <w:szCs w:val="22"/>
        </w:rPr>
        <w:t xml:space="preserve">12-month monitored operation with full data logging; compare vibration, cavitation, and overhaul data against pre-installation baseline</w:t>
      </w:r>
    </w:p>
    <w:p>
      <w:pPr>
        <w:spacing w:after="80" w:before="80"/>
      </w:pPr>
      <w:r>
        <w:t xml:space="preserve"/>
      </w:r>
    </w:p>
    <w:p>
      <w:pPr>
        <w:pStyle w:val="Heading2"/>
        <w:spacing w:after="120" w:before="280"/>
      </w:pPr>
      <w:r>
        <w:rPr>
          <w:rFonts w:ascii="Arial" w:cs="Arial" w:eastAsia="Arial" w:hAnsi="Arial"/>
          <w:b/>
          <w:bCs/>
          <w:color w:val="1F618D"/>
          <w:sz w:val="26"/>
          <w:szCs w:val="26"/>
        </w:rPr>
        <w:t xml:space="preserve">9.4 Phase 4 — Commercialisation</w:t>
      </w:r>
    </w:p>
    <w:p>
      <w:pPr>
        <w:pStyle w:val="ListParagraph"/>
        <w:numPr>
          <w:ilvl w:val="0"/>
          <w:numId w:val="2"/>
        </w:numPr>
        <w:spacing w:after="60" w:before="60"/>
      </w:pPr>
      <w:r>
        <w:rPr>
          <w:rFonts w:ascii="Arial" w:cs="Arial" w:eastAsia="Arial" w:hAnsi="Arial"/>
          <w:sz w:val="22"/>
          <w:szCs w:val="22"/>
        </w:rPr>
        <w:t xml:space="preserve">Full patent filing (PCT international) based on validated performance data</w:t>
      </w:r>
    </w:p>
    <w:p>
      <w:pPr>
        <w:pStyle w:val="ListParagraph"/>
        <w:numPr>
          <w:ilvl w:val="0"/>
          <w:numId w:val="2"/>
        </w:numPr>
        <w:spacing w:after="60" w:before="60"/>
      </w:pPr>
      <w:r>
        <w:rPr>
          <w:rFonts w:ascii="Arial" w:cs="Arial" w:eastAsia="Arial" w:hAnsi="Arial"/>
          <w:sz w:val="22"/>
          <w:szCs w:val="22"/>
        </w:rPr>
        <w:t xml:space="preserve">Standardised SDHO product range for 10 MW, 50 MW, 100 MW, and 200+ MW unit classes</w:t>
      </w:r>
    </w:p>
    <w:p>
      <w:pPr>
        <w:pStyle w:val="ListParagraph"/>
        <w:numPr>
          <w:ilvl w:val="0"/>
          <w:numId w:val="2"/>
        </w:numPr>
        <w:spacing w:after="60" w:before="60"/>
      </w:pPr>
      <w:r>
        <w:rPr>
          <w:rFonts w:ascii="Arial" w:cs="Arial" w:eastAsia="Arial" w:hAnsi="Arial"/>
          <w:sz w:val="22"/>
          <w:szCs w:val="22"/>
        </w:rPr>
        <w:t xml:space="preserve">Licensing to turbine OEMs (Andritz, Voith, GE Vernova) and independent maintenance contractors</w:t>
      </w:r>
    </w:p>
    <w:p>
      <w:pPr>
        <w:pStyle w:val="Heading1"/>
        <w:pBdr>
          <w:bottom w:val="single" w:color="1A5276" w:sz="6" w:space="4"/>
        </w:pBdr>
        <w:spacing w:after="180" w:before="360"/>
      </w:pPr>
      <w:r>
        <w:rPr>
          <w:rFonts w:ascii="Arial" w:cs="Arial" w:eastAsia="Arial" w:hAnsi="Arial"/>
          <w:b/>
          <w:bCs/>
          <w:color w:val="1A5276"/>
          <w:sz w:val="32"/>
          <w:szCs w:val="32"/>
        </w:rPr>
        <w:t xml:space="preserve">10. Conclusions</w:t>
      </w:r>
    </w:p>
    <w:p>
      <w:pPr>
        <w:spacing w:after="100" w:before="80"/>
        <w:jc w:val="both"/>
      </w:pPr>
      <w:r>
        <w:rPr>
          <w:rFonts w:ascii="Arial" w:cs="Arial" w:eastAsia="Arial" w:hAnsi="Arial"/>
          <w:b w:val="false"/>
          <w:bCs w:val="false"/>
          <w:i w:val="false"/>
          <w:iCs w:val="false"/>
          <w:color w:val="000000"/>
          <w:sz w:val="22"/>
          <w:szCs w:val="22"/>
        </w:rPr>
        <w:t xml:space="preserve">The Sabu Disc Hydro-Oscillator represents a technically coherent and novel application of a proven oscillating-impeller principle to one of the most persistent and economically costly problems in hydroelectric plant operation. The 45% partial-load vibration regime currently costs the global hydro industry billions of dollars annually in accelerated maintenance, unplanned outages, and constrained grid-regulation capability. The SDHO addresses this at its root cause — the coherent vortex rope — rather than through symptomatic mitigation.</w:t>
      </w:r>
    </w:p>
    <w:p>
      <w:pPr>
        <w:spacing w:after="80" w:before="80"/>
      </w:pPr>
      <w:r>
        <w:t xml:space="preserve"/>
      </w:r>
    </w:p>
    <w:p>
      <w:pPr>
        <w:spacing w:after="100" w:before="80"/>
        <w:jc w:val="both"/>
      </w:pPr>
      <w:r>
        <w:rPr>
          <w:rFonts w:ascii="Arial" w:cs="Arial" w:eastAsia="Arial" w:hAnsi="Arial"/>
          <w:b w:val="false"/>
          <w:bCs w:val="false"/>
          <w:i w:val="false"/>
          <w:iCs w:val="false"/>
          <w:color w:val="000000"/>
          <w:sz w:val="22"/>
          <w:szCs w:val="22"/>
        </w:rPr>
        <w:t xml:space="preserve">The technology transfer path from the Sabu Disc jet ski patent is structurally direct: the same principles of pulsed oscillating flow control, composite multi-layer damping, and adaptive sensor-feedback loop that solve cavitation and vibration in marine propulsion solve precisely the same phenomena, by the same mechanisms, at larger scale in the draft tube of a hydroelectric turbine. This direct IP lineage supports both a strong patent position and a credible technical narrative for engineering partners and funding bodies.</w:t>
      </w:r>
    </w:p>
    <w:p>
      <w:pPr>
        <w:spacing w:after="80" w:before="80"/>
      </w:pPr>
      <w:r>
        <w:t xml:space="preserve"/>
      </w:r>
    </w:p>
    <w:p>
      <w:pPr>
        <w:spacing w:after="100" w:before="80"/>
        <w:jc w:val="both"/>
      </w:pPr>
      <w:r>
        <w:rPr>
          <w:rFonts w:ascii="Arial" w:cs="Arial" w:eastAsia="Arial" w:hAnsi="Arial"/>
          <w:b w:val="false"/>
          <w:bCs w:val="false"/>
          <w:i w:val="false"/>
          <w:iCs w:val="false"/>
          <w:color w:val="000000"/>
          <w:sz w:val="22"/>
          <w:szCs w:val="22"/>
        </w:rPr>
        <w:t xml:space="preserve">The recommended immediate next step is engagement with a university hydraulics laboratory (EPFL Laboratory for Hydraulic Machines, Lausanne; or TU Delft Hydraulic Engineering; or a Maltese partner institution) to commission a Phase 1 CFD study, which can be completed within twelve months at low cost and would provide the quantitative performance data needed to support both a PCT patent filing and a partnership approach to turbine OEMs.</w:t>
      </w:r>
    </w:p>
    <w:p>
      <w:pPr>
        <w:spacing w:after="80" w:before="80"/>
      </w:pPr>
      <w:r>
        <w:t xml:space="preserve"/>
      </w:r>
    </w:p>
    <w:p>
      <w:pPr>
        <w:pBdr>
          <w:top w:val="single" w:color="1A5276" w:sz="6" w:space="6"/>
        </w:pBdr>
        <w:spacing w:after="120" w:before="240"/>
      </w:pPr>
      <w:r>
        <w:rPr>
          <w:rFonts w:ascii="Arial" w:cs="Arial" w:eastAsia="Arial" w:hAnsi="Arial"/>
          <w:i/>
          <w:iCs/>
          <w:color w:val="555555"/>
          <w:sz w:val="18"/>
          <w:szCs w:val="18"/>
        </w:rPr>
        <w:t xml:space="preserve">Document prepared under the LTT / MotoHov Industries research programme. Josef Laspina, June 2026.</w:t>
      </w:r>
    </w:p>
    <w:sectPr>
      <w:footerReference w:type="default" r:id="rId7"/>
      <w:pgSz w:w="12240" w:h="15840" w:orient="portrait"/>
      <w:pgMar w:top="1440" w:right="1260" w:bottom="144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A5276" w:sz="4" w:space="6"/>
      </w:pBdr>
      <w:tabs>
        <w:tab w:val="right" w:pos="9026"/>
      </w:tabs>
    </w:pPr>
    <w:r>
      <w:rPr>
        <w:rFonts w:ascii="Arial" w:cs="Arial" w:eastAsia="Arial" w:hAnsi="Arial"/>
        <w:color w:val="555555"/>
        <w:sz w:val="18"/>
        <w:szCs w:val="18"/>
      </w:rPr>
      <w:t xml:space="preserve">Sabu Disc Hydro-Oscillator — Concept Specification | MotoHov Industries / LTT  	</w:t>
    </w:r>
    <w:r>
      <w:rPr>
        <w:rFonts w:ascii="Arial" w:cs="Arial" w:eastAsia="Arial" w:hAnsi="Arial"/>
        <w:color w:val="1A5276"/>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80" w:before="360"/>
      <w:outlineLvl w:val="0"/>
    </w:pPr>
    <w:rPr>
      <w:rFonts w:ascii="Arial" w:cs="Arial" w:eastAsia="Arial" w:hAnsi="Arial"/>
      <w:b/>
      <w:bCs/>
      <w:color w:val="1A5276"/>
      <w:sz w:val="32"/>
      <w:szCs w:val="32"/>
    </w:rPr>
  </w:style>
  <w:style w:type="paragraph" w:styleId="Heading2">
    <w:name w:val="Heading 2"/>
    <w:basedOn w:val="Normal"/>
    <w:next w:val="Normal"/>
    <w:qFormat/>
    <w:pPr>
      <w:spacing w:after="120" w:before="280"/>
      <w:outlineLvl w:val="1"/>
    </w:pPr>
    <w:rPr>
      <w:rFonts w:ascii="Arial" w:cs="Arial" w:eastAsia="Arial" w:hAnsi="Arial"/>
      <w:b/>
      <w:bCs/>
      <w:color w:val="1F618D"/>
      <w:sz w:val="26"/>
      <w:szCs w:val="26"/>
    </w:rPr>
  </w:style>
  <w:style w:type="paragraph" w:styleId="Heading3">
    <w:name w:val="Heading 3"/>
    <w:basedOn w:val="Normal"/>
    <w:next w:val="Normal"/>
    <w:qFormat/>
    <w:pPr>
      <w:spacing w:after="80" w:before="200"/>
      <w:outlineLvl w:val="2"/>
    </w:pPr>
    <w:rPr>
      <w:rFonts w:ascii="Arial" w:cs="Arial" w:eastAsia="Arial" w:hAnsi="Arial"/>
      <w:b/>
      <w:bCs/>
      <w:color w:val="2874A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2026-06-02T17:58:12.156Z</dcterms:created>
  <dcterms:modified xsi:type="dcterms:W3CDTF">2026-06-02T17:58:12.175Z</dcterms:modified>
</cp:coreProperties>
</file>

<file path=docProps/custom.xml><?xml version="1.0" encoding="utf-8"?>
<Properties xmlns="http://schemas.openxmlformats.org/officeDocument/2006/custom-properties" xmlns:vt="http://schemas.openxmlformats.org/officeDocument/2006/docPropsVTypes"/>
</file>