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C44363" w14:textId="77777777" w:rsidR="00FF3D8B" w:rsidRDefault="00000000">
      <w:pPr>
        <w:pStyle w:val="Title"/>
      </w:pPr>
      <w:r>
        <w:rPr>
          <w:sz w:val="30"/>
        </w:rPr>
        <w:t>Event-based evaluation of SIENA, OPERA DSWx-S1, and VIIRS-FIM over three representative flood episodes</w:t>
      </w:r>
    </w:p>
    <w:p w14:paraId="7359F3EB" w14:textId="77777777" w:rsidR="00FF3D8B" w:rsidRDefault="00000000">
      <w:pPr>
        <w:pStyle w:val="Heading1"/>
      </w:pPr>
      <w:r>
        <w:rPr>
          <w:sz w:val="26"/>
        </w:rPr>
        <w:t>Executive summary</w:t>
      </w:r>
    </w:p>
    <w:p w14:paraId="5CEF7F19" w14:textId="77777777" w:rsidR="00FF3D8B" w:rsidRDefault="00000000">
      <w:r>
        <w:t>We evaluated SIENA (Sentinel-1 SAR flood mapping), NASA OPERA DSWx-S1 (Sentinel-1 surface water), and NOAA VIIRS Flood Inundation Map (375 m optical reference) over three independent flood episodes: the December 2025 Snohomish River (Seattle) event, the March 2026 Jackson County (Indiana) event, and the May 2026 Alaska Yukon River event. Quantitative scoring uses VIIRS FIM as the reference for optical-scale flood extent; SAR products are aggregated to the VIIRS 375 m grid with a 40 % area-fraction wet threshold after masking permanent water. DSWx-S1 metrics count **open water only** (class 1); inundated vegetation (class 3) is excluded because SIENA does not yet provide that class — figures still show class 3 for qualitative context.</w:t>
      </w:r>
    </w:p>
    <w:p w14:paraId="6AEBBE2B" w14:textId="77777777" w:rsidR="00FF3D8B" w:rsidRDefault="00000000">
      <w:r>
        <w:t>Sentinel-1 revisit within each event window is limited (roughly one to three acquisition days per episode versus four to eight calendar days of monitoring), which is typical for regional flood surveillance with a single SAR constellation. Daily VIIRS panels provide continuous optical context even when SAR products are missing. Cross-event patterns: (i) Snohomish — DSWx-S1 open water misses much of the valley flood visible to SIENA and VIIRS; (ii) Jackson County — SIENA and DSWx-S1 agree well, with SIENA slightly more extensive and closer to VIIRS; (iii) Alaska Yukon — DSWx-S1’s vegetated inundation signal (shown but not scored) is visually strong and informs future SIENA capability, while open-water metrics remain conservative.</w:t>
      </w:r>
    </w:p>
    <w:p w14:paraId="70EB5A86" w14:textId="77777777" w:rsidR="00FF3D8B" w:rsidRDefault="00000000">
      <w:pPr>
        <w:pStyle w:val="Heading1"/>
      </w:pPr>
      <w:r>
        <w:rPr>
          <w:sz w:val="26"/>
        </w:rPr>
        <w:t>Methodology (VIIRS-centric quantitative evaluation)</w:t>
      </w:r>
    </w:p>
    <w:p w14:paraId="0FFCBDE5" w14:textId="77777777" w:rsidR="00FF3D8B" w:rsidRDefault="00000000">
      <w:r>
        <w:t>For each fixed event bounding box and inclusive calendar window, we generated one three-panel figure per day (VIIRS | SIENA | DSWx-S1). Pairwise confusion metrics are computed only on days when both products in that pair are available; the joint pixel domain is the intersection of valid masks on the VIIRS 375 m grid (VIIRS invalid/cloud/snow and permanent water excluded; DSWx-S1 class 3 excluded from the wet mask). Default thresholds: VIIRS flood ≥ 30 %, SAR wet fraction ≥ 40 % after aggregation, minimum 50 % valid SAR coverage inside each 375 m cell.</w:t>
      </w:r>
    </w:p>
    <w:p w14:paraId="6E0DAD5D" w14:textId="77777777" w:rsidR="00FF3D8B" w:rsidRDefault="00000000">
      <w:r>
        <w:t>This approach parallels the Central Valley three-product study (SIENA / DSWx-HLS / VIIRS) and the West-Coast SAR benchmark work, but replaces DSWx-HLS with DSWx-S1 and organizes results by discrete flood events rather than a full-season SIENA date list.</w:t>
      </w:r>
    </w:p>
    <w:p w14:paraId="1DC0CB50" w14:textId="77777777" w:rsidR="00FF3D8B" w:rsidRDefault="00000000">
      <w:pPr>
        <w:pStyle w:val="Heading1"/>
      </w:pPr>
      <w:r>
        <w:rPr>
          <w:sz w:val="26"/>
        </w:rPr>
        <w:t>Sentinel-1 monitoring density within each event window</w:t>
      </w:r>
    </w:p>
    <w:p w14:paraId="08447F94" w14:textId="77777777" w:rsidR="00FF3D8B" w:rsidRDefault="00000000">
      <w:r>
        <w:t>The table below summarizes how many calendar days fall inside each event window versus how many days carry a SIENA acquisition, a DSWx-S1 WTR granule, or a valid VIIRS-overlap metric row. The ratio of SIENA days to calendar days characterizes the effective Sentinel-1 revisit rate available to flood managers during the episode.</w:t>
      </w:r>
    </w:p>
    <w:tbl>
      <w:tblPr>
        <w:tblStyle w:val="LightGrid-Accent1"/>
        <w:tblW w:w="0" w:type="auto"/>
        <w:tblLook w:val="04A0" w:firstRow="1" w:lastRow="0" w:firstColumn="1" w:lastColumn="0" w:noHBand="0" w:noVBand="1"/>
      </w:tblPr>
      <w:tblGrid>
        <w:gridCol w:w="1680"/>
        <w:gridCol w:w="1680"/>
        <w:gridCol w:w="1680"/>
        <w:gridCol w:w="1680"/>
        <w:gridCol w:w="1680"/>
        <w:gridCol w:w="1680"/>
      </w:tblGrid>
      <w:tr w:rsidR="00FF3D8B" w14:paraId="44137745" w14:textId="77777777" w:rsidTr="00FF3D8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0" w:type="dxa"/>
          </w:tcPr>
          <w:p w14:paraId="46DEF721" w14:textId="77777777" w:rsidR="00FF3D8B" w:rsidRDefault="00000000">
            <w:r>
              <w:rPr>
                <w:sz w:val="18"/>
              </w:rPr>
              <w:t>Event</w:t>
            </w:r>
          </w:p>
        </w:tc>
        <w:tc>
          <w:tcPr>
            <w:tcW w:w="1680" w:type="dxa"/>
          </w:tcPr>
          <w:p w14:paraId="72BB86D3" w14:textId="77777777" w:rsidR="00FF3D8B" w:rsidRDefault="00000000">
            <w:pPr>
              <w:cnfStyle w:val="100000000000" w:firstRow="1" w:lastRow="0" w:firstColumn="0" w:lastColumn="0" w:oddVBand="0" w:evenVBand="0" w:oddHBand="0" w:evenHBand="0" w:firstRowFirstColumn="0" w:firstRowLastColumn="0" w:lastRowFirstColumn="0" w:lastRowLastColumn="0"/>
            </w:pPr>
            <w:r>
              <w:rPr>
                <w:sz w:val="18"/>
              </w:rPr>
              <w:t>Calendar days</w:t>
            </w:r>
            <w:r>
              <w:rPr>
                <w:sz w:val="18"/>
              </w:rPr>
              <w:br/>
              <w:t>(in window)</w:t>
            </w:r>
          </w:p>
        </w:tc>
        <w:tc>
          <w:tcPr>
            <w:tcW w:w="1680" w:type="dxa"/>
          </w:tcPr>
          <w:p w14:paraId="1F3044B1" w14:textId="77777777" w:rsidR="00FF3D8B" w:rsidRDefault="00000000">
            <w:pPr>
              <w:cnfStyle w:val="100000000000" w:firstRow="1" w:lastRow="0" w:firstColumn="0" w:lastColumn="0" w:oddVBand="0" w:evenVBand="0" w:oddHBand="0" w:evenHBand="0" w:firstRowFirstColumn="0" w:firstRowLastColumn="0" w:lastRowFirstColumn="0" w:lastRowLastColumn="0"/>
            </w:pPr>
            <w:r>
              <w:rPr>
                <w:sz w:val="18"/>
              </w:rPr>
              <w:t>Days with</w:t>
            </w:r>
            <w:r>
              <w:rPr>
                <w:sz w:val="18"/>
              </w:rPr>
              <w:br/>
              <w:t>SIENA S-1</w:t>
            </w:r>
          </w:p>
        </w:tc>
        <w:tc>
          <w:tcPr>
            <w:tcW w:w="1680" w:type="dxa"/>
          </w:tcPr>
          <w:p w14:paraId="19C7ED54" w14:textId="77777777" w:rsidR="00FF3D8B" w:rsidRDefault="00000000">
            <w:pPr>
              <w:cnfStyle w:val="100000000000" w:firstRow="1" w:lastRow="0" w:firstColumn="0" w:lastColumn="0" w:oddVBand="0" w:evenVBand="0" w:oddHBand="0" w:evenHBand="0" w:firstRowFirstColumn="0" w:firstRowLastColumn="0" w:lastRowFirstColumn="0" w:lastRowLastColumn="0"/>
            </w:pPr>
            <w:r>
              <w:rPr>
                <w:sz w:val="18"/>
              </w:rPr>
              <w:t>Days with</w:t>
            </w:r>
            <w:r>
              <w:rPr>
                <w:sz w:val="18"/>
              </w:rPr>
              <w:br/>
              <w:t>DSWx-S1</w:t>
            </w:r>
          </w:p>
        </w:tc>
        <w:tc>
          <w:tcPr>
            <w:tcW w:w="1680" w:type="dxa"/>
          </w:tcPr>
          <w:p w14:paraId="25E87DBE" w14:textId="77777777" w:rsidR="00FF3D8B" w:rsidRDefault="00000000">
            <w:pPr>
              <w:cnfStyle w:val="100000000000" w:firstRow="1" w:lastRow="0" w:firstColumn="0" w:lastColumn="0" w:oddVBand="0" w:evenVBand="0" w:oddHBand="0" w:evenHBand="0" w:firstRowFirstColumn="0" w:firstRowLastColumn="0" w:lastRowFirstColumn="0" w:lastRowLastColumn="0"/>
            </w:pPr>
            <w:r>
              <w:rPr>
                <w:sz w:val="18"/>
              </w:rPr>
              <w:t>Days with</w:t>
            </w:r>
            <w:r>
              <w:rPr>
                <w:sz w:val="18"/>
              </w:rPr>
              <w:br/>
              <w:t>VIIRS pair metrics</w:t>
            </w:r>
          </w:p>
        </w:tc>
        <w:tc>
          <w:tcPr>
            <w:tcW w:w="1680" w:type="dxa"/>
          </w:tcPr>
          <w:p w14:paraId="632CADC6" w14:textId="77777777" w:rsidR="00FF3D8B" w:rsidRDefault="00000000">
            <w:pPr>
              <w:cnfStyle w:val="100000000000" w:firstRow="1" w:lastRow="0" w:firstColumn="0" w:lastColumn="0" w:oddVBand="0" w:evenVBand="0" w:oddHBand="0" w:evenHBand="0" w:firstRowFirstColumn="0" w:firstRowLastColumn="0" w:lastRowFirstColumn="0" w:lastRowLastColumn="0"/>
            </w:pPr>
            <w:r>
              <w:rPr>
                <w:sz w:val="18"/>
              </w:rPr>
              <w:t>S-1 revisit</w:t>
            </w:r>
            <w:r>
              <w:rPr>
                <w:sz w:val="18"/>
              </w:rPr>
              <w:br/>
              <w:t>fraction</w:t>
            </w:r>
          </w:p>
        </w:tc>
      </w:tr>
      <w:tr w:rsidR="00FF3D8B" w14:paraId="3D97F0A0" w14:textId="77777777" w:rsidTr="00FF3D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0" w:type="dxa"/>
          </w:tcPr>
          <w:p w14:paraId="39D372F3" w14:textId="77777777" w:rsidR="00FF3D8B" w:rsidRDefault="00000000">
            <w:r>
              <w:rPr>
                <w:sz w:val="18"/>
              </w:rPr>
              <w:t xml:space="preserve">Snohomish River (Seattle, </w:t>
            </w:r>
            <w:r>
              <w:rPr>
                <w:sz w:val="18"/>
              </w:rPr>
              <w:lastRenderedPageBreak/>
              <w:t>Washington)</w:t>
            </w:r>
          </w:p>
        </w:tc>
        <w:tc>
          <w:tcPr>
            <w:tcW w:w="1680" w:type="dxa"/>
          </w:tcPr>
          <w:p w14:paraId="7FEDA8CB" w14:textId="77777777" w:rsidR="00FF3D8B" w:rsidRDefault="00000000">
            <w:pPr>
              <w:cnfStyle w:val="000000100000" w:firstRow="0" w:lastRow="0" w:firstColumn="0" w:lastColumn="0" w:oddVBand="0" w:evenVBand="0" w:oddHBand="1" w:evenHBand="0" w:firstRowFirstColumn="0" w:firstRowLastColumn="0" w:lastRowFirstColumn="0" w:lastRowLastColumn="0"/>
            </w:pPr>
            <w:r>
              <w:rPr>
                <w:sz w:val="18"/>
              </w:rPr>
              <w:lastRenderedPageBreak/>
              <w:t>8</w:t>
            </w:r>
          </w:p>
        </w:tc>
        <w:tc>
          <w:tcPr>
            <w:tcW w:w="1680" w:type="dxa"/>
          </w:tcPr>
          <w:p w14:paraId="5B716FC0" w14:textId="77777777" w:rsidR="00FF3D8B" w:rsidRDefault="00000000">
            <w:pPr>
              <w:cnfStyle w:val="000000100000" w:firstRow="0" w:lastRow="0" w:firstColumn="0" w:lastColumn="0" w:oddVBand="0" w:evenVBand="0" w:oddHBand="1" w:evenHBand="0" w:firstRowFirstColumn="0" w:firstRowLastColumn="0" w:lastRowFirstColumn="0" w:lastRowLastColumn="0"/>
            </w:pPr>
            <w:r>
              <w:rPr>
                <w:sz w:val="18"/>
              </w:rPr>
              <w:t>3</w:t>
            </w:r>
          </w:p>
        </w:tc>
        <w:tc>
          <w:tcPr>
            <w:tcW w:w="1680" w:type="dxa"/>
          </w:tcPr>
          <w:p w14:paraId="29D90A45" w14:textId="77777777" w:rsidR="00FF3D8B" w:rsidRDefault="00000000">
            <w:pPr>
              <w:cnfStyle w:val="000000100000" w:firstRow="0" w:lastRow="0" w:firstColumn="0" w:lastColumn="0" w:oddVBand="0" w:evenVBand="0" w:oddHBand="1" w:evenHBand="0" w:firstRowFirstColumn="0" w:firstRowLastColumn="0" w:lastRowFirstColumn="0" w:lastRowLastColumn="0"/>
            </w:pPr>
            <w:r>
              <w:rPr>
                <w:sz w:val="18"/>
              </w:rPr>
              <w:t>3</w:t>
            </w:r>
          </w:p>
        </w:tc>
        <w:tc>
          <w:tcPr>
            <w:tcW w:w="1680" w:type="dxa"/>
          </w:tcPr>
          <w:p w14:paraId="066BB3AA" w14:textId="77777777" w:rsidR="00FF3D8B" w:rsidRDefault="00000000">
            <w:pPr>
              <w:cnfStyle w:val="000000100000" w:firstRow="0" w:lastRow="0" w:firstColumn="0" w:lastColumn="0" w:oddVBand="0" w:evenVBand="0" w:oddHBand="1" w:evenHBand="0" w:firstRowFirstColumn="0" w:firstRowLastColumn="0" w:lastRowFirstColumn="0" w:lastRowLastColumn="0"/>
            </w:pPr>
            <w:r>
              <w:rPr>
                <w:sz w:val="18"/>
              </w:rPr>
              <w:t>2</w:t>
            </w:r>
          </w:p>
        </w:tc>
        <w:tc>
          <w:tcPr>
            <w:tcW w:w="1680" w:type="dxa"/>
          </w:tcPr>
          <w:p w14:paraId="6CD835E1" w14:textId="77777777" w:rsidR="00FF3D8B" w:rsidRDefault="00000000">
            <w:pPr>
              <w:cnfStyle w:val="000000100000" w:firstRow="0" w:lastRow="0" w:firstColumn="0" w:lastColumn="0" w:oddVBand="0" w:evenVBand="0" w:oddHBand="1" w:evenHBand="0" w:firstRowFirstColumn="0" w:firstRowLastColumn="0" w:lastRowFirstColumn="0" w:lastRowLastColumn="0"/>
            </w:pPr>
            <w:r>
              <w:rPr>
                <w:sz w:val="18"/>
              </w:rPr>
              <w:t>0.38</w:t>
            </w:r>
          </w:p>
        </w:tc>
      </w:tr>
      <w:tr w:rsidR="00FF3D8B" w14:paraId="52EDFDB6" w14:textId="77777777" w:rsidTr="00FF3D8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0" w:type="dxa"/>
          </w:tcPr>
          <w:p w14:paraId="08F6F595" w14:textId="77777777" w:rsidR="00FF3D8B" w:rsidRDefault="00000000">
            <w:r>
              <w:rPr>
                <w:sz w:val="18"/>
              </w:rPr>
              <w:t>Jackson County, Indiana</w:t>
            </w:r>
          </w:p>
        </w:tc>
        <w:tc>
          <w:tcPr>
            <w:tcW w:w="1680" w:type="dxa"/>
          </w:tcPr>
          <w:p w14:paraId="0538053D" w14:textId="77777777" w:rsidR="00FF3D8B" w:rsidRDefault="00000000">
            <w:pPr>
              <w:cnfStyle w:val="000000010000" w:firstRow="0" w:lastRow="0" w:firstColumn="0" w:lastColumn="0" w:oddVBand="0" w:evenVBand="0" w:oddHBand="0" w:evenHBand="1" w:firstRowFirstColumn="0" w:firstRowLastColumn="0" w:lastRowFirstColumn="0" w:lastRowLastColumn="0"/>
            </w:pPr>
            <w:r>
              <w:rPr>
                <w:sz w:val="18"/>
              </w:rPr>
              <w:t>4</w:t>
            </w:r>
          </w:p>
        </w:tc>
        <w:tc>
          <w:tcPr>
            <w:tcW w:w="1680" w:type="dxa"/>
          </w:tcPr>
          <w:p w14:paraId="512D99CD" w14:textId="77777777" w:rsidR="00FF3D8B" w:rsidRDefault="00000000">
            <w:pPr>
              <w:cnfStyle w:val="000000010000" w:firstRow="0" w:lastRow="0" w:firstColumn="0" w:lastColumn="0" w:oddVBand="0" w:evenVBand="0" w:oddHBand="0" w:evenHBand="1" w:firstRowFirstColumn="0" w:firstRowLastColumn="0" w:lastRowFirstColumn="0" w:lastRowLastColumn="0"/>
            </w:pPr>
            <w:r>
              <w:rPr>
                <w:sz w:val="18"/>
              </w:rPr>
              <w:t>1</w:t>
            </w:r>
          </w:p>
        </w:tc>
        <w:tc>
          <w:tcPr>
            <w:tcW w:w="1680" w:type="dxa"/>
          </w:tcPr>
          <w:p w14:paraId="5D72207E" w14:textId="77777777" w:rsidR="00FF3D8B" w:rsidRDefault="00000000">
            <w:pPr>
              <w:cnfStyle w:val="000000010000" w:firstRow="0" w:lastRow="0" w:firstColumn="0" w:lastColumn="0" w:oddVBand="0" w:evenVBand="0" w:oddHBand="0" w:evenHBand="1" w:firstRowFirstColumn="0" w:firstRowLastColumn="0" w:lastRowFirstColumn="0" w:lastRowLastColumn="0"/>
            </w:pPr>
            <w:r>
              <w:rPr>
                <w:sz w:val="18"/>
              </w:rPr>
              <w:t>1</w:t>
            </w:r>
          </w:p>
        </w:tc>
        <w:tc>
          <w:tcPr>
            <w:tcW w:w="1680" w:type="dxa"/>
          </w:tcPr>
          <w:p w14:paraId="7E556580" w14:textId="77777777" w:rsidR="00FF3D8B" w:rsidRDefault="00000000">
            <w:pPr>
              <w:cnfStyle w:val="000000010000" w:firstRow="0" w:lastRow="0" w:firstColumn="0" w:lastColumn="0" w:oddVBand="0" w:evenVBand="0" w:oddHBand="0" w:evenHBand="1" w:firstRowFirstColumn="0" w:firstRowLastColumn="0" w:lastRowFirstColumn="0" w:lastRowLastColumn="0"/>
            </w:pPr>
            <w:r>
              <w:rPr>
                <w:sz w:val="18"/>
              </w:rPr>
              <w:t>1</w:t>
            </w:r>
          </w:p>
        </w:tc>
        <w:tc>
          <w:tcPr>
            <w:tcW w:w="1680" w:type="dxa"/>
          </w:tcPr>
          <w:p w14:paraId="2D23D6A3" w14:textId="77777777" w:rsidR="00FF3D8B" w:rsidRDefault="00000000">
            <w:pPr>
              <w:cnfStyle w:val="000000010000" w:firstRow="0" w:lastRow="0" w:firstColumn="0" w:lastColumn="0" w:oddVBand="0" w:evenVBand="0" w:oddHBand="0" w:evenHBand="1" w:firstRowFirstColumn="0" w:firstRowLastColumn="0" w:lastRowFirstColumn="0" w:lastRowLastColumn="0"/>
            </w:pPr>
            <w:r>
              <w:rPr>
                <w:sz w:val="18"/>
              </w:rPr>
              <w:t>0.25</w:t>
            </w:r>
          </w:p>
        </w:tc>
      </w:tr>
      <w:tr w:rsidR="00FF3D8B" w14:paraId="0C1B005D" w14:textId="77777777" w:rsidTr="00FF3D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0" w:type="dxa"/>
          </w:tcPr>
          <w:p w14:paraId="0F2B086F" w14:textId="77777777" w:rsidR="00FF3D8B" w:rsidRDefault="00000000">
            <w:r>
              <w:rPr>
                <w:sz w:val="18"/>
              </w:rPr>
              <w:t>Alaska Yukon River</w:t>
            </w:r>
          </w:p>
        </w:tc>
        <w:tc>
          <w:tcPr>
            <w:tcW w:w="1680" w:type="dxa"/>
          </w:tcPr>
          <w:p w14:paraId="00EF5196" w14:textId="77777777" w:rsidR="00FF3D8B" w:rsidRDefault="00000000">
            <w:pPr>
              <w:cnfStyle w:val="000000100000" w:firstRow="0" w:lastRow="0" w:firstColumn="0" w:lastColumn="0" w:oddVBand="0" w:evenVBand="0" w:oddHBand="1" w:evenHBand="0" w:firstRowFirstColumn="0" w:firstRowLastColumn="0" w:lastRowFirstColumn="0" w:lastRowLastColumn="0"/>
            </w:pPr>
            <w:r>
              <w:rPr>
                <w:sz w:val="18"/>
              </w:rPr>
              <w:t>6</w:t>
            </w:r>
          </w:p>
        </w:tc>
        <w:tc>
          <w:tcPr>
            <w:tcW w:w="1680" w:type="dxa"/>
          </w:tcPr>
          <w:p w14:paraId="78199100" w14:textId="77777777" w:rsidR="00FF3D8B" w:rsidRDefault="00000000">
            <w:pPr>
              <w:cnfStyle w:val="000000100000" w:firstRow="0" w:lastRow="0" w:firstColumn="0" w:lastColumn="0" w:oddVBand="0" w:evenVBand="0" w:oddHBand="1" w:evenHBand="0" w:firstRowFirstColumn="0" w:firstRowLastColumn="0" w:lastRowFirstColumn="0" w:lastRowLastColumn="0"/>
            </w:pPr>
            <w:r>
              <w:rPr>
                <w:sz w:val="18"/>
              </w:rPr>
              <w:t>2</w:t>
            </w:r>
          </w:p>
        </w:tc>
        <w:tc>
          <w:tcPr>
            <w:tcW w:w="1680" w:type="dxa"/>
          </w:tcPr>
          <w:p w14:paraId="07DC9EF9" w14:textId="77777777" w:rsidR="00FF3D8B" w:rsidRDefault="00000000">
            <w:pPr>
              <w:cnfStyle w:val="000000100000" w:firstRow="0" w:lastRow="0" w:firstColumn="0" w:lastColumn="0" w:oddVBand="0" w:evenVBand="0" w:oddHBand="1" w:evenHBand="0" w:firstRowFirstColumn="0" w:firstRowLastColumn="0" w:lastRowFirstColumn="0" w:lastRowLastColumn="0"/>
            </w:pPr>
            <w:r>
              <w:rPr>
                <w:sz w:val="18"/>
              </w:rPr>
              <w:t>2</w:t>
            </w:r>
          </w:p>
        </w:tc>
        <w:tc>
          <w:tcPr>
            <w:tcW w:w="1680" w:type="dxa"/>
          </w:tcPr>
          <w:p w14:paraId="35CB5999" w14:textId="77777777" w:rsidR="00FF3D8B" w:rsidRDefault="00000000">
            <w:pPr>
              <w:cnfStyle w:val="000000100000" w:firstRow="0" w:lastRow="0" w:firstColumn="0" w:lastColumn="0" w:oddVBand="0" w:evenVBand="0" w:oddHBand="1" w:evenHBand="0" w:firstRowFirstColumn="0" w:firstRowLastColumn="0" w:lastRowFirstColumn="0" w:lastRowLastColumn="0"/>
            </w:pPr>
            <w:r>
              <w:rPr>
                <w:sz w:val="18"/>
              </w:rPr>
              <w:t>2</w:t>
            </w:r>
          </w:p>
        </w:tc>
        <w:tc>
          <w:tcPr>
            <w:tcW w:w="1680" w:type="dxa"/>
          </w:tcPr>
          <w:p w14:paraId="553923B0" w14:textId="77777777" w:rsidR="00FF3D8B" w:rsidRDefault="00000000">
            <w:pPr>
              <w:cnfStyle w:val="000000100000" w:firstRow="0" w:lastRow="0" w:firstColumn="0" w:lastColumn="0" w:oddVBand="0" w:evenVBand="0" w:oddHBand="1" w:evenHBand="0" w:firstRowFirstColumn="0" w:firstRowLastColumn="0" w:lastRowFirstColumn="0" w:lastRowLastColumn="0"/>
            </w:pPr>
            <w:r>
              <w:rPr>
                <w:sz w:val="18"/>
              </w:rPr>
              <w:t>0.33</w:t>
            </w:r>
          </w:p>
        </w:tc>
      </w:tr>
    </w:tbl>
    <w:p w14:paraId="02E9B912" w14:textId="77777777" w:rsidR="00FF3D8B" w:rsidRDefault="00000000">
      <w:pPr>
        <w:pStyle w:val="Heading1"/>
      </w:pPr>
      <w:r>
        <w:rPr>
          <w:sz w:val="26"/>
        </w:rPr>
        <w:t>Snohomish River (Seattle, Washington)</w:t>
      </w:r>
    </w:p>
    <w:p w14:paraId="5B6D8D60" w14:textId="77777777" w:rsidR="00FF3D8B" w:rsidRDefault="00000000">
      <w:r>
        <w:t>Evaluation window: 12–19 December 2025.</w:t>
      </w:r>
    </w:p>
    <w:p w14:paraId="14D591AB" w14:textId="77777777" w:rsidR="00FF3D8B" w:rsidRDefault="00000000">
      <w:r>
        <w:t>Within this window there are 8 calendar days, 3 with SIENA Sentinel-1 coverage, 3 with DSWx-S1 WTR data, and 2 with quantitative VIIRS-overlap metrics on at least one SAR–VIIRS pair.</w:t>
      </w:r>
    </w:p>
    <w:p w14:paraId="604205EA" w14:textId="77777777" w:rsidR="00FF3D8B" w:rsidRDefault="00000000">
      <w:pPr>
        <w:pStyle w:val="Heading2"/>
      </w:pPr>
      <w:r>
        <w:rPr>
          <w:sz w:val="22"/>
        </w:rPr>
        <w:t>Qualitative assessment</w:t>
      </w:r>
    </w:p>
    <w:p w14:paraId="5FE9D612" w14:textId="77777777" w:rsidR="00FF3D8B" w:rsidRDefault="00000000">
      <w:r>
        <w:t>During the December 2025 Puget Sound flood episode, VIIRS FIM shows elevated water along the Snohomish River corridor on the limited dates with optical coverage. SIENA (Sentinel-1) captures flood extent on three acquisition days within the eight-day window. By contrast, DSWx-S1 open-water detections remain sparse along the main river channel in this complex, partly vegetated valley setting. This pattern is consistent with DSWx-S1’s global dynamic surface-water configuration emphasizing transient open water: some valley floods that are clear in SAR and partially visible in VIIRS are largely absent in the DSWx-S1 open-water layer here. Quantitatively, pooled F1 for DSWx-S1 versus VIIRS is low on the two dates where both products overlap VIIRS, while SIENA versus VIIRS reaches moderate agreement on the same dates despite SIENA’s higher recall relative to the sparse DSWx-S1 open-water signal.</w:t>
      </w:r>
    </w:p>
    <w:p w14:paraId="28C6583E" w14:textId="77777777" w:rsidR="00FF3D8B" w:rsidRDefault="00000000">
      <w:pPr>
        <w:pStyle w:val="Heading2"/>
      </w:pPr>
      <w:r>
        <w:rPr>
          <w:sz w:val="22"/>
        </w:rPr>
        <w:t>Quantitative summary (pooled over valid pair-days)</w:t>
      </w:r>
    </w:p>
    <w:tbl>
      <w:tblPr>
        <w:tblStyle w:val="LightGrid-Accent2"/>
        <w:tblW w:w="0" w:type="auto"/>
        <w:tblLook w:val="04A0" w:firstRow="1" w:lastRow="0" w:firstColumn="1" w:lastColumn="0" w:noHBand="0" w:noVBand="1"/>
      </w:tblPr>
      <w:tblGrid>
        <w:gridCol w:w="1440"/>
        <w:gridCol w:w="1440"/>
        <w:gridCol w:w="1440"/>
        <w:gridCol w:w="1440"/>
        <w:gridCol w:w="1440"/>
        <w:gridCol w:w="1440"/>
        <w:gridCol w:w="1440"/>
      </w:tblGrid>
      <w:tr w:rsidR="00FF3D8B" w14:paraId="175C7408" w14:textId="77777777" w:rsidTr="00FF3D8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14:paraId="5C3404FC" w14:textId="77777777" w:rsidR="00FF3D8B" w:rsidRDefault="00000000">
            <w:r>
              <w:rPr>
                <w:sz w:val="18"/>
              </w:rPr>
              <w:t>Comparison (VIIRS = reference where noted)</w:t>
            </w:r>
          </w:p>
        </w:tc>
        <w:tc>
          <w:tcPr>
            <w:tcW w:w="1440" w:type="dxa"/>
          </w:tcPr>
          <w:p w14:paraId="52B015CE" w14:textId="77777777" w:rsidR="00FF3D8B" w:rsidRDefault="00000000">
            <w:pPr>
              <w:cnfStyle w:val="100000000000" w:firstRow="1" w:lastRow="0" w:firstColumn="0" w:lastColumn="0" w:oddVBand="0" w:evenVBand="0" w:oddHBand="0" w:evenHBand="0" w:firstRowFirstColumn="0" w:firstRowLastColumn="0" w:lastRowFirstColumn="0" w:lastRowLastColumn="0"/>
            </w:pPr>
            <w:r>
              <w:rPr>
                <w:sz w:val="18"/>
              </w:rPr>
              <w:t>n dates</w:t>
            </w:r>
          </w:p>
        </w:tc>
        <w:tc>
          <w:tcPr>
            <w:tcW w:w="1440" w:type="dxa"/>
          </w:tcPr>
          <w:p w14:paraId="48416D02" w14:textId="77777777" w:rsidR="00FF3D8B" w:rsidRDefault="00000000">
            <w:pPr>
              <w:cnfStyle w:val="100000000000" w:firstRow="1" w:lastRow="0" w:firstColumn="0" w:lastColumn="0" w:oddVBand="0" w:evenVBand="0" w:oddHBand="0" w:evenHBand="0" w:firstRowFirstColumn="0" w:firstRowLastColumn="0" w:lastRowFirstColumn="0" w:lastRowLastColumn="0"/>
            </w:pPr>
            <w:r>
              <w:rPr>
                <w:sz w:val="18"/>
              </w:rPr>
              <w:t>Pooled F1</w:t>
            </w:r>
          </w:p>
        </w:tc>
        <w:tc>
          <w:tcPr>
            <w:tcW w:w="1440" w:type="dxa"/>
          </w:tcPr>
          <w:p w14:paraId="10FFB228" w14:textId="77777777" w:rsidR="00FF3D8B" w:rsidRDefault="00000000">
            <w:pPr>
              <w:cnfStyle w:val="100000000000" w:firstRow="1" w:lastRow="0" w:firstColumn="0" w:lastColumn="0" w:oddVBand="0" w:evenVBand="0" w:oddHBand="0" w:evenHBand="0" w:firstRowFirstColumn="0" w:firstRowLastColumn="0" w:lastRowFirstColumn="0" w:lastRowLastColumn="0"/>
            </w:pPr>
            <w:r>
              <w:rPr>
                <w:sz w:val="18"/>
              </w:rPr>
              <w:t>Pooled IoU</w:t>
            </w:r>
          </w:p>
        </w:tc>
        <w:tc>
          <w:tcPr>
            <w:tcW w:w="1440" w:type="dxa"/>
          </w:tcPr>
          <w:p w14:paraId="3C62667F" w14:textId="77777777" w:rsidR="00FF3D8B" w:rsidRDefault="00000000">
            <w:pPr>
              <w:cnfStyle w:val="100000000000" w:firstRow="1" w:lastRow="0" w:firstColumn="0" w:lastColumn="0" w:oddVBand="0" w:evenVBand="0" w:oddHBand="0" w:evenHBand="0" w:firstRowFirstColumn="0" w:firstRowLastColumn="0" w:lastRowFirstColumn="0" w:lastRowLastColumn="0"/>
            </w:pPr>
            <w:r>
              <w:rPr>
                <w:sz w:val="18"/>
              </w:rPr>
              <w:t>Pooled precision</w:t>
            </w:r>
          </w:p>
        </w:tc>
        <w:tc>
          <w:tcPr>
            <w:tcW w:w="1440" w:type="dxa"/>
          </w:tcPr>
          <w:p w14:paraId="2602F84B" w14:textId="77777777" w:rsidR="00FF3D8B" w:rsidRDefault="00000000">
            <w:pPr>
              <w:cnfStyle w:val="100000000000" w:firstRow="1" w:lastRow="0" w:firstColumn="0" w:lastColumn="0" w:oddVBand="0" w:evenVBand="0" w:oddHBand="0" w:evenHBand="0" w:firstRowFirstColumn="0" w:firstRowLastColumn="0" w:lastRowFirstColumn="0" w:lastRowLastColumn="0"/>
            </w:pPr>
            <w:r>
              <w:rPr>
                <w:sz w:val="18"/>
              </w:rPr>
              <w:t>Pooled recall</w:t>
            </w:r>
          </w:p>
        </w:tc>
        <w:tc>
          <w:tcPr>
            <w:tcW w:w="1440" w:type="dxa"/>
          </w:tcPr>
          <w:p w14:paraId="5AFC2D23" w14:textId="77777777" w:rsidR="00FF3D8B" w:rsidRDefault="00000000">
            <w:pPr>
              <w:cnfStyle w:val="100000000000" w:firstRow="1" w:lastRow="0" w:firstColumn="0" w:lastColumn="0" w:oddVBand="0" w:evenVBand="0" w:oddHBand="0" w:evenHBand="0" w:firstRowFirstColumn="0" w:firstRowLastColumn="0" w:lastRowFirstColumn="0" w:lastRowLastColumn="0"/>
            </w:pPr>
            <w:r>
              <w:rPr>
                <w:sz w:val="18"/>
              </w:rPr>
              <w:t>F1 (flood subset ≥1%)</w:t>
            </w:r>
          </w:p>
        </w:tc>
      </w:tr>
      <w:tr w:rsidR="00FF3D8B" w14:paraId="6F559E0E" w14:textId="77777777" w:rsidTr="00FF3D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14:paraId="50DC01FD" w14:textId="77777777" w:rsidR="00FF3D8B" w:rsidRDefault="00000000">
            <w:r>
              <w:rPr>
                <w:sz w:val="18"/>
              </w:rPr>
              <w:t>SIENA vs VIIRS-FIM (reference)</w:t>
            </w:r>
          </w:p>
        </w:tc>
        <w:tc>
          <w:tcPr>
            <w:tcW w:w="1440" w:type="dxa"/>
          </w:tcPr>
          <w:p w14:paraId="234531C3" w14:textId="77777777" w:rsidR="00FF3D8B" w:rsidRDefault="00000000">
            <w:pPr>
              <w:cnfStyle w:val="000000100000" w:firstRow="0" w:lastRow="0" w:firstColumn="0" w:lastColumn="0" w:oddVBand="0" w:evenVBand="0" w:oddHBand="1" w:evenHBand="0" w:firstRowFirstColumn="0" w:firstRowLastColumn="0" w:lastRowFirstColumn="0" w:lastRowLastColumn="0"/>
            </w:pPr>
            <w:r>
              <w:rPr>
                <w:sz w:val="18"/>
              </w:rPr>
              <w:t>2</w:t>
            </w:r>
          </w:p>
        </w:tc>
        <w:tc>
          <w:tcPr>
            <w:tcW w:w="1440" w:type="dxa"/>
          </w:tcPr>
          <w:p w14:paraId="3092BA11" w14:textId="77777777" w:rsidR="00FF3D8B" w:rsidRDefault="00000000">
            <w:pPr>
              <w:cnfStyle w:val="000000100000" w:firstRow="0" w:lastRow="0" w:firstColumn="0" w:lastColumn="0" w:oddVBand="0" w:evenVBand="0" w:oddHBand="1" w:evenHBand="0" w:firstRowFirstColumn="0" w:firstRowLastColumn="0" w:lastRowFirstColumn="0" w:lastRowLastColumn="0"/>
            </w:pPr>
            <w:r>
              <w:rPr>
                <w:sz w:val="18"/>
              </w:rPr>
              <w:t>0.598</w:t>
            </w:r>
          </w:p>
        </w:tc>
        <w:tc>
          <w:tcPr>
            <w:tcW w:w="1440" w:type="dxa"/>
          </w:tcPr>
          <w:p w14:paraId="07F8E8CF" w14:textId="77777777" w:rsidR="00FF3D8B" w:rsidRDefault="00000000">
            <w:pPr>
              <w:cnfStyle w:val="000000100000" w:firstRow="0" w:lastRow="0" w:firstColumn="0" w:lastColumn="0" w:oddVBand="0" w:evenVBand="0" w:oddHBand="1" w:evenHBand="0" w:firstRowFirstColumn="0" w:firstRowLastColumn="0" w:lastRowFirstColumn="0" w:lastRowLastColumn="0"/>
            </w:pPr>
            <w:r>
              <w:rPr>
                <w:sz w:val="18"/>
              </w:rPr>
              <w:t>0.426</w:t>
            </w:r>
          </w:p>
        </w:tc>
        <w:tc>
          <w:tcPr>
            <w:tcW w:w="1440" w:type="dxa"/>
          </w:tcPr>
          <w:p w14:paraId="7307FD60" w14:textId="77777777" w:rsidR="00FF3D8B" w:rsidRDefault="00000000">
            <w:pPr>
              <w:cnfStyle w:val="000000100000" w:firstRow="0" w:lastRow="0" w:firstColumn="0" w:lastColumn="0" w:oddVBand="0" w:evenVBand="0" w:oddHBand="1" w:evenHBand="0" w:firstRowFirstColumn="0" w:firstRowLastColumn="0" w:lastRowFirstColumn="0" w:lastRowLastColumn="0"/>
            </w:pPr>
            <w:r>
              <w:rPr>
                <w:sz w:val="18"/>
              </w:rPr>
              <w:t>0.530</w:t>
            </w:r>
          </w:p>
        </w:tc>
        <w:tc>
          <w:tcPr>
            <w:tcW w:w="1440" w:type="dxa"/>
          </w:tcPr>
          <w:p w14:paraId="14904436" w14:textId="77777777" w:rsidR="00FF3D8B" w:rsidRDefault="00000000">
            <w:pPr>
              <w:cnfStyle w:val="000000100000" w:firstRow="0" w:lastRow="0" w:firstColumn="0" w:lastColumn="0" w:oddVBand="0" w:evenVBand="0" w:oddHBand="1" w:evenHBand="0" w:firstRowFirstColumn="0" w:firstRowLastColumn="0" w:lastRowFirstColumn="0" w:lastRowLastColumn="0"/>
            </w:pPr>
            <w:r>
              <w:rPr>
                <w:sz w:val="18"/>
              </w:rPr>
              <w:t>0.686</w:t>
            </w:r>
          </w:p>
        </w:tc>
        <w:tc>
          <w:tcPr>
            <w:tcW w:w="1440" w:type="dxa"/>
          </w:tcPr>
          <w:p w14:paraId="7D959A83" w14:textId="77777777" w:rsidR="00FF3D8B" w:rsidRDefault="00000000">
            <w:pPr>
              <w:cnfStyle w:val="000000100000" w:firstRow="0" w:lastRow="0" w:firstColumn="0" w:lastColumn="0" w:oddVBand="0" w:evenVBand="0" w:oddHBand="1" w:evenHBand="0" w:firstRowFirstColumn="0" w:firstRowLastColumn="0" w:lastRowFirstColumn="0" w:lastRowLastColumn="0"/>
            </w:pPr>
            <w:r>
              <w:rPr>
                <w:sz w:val="18"/>
              </w:rPr>
              <w:t>0.606</w:t>
            </w:r>
          </w:p>
        </w:tc>
      </w:tr>
      <w:tr w:rsidR="00FF3D8B" w14:paraId="263B09C1" w14:textId="77777777" w:rsidTr="00FF3D8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14:paraId="429D72B3" w14:textId="77777777" w:rsidR="00FF3D8B" w:rsidRDefault="00000000">
            <w:r>
              <w:rPr>
                <w:sz w:val="18"/>
              </w:rPr>
              <w:t>DSWx-S1 vs VIIRS-FIM (reference)</w:t>
            </w:r>
          </w:p>
        </w:tc>
        <w:tc>
          <w:tcPr>
            <w:tcW w:w="1440" w:type="dxa"/>
          </w:tcPr>
          <w:p w14:paraId="2D46215C" w14:textId="77777777" w:rsidR="00FF3D8B" w:rsidRDefault="00000000">
            <w:pPr>
              <w:cnfStyle w:val="000000010000" w:firstRow="0" w:lastRow="0" w:firstColumn="0" w:lastColumn="0" w:oddVBand="0" w:evenVBand="0" w:oddHBand="0" w:evenHBand="1" w:firstRowFirstColumn="0" w:firstRowLastColumn="0" w:lastRowFirstColumn="0" w:lastRowLastColumn="0"/>
            </w:pPr>
            <w:r>
              <w:rPr>
                <w:sz w:val="18"/>
              </w:rPr>
              <w:t>2</w:t>
            </w:r>
          </w:p>
        </w:tc>
        <w:tc>
          <w:tcPr>
            <w:tcW w:w="1440" w:type="dxa"/>
          </w:tcPr>
          <w:p w14:paraId="767A8236" w14:textId="77777777" w:rsidR="00FF3D8B" w:rsidRDefault="00000000">
            <w:pPr>
              <w:cnfStyle w:val="000000010000" w:firstRow="0" w:lastRow="0" w:firstColumn="0" w:lastColumn="0" w:oddVBand="0" w:evenVBand="0" w:oddHBand="0" w:evenHBand="1" w:firstRowFirstColumn="0" w:firstRowLastColumn="0" w:lastRowFirstColumn="0" w:lastRowLastColumn="0"/>
            </w:pPr>
            <w:r>
              <w:rPr>
                <w:sz w:val="18"/>
              </w:rPr>
              <w:t>0.084</w:t>
            </w:r>
          </w:p>
        </w:tc>
        <w:tc>
          <w:tcPr>
            <w:tcW w:w="1440" w:type="dxa"/>
          </w:tcPr>
          <w:p w14:paraId="54E24FDF" w14:textId="77777777" w:rsidR="00FF3D8B" w:rsidRDefault="00000000">
            <w:pPr>
              <w:cnfStyle w:val="000000010000" w:firstRow="0" w:lastRow="0" w:firstColumn="0" w:lastColumn="0" w:oddVBand="0" w:evenVBand="0" w:oddHBand="0" w:evenHBand="1" w:firstRowFirstColumn="0" w:firstRowLastColumn="0" w:lastRowFirstColumn="0" w:lastRowLastColumn="0"/>
            </w:pPr>
            <w:r>
              <w:rPr>
                <w:sz w:val="18"/>
              </w:rPr>
              <w:t>0.044</w:t>
            </w:r>
          </w:p>
        </w:tc>
        <w:tc>
          <w:tcPr>
            <w:tcW w:w="1440" w:type="dxa"/>
          </w:tcPr>
          <w:p w14:paraId="091EFA67" w14:textId="77777777" w:rsidR="00FF3D8B" w:rsidRDefault="00000000">
            <w:pPr>
              <w:cnfStyle w:val="000000010000" w:firstRow="0" w:lastRow="0" w:firstColumn="0" w:lastColumn="0" w:oddVBand="0" w:evenVBand="0" w:oddHBand="0" w:evenHBand="1" w:firstRowFirstColumn="0" w:firstRowLastColumn="0" w:lastRowFirstColumn="0" w:lastRowLastColumn="0"/>
            </w:pPr>
            <w:r>
              <w:rPr>
                <w:sz w:val="18"/>
              </w:rPr>
              <w:t>0.364</w:t>
            </w:r>
          </w:p>
        </w:tc>
        <w:tc>
          <w:tcPr>
            <w:tcW w:w="1440" w:type="dxa"/>
          </w:tcPr>
          <w:p w14:paraId="0478F379" w14:textId="77777777" w:rsidR="00FF3D8B" w:rsidRDefault="00000000">
            <w:pPr>
              <w:cnfStyle w:val="000000010000" w:firstRow="0" w:lastRow="0" w:firstColumn="0" w:lastColumn="0" w:oddVBand="0" w:evenVBand="0" w:oddHBand="0" w:evenHBand="1" w:firstRowFirstColumn="0" w:firstRowLastColumn="0" w:lastRowFirstColumn="0" w:lastRowLastColumn="0"/>
            </w:pPr>
            <w:r>
              <w:rPr>
                <w:sz w:val="18"/>
              </w:rPr>
              <w:t>0.048</w:t>
            </w:r>
          </w:p>
        </w:tc>
        <w:tc>
          <w:tcPr>
            <w:tcW w:w="1440" w:type="dxa"/>
          </w:tcPr>
          <w:p w14:paraId="2F212952" w14:textId="77777777" w:rsidR="00FF3D8B" w:rsidRDefault="00000000">
            <w:pPr>
              <w:cnfStyle w:val="000000010000" w:firstRow="0" w:lastRow="0" w:firstColumn="0" w:lastColumn="0" w:oddVBand="0" w:evenVBand="0" w:oddHBand="0" w:evenHBand="1" w:firstRowFirstColumn="0" w:firstRowLastColumn="0" w:lastRowFirstColumn="0" w:lastRowLastColumn="0"/>
            </w:pPr>
            <w:r>
              <w:rPr>
                <w:sz w:val="18"/>
              </w:rPr>
              <w:t>0.084</w:t>
            </w:r>
          </w:p>
        </w:tc>
      </w:tr>
      <w:tr w:rsidR="00FF3D8B" w14:paraId="3B7E5804" w14:textId="77777777" w:rsidTr="00FF3D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14:paraId="41F1F838" w14:textId="77777777" w:rsidR="00FF3D8B" w:rsidRDefault="00000000">
            <w:r>
              <w:rPr>
                <w:sz w:val="18"/>
              </w:rPr>
              <w:t>SIENA vs DSWx-S1</w:t>
            </w:r>
          </w:p>
        </w:tc>
        <w:tc>
          <w:tcPr>
            <w:tcW w:w="1440" w:type="dxa"/>
          </w:tcPr>
          <w:p w14:paraId="7ACC64A4" w14:textId="77777777" w:rsidR="00FF3D8B" w:rsidRDefault="00000000">
            <w:pPr>
              <w:cnfStyle w:val="000000100000" w:firstRow="0" w:lastRow="0" w:firstColumn="0" w:lastColumn="0" w:oddVBand="0" w:evenVBand="0" w:oddHBand="1" w:evenHBand="0" w:firstRowFirstColumn="0" w:firstRowLastColumn="0" w:lastRowFirstColumn="0" w:lastRowLastColumn="0"/>
            </w:pPr>
            <w:r>
              <w:rPr>
                <w:sz w:val="18"/>
              </w:rPr>
              <w:t>3</w:t>
            </w:r>
          </w:p>
        </w:tc>
        <w:tc>
          <w:tcPr>
            <w:tcW w:w="1440" w:type="dxa"/>
          </w:tcPr>
          <w:p w14:paraId="0E3DE1CA" w14:textId="77777777" w:rsidR="00FF3D8B" w:rsidRDefault="00000000">
            <w:pPr>
              <w:cnfStyle w:val="000000100000" w:firstRow="0" w:lastRow="0" w:firstColumn="0" w:lastColumn="0" w:oddVBand="0" w:evenVBand="0" w:oddHBand="1" w:evenHBand="0" w:firstRowFirstColumn="0" w:firstRowLastColumn="0" w:lastRowFirstColumn="0" w:lastRowLastColumn="0"/>
            </w:pPr>
            <w:r>
              <w:rPr>
                <w:sz w:val="18"/>
              </w:rPr>
              <w:t>0.287</w:t>
            </w:r>
          </w:p>
        </w:tc>
        <w:tc>
          <w:tcPr>
            <w:tcW w:w="1440" w:type="dxa"/>
          </w:tcPr>
          <w:p w14:paraId="770BBFBF" w14:textId="77777777" w:rsidR="00FF3D8B" w:rsidRDefault="00000000">
            <w:pPr>
              <w:cnfStyle w:val="000000100000" w:firstRow="0" w:lastRow="0" w:firstColumn="0" w:lastColumn="0" w:oddVBand="0" w:evenVBand="0" w:oddHBand="1" w:evenHBand="0" w:firstRowFirstColumn="0" w:firstRowLastColumn="0" w:lastRowFirstColumn="0" w:lastRowLastColumn="0"/>
            </w:pPr>
            <w:r>
              <w:rPr>
                <w:sz w:val="18"/>
              </w:rPr>
              <w:t>0.167</w:t>
            </w:r>
          </w:p>
        </w:tc>
        <w:tc>
          <w:tcPr>
            <w:tcW w:w="1440" w:type="dxa"/>
          </w:tcPr>
          <w:p w14:paraId="18C7F987" w14:textId="77777777" w:rsidR="00FF3D8B" w:rsidRDefault="00000000">
            <w:pPr>
              <w:cnfStyle w:val="000000100000" w:firstRow="0" w:lastRow="0" w:firstColumn="0" w:lastColumn="0" w:oddVBand="0" w:evenVBand="0" w:oddHBand="1" w:evenHBand="0" w:firstRowFirstColumn="0" w:firstRowLastColumn="0" w:lastRowFirstColumn="0" w:lastRowLastColumn="0"/>
            </w:pPr>
            <w:r>
              <w:rPr>
                <w:sz w:val="18"/>
              </w:rPr>
              <w:t>0.175</w:t>
            </w:r>
          </w:p>
        </w:tc>
        <w:tc>
          <w:tcPr>
            <w:tcW w:w="1440" w:type="dxa"/>
          </w:tcPr>
          <w:p w14:paraId="4ABC5C2D" w14:textId="77777777" w:rsidR="00FF3D8B" w:rsidRDefault="00000000">
            <w:pPr>
              <w:cnfStyle w:val="000000100000" w:firstRow="0" w:lastRow="0" w:firstColumn="0" w:lastColumn="0" w:oddVBand="0" w:evenVBand="0" w:oddHBand="1" w:evenHBand="0" w:firstRowFirstColumn="0" w:firstRowLastColumn="0" w:lastRowFirstColumn="0" w:lastRowLastColumn="0"/>
            </w:pPr>
            <w:r>
              <w:rPr>
                <w:sz w:val="18"/>
              </w:rPr>
              <w:t>0.790</w:t>
            </w:r>
          </w:p>
        </w:tc>
        <w:tc>
          <w:tcPr>
            <w:tcW w:w="1440" w:type="dxa"/>
          </w:tcPr>
          <w:p w14:paraId="372903AA" w14:textId="77777777" w:rsidR="00FF3D8B" w:rsidRDefault="00000000">
            <w:pPr>
              <w:cnfStyle w:val="000000100000" w:firstRow="0" w:lastRow="0" w:firstColumn="0" w:lastColumn="0" w:oddVBand="0" w:evenVBand="0" w:oddHBand="1" w:evenHBand="0" w:firstRowFirstColumn="0" w:firstRowLastColumn="0" w:lastRowFirstColumn="0" w:lastRowLastColumn="0"/>
            </w:pPr>
            <w:r>
              <w:rPr>
                <w:sz w:val="18"/>
              </w:rPr>
              <w:t>0.287</w:t>
            </w:r>
          </w:p>
        </w:tc>
      </w:tr>
    </w:tbl>
    <w:p w14:paraId="79036153" w14:textId="77777777" w:rsidR="00FF3D8B" w:rsidRDefault="00000000">
      <w:pPr>
        <w:pStyle w:val="Heading2"/>
      </w:pPr>
      <w:r>
        <w:rPr>
          <w:sz w:val="22"/>
        </w:rPr>
        <w:t>Metric distributions</w:t>
      </w:r>
    </w:p>
    <w:p w14:paraId="11B99F1F" w14:textId="77777777" w:rsidR="00FF3D8B" w:rsidRDefault="00000000">
      <w:pPr>
        <w:jc w:val="center"/>
      </w:pPr>
      <w:r>
        <w:rPr>
          <w:noProof/>
        </w:rPr>
        <w:drawing>
          <wp:inline distT="0" distB="0" distL="0" distR="0" wp14:anchorId="5ED6C4FE" wp14:editId="705034E3">
            <wp:extent cx="5486400" cy="1714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ir_boxplots.jpg"/>
                    <pic:cNvPicPr/>
                  </pic:nvPicPr>
                  <pic:blipFill>
                    <a:blip r:embed="rId6"/>
                    <a:stretch>
                      <a:fillRect/>
                    </a:stretch>
                  </pic:blipFill>
                  <pic:spPr>
                    <a:xfrm>
                      <a:off x="0" y="0"/>
                      <a:ext cx="5486400" cy="1714500"/>
                    </a:xfrm>
                    <a:prstGeom prst="rect">
                      <a:avLst/>
                    </a:prstGeom>
                  </pic:spPr>
                </pic:pic>
              </a:graphicData>
            </a:graphic>
          </wp:inline>
        </w:drawing>
      </w:r>
    </w:p>
    <w:p w14:paraId="191A2661" w14:textId="77777777" w:rsidR="00FF3D8B" w:rsidRDefault="00000000">
      <w:pPr>
        <w:jc w:val="center"/>
      </w:pPr>
      <w:r>
        <w:rPr>
          <w:i/>
          <w:sz w:val="18"/>
        </w:rPr>
        <w:t>Per-pair F1, IoU, precision, recall across valid dates.</w:t>
      </w:r>
    </w:p>
    <w:p w14:paraId="1B3F20F8" w14:textId="77777777" w:rsidR="00FF3D8B" w:rsidRDefault="00000000">
      <w:pPr>
        <w:jc w:val="center"/>
      </w:pPr>
      <w:r>
        <w:rPr>
          <w:noProof/>
        </w:rPr>
        <w:lastRenderedPageBreak/>
        <w:drawing>
          <wp:inline distT="0" distB="0" distL="0" distR="0" wp14:anchorId="5009E8E4" wp14:editId="27385968">
            <wp:extent cx="5486400" cy="18859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t_fraction_scatter.jpg"/>
                    <pic:cNvPicPr/>
                  </pic:nvPicPr>
                  <pic:blipFill>
                    <a:blip r:embed="rId7"/>
                    <a:stretch>
                      <a:fillRect/>
                    </a:stretch>
                  </pic:blipFill>
                  <pic:spPr>
                    <a:xfrm>
                      <a:off x="0" y="0"/>
                      <a:ext cx="5486400" cy="1885950"/>
                    </a:xfrm>
                    <a:prstGeom prst="rect">
                      <a:avLst/>
                    </a:prstGeom>
                  </pic:spPr>
                </pic:pic>
              </a:graphicData>
            </a:graphic>
          </wp:inline>
        </w:drawing>
      </w:r>
    </w:p>
    <w:p w14:paraId="5FE099BE" w14:textId="77777777" w:rsidR="00FF3D8B" w:rsidRDefault="00000000">
      <w:pPr>
        <w:jc w:val="center"/>
      </w:pPr>
      <w:r>
        <w:rPr>
          <w:i/>
          <w:sz w:val="18"/>
        </w:rPr>
        <w:t>Wet-area fraction agreement on the joint VIIRS 375 m domain.</w:t>
      </w:r>
    </w:p>
    <w:p w14:paraId="4676EB16" w14:textId="77777777" w:rsidR="00FF3D8B" w:rsidRDefault="00000000">
      <w:pPr>
        <w:jc w:val="center"/>
      </w:pPr>
      <w:r>
        <w:rPr>
          <w:noProof/>
        </w:rPr>
        <w:drawing>
          <wp:inline distT="0" distB="0" distL="0" distR="0" wp14:anchorId="37CAB7CF" wp14:editId="76FA4F8C">
            <wp:extent cx="5486400" cy="175564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xel_confusion_pooled.jpg"/>
                    <pic:cNvPicPr/>
                  </pic:nvPicPr>
                  <pic:blipFill>
                    <a:blip r:embed="rId8"/>
                    <a:stretch>
                      <a:fillRect/>
                    </a:stretch>
                  </pic:blipFill>
                  <pic:spPr>
                    <a:xfrm>
                      <a:off x="0" y="0"/>
                      <a:ext cx="5486400" cy="1755648"/>
                    </a:xfrm>
                    <a:prstGeom prst="rect">
                      <a:avLst/>
                    </a:prstGeom>
                  </pic:spPr>
                </pic:pic>
              </a:graphicData>
            </a:graphic>
          </wp:inline>
        </w:drawing>
      </w:r>
    </w:p>
    <w:p w14:paraId="5B257565" w14:textId="77777777" w:rsidR="00FF3D8B" w:rsidRDefault="00000000">
      <w:pPr>
        <w:jc w:val="center"/>
      </w:pPr>
      <w:r>
        <w:rPr>
          <w:i/>
          <w:sz w:val="18"/>
        </w:rPr>
        <w:t>Pooled TP/FP/FN/TN shares for each comparison pair.</w:t>
      </w:r>
    </w:p>
    <w:p w14:paraId="47158BB1" w14:textId="77777777" w:rsidR="00FF3D8B" w:rsidRDefault="00000000">
      <w:pPr>
        <w:pStyle w:val="Heading2"/>
      </w:pPr>
      <w:r>
        <w:rPr>
          <w:sz w:val="22"/>
        </w:rPr>
        <w:t>Daily three-panel timeline (stacked by calendar day)</w:t>
      </w:r>
    </w:p>
    <w:p w14:paraId="209CE3A3" w14:textId="77777777" w:rsidR="00FF3D8B" w:rsidRDefault="00000000">
      <w:r>
        <w:t>Each row is one calendar day (date label at left of row). Columns within a row: VIIRS FIM | SIENA FIM | DSWx-S1 WTR. Missing SAR panels are annotated in the underlying daily figures.</w:t>
      </w:r>
    </w:p>
    <w:p w14:paraId="3DD5B1FE" w14:textId="77777777" w:rsidR="00FF3D8B" w:rsidRDefault="00000000">
      <w:pPr>
        <w:jc w:val="center"/>
      </w:pPr>
      <w:r>
        <w:rPr>
          <w:noProof/>
        </w:rPr>
        <w:lastRenderedPageBreak/>
        <w:drawing>
          <wp:inline distT="0" distB="0" distL="0" distR="0" wp14:anchorId="7BCA9568" wp14:editId="25D2B809">
            <wp:extent cx="5760720" cy="18895162"/>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cked_Snohomish_River_Seattle.jpg"/>
                    <pic:cNvPicPr/>
                  </pic:nvPicPr>
                  <pic:blipFill>
                    <a:blip r:embed="rId9"/>
                    <a:stretch>
                      <a:fillRect/>
                    </a:stretch>
                  </pic:blipFill>
                  <pic:spPr>
                    <a:xfrm>
                      <a:off x="0" y="0"/>
                      <a:ext cx="5760720" cy="18895162"/>
                    </a:xfrm>
                    <a:prstGeom prst="rect">
                      <a:avLst/>
                    </a:prstGeom>
                  </pic:spPr>
                </pic:pic>
              </a:graphicData>
            </a:graphic>
          </wp:inline>
        </w:drawing>
      </w:r>
    </w:p>
    <w:p w14:paraId="4A1A2594" w14:textId="77777777" w:rsidR="00FF3D8B" w:rsidRDefault="00000000">
      <w:pPr>
        <w:jc w:val="center"/>
      </w:pPr>
      <w:r>
        <w:rPr>
          <w:i/>
          <w:sz w:val="18"/>
        </w:rPr>
        <w:lastRenderedPageBreak/>
        <w:t>Figure — Snohomish River (Seattle, Washington): daily product comparison stacked chronologically.</w:t>
      </w:r>
    </w:p>
    <w:p w14:paraId="68208378" w14:textId="77777777" w:rsidR="00FF3D8B" w:rsidRDefault="00000000">
      <w:pPr>
        <w:pStyle w:val="Heading1"/>
      </w:pPr>
      <w:r>
        <w:rPr>
          <w:sz w:val="26"/>
        </w:rPr>
        <w:t>Jackson County, Indiana</w:t>
      </w:r>
    </w:p>
    <w:p w14:paraId="4260713A" w14:textId="77777777" w:rsidR="00FF3D8B" w:rsidRDefault="00000000">
      <w:r>
        <w:t>Evaluation window: 8–11 March 2026.</w:t>
      </w:r>
    </w:p>
    <w:p w14:paraId="08E4A7B9" w14:textId="77777777" w:rsidR="00FF3D8B" w:rsidRDefault="00000000">
      <w:r>
        <w:t>Within this window there are 4 calendar days, 1 with SIENA Sentinel-1 coverage, 1 with DSWx-S1 WTR data, and 1 with quantitative VIIRS-overlap metrics on at least one SAR–VIIRS pair.</w:t>
      </w:r>
    </w:p>
    <w:p w14:paraId="47031C07" w14:textId="77777777" w:rsidR="00FF3D8B" w:rsidRDefault="00000000">
      <w:pPr>
        <w:pStyle w:val="Heading2"/>
      </w:pPr>
      <w:r>
        <w:rPr>
          <w:sz w:val="22"/>
        </w:rPr>
        <w:t>Qualitative assessment</w:t>
      </w:r>
    </w:p>
    <w:p w14:paraId="5D571EBE" w14:textId="77777777" w:rsidR="00FF3D8B" w:rsidRDefault="00000000">
      <w:r>
        <w:t>The March 2026 Midwest event provides a compact four-day window with one Sentinel-1 acquisition (8 March 2026) but daily VIIRS context. On that day SIENA and DSWx-S1 agree closely in spatial pattern, with SIENA mapping a somewhat larger inundated area that lies closer to the VIIRS FIM reference. Pooled metrics show SIENA–VIIRS F1 ≈ 0.52 versus DSWx-S1–VIIRS F1 ≈ 0.39, and SIENA–DSWx-S1 F1 ≈ 0.76 when both SAR products are compared directly. This case illustrates that where open-water SAR signal is unambiguous, SIENA and DSWx-S1 are aligned, while SIENA can extend flood mapping slightly beyond DSWx-S1 open water in a way that better matches the optical reference.</w:t>
      </w:r>
    </w:p>
    <w:p w14:paraId="724355EF" w14:textId="77777777" w:rsidR="00FF3D8B" w:rsidRDefault="00000000">
      <w:pPr>
        <w:pStyle w:val="Heading2"/>
      </w:pPr>
      <w:r>
        <w:rPr>
          <w:sz w:val="22"/>
        </w:rPr>
        <w:t>Quantitative summary (pooled over valid pair-days)</w:t>
      </w:r>
    </w:p>
    <w:tbl>
      <w:tblPr>
        <w:tblStyle w:val="LightGrid-Accent2"/>
        <w:tblW w:w="0" w:type="auto"/>
        <w:tblLook w:val="04A0" w:firstRow="1" w:lastRow="0" w:firstColumn="1" w:lastColumn="0" w:noHBand="0" w:noVBand="1"/>
      </w:tblPr>
      <w:tblGrid>
        <w:gridCol w:w="1440"/>
        <w:gridCol w:w="1440"/>
        <w:gridCol w:w="1440"/>
        <w:gridCol w:w="1440"/>
        <w:gridCol w:w="1440"/>
        <w:gridCol w:w="1440"/>
        <w:gridCol w:w="1440"/>
      </w:tblGrid>
      <w:tr w:rsidR="00FF3D8B" w14:paraId="76ED5478" w14:textId="77777777" w:rsidTr="00FF3D8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14:paraId="1C4495C8" w14:textId="77777777" w:rsidR="00FF3D8B" w:rsidRDefault="00000000">
            <w:r>
              <w:rPr>
                <w:sz w:val="18"/>
              </w:rPr>
              <w:t>Comparison (VIIRS = reference where noted)</w:t>
            </w:r>
          </w:p>
        </w:tc>
        <w:tc>
          <w:tcPr>
            <w:tcW w:w="1440" w:type="dxa"/>
          </w:tcPr>
          <w:p w14:paraId="0E32D8F9" w14:textId="77777777" w:rsidR="00FF3D8B" w:rsidRDefault="00000000">
            <w:pPr>
              <w:cnfStyle w:val="100000000000" w:firstRow="1" w:lastRow="0" w:firstColumn="0" w:lastColumn="0" w:oddVBand="0" w:evenVBand="0" w:oddHBand="0" w:evenHBand="0" w:firstRowFirstColumn="0" w:firstRowLastColumn="0" w:lastRowFirstColumn="0" w:lastRowLastColumn="0"/>
            </w:pPr>
            <w:r>
              <w:rPr>
                <w:sz w:val="18"/>
              </w:rPr>
              <w:t>n dates</w:t>
            </w:r>
          </w:p>
        </w:tc>
        <w:tc>
          <w:tcPr>
            <w:tcW w:w="1440" w:type="dxa"/>
          </w:tcPr>
          <w:p w14:paraId="4FBA8E97" w14:textId="77777777" w:rsidR="00FF3D8B" w:rsidRDefault="00000000">
            <w:pPr>
              <w:cnfStyle w:val="100000000000" w:firstRow="1" w:lastRow="0" w:firstColumn="0" w:lastColumn="0" w:oddVBand="0" w:evenVBand="0" w:oddHBand="0" w:evenHBand="0" w:firstRowFirstColumn="0" w:firstRowLastColumn="0" w:lastRowFirstColumn="0" w:lastRowLastColumn="0"/>
            </w:pPr>
            <w:r>
              <w:rPr>
                <w:sz w:val="18"/>
              </w:rPr>
              <w:t>Pooled F1</w:t>
            </w:r>
          </w:p>
        </w:tc>
        <w:tc>
          <w:tcPr>
            <w:tcW w:w="1440" w:type="dxa"/>
          </w:tcPr>
          <w:p w14:paraId="42FD114B" w14:textId="77777777" w:rsidR="00FF3D8B" w:rsidRDefault="00000000">
            <w:pPr>
              <w:cnfStyle w:val="100000000000" w:firstRow="1" w:lastRow="0" w:firstColumn="0" w:lastColumn="0" w:oddVBand="0" w:evenVBand="0" w:oddHBand="0" w:evenHBand="0" w:firstRowFirstColumn="0" w:firstRowLastColumn="0" w:lastRowFirstColumn="0" w:lastRowLastColumn="0"/>
            </w:pPr>
            <w:r>
              <w:rPr>
                <w:sz w:val="18"/>
              </w:rPr>
              <w:t>Pooled IoU</w:t>
            </w:r>
          </w:p>
        </w:tc>
        <w:tc>
          <w:tcPr>
            <w:tcW w:w="1440" w:type="dxa"/>
          </w:tcPr>
          <w:p w14:paraId="018D4D4E" w14:textId="77777777" w:rsidR="00FF3D8B" w:rsidRDefault="00000000">
            <w:pPr>
              <w:cnfStyle w:val="100000000000" w:firstRow="1" w:lastRow="0" w:firstColumn="0" w:lastColumn="0" w:oddVBand="0" w:evenVBand="0" w:oddHBand="0" w:evenHBand="0" w:firstRowFirstColumn="0" w:firstRowLastColumn="0" w:lastRowFirstColumn="0" w:lastRowLastColumn="0"/>
            </w:pPr>
            <w:r>
              <w:rPr>
                <w:sz w:val="18"/>
              </w:rPr>
              <w:t>Pooled precision</w:t>
            </w:r>
          </w:p>
        </w:tc>
        <w:tc>
          <w:tcPr>
            <w:tcW w:w="1440" w:type="dxa"/>
          </w:tcPr>
          <w:p w14:paraId="24DB61C2" w14:textId="77777777" w:rsidR="00FF3D8B" w:rsidRDefault="00000000">
            <w:pPr>
              <w:cnfStyle w:val="100000000000" w:firstRow="1" w:lastRow="0" w:firstColumn="0" w:lastColumn="0" w:oddVBand="0" w:evenVBand="0" w:oddHBand="0" w:evenHBand="0" w:firstRowFirstColumn="0" w:firstRowLastColumn="0" w:lastRowFirstColumn="0" w:lastRowLastColumn="0"/>
            </w:pPr>
            <w:r>
              <w:rPr>
                <w:sz w:val="18"/>
              </w:rPr>
              <w:t>Pooled recall</w:t>
            </w:r>
          </w:p>
        </w:tc>
        <w:tc>
          <w:tcPr>
            <w:tcW w:w="1440" w:type="dxa"/>
          </w:tcPr>
          <w:p w14:paraId="0F4220B4" w14:textId="77777777" w:rsidR="00FF3D8B" w:rsidRDefault="00000000">
            <w:pPr>
              <w:cnfStyle w:val="100000000000" w:firstRow="1" w:lastRow="0" w:firstColumn="0" w:lastColumn="0" w:oddVBand="0" w:evenVBand="0" w:oddHBand="0" w:evenHBand="0" w:firstRowFirstColumn="0" w:firstRowLastColumn="0" w:lastRowFirstColumn="0" w:lastRowLastColumn="0"/>
            </w:pPr>
            <w:r>
              <w:rPr>
                <w:sz w:val="18"/>
              </w:rPr>
              <w:t>F1 (flood subset ≥1%)</w:t>
            </w:r>
          </w:p>
        </w:tc>
      </w:tr>
      <w:tr w:rsidR="00FF3D8B" w14:paraId="73B0E898" w14:textId="77777777" w:rsidTr="00FF3D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14:paraId="09CE7533" w14:textId="77777777" w:rsidR="00FF3D8B" w:rsidRDefault="00000000">
            <w:r>
              <w:rPr>
                <w:sz w:val="18"/>
              </w:rPr>
              <w:t>SIENA vs VIIRS-FIM (reference)</w:t>
            </w:r>
          </w:p>
        </w:tc>
        <w:tc>
          <w:tcPr>
            <w:tcW w:w="1440" w:type="dxa"/>
          </w:tcPr>
          <w:p w14:paraId="5072C91E" w14:textId="77777777" w:rsidR="00FF3D8B" w:rsidRDefault="00000000">
            <w:pPr>
              <w:cnfStyle w:val="000000100000" w:firstRow="0" w:lastRow="0" w:firstColumn="0" w:lastColumn="0" w:oddVBand="0" w:evenVBand="0" w:oddHBand="1" w:evenHBand="0" w:firstRowFirstColumn="0" w:firstRowLastColumn="0" w:lastRowFirstColumn="0" w:lastRowLastColumn="0"/>
            </w:pPr>
            <w:r>
              <w:rPr>
                <w:sz w:val="18"/>
              </w:rPr>
              <w:t>1</w:t>
            </w:r>
          </w:p>
        </w:tc>
        <w:tc>
          <w:tcPr>
            <w:tcW w:w="1440" w:type="dxa"/>
          </w:tcPr>
          <w:p w14:paraId="5E9A6873" w14:textId="77777777" w:rsidR="00FF3D8B" w:rsidRDefault="00000000">
            <w:pPr>
              <w:cnfStyle w:val="000000100000" w:firstRow="0" w:lastRow="0" w:firstColumn="0" w:lastColumn="0" w:oddVBand="0" w:evenVBand="0" w:oddHBand="1" w:evenHBand="0" w:firstRowFirstColumn="0" w:firstRowLastColumn="0" w:lastRowFirstColumn="0" w:lastRowLastColumn="0"/>
            </w:pPr>
            <w:r>
              <w:rPr>
                <w:sz w:val="18"/>
              </w:rPr>
              <w:t>0.515</w:t>
            </w:r>
          </w:p>
        </w:tc>
        <w:tc>
          <w:tcPr>
            <w:tcW w:w="1440" w:type="dxa"/>
          </w:tcPr>
          <w:p w14:paraId="64A5FAD6" w14:textId="77777777" w:rsidR="00FF3D8B" w:rsidRDefault="00000000">
            <w:pPr>
              <w:cnfStyle w:val="000000100000" w:firstRow="0" w:lastRow="0" w:firstColumn="0" w:lastColumn="0" w:oddVBand="0" w:evenVBand="0" w:oddHBand="1" w:evenHBand="0" w:firstRowFirstColumn="0" w:firstRowLastColumn="0" w:lastRowFirstColumn="0" w:lastRowLastColumn="0"/>
            </w:pPr>
            <w:r>
              <w:rPr>
                <w:sz w:val="18"/>
              </w:rPr>
              <w:t>0.347</w:t>
            </w:r>
          </w:p>
        </w:tc>
        <w:tc>
          <w:tcPr>
            <w:tcW w:w="1440" w:type="dxa"/>
          </w:tcPr>
          <w:p w14:paraId="4E94D5A2" w14:textId="77777777" w:rsidR="00FF3D8B" w:rsidRDefault="00000000">
            <w:pPr>
              <w:cnfStyle w:val="000000100000" w:firstRow="0" w:lastRow="0" w:firstColumn="0" w:lastColumn="0" w:oddVBand="0" w:evenVBand="0" w:oddHBand="1" w:evenHBand="0" w:firstRowFirstColumn="0" w:firstRowLastColumn="0" w:lastRowFirstColumn="0" w:lastRowLastColumn="0"/>
            </w:pPr>
            <w:r>
              <w:rPr>
                <w:sz w:val="18"/>
              </w:rPr>
              <w:t>0.981</w:t>
            </w:r>
          </w:p>
        </w:tc>
        <w:tc>
          <w:tcPr>
            <w:tcW w:w="1440" w:type="dxa"/>
          </w:tcPr>
          <w:p w14:paraId="3ED4854A" w14:textId="77777777" w:rsidR="00FF3D8B" w:rsidRDefault="00000000">
            <w:pPr>
              <w:cnfStyle w:val="000000100000" w:firstRow="0" w:lastRow="0" w:firstColumn="0" w:lastColumn="0" w:oddVBand="0" w:evenVBand="0" w:oddHBand="1" w:evenHBand="0" w:firstRowFirstColumn="0" w:firstRowLastColumn="0" w:lastRowFirstColumn="0" w:lastRowLastColumn="0"/>
            </w:pPr>
            <w:r>
              <w:rPr>
                <w:sz w:val="18"/>
              </w:rPr>
              <w:t>0.349</w:t>
            </w:r>
          </w:p>
        </w:tc>
        <w:tc>
          <w:tcPr>
            <w:tcW w:w="1440" w:type="dxa"/>
          </w:tcPr>
          <w:p w14:paraId="7A0A2EC3" w14:textId="77777777" w:rsidR="00FF3D8B" w:rsidRDefault="00000000">
            <w:pPr>
              <w:cnfStyle w:val="000000100000" w:firstRow="0" w:lastRow="0" w:firstColumn="0" w:lastColumn="0" w:oddVBand="0" w:evenVBand="0" w:oddHBand="1" w:evenHBand="0" w:firstRowFirstColumn="0" w:firstRowLastColumn="0" w:lastRowFirstColumn="0" w:lastRowLastColumn="0"/>
            </w:pPr>
            <w:r>
              <w:rPr>
                <w:sz w:val="18"/>
              </w:rPr>
              <w:t>0.515</w:t>
            </w:r>
          </w:p>
        </w:tc>
      </w:tr>
      <w:tr w:rsidR="00FF3D8B" w14:paraId="00C49CD0" w14:textId="77777777" w:rsidTr="00FF3D8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14:paraId="64D815DD" w14:textId="77777777" w:rsidR="00FF3D8B" w:rsidRDefault="00000000">
            <w:r>
              <w:rPr>
                <w:sz w:val="18"/>
              </w:rPr>
              <w:t>DSWx-S1 vs VIIRS-FIM (reference)</w:t>
            </w:r>
          </w:p>
        </w:tc>
        <w:tc>
          <w:tcPr>
            <w:tcW w:w="1440" w:type="dxa"/>
          </w:tcPr>
          <w:p w14:paraId="50CBA8DC" w14:textId="77777777" w:rsidR="00FF3D8B" w:rsidRDefault="00000000">
            <w:pPr>
              <w:cnfStyle w:val="000000010000" w:firstRow="0" w:lastRow="0" w:firstColumn="0" w:lastColumn="0" w:oddVBand="0" w:evenVBand="0" w:oddHBand="0" w:evenHBand="1" w:firstRowFirstColumn="0" w:firstRowLastColumn="0" w:lastRowFirstColumn="0" w:lastRowLastColumn="0"/>
            </w:pPr>
            <w:r>
              <w:rPr>
                <w:sz w:val="18"/>
              </w:rPr>
              <w:t>1</w:t>
            </w:r>
          </w:p>
        </w:tc>
        <w:tc>
          <w:tcPr>
            <w:tcW w:w="1440" w:type="dxa"/>
          </w:tcPr>
          <w:p w14:paraId="3019D724" w14:textId="77777777" w:rsidR="00FF3D8B" w:rsidRDefault="00000000">
            <w:pPr>
              <w:cnfStyle w:val="000000010000" w:firstRow="0" w:lastRow="0" w:firstColumn="0" w:lastColumn="0" w:oddVBand="0" w:evenVBand="0" w:oddHBand="0" w:evenHBand="1" w:firstRowFirstColumn="0" w:firstRowLastColumn="0" w:lastRowFirstColumn="0" w:lastRowLastColumn="0"/>
            </w:pPr>
            <w:r>
              <w:rPr>
                <w:sz w:val="18"/>
              </w:rPr>
              <w:t>0.387</w:t>
            </w:r>
          </w:p>
        </w:tc>
        <w:tc>
          <w:tcPr>
            <w:tcW w:w="1440" w:type="dxa"/>
          </w:tcPr>
          <w:p w14:paraId="6A5F4409" w14:textId="77777777" w:rsidR="00FF3D8B" w:rsidRDefault="00000000">
            <w:pPr>
              <w:cnfStyle w:val="000000010000" w:firstRow="0" w:lastRow="0" w:firstColumn="0" w:lastColumn="0" w:oddVBand="0" w:evenVBand="0" w:oddHBand="0" w:evenHBand="1" w:firstRowFirstColumn="0" w:firstRowLastColumn="0" w:lastRowFirstColumn="0" w:lastRowLastColumn="0"/>
            </w:pPr>
            <w:r>
              <w:rPr>
                <w:sz w:val="18"/>
              </w:rPr>
              <w:t>0.240</w:t>
            </w:r>
          </w:p>
        </w:tc>
        <w:tc>
          <w:tcPr>
            <w:tcW w:w="1440" w:type="dxa"/>
          </w:tcPr>
          <w:p w14:paraId="63C203CE" w14:textId="77777777" w:rsidR="00FF3D8B" w:rsidRDefault="00000000">
            <w:pPr>
              <w:cnfStyle w:val="000000010000" w:firstRow="0" w:lastRow="0" w:firstColumn="0" w:lastColumn="0" w:oddVBand="0" w:evenVBand="0" w:oddHBand="0" w:evenHBand="1" w:firstRowFirstColumn="0" w:firstRowLastColumn="0" w:lastRowFirstColumn="0" w:lastRowLastColumn="0"/>
            </w:pPr>
            <w:r>
              <w:rPr>
                <w:sz w:val="18"/>
              </w:rPr>
              <w:t>0.997</w:t>
            </w:r>
          </w:p>
        </w:tc>
        <w:tc>
          <w:tcPr>
            <w:tcW w:w="1440" w:type="dxa"/>
          </w:tcPr>
          <w:p w14:paraId="2518DD50" w14:textId="77777777" w:rsidR="00FF3D8B" w:rsidRDefault="00000000">
            <w:pPr>
              <w:cnfStyle w:val="000000010000" w:firstRow="0" w:lastRow="0" w:firstColumn="0" w:lastColumn="0" w:oddVBand="0" w:evenVBand="0" w:oddHBand="0" w:evenHBand="1" w:firstRowFirstColumn="0" w:firstRowLastColumn="0" w:lastRowFirstColumn="0" w:lastRowLastColumn="0"/>
            </w:pPr>
            <w:r>
              <w:rPr>
                <w:sz w:val="18"/>
              </w:rPr>
              <w:t>0.240</w:t>
            </w:r>
          </w:p>
        </w:tc>
        <w:tc>
          <w:tcPr>
            <w:tcW w:w="1440" w:type="dxa"/>
          </w:tcPr>
          <w:p w14:paraId="45EF19FB" w14:textId="77777777" w:rsidR="00FF3D8B" w:rsidRDefault="00000000">
            <w:pPr>
              <w:cnfStyle w:val="000000010000" w:firstRow="0" w:lastRow="0" w:firstColumn="0" w:lastColumn="0" w:oddVBand="0" w:evenVBand="0" w:oddHBand="0" w:evenHBand="1" w:firstRowFirstColumn="0" w:firstRowLastColumn="0" w:lastRowFirstColumn="0" w:lastRowLastColumn="0"/>
            </w:pPr>
            <w:r>
              <w:rPr>
                <w:sz w:val="18"/>
              </w:rPr>
              <w:t>0.387</w:t>
            </w:r>
          </w:p>
        </w:tc>
      </w:tr>
      <w:tr w:rsidR="00FF3D8B" w14:paraId="20D5ECF3" w14:textId="77777777" w:rsidTr="00FF3D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14:paraId="11C076E3" w14:textId="77777777" w:rsidR="00FF3D8B" w:rsidRDefault="00000000">
            <w:r>
              <w:rPr>
                <w:sz w:val="18"/>
              </w:rPr>
              <w:t>SIENA vs DSWx-S1</w:t>
            </w:r>
          </w:p>
        </w:tc>
        <w:tc>
          <w:tcPr>
            <w:tcW w:w="1440" w:type="dxa"/>
          </w:tcPr>
          <w:p w14:paraId="1F9D9319" w14:textId="77777777" w:rsidR="00FF3D8B" w:rsidRDefault="00000000">
            <w:pPr>
              <w:cnfStyle w:val="000000100000" w:firstRow="0" w:lastRow="0" w:firstColumn="0" w:lastColumn="0" w:oddVBand="0" w:evenVBand="0" w:oddHBand="1" w:evenHBand="0" w:firstRowFirstColumn="0" w:firstRowLastColumn="0" w:lastRowFirstColumn="0" w:lastRowLastColumn="0"/>
            </w:pPr>
            <w:r>
              <w:rPr>
                <w:sz w:val="18"/>
              </w:rPr>
              <w:t>1</w:t>
            </w:r>
          </w:p>
        </w:tc>
        <w:tc>
          <w:tcPr>
            <w:tcW w:w="1440" w:type="dxa"/>
          </w:tcPr>
          <w:p w14:paraId="7B20E0A3" w14:textId="77777777" w:rsidR="00FF3D8B" w:rsidRDefault="00000000">
            <w:pPr>
              <w:cnfStyle w:val="000000100000" w:firstRow="0" w:lastRow="0" w:firstColumn="0" w:lastColumn="0" w:oddVBand="0" w:evenVBand="0" w:oddHBand="1" w:evenHBand="0" w:firstRowFirstColumn="0" w:firstRowLastColumn="0" w:lastRowFirstColumn="0" w:lastRowLastColumn="0"/>
            </w:pPr>
            <w:r>
              <w:rPr>
                <w:sz w:val="18"/>
              </w:rPr>
              <w:t>0.761</w:t>
            </w:r>
          </w:p>
        </w:tc>
        <w:tc>
          <w:tcPr>
            <w:tcW w:w="1440" w:type="dxa"/>
          </w:tcPr>
          <w:p w14:paraId="3756B867" w14:textId="77777777" w:rsidR="00FF3D8B" w:rsidRDefault="00000000">
            <w:pPr>
              <w:cnfStyle w:val="000000100000" w:firstRow="0" w:lastRow="0" w:firstColumn="0" w:lastColumn="0" w:oddVBand="0" w:evenVBand="0" w:oddHBand="1" w:evenHBand="0" w:firstRowFirstColumn="0" w:firstRowLastColumn="0" w:lastRowFirstColumn="0" w:lastRowLastColumn="0"/>
            </w:pPr>
            <w:r>
              <w:rPr>
                <w:sz w:val="18"/>
              </w:rPr>
              <w:t>0.614</w:t>
            </w:r>
          </w:p>
        </w:tc>
        <w:tc>
          <w:tcPr>
            <w:tcW w:w="1440" w:type="dxa"/>
          </w:tcPr>
          <w:p w14:paraId="14ED07C9" w14:textId="77777777" w:rsidR="00FF3D8B" w:rsidRDefault="00000000">
            <w:pPr>
              <w:cnfStyle w:val="000000100000" w:firstRow="0" w:lastRow="0" w:firstColumn="0" w:lastColumn="0" w:oddVBand="0" w:evenVBand="0" w:oddHBand="1" w:evenHBand="0" w:firstRowFirstColumn="0" w:firstRowLastColumn="0" w:lastRowFirstColumn="0" w:lastRowLastColumn="0"/>
            </w:pPr>
            <w:r>
              <w:rPr>
                <w:sz w:val="18"/>
              </w:rPr>
              <w:t>0.636</w:t>
            </w:r>
          </w:p>
        </w:tc>
        <w:tc>
          <w:tcPr>
            <w:tcW w:w="1440" w:type="dxa"/>
          </w:tcPr>
          <w:p w14:paraId="64505E9E" w14:textId="77777777" w:rsidR="00FF3D8B" w:rsidRDefault="00000000">
            <w:pPr>
              <w:cnfStyle w:val="000000100000" w:firstRow="0" w:lastRow="0" w:firstColumn="0" w:lastColumn="0" w:oddVBand="0" w:evenVBand="0" w:oddHBand="1" w:evenHBand="0" w:firstRowFirstColumn="0" w:firstRowLastColumn="0" w:lastRowFirstColumn="0" w:lastRowLastColumn="0"/>
            </w:pPr>
            <w:r>
              <w:rPr>
                <w:sz w:val="18"/>
              </w:rPr>
              <w:t>0.946</w:t>
            </w:r>
          </w:p>
        </w:tc>
        <w:tc>
          <w:tcPr>
            <w:tcW w:w="1440" w:type="dxa"/>
          </w:tcPr>
          <w:p w14:paraId="7A4AC0DE" w14:textId="77777777" w:rsidR="00FF3D8B" w:rsidRDefault="00000000">
            <w:pPr>
              <w:cnfStyle w:val="000000100000" w:firstRow="0" w:lastRow="0" w:firstColumn="0" w:lastColumn="0" w:oddVBand="0" w:evenVBand="0" w:oddHBand="1" w:evenHBand="0" w:firstRowFirstColumn="0" w:firstRowLastColumn="0" w:lastRowFirstColumn="0" w:lastRowLastColumn="0"/>
            </w:pPr>
            <w:r>
              <w:rPr>
                <w:sz w:val="18"/>
              </w:rPr>
              <w:t>0.761</w:t>
            </w:r>
          </w:p>
        </w:tc>
      </w:tr>
    </w:tbl>
    <w:p w14:paraId="49EFFA1F" w14:textId="77777777" w:rsidR="00FF3D8B" w:rsidRDefault="00000000">
      <w:pPr>
        <w:pStyle w:val="Heading2"/>
      </w:pPr>
      <w:r>
        <w:rPr>
          <w:sz w:val="22"/>
        </w:rPr>
        <w:t>Metric distributions</w:t>
      </w:r>
    </w:p>
    <w:p w14:paraId="165B5AEB" w14:textId="77777777" w:rsidR="00FF3D8B" w:rsidRDefault="00000000">
      <w:pPr>
        <w:jc w:val="center"/>
      </w:pPr>
      <w:r>
        <w:rPr>
          <w:noProof/>
        </w:rPr>
        <w:drawing>
          <wp:inline distT="0" distB="0" distL="0" distR="0" wp14:anchorId="1FEAF17C" wp14:editId="133EEF14">
            <wp:extent cx="5486400" cy="1714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ir_boxplots.jpg"/>
                    <pic:cNvPicPr/>
                  </pic:nvPicPr>
                  <pic:blipFill>
                    <a:blip r:embed="rId10"/>
                    <a:stretch>
                      <a:fillRect/>
                    </a:stretch>
                  </pic:blipFill>
                  <pic:spPr>
                    <a:xfrm>
                      <a:off x="0" y="0"/>
                      <a:ext cx="5486400" cy="1714500"/>
                    </a:xfrm>
                    <a:prstGeom prst="rect">
                      <a:avLst/>
                    </a:prstGeom>
                  </pic:spPr>
                </pic:pic>
              </a:graphicData>
            </a:graphic>
          </wp:inline>
        </w:drawing>
      </w:r>
    </w:p>
    <w:p w14:paraId="49BBB32D" w14:textId="77777777" w:rsidR="00FF3D8B" w:rsidRDefault="00000000">
      <w:pPr>
        <w:jc w:val="center"/>
      </w:pPr>
      <w:r>
        <w:rPr>
          <w:i/>
          <w:sz w:val="18"/>
        </w:rPr>
        <w:t>Per-pair F1, IoU, precision, recall across valid dates.</w:t>
      </w:r>
    </w:p>
    <w:p w14:paraId="40D59BF7" w14:textId="77777777" w:rsidR="00FF3D8B" w:rsidRDefault="00000000">
      <w:pPr>
        <w:jc w:val="center"/>
      </w:pPr>
      <w:r>
        <w:rPr>
          <w:noProof/>
        </w:rPr>
        <w:lastRenderedPageBreak/>
        <w:drawing>
          <wp:inline distT="0" distB="0" distL="0" distR="0" wp14:anchorId="70667B40" wp14:editId="26932DCE">
            <wp:extent cx="5486400" cy="1885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t_fraction_scatter.jpg"/>
                    <pic:cNvPicPr/>
                  </pic:nvPicPr>
                  <pic:blipFill>
                    <a:blip r:embed="rId11"/>
                    <a:stretch>
                      <a:fillRect/>
                    </a:stretch>
                  </pic:blipFill>
                  <pic:spPr>
                    <a:xfrm>
                      <a:off x="0" y="0"/>
                      <a:ext cx="5486400" cy="1885950"/>
                    </a:xfrm>
                    <a:prstGeom prst="rect">
                      <a:avLst/>
                    </a:prstGeom>
                  </pic:spPr>
                </pic:pic>
              </a:graphicData>
            </a:graphic>
          </wp:inline>
        </w:drawing>
      </w:r>
    </w:p>
    <w:p w14:paraId="5DCD2BAB" w14:textId="77777777" w:rsidR="00FF3D8B" w:rsidRDefault="00000000">
      <w:pPr>
        <w:jc w:val="center"/>
      </w:pPr>
      <w:r>
        <w:rPr>
          <w:i/>
          <w:sz w:val="18"/>
        </w:rPr>
        <w:t>Wet-area fraction agreement on the joint VIIRS 375 m domain.</w:t>
      </w:r>
    </w:p>
    <w:p w14:paraId="23113044" w14:textId="77777777" w:rsidR="00FF3D8B" w:rsidRDefault="00000000">
      <w:pPr>
        <w:jc w:val="center"/>
      </w:pPr>
      <w:r>
        <w:rPr>
          <w:noProof/>
        </w:rPr>
        <w:drawing>
          <wp:inline distT="0" distB="0" distL="0" distR="0" wp14:anchorId="7750EC5C" wp14:editId="76886BEC">
            <wp:extent cx="5486400" cy="1755648"/>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xel_confusion_pooled.jpg"/>
                    <pic:cNvPicPr/>
                  </pic:nvPicPr>
                  <pic:blipFill>
                    <a:blip r:embed="rId12"/>
                    <a:stretch>
                      <a:fillRect/>
                    </a:stretch>
                  </pic:blipFill>
                  <pic:spPr>
                    <a:xfrm>
                      <a:off x="0" y="0"/>
                      <a:ext cx="5486400" cy="1755648"/>
                    </a:xfrm>
                    <a:prstGeom prst="rect">
                      <a:avLst/>
                    </a:prstGeom>
                  </pic:spPr>
                </pic:pic>
              </a:graphicData>
            </a:graphic>
          </wp:inline>
        </w:drawing>
      </w:r>
    </w:p>
    <w:p w14:paraId="65755ED1" w14:textId="77777777" w:rsidR="00FF3D8B" w:rsidRDefault="00000000">
      <w:pPr>
        <w:jc w:val="center"/>
      </w:pPr>
      <w:r>
        <w:rPr>
          <w:i/>
          <w:sz w:val="18"/>
        </w:rPr>
        <w:t>Pooled TP/FP/FN/TN shares for each comparison pair.</w:t>
      </w:r>
    </w:p>
    <w:p w14:paraId="62C36804" w14:textId="77777777" w:rsidR="00FF3D8B" w:rsidRDefault="00000000">
      <w:pPr>
        <w:pStyle w:val="Heading2"/>
      </w:pPr>
      <w:r>
        <w:rPr>
          <w:sz w:val="22"/>
        </w:rPr>
        <w:t>Daily three-panel timeline (stacked by calendar day)</w:t>
      </w:r>
    </w:p>
    <w:p w14:paraId="7D7A5776" w14:textId="77777777" w:rsidR="00FF3D8B" w:rsidRDefault="00000000">
      <w:r>
        <w:t>Each row is one calendar day (date label at left of row). Columns within a row: VIIRS FIM | SIENA FIM | DSWx-S1 WTR. Missing SAR panels are annotated in the underlying daily figures.</w:t>
      </w:r>
    </w:p>
    <w:p w14:paraId="597A4D4A" w14:textId="77777777" w:rsidR="00FF3D8B" w:rsidRDefault="00000000">
      <w:pPr>
        <w:jc w:val="center"/>
      </w:pPr>
      <w:r>
        <w:rPr>
          <w:noProof/>
        </w:rPr>
        <w:lastRenderedPageBreak/>
        <w:drawing>
          <wp:inline distT="0" distB="0" distL="0" distR="0" wp14:anchorId="6AA12927" wp14:editId="43B4B714">
            <wp:extent cx="5760720" cy="9101938"/>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cked_Jackson_County_IN.jpg"/>
                    <pic:cNvPicPr/>
                  </pic:nvPicPr>
                  <pic:blipFill>
                    <a:blip r:embed="rId13"/>
                    <a:stretch>
                      <a:fillRect/>
                    </a:stretch>
                  </pic:blipFill>
                  <pic:spPr>
                    <a:xfrm>
                      <a:off x="0" y="0"/>
                      <a:ext cx="5760720" cy="9101938"/>
                    </a:xfrm>
                    <a:prstGeom prst="rect">
                      <a:avLst/>
                    </a:prstGeom>
                  </pic:spPr>
                </pic:pic>
              </a:graphicData>
            </a:graphic>
          </wp:inline>
        </w:drawing>
      </w:r>
    </w:p>
    <w:p w14:paraId="43F400A6" w14:textId="77777777" w:rsidR="00FF3D8B" w:rsidRDefault="00000000">
      <w:pPr>
        <w:jc w:val="center"/>
      </w:pPr>
      <w:r>
        <w:rPr>
          <w:i/>
          <w:sz w:val="18"/>
        </w:rPr>
        <w:lastRenderedPageBreak/>
        <w:t>Figure — Jackson County, Indiana: daily product comparison stacked chronologically.</w:t>
      </w:r>
    </w:p>
    <w:p w14:paraId="02C9C84F" w14:textId="77777777" w:rsidR="00FF3D8B" w:rsidRDefault="00000000">
      <w:pPr>
        <w:pStyle w:val="Heading1"/>
      </w:pPr>
      <w:r>
        <w:rPr>
          <w:sz w:val="26"/>
        </w:rPr>
        <w:t>Alaska Yukon River</w:t>
      </w:r>
    </w:p>
    <w:p w14:paraId="121636AC" w14:textId="77777777" w:rsidR="00FF3D8B" w:rsidRDefault="00000000">
      <w:r>
        <w:t>Evaluation window: 8–13 May 2026.</w:t>
      </w:r>
    </w:p>
    <w:p w14:paraId="793C3242" w14:textId="77777777" w:rsidR="00FF3D8B" w:rsidRDefault="00000000">
      <w:r>
        <w:t>Within this window there are 6 calendar days, 2 with SIENA Sentinel-1 coverage, 2 with DSWx-S1 WTR data, and 2 with quantitative VIIRS-overlap metrics on at least one SAR–VIIRS pair.</w:t>
      </w:r>
    </w:p>
    <w:p w14:paraId="156113A7" w14:textId="77777777" w:rsidR="00FF3D8B" w:rsidRDefault="00000000">
      <w:pPr>
        <w:pStyle w:val="Heading2"/>
      </w:pPr>
      <w:r>
        <w:rPr>
          <w:sz w:val="22"/>
        </w:rPr>
        <w:t>Qualitative assessment</w:t>
      </w:r>
    </w:p>
    <w:p w14:paraId="483BA2F1" w14:textId="77777777" w:rsidR="00FF3D8B" w:rsidRDefault="00000000">
      <w:r>
        <w:t>The Alaska Yukon River case highlights inundation under stem-structure vegetation. Although our quantitative scoring uses DSWx-S1 open water only (class 1; see methodology), the figures still display the green inundated-vegetation class (class 3) for context. Visually, that vegetated-flood component from DSWx-S1 is promising and has motivated SIENA development toward a comparable capability in future versions. On the two Sentinel-1 days in this window, SIENA and DSWx-S1 open-water layers are broadly consistent with each other (SIENA vs DSWx-S1 pooled F1 ≈ 0.39), while both SAR products show low recall relative to VIIRS on the two dates with joint VIIRS overlap — reflecting both reference sparsity and the deliberate exclusion of class 3 from the DSWx-S1 wet mask in metrics.</w:t>
      </w:r>
    </w:p>
    <w:p w14:paraId="32E6D703" w14:textId="77777777" w:rsidR="00FF3D8B" w:rsidRDefault="00000000">
      <w:pPr>
        <w:pStyle w:val="Heading2"/>
      </w:pPr>
      <w:r>
        <w:rPr>
          <w:sz w:val="22"/>
        </w:rPr>
        <w:t>Quantitative summary (pooled over valid pair-days)</w:t>
      </w:r>
    </w:p>
    <w:tbl>
      <w:tblPr>
        <w:tblStyle w:val="LightGrid-Accent2"/>
        <w:tblW w:w="0" w:type="auto"/>
        <w:tblLook w:val="04A0" w:firstRow="1" w:lastRow="0" w:firstColumn="1" w:lastColumn="0" w:noHBand="0" w:noVBand="1"/>
      </w:tblPr>
      <w:tblGrid>
        <w:gridCol w:w="1440"/>
        <w:gridCol w:w="1440"/>
        <w:gridCol w:w="1440"/>
        <w:gridCol w:w="1440"/>
        <w:gridCol w:w="1440"/>
        <w:gridCol w:w="1440"/>
        <w:gridCol w:w="1440"/>
      </w:tblGrid>
      <w:tr w:rsidR="00FF3D8B" w14:paraId="3CDC2727" w14:textId="77777777" w:rsidTr="00FF3D8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14:paraId="5CD3514D" w14:textId="77777777" w:rsidR="00FF3D8B" w:rsidRDefault="00000000">
            <w:r>
              <w:rPr>
                <w:sz w:val="18"/>
              </w:rPr>
              <w:t>Comparison (VIIRS = reference where noted)</w:t>
            </w:r>
          </w:p>
        </w:tc>
        <w:tc>
          <w:tcPr>
            <w:tcW w:w="1440" w:type="dxa"/>
          </w:tcPr>
          <w:p w14:paraId="31E2CE31" w14:textId="77777777" w:rsidR="00FF3D8B" w:rsidRDefault="00000000">
            <w:pPr>
              <w:cnfStyle w:val="100000000000" w:firstRow="1" w:lastRow="0" w:firstColumn="0" w:lastColumn="0" w:oddVBand="0" w:evenVBand="0" w:oddHBand="0" w:evenHBand="0" w:firstRowFirstColumn="0" w:firstRowLastColumn="0" w:lastRowFirstColumn="0" w:lastRowLastColumn="0"/>
            </w:pPr>
            <w:r>
              <w:rPr>
                <w:sz w:val="18"/>
              </w:rPr>
              <w:t>n dates</w:t>
            </w:r>
          </w:p>
        </w:tc>
        <w:tc>
          <w:tcPr>
            <w:tcW w:w="1440" w:type="dxa"/>
          </w:tcPr>
          <w:p w14:paraId="650CF1C2" w14:textId="77777777" w:rsidR="00FF3D8B" w:rsidRDefault="00000000">
            <w:pPr>
              <w:cnfStyle w:val="100000000000" w:firstRow="1" w:lastRow="0" w:firstColumn="0" w:lastColumn="0" w:oddVBand="0" w:evenVBand="0" w:oddHBand="0" w:evenHBand="0" w:firstRowFirstColumn="0" w:firstRowLastColumn="0" w:lastRowFirstColumn="0" w:lastRowLastColumn="0"/>
            </w:pPr>
            <w:r>
              <w:rPr>
                <w:sz w:val="18"/>
              </w:rPr>
              <w:t>Pooled F1</w:t>
            </w:r>
          </w:p>
        </w:tc>
        <w:tc>
          <w:tcPr>
            <w:tcW w:w="1440" w:type="dxa"/>
          </w:tcPr>
          <w:p w14:paraId="3CA39603" w14:textId="77777777" w:rsidR="00FF3D8B" w:rsidRDefault="00000000">
            <w:pPr>
              <w:cnfStyle w:val="100000000000" w:firstRow="1" w:lastRow="0" w:firstColumn="0" w:lastColumn="0" w:oddVBand="0" w:evenVBand="0" w:oddHBand="0" w:evenHBand="0" w:firstRowFirstColumn="0" w:firstRowLastColumn="0" w:lastRowFirstColumn="0" w:lastRowLastColumn="0"/>
            </w:pPr>
            <w:r>
              <w:rPr>
                <w:sz w:val="18"/>
              </w:rPr>
              <w:t>Pooled IoU</w:t>
            </w:r>
          </w:p>
        </w:tc>
        <w:tc>
          <w:tcPr>
            <w:tcW w:w="1440" w:type="dxa"/>
          </w:tcPr>
          <w:p w14:paraId="6ABED890" w14:textId="77777777" w:rsidR="00FF3D8B" w:rsidRDefault="00000000">
            <w:pPr>
              <w:cnfStyle w:val="100000000000" w:firstRow="1" w:lastRow="0" w:firstColumn="0" w:lastColumn="0" w:oddVBand="0" w:evenVBand="0" w:oddHBand="0" w:evenHBand="0" w:firstRowFirstColumn="0" w:firstRowLastColumn="0" w:lastRowFirstColumn="0" w:lastRowLastColumn="0"/>
            </w:pPr>
            <w:r>
              <w:rPr>
                <w:sz w:val="18"/>
              </w:rPr>
              <w:t>Pooled precision</w:t>
            </w:r>
          </w:p>
        </w:tc>
        <w:tc>
          <w:tcPr>
            <w:tcW w:w="1440" w:type="dxa"/>
          </w:tcPr>
          <w:p w14:paraId="36870699" w14:textId="77777777" w:rsidR="00FF3D8B" w:rsidRDefault="00000000">
            <w:pPr>
              <w:cnfStyle w:val="100000000000" w:firstRow="1" w:lastRow="0" w:firstColumn="0" w:lastColumn="0" w:oddVBand="0" w:evenVBand="0" w:oddHBand="0" w:evenHBand="0" w:firstRowFirstColumn="0" w:firstRowLastColumn="0" w:lastRowFirstColumn="0" w:lastRowLastColumn="0"/>
            </w:pPr>
            <w:r>
              <w:rPr>
                <w:sz w:val="18"/>
              </w:rPr>
              <w:t>Pooled recall</w:t>
            </w:r>
          </w:p>
        </w:tc>
        <w:tc>
          <w:tcPr>
            <w:tcW w:w="1440" w:type="dxa"/>
          </w:tcPr>
          <w:p w14:paraId="7514DFD7" w14:textId="77777777" w:rsidR="00FF3D8B" w:rsidRDefault="00000000">
            <w:pPr>
              <w:cnfStyle w:val="100000000000" w:firstRow="1" w:lastRow="0" w:firstColumn="0" w:lastColumn="0" w:oddVBand="0" w:evenVBand="0" w:oddHBand="0" w:evenHBand="0" w:firstRowFirstColumn="0" w:firstRowLastColumn="0" w:lastRowFirstColumn="0" w:lastRowLastColumn="0"/>
            </w:pPr>
            <w:r>
              <w:rPr>
                <w:sz w:val="18"/>
              </w:rPr>
              <w:t>F1 (flood subset ≥1%)</w:t>
            </w:r>
          </w:p>
        </w:tc>
      </w:tr>
      <w:tr w:rsidR="00FF3D8B" w14:paraId="0AB6AB63" w14:textId="77777777" w:rsidTr="00FF3D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14:paraId="64D6DA28" w14:textId="77777777" w:rsidR="00FF3D8B" w:rsidRDefault="00000000">
            <w:r>
              <w:rPr>
                <w:sz w:val="18"/>
              </w:rPr>
              <w:t>SIENA vs VIIRS-FIM (reference)</w:t>
            </w:r>
          </w:p>
        </w:tc>
        <w:tc>
          <w:tcPr>
            <w:tcW w:w="1440" w:type="dxa"/>
          </w:tcPr>
          <w:p w14:paraId="217C2C51" w14:textId="77777777" w:rsidR="00FF3D8B" w:rsidRDefault="00000000">
            <w:pPr>
              <w:cnfStyle w:val="000000100000" w:firstRow="0" w:lastRow="0" w:firstColumn="0" w:lastColumn="0" w:oddVBand="0" w:evenVBand="0" w:oddHBand="1" w:evenHBand="0" w:firstRowFirstColumn="0" w:firstRowLastColumn="0" w:lastRowFirstColumn="0" w:lastRowLastColumn="0"/>
            </w:pPr>
            <w:r>
              <w:rPr>
                <w:sz w:val="18"/>
              </w:rPr>
              <w:t>2</w:t>
            </w:r>
          </w:p>
        </w:tc>
        <w:tc>
          <w:tcPr>
            <w:tcW w:w="1440" w:type="dxa"/>
          </w:tcPr>
          <w:p w14:paraId="33BCD59A" w14:textId="77777777" w:rsidR="00FF3D8B" w:rsidRDefault="00000000">
            <w:pPr>
              <w:cnfStyle w:val="000000100000" w:firstRow="0" w:lastRow="0" w:firstColumn="0" w:lastColumn="0" w:oddVBand="0" w:evenVBand="0" w:oddHBand="1" w:evenHBand="0" w:firstRowFirstColumn="0" w:firstRowLastColumn="0" w:lastRowFirstColumn="0" w:lastRowLastColumn="0"/>
            </w:pPr>
            <w:r>
              <w:rPr>
                <w:sz w:val="18"/>
              </w:rPr>
              <w:t>0.025</w:t>
            </w:r>
          </w:p>
        </w:tc>
        <w:tc>
          <w:tcPr>
            <w:tcW w:w="1440" w:type="dxa"/>
          </w:tcPr>
          <w:p w14:paraId="6E5B34EE" w14:textId="77777777" w:rsidR="00FF3D8B" w:rsidRDefault="00000000">
            <w:pPr>
              <w:cnfStyle w:val="000000100000" w:firstRow="0" w:lastRow="0" w:firstColumn="0" w:lastColumn="0" w:oddVBand="0" w:evenVBand="0" w:oddHBand="1" w:evenHBand="0" w:firstRowFirstColumn="0" w:firstRowLastColumn="0" w:lastRowFirstColumn="0" w:lastRowLastColumn="0"/>
            </w:pPr>
            <w:r>
              <w:rPr>
                <w:sz w:val="18"/>
              </w:rPr>
              <w:t>0.013</w:t>
            </w:r>
          </w:p>
        </w:tc>
        <w:tc>
          <w:tcPr>
            <w:tcW w:w="1440" w:type="dxa"/>
          </w:tcPr>
          <w:p w14:paraId="3C0A934F" w14:textId="77777777" w:rsidR="00FF3D8B" w:rsidRDefault="00000000">
            <w:pPr>
              <w:cnfStyle w:val="000000100000" w:firstRow="0" w:lastRow="0" w:firstColumn="0" w:lastColumn="0" w:oddVBand="0" w:evenVBand="0" w:oddHBand="1" w:evenHBand="0" w:firstRowFirstColumn="0" w:firstRowLastColumn="0" w:lastRowFirstColumn="0" w:lastRowLastColumn="0"/>
            </w:pPr>
            <w:r>
              <w:rPr>
                <w:sz w:val="18"/>
              </w:rPr>
              <w:t>0.311</w:t>
            </w:r>
          </w:p>
        </w:tc>
        <w:tc>
          <w:tcPr>
            <w:tcW w:w="1440" w:type="dxa"/>
          </w:tcPr>
          <w:p w14:paraId="7CC2197C" w14:textId="77777777" w:rsidR="00FF3D8B" w:rsidRDefault="00000000">
            <w:pPr>
              <w:cnfStyle w:val="000000100000" w:firstRow="0" w:lastRow="0" w:firstColumn="0" w:lastColumn="0" w:oddVBand="0" w:evenVBand="0" w:oddHBand="1" w:evenHBand="0" w:firstRowFirstColumn="0" w:firstRowLastColumn="0" w:lastRowFirstColumn="0" w:lastRowLastColumn="0"/>
            </w:pPr>
            <w:r>
              <w:rPr>
                <w:sz w:val="18"/>
              </w:rPr>
              <w:t>0.013</w:t>
            </w:r>
          </w:p>
        </w:tc>
        <w:tc>
          <w:tcPr>
            <w:tcW w:w="1440" w:type="dxa"/>
          </w:tcPr>
          <w:p w14:paraId="3D589771" w14:textId="77777777" w:rsidR="00FF3D8B" w:rsidRDefault="00000000">
            <w:pPr>
              <w:cnfStyle w:val="000000100000" w:firstRow="0" w:lastRow="0" w:firstColumn="0" w:lastColumn="0" w:oddVBand="0" w:evenVBand="0" w:oddHBand="1" w:evenHBand="0" w:firstRowFirstColumn="0" w:firstRowLastColumn="0" w:lastRowFirstColumn="0" w:lastRowLastColumn="0"/>
            </w:pPr>
            <w:r>
              <w:rPr>
                <w:sz w:val="18"/>
              </w:rPr>
              <w:t>0.025</w:t>
            </w:r>
          </w:p>
        </w:tc>
      </w:tr>
      <w:tr w:rsidR="00FF3D8B" w14:paraId="5FC0DA78" w14:textId="77777777" w:rsidTr="00FF3D8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14:paraId="1CD9A692" w14:textId="77777777" w:rsidR="00FF3D8B" w:rsidRDefault="00000000">
            <w:r>
              <w:rPr>
                <w:sz w:val="18"/>
              </w:rPr>
              <w:t>DSWx-S1 vs VIIRS-FIM (reference)</w:t>
            </w:r>
          </w:p>
        </w:tc>
        <w:tc>
          <w:tcPr>
            <w:tcW w:w="1440" w:type="dxa"/>
          </w:tcPr>
          <w:p w14:paraId="64D7EBF4" w14:textId="77777777" w:rsidR="00FF3D8B" w:rsidRDefault="00000000">
            <w:pPr>
              <w:cnfStyle w:val="000000010000" w:firstRow="0" w:lastRow="0" w:firstColumn="0" w:lastColumn="0" w:oddVBand="0" w:evenVBand="0" w:oddHBand="0" w:evenHBand="1" w:firstRowFirstColumn="0" w:firstRowLastColumn="0" w:lastRowFirstColumn="0" w:lastRowLastColumn="0"/>
            </w:pPr>
            <w:r>
              <w:rPr>
                <w:sz w:val="18"/>
              </w:rPr>
              <w:t>2</w:t>
            </w:r>
          </w:p>
        </w:tc>
        <w:tc>
          <w:tcPr>
            <w:tcW w:w="1440" w:type="dxa"/>
          </w:tcPr>
          <w:p w14:paraId="4A83E354" w14:textId="77777777" w:rsidR="00FF3D8B" w:rsidRDefault="00000000">
            <w:pPr>
              <w:cnfStyle w:val="000000010000" w:firstRow="0" w:lastRow="0" w:firstColumn="0" w:lastColumn="0" w:oddVBand="0" w:evenVBand="0" w:oddHBand="0" w:evenHBand="1" w:firstRowFirstColumn="0" w:firstRowLastColumn="0" w:lastRowFirstColumn="0" w:lastRowLastColumn="0"/>
            </w:pPr>
            <w:r>
              <w:rPr>
                <w:sz w:val="18"/>
              </w:rPr>
              <w:t>0.039</w:t>
            </w:r>
          </w:p>
        </w:tc>
        <w:tc>
          <w:tcPr>
            <w:tcW w:w="1440" w:type="dxa"/>
          </w:tcPr>
          <w:p w14:paraId="40B4F8BD" w14:textId="77777777" w:rsidR="00FF3D8B" w:rsidRDefault="00000000">
            <w:pPr>
              <w:cnfStyle w:val="000000010000" w:firstRow="0" w:lastRow="0" w:firstColumn="0" w:lastColumn="0" w:oddVBand="0" w:evenVBand="0" w:oddHBand="0" w:evenHBand="1" w:firstRowFirstColumn="0" w:firstRowLastColumn="0" w:lastRowFirstColumn="0" w:lastRowLastColumn="0"/>
            </w:pPr>
            <w:r>
              <w:rPr>
                <w:sz w:val="18"/>
              </w:rPr>
              <w:t>0.020</w:t>
            </w:r>
          </w:p>
        </w:tc>
        <w:tc>
          <w:tcPr>
            <w:tcW w:w="1440" w:type="dxa"/>
          </w:tcPr>
          <w:p w14:paraId="79B741B9" w14:textId="77777777" w:rsidR="00FF3D8B" w:rsidRDefault="00000000">
            <w:pPr>
              <w:cnfStyle w:val="000000010000" w:firstRow="0" w:lastRow="0" w:firstColumn="0" w:lastColumn="0" w:oddVBand="0" w:evenVBand="0" w:oddHBand="0" w:evenHBand="1" w:firstRowFirstColumn="0" w:firstRowLastColumn="0" w:lastRowFirstColumn="0" w:lastRowLastColumn="0"/>
            </w:pPr>
            <w:r>
              <w:rPr>
                <w:sz w:val="18"/>
              </w:rPr>
              <w:t>0.284</w:t>
            </w:r>
          </w:p>
        </w:tc>
        <w:tc>
          <w:tcPr>
            <w:tcW w:w="1440" w:type="dxa"/>
          </w:tcPr>
          <w:p w14:paraId="066158F6" w14:textId="77777777" w:rsidR="00FF3D8B" w:rsidRDefault="00000000">
            <w:pPr>
              <w:cnfStyle w:val="000000010000" w:firstRow="0" w:lastRow="0" w:firstColumn="0" w:lastColumn="0" w:oddVBand="0" w:evenVBand="0" w:oddHBand="0" w:evenHBand="1" w:firstRowFirstColumn="0" w:firstRowLastColumn="0" w:lastRowFirstColumn="0" w:lastRowLastColumn="0"/>
            </w:pPr>
            <w:r>
              <w:rPr>
                <w:sz w:val="18"/>
              </w:rPr>
              <w:t>0.021</w:t>
            </w:r>
          </w:p>
        </w:tc>
        <w:tc>
          <w:tcPr>
            <w:tcW w:w="1440" w:type="dxa"/>
          </w:tcPr>
          <w:p w14:paraId="5F9E877E" w14:textId="77777777" w:rsidR="00FF3D8B" w:rsidRDefault="00000000">
            <w:pPr>
              <w:cnfStyle w:val="000000010000" w:firstRow="0" w:lastRow="0" w:firstColumn="0" w:lastColumn="0" w:oddVBand="0" w:evenVBand="0" w:oddHBand="0" w:evenHBand="1" w:firstRowFirstColumn="0" w:firstRowLastColumn="0" w:lastRowFirstColumn="0" w:lastRowLastColumn="0"/>
            </w:pPr>
            <w:r>
              <w:rPr>
                <w:sz w:val="18"/>
              </w:rPr>
              <w:t>0.039</w:t>
            </w:r>
          </w:p>
        </w:tc>
      </w:tr>
      <w:tr w:rsidR="00FF3D8B" w14:paraId="159B0597" w14:textId="77777777" w:rsidTr="00FF3D8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14:paraId="048A0471" w14:textId="77777777" w:rsidR="00FF3D8B" w:rsidRDefault="00000000">
            <w:r>
              <w:rPr>
                <w:sz w:val="18"/>
              </w:rPr>
              <w:t>SIENA vs DSWx-S1</w:t>
            </w:r>
          </w:p>
        </w:tc>
        <w:tc>
          <w:tcPr>
            <w:tcW w:w="1440" w:type="dxa"/>
          </w:tcPr>
          <w:p w14:paraId="3DD9042B" w14:textId="77777777" w:rsidR="00FF3D8B" w:rsidRDefault="00000000">
            <w:pPr>
              <w:cnfStyle w:val="000000100000" w:firstRow="0" w:lastRow="0" w:firstColumn="0" w:lastColumn="0" w:oddVBand="0" w:evenVBand="0" w:oddHBand="1" w:evenHBand="0" w:firstRowFirstColumn="0" w:firstRowLastColumn="0" w:lastRowFirstColumn="0" w:lastRowLastColumn="0"/>
            </w:pPr>
            <w:r>
              <w:rPr>
                <w:sz w:val="18"/>
              </w:rPr>
              <w:t>2</w:t>
            </w:r>
          </w:p>
        </w:tc>
        <w:tc>
          <w:tcPr>
            <w:tcW w:w="1440" w:type="dxa"/>
          </w:tcPr>
          <w:p w14:paraId="4981CA66" w14:textId="77777777" w:rsidR="00FF3D8B" w:rsidRDefault="00000000">
            <w:pPr>
              <w:cnfStyle w:val="000000100000" w:firstRow="0" w:lastRow="0" w:firstColumn="0" w:lastColumn="0" w:oddVBand="0" w:evenVBand="0" w:oddHBand="1" w:evenHBand="0" w:firstRowFirstColumn="0" w:firstRowLastColumn="0" w:lastRowFirstColumn="0" w:lastRowLastColumn="0"/>
            </w:pPr>
            <w:r>
              <w:rPr>
                <w:sz w:val="18"/>
              </w:rPr>
              <w:t>0.386</w:t>
            </w:r>
          </w:p>
        </w:tc>
        <w:tc>
          <w:tcPr>
            <w:tcW w:w="1440" w:type="dxa"/>
          </w:tcPr>
          <w:p w14:paraId="133E90A9" w14:textId="77777777" w:rsidR="00FF3D8B" w:rsidRDefault="00000000">
            <w:pPr>
              <w:cnfStyle w:val="000000100000" w:firstRow="0" w:lastRow="0" w:firstColumn="0" w:lastColumn="0" w:oddVBand="0" w:evenVBand="0" w:oddHBand="1" w:evenHBand="0" w:firstRowFirstColumn="0" w:firstRowLastColumn="0" w:lastRowFirstColumn="0" w:lastRowLastColumn="0"/>
            </w:pPr>
            <w:r>
              <w:rPr>
                <w:sz w:val="18"/>
              </w:rPr>
              <w:t>0.239</w:t>
            </w:r>
          </w:p>
        </w:tc>
        <w:tc>
          <w:tcPr>
            <w:tcW w:w="1440" w:type="dxa"/>
          </w:tcPr>
          <w:p w14:paraId="6240628F" w14:textId="77777777" w:rsidR="00FF3D8B" w:rsidRDefault="00000000">
            <w:pPr>
              <w:cnfStyle w:val="000000100000" w:firstRow="0" w:lastRow="0" w:firstColumn="0" w:lastColumn="0" w:oddVBand="0" w:evenVBand="0" w:oddHBand="1" w:evenHBand="0" w:firstRowFirstColumn="0" w:firstRowLastColumn="0" w:lastRowFirstColumn="0" w:lastRowLastColumn="0"/>
            </w:pPr>
            <w:r>
              <w:rPr>
                <w:sz w:val="18"/>
              </w:rPr>
              <w:t>0.391</w:t>
            </w:r>
          </w:p>
        </w:tc>
        <w:tc>
          <w:tcPr>
            <w:tcW w:w="1440" w:type="dxa"/>
          </w:tcPr>
          <w:p w14:paraId="5B11E682" w14:textId="77777777" w:rsidR="00FF3D8B" w:rsidRDefault="00000000">
            <w:pPr>
              <w:cnfStyle w:val="000000100000" w:firstRow="0" w:lastRow="0" w:firstColumn="0" w:lastColumn="0" w:oddVBand="0" w:evenVBand="0" w:oddHBand="1" w:evenHBand="0" w:firstRowFirstColumn="0" w:firstRowLastColumn="0" w:lastRowFirstColumn="0" w:lastRowLastColumn="0"/>
            </w:pPr>
            <w:r>
              <w:rPr>
                <w:sz w:val="18"/>
              </w:rPr>
              <w:t>0.381</w:t>
            </w:r>
          </w:p>
        </w:tc>
        <w:tc>
          <w:tcPr>
            <w:tcW w:w="1440" w:type="dxa"/>
          </w:tcPr>
          <w:p w14:paraId="58C4EBE8" w14:textId="77777777" w:rsidR="00FF3D8B" w:rsidRDefault="00000000">
            <w:pPr>
              <w:cnfStyle w:val="000000100000" w:firstRow="0" w:lastRow="0" w:firstColumn="0" w:lastColumn="0" w:oddVBand="0" w:evenVBand="0" w:oddHBand="1" w:evenHBand="0" w:firstRowFirstColumn="0" w:firstRowLastColumn="0" w:lastRowFirstColumn="0" w:lastRowLastColumn="0"/>
            </w:pPr>
            <w:r>
              <w:rPr>
                <w:sz w:val="18"/>
              </w:rPr>
              <w:t>n/a</w:t>
            </w:r>
          </w:p>
        </w:tc>
      </w:tr>
    </w:tbl>
    <w:p w14:paraId="77323151" w14:textId="77777777" w:rsidR="00FF3D8B" w:rsidRDefault="00000000">
      <w:pPr>
        <w:pStyle w:val="Heading2"/>
      </w:pPr>
      <w:r>
        <w:rPr>
          <w:sz w:val="22"/>
        </w:rPr>
        <w:t>Metric distributions</w:t>
      </w:r>
    </w:p>
    <w:p w14:paraId="5B9AEADB" w14:textId="77777777" w:rsidR="00FF3D8B" w:rsidRDefault="00000000">
      <w:pPr>
        <w:jc w:val="center"/>
      </w:pPr>
      <w:r>
        <w:rPr>
          <w:noProof/>
        </w:rPr>
        <w:drawing>
          <wp:inline distT="0" distB="0" distL="0" distR="0" wp14:anchorId="06E0420D" wp14:editId="6452A0A5">
            <wp:extent cx="5486400" cy="1714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ir_boxplots.jpg"/>
                    <pic:cNvPicPr/>
                  </pic:nvPicPr>
                  <pic:blipFill>
                    <a:blip r:embed="rId14"/>
                    <a:stretch>
                      <a:fillRect/>
                    </a:stretch>
                  </pic:blipFill>
                  <pic:spPr>
                    <a:xfrm>
                      <a:off x="0" y="0"/>
                      <a:ext cx="5486400" cy="1714500"/>
                    </a:xfrm>
                    <a:prstGeom prst="rect">
                      <a:avLst/>
                    </a:prstGeom>
                  </pic:spPr>
                </pic:pic>
              </a:graphicData>
            </a:graphic>
          </wp:inline>
        </w:drawing>
      </w:r>
    </w:p>
    <w:p w14:paraId="6130CC1E" w14:textId="77777777" w:rsidR="00FF3D8B" w:rsidRDefault="00000000">
      <w:pPr>
        <w:jc w:val="center"/>
      </w:pPr>
      <w:r>
        <w:rPr>
          <w:i/>
          <w:sz w:val="18"/>
        </w:rPr>
        <w:t>Per-pair F1, IoU, precision, recall across valid dates.</w:t>
      </w:r>
    </w:p>
    <w:p w14:paraId="28137EB4" w14:textId="77777777" w:rsidR="00FF3D8B" w:rsidRDefault="00000000">
      <w:pPr>
        <w:jc w:val="center"/>
      </w:pPr>
      <w:r>
        <w:rPr>
          <w:noProof/>
        </w:rPr>
        <w:lastRenderedPageBreak/>
        <w:drawing>
          <wp:inline distT="0" distB="0" distL="0" distR="0" wp14:anchorId="50E9D56C" wp14:editId="35AD7743">
            <wp:extent cx="5486400" cy="18859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t_fraction_scatter.jpg"/>
                    <pic:cNvPicPr/>
                  </pic:nvPicPr>
                  <pic:blipFill>
                    <a:blip r:embed="rId15"/>
                    <a:stretch>
                      <a:fillRect/>
                    </a:stretch>
                  </pic:blipFill>
                  <pic:spPr>
                    <a:xfrm>
                      <a:off x="0" y="0"/>
                      <a:ext cx="5486400" cy="1885950"/>
                    </a:xfrm>
                    <a:prstGeom prst="rect">
                      <a:avLst/>
                    </a:prstGeom>
                  </pic:spPr>
                </pic:pic>
              </a:graphicData>
            </a:graphic>
          </wp:inline>
        </w:drawing>
      </w:r>
    </w:p>
    <w:p w14:paraId="0EF09723" w14:textId="77777777" w:rsidR="00FF3D8B" w:rsidRDefault="00000000">
      <w:pPr>
        <w:jc w:val="center"/>
      </w:pPr>
      <w:r>
        <w:rPr>
          <w:i/>
          <w:sz w:val="18"/>
        </w:rPr>
        <w:t>Wet-area fraction agreement on the joint VIIRS 375 m domain.</w:t>
      </w:r>
    </w:p>
    <w:p w14:paraId="3EE2C1BA" w14:textId="77777777" w:rsidR="00FF3D8B" w:rsidRDefault="00000000">
      <w:pPr>
        <w:jc w:val="center"/>
      </w:pPr>
      <w:r>
        <w:rPr>
          <w:noProof/>
        </w:rPr>
        <w:drawing>
          <wp:inline distT="0" distB="0" distL="0" distR="0" wp14:anchorId="5AC515D0" wp14:editId="55E2A98C">
            <wp:extent cx="5486400" cy="1755648"/>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xel_confusion_pooled.jpg"/>
                    <pic:cNvPicPr/>
                  </pic:nvPicPr>
                  <pic:blipFill>
                    <a:blip r:embed="rId16"/>
                    <a:stretch>
                      <a:fillRect/>
                    </a:stretch>
                  </pic:blipFill>
                  <pic:spPr>
                    <a:xfrm>
                      <a:off x="0" y="0"/>
                      <a:ext cx="5486400" cy="1755648"/>
                    </a:xfrm>
                    <a:prstGeom prst="rect">
                      <a:avLst/>
                    </a:prstGeom>
                  </pic:spPr>
                </pic:pic>
              </a:graphicData>
            </a:graphic>
          </wp:inline>
        </w:drawing>
      </w:r>
    </w:p>
    <w:p w14:paraId="1C2ED643" w14:textId="77777777" w:rsidR="00FF3D8B" w:rsidRDefault="00000000">
      <w:pPr>
        <w:jc w:val="center"/>
      </w:pPr>
      <w:r>
        <w:rPr>
          <w:i/>
          <w:sz w:val="18"/>
        </w:rPr>
        <w:t>Pooled TP/FP/FN/TN shares for each comparison pair.</w:t>
      </w:r>
    </w:p>
    <w:p w14:paraId="4BDE8C13" w14:textId="77777777" w:rsidR="00FF3D8B" w:rsidRDefault="00000000">
      <w:pPr>
        <w:pStyle w:val="Heading2"/>
      </w:pPr>
      <w:r>
        <w:rPr>
          <w:sz w:val="22"/>
        </w:rPr>
        <w:t>Daily three-panel timeline (stacked by calendar day)</w:t>
      </w:r>
    </w:p>
    <w:p w14:paraId="33B09689" w14:textId="77777777" w:rsidR="00FF3D8B" w:rsidRDefault="00000000">
      <w:r>
        <w:t>Each row is one calendar day (date label at left of row). Columns within a row: VIIRS FIM | SIENA FIM | DSWx-S1 WTR. Missing SAR panels are annotated in the underlying daily figures.</w:t>
      </w:r>
    </w:p>
    <w:p w14:paraId="188BD340" w14:textId="77777777" w:rsidR="00FF3D8B" w:rsidRDefault="00000000">
      <w:pPr>
        <w:jc w:val="center"/>
      </w:pPr>
      <w:r>
        <w:rPr>
          <w:noProof/>
        </w:rPr>
        <w:lastRenderedPageBreak/>
        <w:drawing>
          <wp:inline distT="0" distB="0" distL="0" distR="0" wp14:anchorId="738F49A8" wp14:editId="5B099E27">
            <wp:extent cx="5760720" cy="1312484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cked_Alaska_Yukon_River.jpg"/>
                    <pic:cNvPicPr/>
                  </pic:nvPicPr>
                  <pic:blipFill>
                    <a:blip r:embed="rId17"/>
                    <a:stretch>
                      <a:fillRect/>
                    </a:stretch>
                  </pic:blipFill>
                  <pic:spPr>
                    <a:xfrm>
                      <a:off x="0" y="0"/>
                      <a:ext cx="5760720" cy="13124840"/>
                    </a:xfrm>
                    <a:prstGeom prst="rect">
                      <a:avLst/>
                    </a:prstGeom>
                  </pic:spPr>
                </pic:pic>
              </a:graphicData>
            </a:graphic>
          </wp:inline>
        </w:drawing>
      </w:r>
    </w:p>
    <w:p w14:paraId="4733EAAF" w14:textId="77777777" w:rsidR="00FF3D8B" w:rsidRDefault="00000000">
      <w:pPr>
        <w:jc w:val="center"/>
      </w:pPr>
      <w:r>
        <w:rPr>
          <w:i/>
          <w:sz w:val="18"/>
        </w:rPr>
        <w:lastRenderedPageBreak/>
        <w:t>Figure — Alaska Yukon River: daily product comparison stacked chronologically.</w:t>
      </w:r>
    </w:p>
    <w:p w14:paraId="2DBF0A66" w14:textId="77777777" w:rsidR="00FF3D8B" w:rsidRDefault="00000000">
      <w:pPr>
        <w:pStyle w:val="Heading1"/>
      </w:pPr>
      <w:r>
        <w:rPr>
          <w:sz w:val="26"/>
        </w:rPr>
        <w:t>Relation to other manuscript evaluations</w:t>
      </w:r>
    </w:p>
    <w:p w14:paraId="14FEC832" w14:textId="77777777" w:rsidR="00FF3D8B" w:rsidRDefault="00000000">
      <w:r>
        <w:t>West-Coast winter 2025–2026 (SIENA vs VIIRS vs anonymised SAR benchmarks) established SIENA’s overall detection skill against VIIRS on many granules. The Central Valley case extended the comparison to DSWx-HLS optical SAR-proxy water. The Kentucky NOAA ERI exercise provided an independent RGB-based regional reference. The present three-event DSWx-S1 study complements those analyses by focusing on known flood episodes where Sentinel-1 revisit is sparse but interpretable, and where DSWx-S1’s open-water versus inundated-vegetation classes carry distinct scientific meaning.</w:t>
      </w:r>
    </w:p>
    <w:p w14:paraId="0D52D12D" w14:textId="77777777" w:rsidR="00FF3D8B" w:rsidRDefault="00000000">
      <w:pPr>
        <w:pStyle w:val="Heading1"/>
      </w:pPr>
      <w:r>
        <w:rPr>
          <w:sz w:val="26"/>
        </w:rPr>
        <w:t>DSWx-S1 open-water scoring policy (reminder)</w:t>
      </w:r>
    </w:p>
    <w:p w14:paraId="3D2F68DD" w14:textId="50C94D39" w:rsidR="00FF3D8B" w:rsidRDefault="00000000">
      <w:r>
        <w:t xml:space="preserve">All pooled F1 / IoU values in the tables above for DSWx-S1 use class 1 (open water) only. Class 3 (inundated vegetation) is masked out before aggregation so SIENA is not penalised for lacking that product feature. </w:t>
      </w:r>
    </w:p>
    <w:sectPr w:rsidR="00FF3D8B" w:rsidSect="00034616">
      <w:pgSz w:w="12240" w:h="15840"/>
      <w:pgMar w:top="1080" w:right="1080" w:bottom="1080" w:left="108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Courier">
    <w:panose1 w:val="02070309020205020404"/>
    <w:charset w:val="00"/>
    <w:family w:val="auto"/>
    <w:pitch w:val="variable"/>
    <w:sig w:usb0="00000003" w:usb1="00000000" w:usb2="0000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16cid:durableId="1621449610">
    <w:abstractNumId w:val="8"/>
  </w:num>
  <w:num w:numId="2" w16cid:durableId="1396510471">
    <w:abstractNumId w:val="6"/>
  </w:num>
  <w:num w:numId="3" w16cid:durableId="52511855">
    <w:abstractNumId w:val="5"/>
  </w:num>
  <w:num w:numId="4" w16cid:durableId="1255820102">
    <w:abstractNumId w:val="4"/>
  </w:num>
  <w:num w:numId="5" w16cid:durableId="181094773">
    <w:abstractNumId w:val="7"/>
  </w:num>
  <w:num w:numId="6" w16cid:durableId="662002885">
    <w:abstractNumId w:val="3"/>
  </w:num>
  <w:num w:numId="7" w16cid:durableId="1167524106">
    <w:abstractNumId w:val="2"/>
  </w:num>
  <w:num w:numId="8" w16cid:durableId="398092349">
    <w:abstractNumId w:val="1"/>
  </w:num>
  <w:num w:numId="9" w16cid:durableId="156286325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9"/>
  <w:proofState w:spelling="clean" w:grammar="clean"/>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47730"/>
    <w:rsid w:val="00034616"/>
    <w:rsid w:val="0006063C"/>
    <w:rsid w:val="0015074B"/>
    <w:rsid w:val="00232F55"/>
    <w:rsid w:val="0029639D"/>
    <w:rsid w:val="00326F90"/>
    <w:rsid w:val="00AA1D8D"/>
    <w:rsid w:val="00B47730"/>
    <w:rsid w:val="00C465A1"/>
    <w:rsid w:val="00CB0664"/>
    <w:rsid w:val="00FC693F"/>
    <w:rsid w:val="00FF3D8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25FCEFE"/>
  <w14:defaultImageDpi w14:val="300"/>
  <w15:docId w15:val="{0549FCE3-F745-4649-B44D-AEFF6BAC66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g"/><Relationship Id="rId13" Type="http://schemas.openxmlformats.org/officeDocument/2006/relationships/image" Target="media/image8.jp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jpg"/><Relationship Id="rId12" Type="http://schemas.openxmlformats.org/officeDocument/2006/relationships/image" Target="media/image7.jpg"/><Relationship Id="rId17" Type="http://schemas.openxmlformats.org/officeDocument/2006/relationships/image" Target="media/image12.jpg"/><Relationship Id="rId2" Type="http://schemas.openxmlformats.org/officeDocument/2006/relationships/numbering" Target="numbering.xml"/><Relationship Id="rId16" Type="http://schemas.openxmlformats.org/officeDocument/2006/relationships/image" Target="media/image11.jpg"/><Relationship Id="rId1" Type="http://schemas.openxmlformats.org/officeDocument/2006/relationships/customXml" Target="../customXml/item1.xml"/><Relationship Id="rId6" Type="http://schemas.openxmlformats.org/officeDocument/2006/relationships/image" Target="media/image1.jpg"/><Relationship Id="rId11" Type="http://schemas.openxmlformats.org/officeDocument/2006/relationships/image" Target="media/image6.jpg"/><Relationship Id="rId5" Type="http://schemas.openxmlformats.org/officeDocument/2006/relationships/webSettings" Target="webSettings.xml"/><Relationship Id="rId15" Type="http://schemas.openxmlformats.org/officeDocument/2006/relationships/image" Target="media/image10.jpg"/><Relationship Id="rId10" Type="http://schemas.openxmlformats.org/officeDocument/2006/relationships/image" Target="media/image5.jp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jpg"/><Relationship Id="rId14" Type="http://schemas.openxmlformats.org/officeDocument/2006/relationships/image" Target="media/image9.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1458</Words>
  <Characters>8313</Characters>
  <Application>Microsoft Office Word</Application>
  <DocSecurity>0</DocSecurity>
  <Lines>69</Lines>
  <Paragraphs>19</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9752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Qing Yang</cp:lastModifiedBy>
  <cp:revision>2</cp:revision>
  <dcterms:created xsi:type="dcterms:W3CDTF">2013-12-23T23:15:00Z</dcterms:created>
  <dcterms:modified xsi:type="dcterms:W3CDTF">2026-06-02T15:35:00Z</dcterms:modified>
  <cp:category/>
</cp:coreProperties>
</file>