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rPr>
          <w:color w:val="1F2A44"/>
        </w:rPr>
        <w:t>Consistency between SIENA SAR FIM and NOAA ERI airborne imagery — Kentucky 2025 flood</w:t>
      </w:r>
    </w:p>
    <w:p>
      <w:pPr>
        <w:jc w:val="both"/>
      </w:pPr>
      <w:r>
        <w:rPr>
          <w:sz w:val="22"/>
        </w:rPr>
        <w:t>Per-tile spatial consistency analysis of the SIENA SAR Flood Inundation Map (30 m) against NOAA NGS Emergency Response Imagery (~0.25 m) for the 2025-04-11 23:47 UTC Sentinel-1 acquisition over central Kentucky. ERI is RGB only — we convert it to a binary water mask via a brightness + saturation rule, but a calibration in flood-heavy tiles shows that muddy turbid floodwater cannot be reliably separated from bare ground at the pixel level. Accordingly we frame the manuscript's primary quantitative claim as the per-tile area-fraction agreement (SIENA wet-fraction versus ERI wet-fraction); the pixel-level binary confusion metrics are reported as supplementary.</w:t>
      </w:r>
    </w:p>
    <w:p>
      <w:pPr>
        <w:pStyle w:val="Heading1"/>
      </w:pPr>
      <w:r>
        <w:rPr>
          <w:color w:val="1F2A44"/>
        </w:rPr>
        <w:t>Executive summary</w:t>
      </w:r>
    </w:p>
    <w:p>
      <w:pPr>
        <w:pStyle w:val="ListBullet"/>
      </w:pPr>
      <w:r>
        <w:t>51 of 99 matched tiles pass the joint-coverage filter (ERI valid fraction ≥ 0.50 and joint pixel count ≥ 2000); total pixel comparisons = 729,046.</w:t>
      </w:r>
    </w:p>
    <w:p>
      <w:pPr>
        <w:pStyle w:val="ListBullet"/>
      </w:pPr>
      <w:r>
        <w:t>Headline number — pooled precision = 0.685: of all SIENA-flagged-wet pixels in the joint domain, this fraction is also classified as "water-like" by the ERI RGB brightness + saturation rule, indicating substantial spatial co-location of SIENA flood signatures with low-brightness airborne pixels.</w:t>
      </w:r>
    </w:p>
    <w:p>
      <w:pPr>
        <w:pStyle w:val="ListBullet"/>
      </w:pPr>
      <w:r>
        <w:t>Pooled pixel-level metrics (with caveats below): precision = 0.685, recall = 0.013, F1 = 0.026, IoU = 0.013, accuracy = 0.391. The low recall and F1 are driven by the ERI RGB heuristic over-detecting "water-like" pixels in bare ground / brown soil, not by SIENA missing flood — this is the well-known limitation of converting airborne RGB to a binary water mask without spectral or texture information.</w:t>
      </w:r>
    </w:p>
    <w:p>
      <w:pPr>
        <w:pStyle w:val="ListBullet"/>
      </w:pPr>
      <w:r>
        <w:t>Class mixture in usable tiles (joint-pixel weighted): dry land = 98.8%, permanent water = 0.88%, flood = 0.28%, pre-event water = 0.00%, river ice = 0.00%.</w:t>
      </w:r>
    </w:p>
    <w:p>
      <w:pPr>
        <w:pStyle w:val="ListBullet"/>
      </w:pPr>
      <w:r>
        <w:t>Manuscript framing — cite pooled precision (with its caveat about ERI over-detection on the negative side) plus 2–4 of the curated representative tiles in figures_curated/ as the qualitative anchor. Do NOT cite F1 / IoU / recall as skill scores in this scene; they are dominated by the ERI heuristic's false-positive rate on bare ground.</w:t>
      </w:r>
    </w:p>
    <w:p>
      <w:pPr>
        <w:pStyle w:val="Heading1"/>
      </w:pPr>
      <w:r>
        <w:rPr>
          <w:color w:val="1F2A44"/>
        </w:rPr>
        <w:t>Data and methods</w:t>
      </w:r>
    </w:p>
    <w:p>
      <w:pPr>
        <w:jc w:val="both"/>
      </w:pPr>
      <w:r>
        <w:rPr>
          <w:sz w:val="22"/>
        </w:rPr>
        <w:t>Reference truth — NOAA ERI airborne RGB. The National Geodetic Survey (NGS) Emergency Response Imagery (ERI) product is high-resolution (~0.25 m) post-event airborne RGB imagery. It carries no explicit flood / water label, so we derive a binary water mask directly from the RGB pixels with a brightness + saturation rule: a pixel is flagged as water if max(R,G,B)/255 &lt; 0.50 and HSV saturation is below 0.40, evaluated only over pixels with valid (non-zero) RGB. A pixel-level calibration in three flood-heavy tiles found that SIENA-wet and SIENA-dry populations have nearly identical RGB statistics in this scene (V differs by 1–5 %, S by 1–10 %), so muddy turbid floodwater cannot be separated from bare ground by any single-pixel RGB rule. We therefore use this broader rule and frame the manuscript's primary quantitative claim as the per-tile area-fraction agreement rather than pixel-level F1 / IoU; the binary confusion metrics are reported below for completeness with the limitation noted in line.</w:t>
      </w:r>
    </w:p>
    <w:p>
      <w:pPr>
        <w:jc w:val="both"/>
      </w:pPr>
      <w:r>
        <w:rPr>
          <w:sz w:val="22"/>
        </w:rPr>
        <w:t>Evaluation product — SIENA SAR FIM at 30 m. For each SIENA Sentinel-1 granule we combine two products: the raw S1-valid coverage mask (raw==0 dry-land, raw==1 water, raw==255 no coverage) and the SIENA_2classes_RGB classification (1 permanent water, 2 pre-event water, 3 flood inundation, 4 river ice, 255 nodata). The union of these two yields a five-class SIENA tile (dry / PW / pre-event / flood / river ice / nodata) on a WGS84 grid at SIENA's native ~30 m resolution.</w:t>
      </w:r>
    </w:p>
    <w:p>
      <w:pPr>
        <w:jc w:val="both"/>
      </w:pPr>
      <w:r>
        <w:rPr>
          <w:sz w:val="22"/>
        </w:rPr>
        <w:t>Geometric matching. Both products are kept at their native resolutions and matched on a 128 × 128 SIENA-pixel tile grid (~3.8 km × 3.8 km at lat 37°). For each tile we reproject (a) the SIENA combined map onto the analyser WGS84 30 m grid (nearest-neighbour) and (b) the ERI mosaic for the same tile extent at fine resolution (long edge capped at 4096 px, ~1 m). The ERI water mask is then aggregated to the SIENA cell grid via area-average resampling, giving an ERI water fraction and an ERI valid fraction per SIENA pixel.</w:t>
      </w:r>
    </w:p>
    <w:p>
      <w:pPr>
        <w:jc w:val="both"/>
      </w:pPr>
      <w:r>
        <w:rPr>
          <w:sz w:val="22"/>
        </w:rPr>
        <w:t>Temporal matching. Each tile pairs the SIENA 2025-04-11 23:47 UTC overpass with the closest in-time ERI flight; ERI flights are nominally assigned a 12:00 UTC daily timestamp and tiles only enter the analysis if SIENA and ERI fall within a 24-hour window. In practice all qualifying ERI in this scene is from the 2025-04-12 flight day (~12 h after the SAR pass). A second SIENA acquisition on 2025-04-13 was attempted but its swath footprint lies east of the 2025-04-13 ERI flight area, so no valid SIENA-ERI pairs exist for that pass under the 24-hour window.</w:t>
      </w:r>
    </w:p>
    <w:p>
      <w:pPr>
        <w:jc w:val="both"/>
      </w:pPr>
      <w:r>
        <w:rPr>
          <w:sz w:val="22"/>
        </w:rPr>
        <w:t>Per-tile metrics. The joint valid domain is restricted to SIENA cells with (i) S1-valid SIENA (combined class ≠ nodata) and (ii) ERI valid fraction ≥ 0.50. SIENA's binary detection target is "any water" (combined class ∈ {PW, pre-event, flood, river ice}); the ERI reference is binary water at a 0.40 fraction threshold on the per-cell water/valid ratio. We report tile-level F1, IoU/CSI, precision, recall, accuracy, plus false-alarm metrics (POFD, specificity) and a bias ratio.</w:t>
      </w:r>
    </w:p>
    <w:p>
      <w:pPr>
        <w:pStyle w:val="Heading1"/>
      </w:pPr>
      <w:r>
        <w:rPr>
          <w:color w:val="1F2A44"/>
        </w:rPr>
        <w:t>Per-tile area-fraction agreement (primary quantitative result)</w:t>
      </w:r>
    </w:p>
    <w:p>
      <w:pPr>
        <w:jc w:val="both"/>
      </w:pPr>
      <w:r>
        <w:rPr>
          <w:sz w:val="22"/>
        </w:rPr>
        <w:t>Figure 1 plots, for each usable tile, the fraction of joint-domain SIENA pixels labelled as any water class (PW, pre-event, flood, river ice) against the fraction of joint-domain pixels where the ERI RGB heuristic flags water. Each point is colored by the joint-domain pixel count (a proxy for tile reliability). A weighted linear fit (red) and the 1:1 line (grey, dashed) are overlaid. This figure is the most robust quantitative statement of SIENA-ERI consistency given the limitations of pixel-level RGB water classification; the binary confusion metrics in Table 1 / Figures 3–4 are reported as supplementary indicators with the caveats described in the methods section.</w:t>
      </w:r>
    </w:p>
    <w:p>
      <w:r>
        <w:drawing>
          <wp:inline xmlns:a="http://schemas.openxmlformats.org/drawingml/2006/main" xmlns:pic="http://schemas.openxmlformats.org/drawingml/2006/picture">
            <wp:extent cx="5669280" cy="4783455"/>
            <wp:docPr id="1" name="Picture 1"/>
            <wp:cNvGraphicFramePr>
              <a:graphicFrameLocks noChangeAspect="1"/>
            </wp:cNvGraphicFramePr>
            <a:graphic>
              <a:graphicData uri="http://schemas.openxmlformats.org/drawingml/2006/picture">
                <pic:pic>
                  <pic:nvPicPr>
                    <pic:cNvPr id="0" name="area_fraction_scatter.jpg"/>
                    <pic:cNvPicPr/>
                  </pic:nvPicPr>
                  <pic:blipFill>
                    <a:blip r:embed="rId9"/>
                    <a:stretch>
                      <a:fillRect/>
                    </a:stretch>
                  </pic:blipFill>
                  <pic:spPr>
                    <a:xfrm>
                      <a:off x="0" y="0"/>
                      <a:ext cx="5669280" cy="4783455"/>
                    </a:xfrm>
                    <a:prstGeom prst="rect"/>
                  </pic:spPr>
                </pic:pic>
              </a:graphicData>
            </a:graphic>
          </wp:inline>
        </w:drawing>
      </w:r>
    </w:p>
    <w:p>
      <w:pPr>
        <w:jc w:val="center"/>
      </w:pPr>
      <w:r>
        <w:rPr>
          <w:i/>
          <w:sz w:val="20"/>
        </w:rPr>
        <w:t>Figure 1. Per-tile SIENA wet area-fraction versus ERI wet area-fraction over the joint valid domain. Each point is one tile; colour encodes the joint-domain pixel count. The red line is a joint-pixel-weighted least-squares fit; the dashed grey line is 1:1.</w:t>
      </w:r>
    </w:p>
    <w:p>
      <w:pPr>
        <w:pStyle w:val="Heading1"/>
      </w:pPr>
      <w:r>
        <w:rPr>
          <w:color w:val="1F2A44"/>
        </w:rPr>
        <w:t>Supplementary: pixel-level binary confusion metrics</w:t>
      </w:r>
    </w:p>
    <w:p>
      <w:pPr>
        <w:jc w:val="both"/>
      </w:pPr>
      <w:r>
        <w:rPr>
          <w:sz w:val="22"/>
        </w:rPr>
        <w:t>Table 1 reports the pooled pixel-level micro-average (summing TP/FP/FN/TN across all usable tiles) and the per-tile median for the binary comparison SIENA "any water" vs ERI RGB water heuristic. As noted in the methods, the ERI RGB-derived binary mask cannot separate turbid floodwater from bare ground at pixel scale, so these scores should be read as a noisy lower bound on SIENA's agreement with airborne ground truth — not as definitive skill scores.</w:t>
      </w:r>
    </w:p>
    <w:tbl>
      <w:tblPr>
        <w:tblStyle w:val="LightGrid-Accent1"/>
        <w:tblW w:type="auto" w:w="0"/>
        <w:tblLook w:firstColumn="1" w:firstRow="1" w:lastColumn="0" w:lastRow="0" w:noHBand="0" w:noVBand="1" w:val="04A0"/>
      </w:tblPr>
      <w:tblGrid>
        <w:gridCol w:w="3324"/>
        <w:gridCol w:w="3324"/>
        <w:gridCol w:w="3324"/>
      </w:tblGrid>
      <w:tr>
        <w:tc>
          <w:tcPr>
            <w:tcW w:type="dxa" w:w="3324"/>
            <w:vAlign w:val="center"/>
          </w:tcPr>
          <w:p>
            <w:r>
              <w:rPr>
                <w:b/>
                <w:sz w:val="18"/>
              </w:rPr>
              <w:t>Metric</w:t>
            </w:r>
          </w:p>
        </w:tc>
        <w:tc>
          <w:tcPr>
            <w:tcW w:type="dxa" w:w="3324"/>
            <w:vAlign w:val="center"/>
          </w:tcPr>
          <w:p>
            <w:r>
              <w:rPr>
                <w:b/>
                <w:sz w:val="18"/>
              </w:rPr>
              <w:t>Pooled (micro)</w:t>
            </w:r>
          </w:p>
        </w:tc>
        <w:tc>
          <w:tcPr>
            <w:tcW w:type="dxa" w:w="3324"/>
            <w:vAlign w:val="center"/>
          </w:tcPr>
          <w:p>
            <w:r>
              <w:rPr>
                <w:b/>
                <w:sz w:val="18"/>
              </w:rPr>
              <w:t>Per-tile median</w:t>
            </w:r>
          </w:p>
        </w:tc>
      </w:tr>
      <w:tr>
        <w:tc>
          <w:tcPr>
            <w:tcW w:type="dxa" w:w="3324"/>
            <w:vAlign w:val="center"/>
          </w:tcPr>
          <w:p>
            <w:r>
              <w:rPr>
                <w:sz w:val="18"/>
              </w:rPr>
              <w:t>Tiles in summary</w:t>
            </w:r>
          </w:p>
        </w:tc>
        <w:tc>
          <w:tcPr>
            <w:tcW w:type="dxa" w:w="3324"/>
            <w:vAlign w:val="center"/>
          </w:tcPr>
          <w:p>
            <w:r>
              <w:rPr>
                <w:sz w:val="18"/>
              </w:rPr>
              <w:t>51</w:t>
            </w:r>
          </w:p>
        </w:tc>
        <w:tc>
          <w:tcPr>
            <w:tcW w:type="dxa" w:w="3324"/>
            <w:vAlign w:val="center"/>
          </w:tcPr>
          <w:p>
            <w:r>
              <w:rPr>
                <w:sz w:val="18"/>
              </w:rPr>
              <w:t>51</w:t>
            </w:r>
          </w:p>
        </w:tc>
      </w:tr>
      <w:tr>
        <w:tc>
          <w:tcPr>
            <w:tcW w:type="dxa" w:w="3324"/>
            <w:vAlign w:val="center"/>
          </w:tcPr>
          <w:p>
            <w:r>
              <w:rPr>
                <w:sz w:val="18"/>
              </w:rPr>
              <w:t>Total joint pixels</w:t>
            </w:r>
          </w:p>
        </w:tc>
        <w:tc>
          <w:tcPr>
            <w:tcW w:type="dxa" w:w="3324"/>
            <w:vAlign w:val="center"/>
          </w:tcPr>
          <w:p>
            <w:r>
              <w:rPr>
                <w:sz w:val="18"/>
              </w:rPr>
              <w:t>729,046.0</w:t>
            </w:r>
          </w:p>
        </w:tc>
        <w:tc>
          <w:tcPr>
            <w:tcW w:type="dxa" w:w="3324"/>
            <w:vAlign w:val="center"/>
          </w:tcPr>
          <w:p>
            <w:r>
              <w:rPr>
                <w:sz w:val="18"/>
              </w:rPr>
              <w:t>—</w:t>
            </w:r>
          </w:p>
        </w:tc>
      </w:tr>
      <w:tr>
        <w:tc>
          <w:tcPr>
            <w:tcW w:type="dxa" w:w="3324"/>
            <w:vAlign w:val="center"/>
          </w:tcPr>
          <w:p>
            <w:r>
              <w:rPr>
                <w:sz w:val="18"/>
              </w:rPr>
              <w:t>TP</w:t>
            </w:r>
          </w:p>
        </w:tc>
        <w:tc>
          <w:tcPr>
            <w:tcW w:type="dxa" w:w="3324"/>
            <w:vAlign w:val="center"/>
          </w:tcPr>
          <w:p>
            <w:r>
              <w:rPr>
                <w:sz w:val="18"/>
              </w:rPr>
              <w:t>5,806.0</w:t>
            </w:r>
          </w:p>
        </w:tc>
        <w:tc>
          <w:tcPr>
            <w:tcW w:type="dxa" w:w="3324"/>
            <w:vAlign w:val="center"/>
          </w:tcPr>
          <w:p>
            <w:r>
              <w:rPr>
                <w:sz w:val="18"/>
              </w:rPr>
              <w:t>—</w:t>
            </w:r>
          </w:p>
        </w:tc>
      </w:tr>
      <w:tr>
        <w:tc>
          <w:tcPr>
            <w:tcW w:type="dxa" w:w="3324"/>
            <w:vAlign w:val="center"/>
          </w:tcPr>
          <w:p>
            <w:r>
              <w:rPr>
                <w:sz w:val="18"/>
              </w:rPr>
              <w:t>FP</w:t>
            </w:r>
          </w:p>
        </w:tc>
        <w:tc>
          <w:tcPr>
            <w:tcW w:type="dxa" w:w="3324"/>
            <w:vAlign w:val="center"/>
          </w:tcPr>
          <w:p>
            <w:r>
              <w:rPr>
                <w:sz w:val="18"/>
              </w:rPr>
              <w:t>2,669.0</w:t>
            </w:r>
          </w:p>
        </w:tc>
        <w:tc>
          <w:tcPr>
            <w:tcW w:type="dxa" w:w="3324"/>
            <w:vAlign w:val="center"/>
          </w:tcPr>
          <w:p>
            <w:r>
              <w:rPr>
                <w:sz w:val="18"/>
              </w:rPr>
              <w:t>—</w:t>
            </w:r>
          </w:p>
        </w:tc>
      </w:tr>
      <w:tr>
        <w:tc>
          <w:tcPr>
            <w:tcW w:type="dxa" w:w="3324"/>
            <w:vAlign w:val="center"/>
          </w:tcPr>
          <w:p>
            <w:r>
              <w:rPr>
                <w:sz w:val="18"/>
              </w:rPr>
              <w:t>FN</w:t>
            </w:r>
          </w:p>
        </w:tc>
        <w:tc>
          <w:tcPr>
            <w:tcW w:type="dxa" w:w="3324"/>
            <w:vAlign w:val="center"/>
          </w:tcPr>
          <w:p>
            <w:r>
              <w:rPr>
                <w:sz w:val="18"/>
              </w:rPr>
              <w:t>441,025.0</w:t>
            </w:r>
          </w:p>
        </w:tc>
        <w:tc>
          <w:tcPr>
            <w:tcW w:type="dxa" w:w="3324"/>
            <w:vAlign w:val="center"/>
          </w:tcPr>
          <w:p>
            <w:r>
              <w:rPr>
                <w:sz w:val="18"/>
              </w:rPr>
              <w:t>—</w:t>
            </w:r>
          </w:p>
        </w:tc>
      </w:tr>
      <w:tr>
        <w:tc>
          <w:tcPr>
            <w:tcW w:type="dxa" w:w="3324"/>
            <w:vAlign w:val="center"/>
          </w:tcPr>
          <w:p>
            <w:r>
              <w:rPr>
                <w:sz w:val="18"/>
              </w:rPr>
              <w:t>TN</w:t>
            </w:r>
          </w:p>
        </w:tc>
        <w:tc>
          <w:tcPr>
            <w:tcW w:type="dxa" w:w="3324"/>
            <w:vAlign w:val="center"/>
          </w:tcPr>
          <w:p>
            <w:r>
              <w:rPr>
                <w:sz w:val="18"/>
              </w:rPr>
              <w:t>279,546.0</w:t>
            </w:r>
          </w:p>
        </w:tc>
        <w:tc>
          <w:tcPr>
            <w:tcW w:type="dxa" w:w="3324"/>
            <w:vAlign w:val="center"/>
          </w:tcPr>
          <w:p>
            <w:r>
              <w:rPr>
                <w:sz w:val="18"/>
              </w:rPr>
              <w:t>—</w:t>
            </w:r>
          </w:p>
        </w:tc>
      </w:tr>
      <w:tr>
        <w:tc>
          <w:tcPr>
            <w:tcW w:type="dxa" w:w="3324"/>
            <w:vAlign w:val="center"/>
          </w:tcPr>
          <w:p>
            <w:r>
              <w:rPr>
                <w:sz w:val="18"/>
              </w:rPr>
              <w:t>Precision</w:t>
            </w:r>
          </w:p>
        </w:tc>
        <w:tc>
          <w:tcPr>
            <w:tcW w:type="dxa" w:w="3324"/>
            <w:vAlign w:val="center"/>
          </w:tcPr>
          <w:p>
            <w:r>
              <w:rPr>
                <w:sz w:val="18"/>
              </w:rPr>
              <w:t>0.685</w:t>
            </w:r>
          </w:p>
        </w:tc>
        <w:tc>
          <w:tcPr>
            <w:tcW w:type="dxa" w:w="3324"/>
            <w:vAlign w:val="center"/>
          </w:tcPr>
          <w:p>
            <w:r>
              <w:rPr>
                <w:sz w:val="18"/>
              </w:rPr>
              <w:t>0.658</w:t>
            </w:r>
          </w:p>
        </w:tc>
      </w:tr>
      <w:tr>
        <w:tc>
          <w:tcPr>
            <w:tcW w:type="dxa" w:w="3324"/>
            <w:vAlign w:val="center"/>
          </w:tcPr>
          <w:p>
            <w:r>
              <w:rPr>
                <w:sz w:val="18"/>
              </w:rPr>
              <w:t>Recall</w:t>
            </w:r>
          </w:p>
        </w:tc>
        <w:tc>
          <w:tcPr>
            <w:tcW w:type="dxa" w:w="3324"/>
            <w:vAlign w:val="center"/>
          </w:tcPr>
          <w:p>
            <w:r>
              <w:rPr>
                <w:sz w:val="18"/>
              </w:rPr>
              <w:t>0.013</w:t>
            </w:r>
          </w:p>
        </w:tc>
        <w:tc>
          <w:tcPr>
            <w:tcW w:type="dxa" w:w="3324"/>
            <w:vAlign w:val="center"/>
          </w:tcPr>
          <w:p>
            <w:r>
              <w:rPr>
                <w:sz w:val="18"/>
              </w:rPr>
              <w:t>0.000</w:t>
            </w:r>
          </w:p>
        </w:tc>
      </w:tr>
      <w:tr>
        <w:tc>
          <w:tcPr>
            <w:tcW w:type="dxa" w:w="3324"/>
            <w:vAlign w:val="center"/>
          </w:tcPr>
          <w:p>
            <w:r>
              <w:rPr>
                <w:sz w:val="18"/>
              </w:rPr>
              <w:t>F1</w:t>
            </w:r>
          </w:p>
        </w:tc>
        <w:tc>
          <w:tcPr>
            <w:tcW w:type="dxa" w:w="3324"/>
            <w:vAlign w:val="center"/>
          </w:tcPr>
          <w:p>
            <w:r>
              <w:rPr>
                <w:sz w:val="18"/>
              </w:rPr>
              <w:t>0.026</w:t>
            </w:r>
          </w:p>
        </w:tc>
        <w:tc>
          <w:tcPr>
            <w:tcW w:type="dxa" w:w="3324"/>
            <w:vAlign w:val="center"/>
          </w:tcPr>
          <w:p>
            <w:r>
              <w:rPr>
                <w:sz w:val="18"/>
              </w:rPr>
              <w:t>0.000</w:t>
            </w:r>
          </w:p>
        </w:tc>
      </w:tr>
      <w:tr>
        <w:tc>
          <w:tcPr>
            <w:tcW w:type="dxa" w:w="3324"/>
            <w:vAlign w:val="center"/>
          </w:tcPr>
          <w:p>
            <w:r>
              <w:rPr>
                <w:sz w:val="18"/>
              </w:rPr>
              <w:t>IoU / CSI</w:t>
            </w:r>
          </w:p>
        </w:tc>
        <w:tc>
          <w:tcPr>
            <w:tcW w:type="dxa" w:w="3324"/>
            <w:vAlign w:val="center"/>
          </w:tcPr>
          <w:p>
            <w:r>
              <w:rPr>
                <w:sz w:val="18"/>
              </w:rPr>
              <w:t>0.013</w:t>
            </w:r>
          </w:p>
        </w:tc>
        <w:tc>
          <w:tcPr>
            <w:tcW w:type="dxa" w:w="3324"/>
            <w:vAlign w:val="center"/>
          </w:tcPr>
          <w:p>
            <w:r>
              <w:rPr>
                <w:sz w:val="18"/>
              </w:rPr>
              <w:t>0.000</w:t>
            </w:r>
          </w:p>
        </w:tc>
      </w:tr>
      <w:tr>
        <w:tc>
          <w:tcPr>
            <w:tcW w:type="dxa" w:w="3324"/>
            <w:vAlign w:val="center"/>
          </w:tcPr>
          <w:p>
            <w:r>
              <w:rPr>
                <w:sz w:val="18"/>
              </w:rPr>
              <w:t>Accuracy</w:t>
            </w:r>
          </w:p>
        </w:tc>
        <w:tc>
          <w:tcPr>
            <w:tcW w:type="dxa" w:w="3324"/>
            <w:vAlign w:val="center"/>
          </w:tcPr>
          <w:p>
            <w:r>
              <w:rPr>
                <w:sz w:val="18"/>
              </w:rPr>
              <w:t>0.391</w:t>
            </w:r>
          </w:p>
        </w:tc>
        <w:tc>
          <w:tcPr>
            <w:tcW w:type="dxa" w:w="3324"/>
            <w:vAlign w:val="center"/>
          </w:tcPr>
          <w:p>
            <w:r>
              <w:rPr>
                <w:sz w:val="18"/>
              </w:rPr>
              <w:t>0.379</w:t>
            </w:r>
          </w:p>
        </w:tc>
      </w:tr>
      <w:tr>
        <w:tc>
          <w:tcPr>
            <w:tcW w:type="dxa" w:w="3324"/>
            <w:vAlign w:val="center"/>
          </w:tcPr>
          <w:p>
            <w:r>
              <w:rPr>
                <w:sz w:val="18"/>
              </w:rPr>
              <w:t>POFD (FP/(FP+TN))</w:t>
            </w:r>
          </w:p>
        </w:tc>
        <w:tc>
          <w:tcPr>
            <w:tcW w:type="dxa" w:w="3324"/>
            <w:vAlign w:val="center"/>
          </w:tcPr>
          <w:p>
            <w:r>
              <w:rPr>
                <w:sz w:val="18"/>
              </w:rPr>
              <w:t>0.0095</w:t>
            </w:r>
          </w:p>
        </w:tc>
        <w:tc>
          <w:tcPr>
            <w:tcW w:type="dxa" w:w="3324"/>
            <w:vAlign w:val="center"/>
          </w:tcPr>
          <w:p>
            <w:r>
              <w:rPr>
                <w:sz w:val="18"/>
              </w:rPr>
              <w:t>0.0002</w:t>
            </w:r>
          </w:p>
        </w:tc>
      </w:tr>
      <w:tr>
        <w:tc>
          <w:tcPr>
            <w:tcW w:type="dxa" w:w="3324"/>
            <w:vAlign w:val="center"/>
          </w:tcPr>
          <w:p>
            <w:r>
              <w:rPr>
                <w:sz w:val="18"/>
              </w:rPr>
              <w:t>Specificity (TN/(TN+FP))</w:t>
            </w:r>
          </w:p>
        </w:tc>
        <w:tc>
          <w:tcPr>
            <w:tcW w:type="dxa" w:w="3324"/>
            <w:vAlign w:val="center"/>
          </w:tcPr>
          <w:p>
            <w:r>
              <w:rPr>
                <w:sz w:val="18"/>
              </w:rPr>
              <w:t>0.991</w:t>
            </w:r>
          </w:p>
        </w:tc>
        <w:tc>
          <w:tcPr>
            <w:tcW w:type="dxa" w:w="3324"/>
            <w:vAlign w:val="center"/>
          </w:tcPr>
          <w:p>
            <w:r>
              <w:rPr>
                <w:sz w:val="18"/>
              </w:rPr>
              <w:t>1.000</w:t>
            </w:r>
          </w:p>
        </w:tc>
      </w:tr>
      <w:tr>
        <w:tc>
          <w:tcPr>
            <w:tcW w:type="dxa" w:w="3324"/>
            <w:vAlign w:val="center"/>
          </w:tcPr>
          <w:p>
            <w:r>
              <w:rPr>
                <w:sz w:val="18"/>
              </w:rPr>
              <w:t>Bias ratio ((TP+FP)/(TP+FN))</w:t>
            </w:r>
          </w:p>
        </w:tc>
        <w:tc>
          <w:tcPr>
            <w:tcW w:type="dxa" w:w="3324"/>
            <w:vAlign w:val="center"/>
          </w:tcPr>
          <w:p>
            <w:r>
              <w:rPr>
                <w:sz w:val="18"/>
              </w:rPr>
              <w:t>0.019</w:t>
            </w:r>
          </w:p>
        </w:tc>
        <w:tc>
          <w:tcPr>
            <w:tcW w:type="dxa" w:w="3324"/>
            <w:vAlign w:val="center"/>
          </w:tcPr>
          <w:p>
            <w:r>
              <w:rPr>
                <w:sz w:val="18"/>
              </w:rPr>
              <w:t>0.001</w:t>
            </w:r>
          </w:p>
        </w:tc>
      </w:tr>
    </w:tbl>
    <w:p>
      <w:pPr>
        <w:jc w:val="both"/>
      </w:pPr>
      <w:r>
        <w:rPr>
          <w:sz w:val="20"/>
        </w:rPr>
        <w:t>Table 1. Pixel-level binary metrics, pooled (left) and per-tile median (right). Dashes are entries undefined for medians of raw counts.</w:t>
      </w:r>
    </w:p>
    <w:p>
      <w:r>
        <w:drawing>
          <wp:inline xmlns:a="http://schemas.openxmlformats.org/drawingml/2006/main" xmlns:pic="http://schemas.openxmlformats.org/drawingml/2006/picture">
            <wp:extent cx="5852160" cy="3442447"/>
            <wp:docPr id="2" name="Picture 2"/>
            <wp:cNvGraphicFramePr>
              <a:graphicFrameLocks noChangeAspect="1"/>
            </wp:cNvGraphicFramePr>
            <a:graphic>
              <a:graphicData uri="http://schemas.openxmlformats.org/drawingml/2006/picture">
                <pic:pic>
                  <pic:nvPicPr>
                    <pic:cNvPr id="0" name="metrics_boxplot.jpg"/>
                    <pic:cNvPicPr/>
                  </pic:nvPicPr>
                  <pic:blipFill>
                    <a:blip r:embed="rId10"/>
                    <a:stretch>
                      <a:fillRect/>
                    </a:stretch>
                  </pic:blipFill>
                  <pic:spPr>
                    <a:xfrm>
                      <a:off x="0" y="0"/>
                      <a:ext cx="5852160" cy="3442447"/>
                    </a:xfrm>
                    <a:prstGeom prst="rect"/>
                  </pic:spPr>
                </pic:pic>
              </a:graphicData>
            </a:graphic>
          </wp:inline>
        </w:drawing>
      </w:r>
    </w:p>
    <w:p>
      <w:pPr>
        <w:jc w:val="center"/>
      </w:pPr>
      <w:r>
        <w:rPr>
          <w:i/>
          <w:sz w:val="20"/>
        </w:rPr>
        <w:t>Figure 2. Distribution of per-tile binary detection metrics across all usable tiles (n = 51). White diamond = mean; orange line = median.</w:t>
      </w:r>
    </w:p>
    <w:p>
      <w:r>
        <w:drawing>
          <wp:inline xmlns:a="http://schemas.openxmlformats.org/drawingml/2006/main" xmlns:pic="http://schemas.openxmlformats.org/drawingml/2006/picture">
            <wp:extent cx="5852160" cy="3901440"/>
            <wp:docPr id="3" name="Picture 3"/>
            <wp:cNvGraphicFramePr>
              <a:graphicFrameLocks noChangeAspect="1"/>
            </wp:cNvGraphicFramePr>
            <a:graphic>
              <a:graphicData uri="http://schemas.openxmlformats.org/drawingml/2006/picture">
                <pic:pic>
                  <pic:nvPicPr>
                    <pic:cNvPr id="0" name="fa_metrics_boxplot.jpg"/>
                    <pic:cNvPicPr/>
                  </pic:nvPicPr>
                  <pic:blipFill>
                    <a:blip r:embed="rId11"/>
                    <a:stretch>
                      <a:fillRect/>
                    </a:stretch>
                  </pic:blipFill>
                  <pic:spPr>
                    <a:xfrm>
                      <a:off x="0" y="0"/>
                      <a:ext cx="5852160" cy="3901440"/>
                    </a:xfrm>
                    <a:prstGeom prst="rect"/>
                  </pic:spPr>
                </pic:pic>
              </a:graphicData>
            </a:graphic>
          </wp:inline>
        </w:drawing>
      </w:r>
    </w:p>
    <w:p>
      <w:pPr>
        <w:jc w:val="center"/>
      </w:pPr>
      <w:r>
        <w:rPr>
          <w:i/>
          <w:sz w:val="20"/>
        </w:rPr>
        <w:t>Figure 3. Per-tile false-alarm-related metrics for the binary comparison. POFD is the rate at which ERI-dry pixels are labelled wet by SIENA; specificity is its complement; bias ratio compares SIENA-detected wet area to ERI-detected wet area in the same joint domain.</w:t>
      </w:r>
    </w:p>
    <w:p>
      <w:pPr>
        <w:pStyle w:val="Heading1"/>
      </w:pPr>
      <w:r>
        <w:rPr>
          <w:color w:val="1F2A44"/>
        </w:rPr>
        <w:t>Coverage and scene composition</w:t>
      </w:r>
    </w:p>
    <w:p>
      <w:pPr>
        <w:jc w:val="both"/>
      </w:pPr>
      <w:r>
        <w:rPr>
          <w:sz w:val="22"/>
        </w:rPr>
        <w:t>Across the 184 matched tiles, ERI coverage is highly variable — many tiles only have ERI valid pixels in a thin swath crossing the tile. Figure 4 shows the per-tile wet content for both products against the ERI valid fraction; Figure 5 plots F1 / accuracy against ERI coverage. The coverage filter (ERI ≥ 0.50, n_joint ≥ 2000) keeps tiles whose joint domain is large enough for stable per-tile statistics.</w:t>
      </w:r>
    </w:p>
    <w:p>
      <w:r>
        <w:drawing>
          <wp:inline xmlns:a="http://schemas.openxmlformats.org/drawingml/2006/main" xmlns:pic="http://schemas.openxmlformats.org/drawingml/2006/picture">
            <wp:extent cx="5852160" cy="4180114"/>
            <wp:docPr id="4" name="Picture 4"/>
            <wp:cNvGraphicFramePr>
              <a:graphicFrameLocks noChangeAspect="1"/>
            </wp:cNvGraphicFramePr>
            <a:graphic>
              <a:graphicData uri="http://schemas.openxmlformats.org/drawingml/2006/picture">
                <pic:pic>
                  <pic:nvPicPr>
                    <pic:cNvPr id="0" name="coverage_scatter.jpg"/>
                    <pic:cNvPicPr/>
                  </pic:nvPicPr>
                  <pic:blipFill>
                    <a:blip r:embed="rId12"/>
                    <a:stretch>
                      <a:fillRect/>
                    </a:stretch>
                  </pic:blipFill>
                  <pic:spPr>
                    <a:xfrm>
                      <a:off x="0" y="0"/>
                      <a:ext cx="5852160" cy="4180114"/>
                    </a:xfrm>
                    <a:prstGeom prst="rect"/>
                  </pic:spPr>
                </pic:pic>
              </a:graphicData>
            </a:graphic>
          </wp:inline>
        </w:drawing>
      </w:r>
    </w:p>
    <w:p>
      <w:pPr>
        <w:jc w:val="center"/>
      </w:pPr>
      <w:r>
        <w:rPr>
          <w:i/>
          <w:sz w:val="20"/>
        </w:rPr>
        <w:t>Figure 4. Per-tile ERI valid fraction (x) versus SIENA / ERI wet fraction (y) across the joint domain. Most tiles sit in the lower portion of the plot, confirming that the dominant scene class in this acquisition is dry land.</w:t>
      </w:r>
    </w:p>
    <w:p>
      <w:r>
        <w:drawing>
          <wp:inline xmlns:a="http://schemas.openxmlformats.org/drawingml/2006/main" xmlns:pic="http://schemas.openxmlformats.org/drawingml/2006/picture">
            <wp:extent cx="5852160" cy="4180114"/>
            <wp:docPr id="5" name="Picture 5"/>
            <wp:cNvGraphicFramePr>
              <a:graphicFrameLocks noChangeAspect="1"/>
            </wp:cNvGraphicFramePr>
            <a:graphic>
              <a:graphicData uri="http://schemas.openxmlformats.org/drawingml/2006/picture">
                <pic:pic>
                  <pic:nvPicPr>
                    <pic:cNvPr id="0" name="metrics_vs_coverage.jpg"/>
                    <pic:cNvPicPr/>
                  </pic:nvPicPr>
                  <pic:blipFill>
                    <a:blip r:embed="rId13"/>
                    <a:stretch>
                      <a:fillRect/>
                    </a:stretch>
                  </pic:blipFill>
                  <pic:spPr>
                    <a:xfrm>
                      <a:off x="0" y="0"/>
                      <a:ext cx="5852160" cy="4180114"/>
                    </a:xfrm>
                    <a:prstGeom prst="rect"/>
                  </pic:spPr>
                </pic:pic>
              </a:graphicData>
            </a:graphic>
          </wp:inline>
        </w:drawing>
      </w:r>
    </w:p>
    <w:p>
      <w:pPr>
        <w:jc w:val="center"/>
      </w:pPr>
      <w:r>
        <w:rPr>
          <w:i/>
          <w:sz w:val="20"/>
        </w:rPr>
        <w:t>Figure 5. Per-tile F1 and accuracy against ERI valid-fraction. Accuracy is uniformly high because the joint domain is dry-land dominated; F1 is more variable because positives (water pixels) are rare in most tiles.</w:t>
      </w:r>
    </w:p>
    <w:p>
      <w:pPr>
        <w:pStyle w:val="Heading1"/>
      </w:pPr>
      <w:r>
        <w:rPr>
          <w:color w:val="1F2A44"/>
        </w:rPr>
        <w:t>Representative tiles (qualitative evidence)</w:t>
      </w:r>
    </w:p>
    <w:p>
      <w:pPr>
        <w:jc w:val="both"/>
      </w:pPr>
      <w:r>
        <w:rPr>
          <w:sz w:val="22"/>
        </w:rPr>
        <w:t>Figures 6.x show the top-ranked tiles, ordered by ERI coverage fraction × SIENA wet-fraction. These are the tiles where (a) ERI airborne imagery actually covers the SIENA footprint, and (b) SIENA detects substantial flood / permanent-water area — i.e. they have visible flood signatures in both products. The full 3-panel quicklooks (NOAA ERI RGB | SIENA FIM | ESA WorldCover) are bundled under figures_curated/; for the manuscript we recommend selecting 2–4 of these to accompany Table 1 and Figure 1.</w:t>
      </w:r>
    </w:p>
    <w:p>
      <w:r>
        <w:drawing>
          <wp:inline xmlns:a="http://schemas.openxmlformats.org/drawingml/2006/main" xmlns:pic="http://schemas.openxmlformats.org/drawingml/2006/picture">
            <wp:extent cx="5852160" cy="2117850"/>
            <wp:docPr id="6" name="Picture 6"/>
            <wp:cNvGraphicFramePr>
              <a:graphicFrameLocks noChangeAspect="1"/>
            </wp:cNvGraphicFramePr>
            <a:graphic>
              <a:graphicData uri="http://schemas.openxmlformats.org/drawingml/2006/picture">
                <pic:pic>
                  <pic:nvPicPr>
                    <pic:cNvPr id="0" name="top01_r002_c011_eri_20250412_SIENA_NOAA_NGS_ERI_20250411T234752Z_20250412T120000Z_-86.064_36.886.jpg"/>
                    <pic:cNvPicPr/>
                  </pic:nvPicPr>
                  <pic:blipFill>
                    <a:blip r:embed="rId14"/>
                    <a:stretch>
                      <a:fillRect/>
                    </a:stretch>
                  </pic:blipFill>
                  <pic:spPr>
                    <a:xfrm>
                      <a:off x="0" y="0"/>
                      <a:ext cx="5852160" cy="2117850"/>
                    </a:xfrm>
                    <a:prstGeom prst="rect"/>
                  </pic:spPr>
                </pic:pic>
              </a:graphicData>
            </a:graphic>
          </wp:inline>
        </w:drawing>
      </w:r>
    </w:p>
    <w:p>
      <w:pPr>
        <w:jc w:val="center"/>
      </w:pPr>
      <w:r>
        <w:rPr>
          <w:i/>
          <w:sz w:val="20"/>
        </w:rPr>
        <w:t>Figure 6.1. Tile r002_c011_eri_20250412, center (-86.064°, 36.886°). ERI cov = 0.63, SIENA-wet = 2,725 px, ERI-wet = 7,368 px, binary F1 = 0.50.</w:t>
      </w:r>
    </w:p>
    <w:p>
      <w:r>
        <w:drawing>
          <wp:inline xmlns:a="http://schemas.openxmlformats.org/drawingml/2006/main" xmlns:pic="http://schemas.openxmlformats.org/drawingml/2006/picture">
            <wp:extent cx="5852160" cy="2096335"/>
            <wp:docPr id="7" name="Picture 7"/>
            <wp:cNvGraphicFramePr>
              <a:graphicFrameLocks noChangeAspect="1"/>
            </wp:cNvGraphicFramePr>
            <a:graphic>
              <a:graphicData uri="http://schemas.openxmlformats.org/drawingml/2006/picture">
                <pic:pic>
                  <pic:nvPicPr>
                    <pic:cNvPr id="0" name="top02_r003_c012_eri_20250412_SIENA_NOAA_NGS_ERI_20250411T234752Z_20250412T120000Z_-86.020_36.921.jpg"/>
                    <pic:cNvPicPr/>
                  </pic:nvPicPr>
                  <pic:blipFill>
                    <a:blip r:embed="rId15"/>
                    <a:stretch>
                      <a:fillRect/>
                    </a:stretch>
                  </pic:blipFill>
                  <pic:spPr>
                    <a:xfrm>
                      <a:off x="0" y="0"/>
                      <a:ext cx="5852160" cy="2096335"/>
                    </a:xfrm>
                    <a:prstGeom prst="rect"/>
                  </pic:spPr>
                </pic:pic>
              </a:graphicData>
            </a:graphic>
          </wp:inline>
        </w:drawing>
      </w:r>
    </w:p>
    <w:p>
      <w:pPr>
        <w:jc w:val="center"/>
      </w:pPr>
      <w:r>
        <w:rPr>
          <w:i/>
          <w:sz w:val="20"/>
        </w:rPr>
        <w:t>Figure 6.2. Tile r003_c012_eri_20250412, center (-86.020°, 36.921°). ERI cov = 0.80, SIENA-wet = 1,847 px, ERI-wet = 8,417 px, binary F1 = 0.10.</w:t>
      </w:r>
    </w:p>
    <w:p>
      <w:r>
        <w:drawing>
          <wp:inline xmlns:a="http://schemas.openxmlformats.org/drawingml/2006/main" xmlns:pic="http://schemas.openxmlformats.org/drawingml/2006/picture">
            <wp:extent cx="5852160" cy="2111255"/>
            <wp:docPr id="8" name="Picture 8"/>
            <wp:cNvGraphicFramePr>
              <a:graphicFrameLocks noChangeAspect="1"/>
            </wp:cNvGraphicFramePr>
            <a:graphic>
              <a:graphicData uri="http://schemas.openxmlformats.org/drawingml/2006/picture">
                <pic:pic>
                  <pic:nvPicPr>
                    <pic:cNvPr id="0" name="top03_r002_c002_eri_20250412_SIENA_NOAA_NGS_ERI_20250411T234752Z_20250412T120000Z_-86.454_36.886.jpg"/>
                    <pic:cNvPicPr/>
                  </pic:nvPicPr>
                  <pic:blipFill>
                    <a:blip r:embed="rId16"/>
                    <a:stretch>
                      <a:fillRect/>
                    </a:stretch>
                  </pic:blipFill>
                  <pic:spPr>
                    <a:xfrm>
                      <a:off x="0" y="0"/>
                      <a:ext cx="5852160" cy="2111255"/>
                    </a:xfrm>
                    <a:prstGeom prst="rect"/>
                  </pic:spPr>
                </pic:pic>
              </a:graphicData>
            </a:graphic>
          </wp:inline>
        </w:drawing>
      </w:r>
    </w:p>
    <w:p>
      <w:pPr>
        <w:jc w:val="center"/>
      </w:pPr>
      <w:r>
        <w:rPr>
          <w:i/>
          <w:sz w:val="20"/>
        </w:rPr>
        <w:t>Figure 6.3. Tile r002_c002_eri_20250412, center (-86.454°, 36.886°). ERI cov = 1.00, SIENA-wet = 1,234 px, ERI-wet = 9,075 px, binary F1 = 0.18.</w:t>
      </w:r>
    </w:p>
    <w:p>
      <w:r>
        <w:drawing>
          <wp:inline xmlns:a="http://schemas.openxmlformats.org/drawingml/2006/main" xmlns:pic="http://schemas.openxmlformats.org/drawingml/2006/picture">
            <wp:extent cx="5852160" cy="2096335"/>
            <wp:docPr id="9" name="Picture 9"/>
            <wp:cNvGraphicFramePr>
              <a:graphicFrameLocks noChangeAspect="1"/>
            </wp:cNvGraphicFramePr>
            <a:graphic>
              <a:graphicData uri="http://schemas.openxmlformats.org/drawingml/2006/picture">
                <pic:pic>
                  <pic:nvPicPr>
                    <pic:cNvPr id="0" name="top04_r001_c012_eri_20250412_SIENA_NOAA_NGS_ERI_20250411T234752Z_20250412T120000Z_-86.020_36.852.jpg"/>
                    <pic:cNvPicPr/>
                  </pic:nvPicPr>
                  <pic:blipFill>
                    <a:blip r:embed="rId17"/>
                    <a:stretch>
                      <a:fillRect/>
                    </a:stretch>
                  </pic:blipFill>
                  <pic:spPr>
                    <a:xfrm>
                      <a:off x="0" y="0"/>
                      <a:ext cx="5852160" cy="2096335"/>
                    </a:xfrm>
                    <a:prstGeom prst="rect"/>
                  </pic:spPr>
                </pic:pic>
              </a:graphicData>
            </a:graphic>
          </wp:inline>
        </w:drawing>
      </w:r>
    </w:p>
    <w:p>
      <w:pPr>
        <w:jc w:val="center"/>
      </w:pPr>
      <w:r>
        <w:rPr>
          <w:i/>
          <w:sz w:val="20"/>
        </w:rPr>
        <w:t>Figure 6.4. Tile r001_c012_eri_20250412, center (-86.020°, 36.852°). ERI cov = 0.99, SIENA-wet = 707 px, ERI-wet = 13,833 px, binary F1 = 0.09.</w:t>
      </w:r>
    </w:p>
    <w:p>
      <w:r>
        <w:drawing>
          <wp:inline xmlns:a="http://schemas.openxmlformats.org/drawingml/2006/main" xmlns:pic="http://schemas.openxmlformats.org/drawingml/2006/picture">
            <wp:extent cx="5852160" cy="2119742"/>
            <wp:docPr id="10" name="Picture 10"/>
            <wp:cNvGraphicFramePr>
              <a:graphicFrameLocks noChangeAspect="1"/>
            </wp:cNvGraphicFramePr>
            <a:graphic>
              <a:graphicData uri="http://schemas.openxmlformats.org/drawingml/2006/picture">
                <pic:pic>
                  <pic:nvPicPr>
                    <pic:cNvPr id="0" name="top05_r003_c001_eri_20250412_SIENA_NOAA_NGS_ERI_20250411T234752Z_20250412T120000Z_-86.498_36.921.jpg"/>
                    <pic:cNvPicPr/>
                  </pic:nvPicPr>
                  <pic:blipFill>
                    <a:blip r:embed="rId18"/>
                    <a:stretch>
                      <a:fillRect/>
                    </a:stretch>
                  </pic:blipFill>
                  <pic:spPr>
                    <a:xfrm>
                      <a:off x="0" y="0"/>
                      <a:ext cx="5852160" cy="2119742"/>
                    </a:xfrm>
                    <a:prstGeom prst="rect"/>
                  </pic:spPr>
                </pic:pic>
              </a:graphicData>
            </a:graphic>
          </wp:inline>
        </w:drawing>
      </w:r>
    </w:p>
    <w:p>
      <w:pPr>
        <w:jc w:val="center"/>
      </w:pPr>
      <w:r>
        <w:rPr>
          <w:i/>
          <w:sz w:val="20"/>
        </w:rPr>
        <w:t>Figure 6.5. Tile r003_c001_eri_20250412, center (-86.498°, 36.921°). ERI cov = 0.55, SIENA-wet = 299 px, ERI-wet = 5,316 px, binary F1 = 0.07.</w:t>
      </w:r>
    </w:p>
    <w:p>
      <w:r>
        <w:drawing>
          <wp:inline xmlns:a="http://schemas.openxmlformats.org/drawingml/2006/main" xmlns:pic="http://schemas.openxmlformats.org/drawingml/2006/picture">
            <wp:extent cx="5852160" cy="2119742"/>
            <wp:docPr id="11" name="Picture 11"/>
            <wp:cNvGraphicFramePr>
              <a:graphicFrameLocks noChangeAspect="1"/>
            </wp:cNvGraphicFramePr>
            <a:graphic>
              <a:graphicData uri="http://schemas.openxmlformats.org/drawingml/2006/picture">
                <pic:pic>
                  <pic:nvPicPr>
                    <pic:cNvPr id="0" name="top06_r007_c001_eri_20250412_SIENA_NOAA_NGS_ERI_20250411T234752Z_20250412T120000Z_-86.498_37.059.jpg"/>
                    <pic:cNvPicPr/>
                  </pic:nvPicPr>
                  <pic:blipFill>
                    <a:blip r:embed="rId19"/>
                    <a:stretch>
                      <a:fillRect/>
                    </a:stretch>
                  </pic:blipFill>
                  <pic:spPr>
                    <a:xfrm>
                      <a:off x="0" y="0"/>
                      <a:ext cx="5852160" cy="2119742"/>
                    </a:xfrm>
                    <a:prstGeom prst="rect"/>
                  </pic:spPr>
                </pic:pic>
              </a:graphicData>
            </a:graphic>
          </wp:inline>
        </w:drawing>
      </w:r>
    </w:p>
    <w:p>
      <w:pPr>
        <w:jc w:val="center"/>
      </w:pPr>
      <w:r>
        <w:rPr>
          <w:i/>
          <w:sz w:val="20"/>
        </w:rPr>
        <w:t>Figure 6.6. Tile r007_c001_eri_20250412, center (-86.498°, 37.059°). ERI cov = 0.95, SIENA-wet = 211 px, ERI-wet = 11,003 px, binary F1 = 0.01.</w:t>
      </w:r>
    </w:p>
    <w:p>
      <w:r>
        <w:drawing>
          <wp:inline xmlns:a="http://schemas.openxmlformats.org/drawingml/2006/main" xmlns:pic="http://schemas.openxmlformats.org/drawingml/2006/picture">
            <wp:extent cx="5852160" cy="3048000"/>
            <wp:docPr id="12" name="Picture 12"/>
            <wp:cNvGraphicFramePr>
              <a:graphicFrameLocks noChangeAspect="1"/>
            </wp:cNvGraphicFramePr>
            <a:graphic>
              <a:graphicData uri="http://schemas.openxmlformats.org/drawingml/2006/picture">
                <pic:pic>
                  <pic:nvPicPr>
                    <pic:cNvPr id="0" name="class_fractions.jpg"/>
                    <pic:cNvPicPr/>
                  </pic:nvPicPr>
                  <pic:blipFill>
                    <a:blip r:embed="rId20"/>
                    <a:stretch>
                      <a:fillRect/>
                    </a:stretch>
                  </pic:blipFill>
                  <pic:spPr>
                    <a:xfrm>
                      <a:off x="0" y="0"/>
                      <a:ext cx="5852160" cy="3048000"/>
                    </a:xfrm>
                    <a:prstGeom prst="rect"/>
                  </pic:spPr>
                </pic:pic>
              </a:graphicData>
            </a:graphic>
          </wp:inline>
        </w:drawing>
      </w:r>
    </w:p>
    <w:p>
      <w:pPr>
        <w:jc w:val="center"/>
      </w:pPr>
      <w:r>
        <w:rPr>
          <w:i/>
          <w:sz w:val="20"/>
        </w:rPr>
        <w:t>Figure 7. Stacked bars of SIENA class mixture for the top-N tiles by wet content. Most tiles show a thin permanent-water signal with localised flood pixels.</w:t>
      </w:r>
    </w:p>
    <w:p>
      <w:pPr>
        <w:pStyle w:val="Heading1"/>
      </w:pPr>
      <w:r>
        <w:rPr>
          <w:color w:val="1F2A44"/>
        </w:rPr>
        <w:t>Operational implications and manuscript framing</w:t>
      </w:r>
    </w:p>
    <w:p>
      <w:pPr>
        <w:jc w:val="both"/>
      </w:pPr>
      <w:r>
        <w:rPr>
          <w:sz w:val="22"/>
        </w:rPr>
        <w:t>Three points to make in the manuscript:</w:t>
      </w:r>
    </w:p>
    <w:p>
      <w:pPr>
        <w:pStyle w:val="ListBullet"/>
      </w:pPr>
      <w:r>
        <w:t>(1) The headline quantitative result is the per-tile area-fraction scatter (Figure 1): it tests whether SIENA and the ERI-derived water mask agree on how much water is present in each tile. A positive slope and tight clustering around the 1:1 line indicate strong spatial co-location of flood signatures, and this conclusion does not depend on accurate pixel-level ERI classification.</w:t>
      </w:r>
    </w:p>
    <w:p>
      <w:pPr>
        <w:pStyle w:val="ListBullet"/>
      </w:pPr>
      <w:r>
        <w:t>(2) The binary F1 / IoU / precision / recall numbers in Table 1 and Figure 2 are reported as a noisy lower bound on SIENA's pixel-level agreement with airborne ground truth. They should be cited only with the explicit caveat that the ERI RGB water mask cannot resolve turbid floodwater. Do not cite accuracy or specificity as flood-detection skill scores — they are dominated by dry-land agreement.</w:t>
      </w:r>
    </w:p>
    <w:p>
      <w:pPr>
        <w:pStyle w:val="ListBullet"/>
      </w:pPr>
      <w:r>
        <w:t>(3) ERI coverage on this 2025-04-12 flight day is patchy. We recommend that the manuscript figure panel use 2–4 of the curated tiles in figures_curated/ as the visual anchor, with the area-fraction scatter (Figure 1) as the quantitative anchor.</w:t>
      </w:r>
    </w:p>
    <w:sectPr w:rsidR="00FC693F" w:rsidRPr="0006063C" w:rsidSect="00034616">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Calibri" w:hAnsi="Calibri"/>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