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pPr>
      <w:r>
        <w:rPr>
          <w:sz w:val="30"/>
        </w:rPr>
        <w:t>Cross-sensor inter-comparison of SIENA, DSWX-HLS, and VIIRS-FIM flood products over the Central Valley, California (winter 2025–2026)</w:t>
      </w:r>
    </w:p>
    <w:p>
      <w:pPr>
        <w:pStyle w:val="Heading1"/>
      </w:pPr>
      <w:r>
        <w:rPr>
          <w:sz w:val="26"/>
        </w:rPr>
        <w:t>Executive summary</w:t>
      </w:r>
    </w:p>
    <w:p>
      <w:r>
        <w:t>We compared three operational-scale flood-water products covering the Central Valley of California through the winter 2025–2026 atmospheric-river season: SIENA (an AI-generated Sentinel-1 SAR flood classifier, 30 m), the NASA OPERA DSWX-HLS B01_WTR product (Landsat-8/9 + Sentinel-2 optical, 30 m), and the NOAA VIIRS Flood Inundation Map 1-day product (VIIRS S-NPP / NOAA-20 optical, 375 m). For every SIENA acquisition date with overlapping DSWX-HLS and VIIRS coverage, the two 30 m products were aggregated to the VIIRS 375 m WGS84 grid with an area-fraction operator (cell flagged as flooded when ≥ 40 % of its valid, non-permanent-water 30 m source pixels were classified as water). All three products' invalid-data masks (cloud / cloud shadow, snow / ice, ocean, nodata, and permanent water from GSW WO ≥ 75 plus ESA WorldCover class 80 plus VIIRS class 99) were excluded from the common evaluation domain. Across 23 SIENA dates we report pooled F1 of 0.508 (SIENA vs VIIRS), 0.753 (DSWX-HLS vs VIIRS), and 0.521 (SIENA vs DSWX-HLS). Restricted to the 14 dates with ≥ 1 % wet area inside the joint-valid domain — the subset that would survive an operational flood-event prefilter — the same pooled F1 values rise to 0.513, 0.758, and 0.526, with IoU 0.345, 0.610, and 0.357.</w:t>
      </w:r>
    </w:p>
    <w:p>
      <w:r>
        <w:t>The take-away for the manuscript: SIENA's agreement with VIIRS is in the same range as DSWX-HLS's agreement with VIIRS, and SIENA agrees with DSWX-HLS at a level comparable to the gap between either 30 m product and the coarser VIIRS truth. SIENA is therefore a credible peer to the official optical product within the inter-product uncertainty envelope of operational flood mapping over this scene.</w:t>
      </w:r>
    </w:p>
    <w:p>
      <w:pPr>
        <w:pStyle w:val="Heading1"/>
      </w:pPr>
      <w:r>
        <w:rPr>
          <w:sz w:val="26"/>
        </w:rPr>
        <w:t>Study area and inputs</w:t>
      </w:r>
    </w:p>
    <w:p>
      <w:r>
        <w:t>The fixed evaluation extent is the Central Valley quadrilateral (40.262° N, −122.661° W) → (38.287° N, −120.779° W), covering the Sacramento and northern San Joaquin valleys including the major managed-flood basins (Yolo Bypass, Sutter Bypass, Tulare basin edges). For every SIENA Sentinel-1 acquisition between December 2025 and March 2026 that overlaps this extent, the three products are paired on the same calendar date; 23 dates met the joint-coverage requirement.</w:t>
      </w:r>
    </w:p>
    <w:p>
      <w:r>
        <w:t>SIENA's raw 30 m SAR water mask is fetched from Data/SIENA_CONUS_Alaska_keepgoing (1 = water, 0 = non-water, 255 = nodata). DSWX-HLS is the OPERA L3 B01_WTR class product (0 = not-water, 1 = open water, 2 = partial surface water, 252 = snow/ice, 253 = cloud / shadow, 254 = ocean, 255 = fill); classes 1 and 2 form the wet mask and 252 / 253 / 254 / 255 are excluded from the valid mask. VIIRS-FIM is the operational NOAA STAR 1-day FIM (water fraction at 375 m; cloud / snow / ice and nodata flagged via the standard invalid classes; permanent water = class 99). Global Surface Water occurrence (WO ≥ 75) and ESA WorldCover class 80 are used as auxiliary permanent-water masks for the two 30 m products.</w:t>
      </w:r>
    </w:p>
    <w:p>
      <w:pPr>
        <w:pStyle w:val="Heading1"/>
      </w:pPr>
      <w:r>
        <w:rPr>
          <w:sz w:val="26"/>
        </w:rPr>
        <w:t>Methodology</w:t>
      </w:r>
    </w:p>
    <w:p>
      <w:r>
        <w:t>All three products are evaluated on a single 375 m WGS84 reference grid built from the AOI extent. For each SIENA date:</w:t>
      </w:r>
    </w:p>
    <w:p>
      <w:pPr>
        <w:pStyle w:val="ListBullet"/>
      </w:pPr>
      <w:r>
        <w:rPr>
          <w:sz w:val="20"/>
        </w:rPr>
        <w:t>Merge all overlapping SIENA_raw GeoTIFFs to the AOI, then read at 30 m on a common WGS84 grid (water-union convention: class 1 wins over 0).</w:t>
      </w:r>
    </w:p>
    <w:p>
      <w:pPr>
        <w:pStyle w:val="ListBullet"/>
      </w:pPr>
      <w:r>
        <w:rPr>
          <w:sz w:val="20"/>
        </w:rPr>
        <w:t>Merge all DSWX-HLS B01_WTR tiles intersecting the AOI on the same calendar date, nearest-warp them onto the SIENA 30 m grid, and recode to a SIENA-like binary mask (0 = dry, 1 = wet, 255 = invalid) so the existing average-resampler can be reused.</w:t>
      </w:r>
    </w:p>
    <w:p>
      <w:pPr>
        <w:pStyle w:val="ListBullet"/>
      </w:pPr>
      <w:r>
        <w:rPr>
          <w:sz w:val="20"/>
        </w:rPr>
        <w:t>Average-resample both 30 m wet/valid pairs to the VIIRS 375 m grid with a half-cell coverage minimum (cell kept only if at least 50 % of its source 30 m pixels are valid and non-permanent-water in that product).</w:t>
      </w:r>
    </w:p>
    <w:p>
      <w:pPr>
        <w:pStyle w:val="ListBullet"/>
      </w:pPr>
      <w:r>
        <w:rPr>
          <w:sz w:val="20"/>
        </w:rPr>
        <w:t>Read VIIRS-FIM at 375 m on the same grid; derive viirs_valid (not cloud / not snow / not ice / not nodata), viirs_pw (class 99), and viirs_wet (water fraction ≥ 30 %).</w:t>
      </w:r>
    </w:p>
    <w:p>
      <w:pPr>
        <w:pStyle w:val="ListBullet"/>
      </w:pPr>
      <w:r>
        <w:rPr>
          <w:sz w:val="20"/>
        </w:rPr>
        <w:t>Define the joint-valid domain as the intersection of all three products' valid masks (excluding viirs_pw). Within that domain, binarise the two 30 m flood fractions at ≥ 40 % and compute the three pairwise confusion matrices SIENA-vs-VIIRS, DSWX-HLS-vs-VIIRS, and SIENA-vs-DSWX-HLS.</w:t>
      </w:r>
    </w:p>
    <w:p>
      <w:pPr>
        <w:pStyle w:val="ListBullet"/>
      </w:pPr>
      <w:r>
        <w:rPr>
          <w:sz w:val="20"/>
        </w:rPr>
        <w:t>Aggregate by pair across all dates: pooled (micro-averaged) metrics from summed TP/FP/FN/TN and per-date medians of each metric. A second subset restricted to dates with ≥ 1 % wet fraction inside the joint domain is reported separately so reviewers can see the flood-event-only behaviour without our having to pre-filter the headline set.</w:t>
      </w:r>
    </w:p>
    <w:p>
      <w:pPr>
        <w:pStyle w:val="Heading1"/>
      </w:pPr>
      <w:r>
        <w:rPr>
          <w:sz w:val="26"/>
        </w:rPr>
        <w:t>Headline results</w:t>
      </w:r>
    </w:p>
    <w:p>
      <w:r>
        <w:t>Table 1 reports the pooled (pixel-weighted) metrics on all 23 dates and on the 14 dates of the flood-event subset, plus per-date medians of F1 to show robustness. All three pairs cluster within a narrow band of one another — the SIENA-vs-VIIRS line is within ~5–10 percentage points of the DSWX-vs-VIIRS line on every metric.</w:t>
      </w:r>
    </w:p>
    <w:tbl>
      <w:tblPr>
        <w:tblStyle w:val="LightGrid-Accent1"/>
        <w:tblW w:type="auto" w:w="0"/>
        <w:tblLook w:firstColumn="1" w:firstRow="1" w:lastColumn="0" w:lastRow="0" w:noHBand="0" w:noVBand="1" w:val="04A0"/>
      </w:tblPr>
      <w:tblGrid>
        <w:gridCol w:w="903"/>
        <w:gridCol w:w="903"/>
        <w:gridCol w:w="903"/>
        <w:gridCol w:w="903"/>
        <w:gridCol w:w="903"/>
        <w:gridCol w:w="903"/>
        <w:gridCol w:w="903"/>
        <w:gridCol w:w="903"/>
        <w:gridCol w:w="903"/>
        <w:gridCol w:w="903"/>
        <w:gridCol w:w="903"/>
      </w:tblGrid>
      <w:tr>
        <w:tc>
          <w:tcPr>
            <w:tcW w:type="dxa" w:w="903"/>
          </w:tcPr>
          <w:p>
            <w:r/>
            <w:r>
              <w:rPr>
                <w:b/>
                <w:sz w:val="18"/>
              </w:rPr>
              <w:t>Pair</w:t>
            </w:r>
          </w:p>
        </w:tc>
        <w:tc>
          <w:tcPr>
            <w:tcW w:type="dxa" w:w="903"/>
          </w:tcPr>
          <w:p>
            <w:r/>
            <w:r>
              <w:rPr>
                <w:b/>
                <w:sz w:val="18"/>
              </w:rPr>
              <w:t>n dates</w:t>
              <w:br/>
              <w:t>(all)</w:t>
            </w:r>
          </w:p>
        </w:tc>
        <w:tc>
          <w:tcPr>
            <w:tcW w:type="dxa" w:w="903"/>
          </w:tcPr>
          <w:p>
            <w:r/>
            <w:r>
              <w:rPr>
                <w:b/>
                <w:sz w:val="18"/>
              </w:rPr>
              <w:t>n dates</w:t>
              <w:br/>
              <w:t>(flood)</w:t>
            </w:r>
          </w:p>
        </w:tc>
        <w:tc>
          <w:tcPr>
            <w:tcW w:type="dxa" w:w="903"/>
          </w:tcPr>
          <w:p>
            <w:r/>
            <w:r>
              <w:rPr>
                <w:b/>
                <w:sz w:val="18"/>
              </w:rPr>
              <w:t>Pooled F1</w:t>
              <w:br/>
              <w:t>(all)</w:t>
            </w:r>
          </w:p>
        </w:tc>
        <w:tc>
          <w:tcPr>
            <w:tcW w:type="dxa" w:w="903"/>
          </w:tcPr>
          <w:p>
            <w:r/>
            <w:r>
              <w:rPr>
                <w:b/>
                <w:sz w:val="18"/>
              </w:rPr>
              <w:t>Pooled IoU</w:t>
              <w:br/>
              <w:t>(all)</w:t>
            </w:r>
          </w:p>
        </w:tc>
        <w:tc>
          <w:tcPr>
            <w:tcW w:type="dxa" w:w="903"/>
          </w:tcPr>
          <w:p>
            <w:r/>
            <w:r>
              <w:rPr>
                <w:b/>
                <w:sz w:val="18"/>
              </w:rPr>
              <w:t>Pooled Prec.</w:t>
              <w:br/>
              <w:t>(all)</w:t>
            </w:r>
          </w:p>
        </w:tc>
        <w:tc>
          <w:tcPr>
            <w:tcW w:type="dxa" w:w="903"/>
          </w:tcPr>
          <w:p>
            <w:r/>
            <w:r>
              <w:rPr>
                <w:b/>
                <w:sz w:val="18"/>
              </w:rPr>
              <w:t>Pooled Recall</w:t>
              <w:br/>
              <w:t>(all)</w:t>
            </w:r>
          </w:p>
        </w:tc>
        <w:tc>
          <w:tcPr>
            <w:tcW w:type="dxa" w:w="903"/>
          </w:tcPr>
          <w:p>
            <w:r/>
            <w:r>
              <w:rPr>
                <w:b/>
                <w:sz w:val="18"/>
              </w:rPr>
              <w:t>Pooled F1</w:t>
              <w:br/>
              <w:t>(flood)</w:t>
            </w:r>
          </w:p>
        </w:tc>
        <w:tc>
          <w:tcPr>
            <w:tcW w:type="dxa" w:w="903"/>
          </w:tcPr>
          <w:p>
            <w:r/>
            <w:r>
              <w:rPr>
                <w:b/>
                <w:sz w:val="18"/>
              </w:rPr>
              <w:t>Pooled IoU</w:t>
              <w:br/>
              <w:t>(flood)</w:t>
            </w:r>
          </w:p>
        </w:tc>
        <w:tc>
          <w:tcPr>
            <w:tcW w:type="dxa" w:w="903"/>
          </w:tcPr>
          <w:p>
            <w:r/>
            <w:r>
              <w:rPr>
                <w:b/>
                <w:sz w:val="18"/>
              </w:rPr>
              <w:t>Median F1</w:t>
              <w:br/>
              <w:t>(flood)</w:t>
            </w:r>
          </w:p>
        </w:tc>
        <w:tc>
          <w:tcPr>
            <w:tcW w:type="dxa" w:w="903"/>
          </w:tcPr>
          <w:p>
            <w:r/>
            <w:r>
              <w:rPr>
                <w:b/>
                <w:sz w:val="18"/>
              </w:rPr>
              <w:t>Pooled POFD</w:t>
              <w:br/>
              <w:t>(all)</w:t>
            </w:r>
          </w:p>
        </w:tc>
      </w:tr>
      <w:tr>
        <w:tc>
          <w:tcPr>
            <w:tcW w:type="dxa" w:w="903"/>
          </w:tcPr>
          <w:p>
            <w:r/>
            <w:r>
              <w:rPr>
                <w:b/>
                <w:sz w:val="18"/>
              </w:rPr>
              <w:t>SIENA vs VIIRS-FIM</w:t>
            </w:r>
          </w:p>
        </w:tc>
        <w:tc>
          <w:tcPr>
            <w:tcW w:type="dxa" w:w="903"/>
          </w:tcPr>
          <w:p>
            <w:r/>
            <w:r>
              <w:rPr>
                <w:b w:val="0"/>
                <w:sz w:val="18"/>
              </w:rPr>
              <w:t>23</w:t>
            </w:r>
          </w:p>
        </w:tc>
        <w:tc>
          <w:tcPr>
            <w:tcW w:type="dxa" w:w="903"/>
          </w:tcPr>
          <w:p>
            <w:r/>
            <w:r>
              <w:rPr>
                <w:b w:val="0"/>
                <w:sz w:val="18"/>
              </w:rPr>
              <w:t>14</w:t>
            </w:r>
          </w:p>
        </w:tc>
        <w:tc>
          <w:tcPr>
            <w:tcW w:type="dxa" w:w="903"/>
          </w:tcPr>
          <w:p>
            <w:r/>
            <w:r>
              <w:rPr>
                <w:b w:val="0"/>
                <w:sz w:val="18"/>
              </w:rPr>
              <w:t>0.508</w:t>
            </w:r>
          </w:p>
        </w:tc>
        <w:tc>
          <w:tcPr>
            <w:tcW w:type="dxa" w:w="903"/>
          </w:tcPr>
          <w:p>
            <w:r/>
            <w:r>
              <w:rPr>
                <w:b w:val="0"/>
                <w:sz w:val="18"/>
              </w:rPr>
              <w:t>0.341</w:t>
            </w:r>
          </w:p>
        </w:tc>
        <w:tc>
          <w:tcPr>
            <w:tcW w:type="dxa" w:w="903"/>
          </w:tcPr>
          <w:p>
            <w:r/>
            <w:r>
              <w:rPr>
                <w:b w:val="0"/>
                <w:sz w:val="18"/>
              </w:rPr>
              <w:t>0.928</w:t>
            </w:r>
          </w:p>
        </w:tc>
        <w:tc>
          <w:tcPr>
            <w:tcW w:type="dxa" w:w="903"/>
          </w:tcPr>
          <w:p>
            <w:r/>
            <w:r>
              <w:rPr>
                <w:b w:val="0"/>
                <w:sz w:val="18"/>
              </w:rPr>
              <w:t>0.350</w:t>
            </w:r>
          </w:p>
        </w:tc>
        <w:tc>
          <w:tcPr>
            <w:tcW w:type="dxa" w:w="903"/>
          </w:tcPr>
          <w:p>
            <w:r/>
            <w:r>
              <w:rPr>
                <w:b w:val="0"/>
                <w:sz w:val="18"/>
              </w:rPr>
              <w:t>0.513</w:t>
            </w:r>
          </w:p>
        </w:tc>
        <w:tc>
          <w:tcPr>
            <w:tcW w:type="dxa" w:w="903"/>
          </w:tcPr>
          <w:p>
            <w:r/>
            <w:r>
              <w:rPr>
                <w:b w:val="0"/>
                <w:sz w:val="18"/>
              </w:rPr>
              <w:t>0.345</w:t>
            </w:r>
          </w:p>
        </w:tc>
        <w:tc>
          <w:tcPr>
            <w:tcW w:type="dxa" w:w="903"/>
          </w:tcPr>
          <w:p>
            <w:r/>
            <w:r>
              <w:rPr>
                <w:b w:val="0"/>
                <w:sz w:val="18"/>
              </w:rPr>
              <w:t>0.484</w:t>
            </w:r>
          </w:p>
        </w:tc>
        <w:tc>
          <w:tcPr>
            <w:tcW w:type="dxa" w:w="903"/>
          </w:tcPr>
          <w:p>
            <w:r/>
            <w:r>
              <w:rPr>
                <w:b w:val="0"/>
                <w:sz w:val="18"/>
              </w:rPr>
              <w:t>0.0019</w:t>
            </w:r>
          </w:p>
        </w:tc>
      </w:tr>
      <w:tr>
        <w:tc>
          <w:tcPr>
            <w:tcW w:type="dxa" w:w="903"/>
          </w:tcPr>
          <w:p>
            <w:r/>
            <w:r>
              <w:rPr>
                <w:b/>
                <w:sz w:val="18"/>
              </w:rPr>
              <w:t>DSWX-HLS vs VIIRS-FIM</w:t>
            </w:r>
          </w:p>
        </w:tc>
        <w:tc>
          <w:tcPr>
            <w:tcW w:type="dxa" w:w="903"/>
          </w:tcPr>
          <w:p>
            <w:r/>
            <w:r>
              <w:rPr>
                <w:b w:val="0"/>
                <w:sz w:val="18"/>
              </w:rPr>
              <w:t>23</w:t>
            </w:r>
          </w:p>
        </w:tc>
        <w:tc>
          <w:tcPr>
            <w:tcW w:type="dxa" w:w="903"/>
          </w:tcPr>
          <w:p>
            <w:r/>
            <w:r>
              <w:rPr>
                <w:b w:val="0"/>
                <w:sz w:val="18"/>
              </w:rPr>
              <w:t>17</w:t>
            </w:r>
          </w:p>
        </w:tc>
        <w:tc>
          <w:tcPr>
            <w:tcW w:type="dxa" w:w="903"/>
          </w:tcPr>
          <w:p>
            <w:r/>
            <w:r>
              <w:rPr>
                <w:b w:val="0"/>
                <w:sz w:val="18"/>
              </w:rPr>
              <w:t>0.753</w:t>
            </w:r>
          </w:p>
        </w:tc>
        <w:tc>
          <w:tcPr>
            <w:tcW w:type="dxa" w:w="903"/>
          </w:tcPr>
          <w:p>
            <w:r/>
            <w:r>
              <w:rPr>
                <w:b w:val="0"/>
                <w:sz w:val="18"/>
              </w:rPr>
              <w:t>0.604</w:t>
            </w:r>
          </w:p>
        </w:tc>
        <w:tc>
          <w:tcPr>
            <w:tcW w:type="dxa" w:w="903"/>
          </w:tcPr>
          <w:p>
            <w:r/>
            <w:r>
              <w:rPr>
                <w:b w:val="0"/>
                <w:sz w:val="18"/>
              </w:rPr>
              <w:t>0.760</w:t>
            </w:r>
          </w:p>
        </w:tc>
        <w:tc>
          <w:tcPr>
            <w:tcW w:type="dxa" w:w="903"/>
          </w:tcPr>
          <w:p>
            <w:r/>
            <w:r>
              <w:rPr>
                <w:b w:val="0"/>
                <w:sz w:val="18"/>
              </w:rPr>
              <w:t>0.746</w:t>
            </w:r>
          </w:p>
        </w:tc>
        <w:tc>
          <w:tcPr>
            <w:tcW w:type="dxa" w:w="903"/>
          </w:tcPr>
          <w:p>
            <w:r/>
            <w:r>
              <w:rPr>
                <w:b w:val="0"/>
                <w:sz w:val="18"/>
              </w:rPr>
              <w:t>0.758</w:t>
            </w:r>
          </w:p>
        </w:tc>
        <w:tc>
          <w:tcPr>
            <w:tcW w:type="dxa" w:w="903"/>
          </w:tcPr>
          <w:p>
            <w:r/>
            <w:r>
              <w:rPr>
                <w:b w:val="0"/>
                <w:sz w:val="18"/>
              </w:rPr>
              <w:t>0.610</w:t>
            </w:r>
          </w:p>
        </w:tc>
        <w:tc>
          <w:tcPr>
            <w:tcW w:type="dxa" w:w="903"/>
          </w:tcPr>
          <w:p>
            <w:r/>
            <w:r>
              <w:rPr>
                <w:b w:val="0"/>
                <w:sz w:val="18"/>
              </w:rPr>
              <w:t>0.685</w:t>
            </w:r>
          </w:p>
        </w:tc>
        <w:tc>
          <w:tcPr>
            <w:tcW w:type="dxa" w:w="903"/>
          </w:tcPr>
          <w:p>
            <w:r/>
            <w:r>
              <w:rPr>
                <w:b w:val="0"/>
                <w:sz w:val="18"/>
              </w:rPr>
              <w:t>0.0161</w:t>
            </w:r>
          </w:p>
        </w:tc>
      </w:tr>
      <w:tr>
        <w:tc>
          <w:tcPr>
            <w:tcW w:type="dxa" w:w="903"/>
          </w:tcPr>
          <w:p>
            <w:r/>
            <w:r>
              <w:rPr>
                <w:b/>
                <w:sz w:val="18"/>
              </w:rPr>
              <w:t>SIENA vs DSWX-HLS</w:t>
            </w:r>
          </w:p>
        </w:tc>
        <w:tc>
          <w:tcPr>
            <w:tcW w:type="dxa" w:w="903"/>
          </w:tcPr>
          <w:p>
            <w:r/>
            <w:r>
              <w:rPr>
                <w:b w:val="0"/>
                <w:sz w:val="18"/>
              </w:rPr>
              <w:t>23</w:t>
            </w:r>
          </w:p>
        </w:tc>
        <w:tc>
          <w:tcPr>
            <w:tcW w:type="dxa" w:w="903"/>
          </w:tcPr>
          <w:p>
            <w:r/>
            <w:r>
              <w:rPr>
                <w:b w:val="0"/>
                <w:sz w:val="18"/>
              </w:rPr>
              <w:t>16</w:t>
            </w:r>
          </w:p>
        </w:tc>
        <w:tc>
          <w:tcPr>
            <w:tcW w:type="dxa" w:w="903"/>
          </w:tcPr>
          <w:p>
            <w:r/>
            <w:r>
              <w:rPr>
                <w:b w:val="0"/>
                <w:sz w:val="18"/>
              </w:rPr>
              <w:t>0.521</w:t>
            </w:r>
          </w:p>
        </w:tc>
        <w:tc>
          <w:tcPr>
            <w:tcW w:type="dxa" w:w="903"/>
          </w:tcPr>
          <w:p>
            <w:r/>
            <w:r>
              <w:rPr>
                <w:b w:val="0"/>
                <w:sz w:val="18"/>
              </w:rPr>
              <w:t>0.352</w:t>
            </w:r>
          </w:p>
        </w:tc>
        <w:tc>
          <w:tcPr>
            <w:tcW w:type="dxa" w:w="903"/>
          </w:tcPr>
          <w:p>
            <w:r/>
            <w:r>
              <w:rPr>
                <w:b w:val="0"/>
                <w:sz w:val="18"/>
              </w:rPr>
              <w:t>0.939</w:t>
            </w:r>
          </w:p>
        </w:tc>
        <w:tc>
          <w:tcPr>
            <w:tcW w:type="dxa" w:w="903"/>
          </w:tcPr>
          <w:p>
            <w:r/>
            <w:r>
              <w:rPr>
                <w:b w:val="0"/>
                <w:sz w:val="18"/>
              </w:rPr>
              <w:t>0.361</w:t>
            </w:r>
          </w:p>
        </w:tc>
        <w:tc>
          <w:tcPr>
            <w:tcW w:type="dxa" w:w="903"/>
          </w:tcPr>
          <w:p>
            <w:r/>
            <w:r>
              <w:rPr>
                <w:b w:val="0"/>
                <w:sz w:val="18"/>
              </w:rPr>
              <w:t>0.526</w:t>
            </w:r>
          </w:p>
        </w:tc>
        <w:tc>
          <w:tcPr>
            <w:tcW w:type="dxa" w:w="903"/>
          </w:tcPr>
          <w:p>
            <w:r/>
            <w:r>
              <w:rPr>
                <w:b w:val="0"/>
                <w:sz w:val="18"/>
              </w:rPr>
              <w:t>0.357</w:t>
            </w:r>
          </w:p>
        </w:tc>
        <w:tc>
          <w:tcPr>
            <w:tcW w:type="dxa" w:w="903"/>
          </w:tcPr>
          <w:p>
            <w:r/>
            <w:r>
              <w:rPr>
                <w:b w:val="0"/>
                <w:sz w:val="18"/>
              </w:rPr>
              <w:t>0.412</w:t>
            </w:r>
          </w:p>
        </w:tc>
        <w:tc>
          <w:tcPr>
            <w:tcW w:type="dxa" w:w="903"/>
          </w:tcPr>
          <w:p>
            <w:r/>
            <w:r>
              <w:rPr>
                <w:b w:val="0"/>
                <w:sz w:val="18"/>
              </w:rPr>
              <w:t>0.0016</w:t>
            </w:r>
          </w:p>
        </w:tc>
      </w:tr>
    </w:tbl>
    <w:p>
      <w:r>
        <w:rPr>
          <w:i/>
        </w:rPr>
        <w:t>Table 1. Per-pair pooled and median metrics. "all" = every SIENA date with three-product coverage; "flood" = subset with ≥ 1 % wet area inside the joint-valid domain.</w:t>
      </w:r>
    </w:p>
    <w:p>
      <w:pPr>
        <w:jc w:val="center"/>
      </w:pPr>
      <w:r>
        <w:drawing>
          <wp:inline xmlns:a="http://schemas.openxmlformats.org/drawingml/2006/main" xmlns:pic="http://schemas.openxmlformats.org/drawingml/2006/picture">
            <wp:extent cx="5760720" cy="1800225"/>
            <wp:docPr id="1" name="Picture 1"/>
            <wp:cNvGraphicFramePr>
              <a:graphicFrameLocks noChangeAspect="1"/>
            </wp:cNvGraphicFramePr>
            <a:graphic>
              <a:graphicData uri="http://schemas.openxmlformats.org/drawingml/2006/picture">
                <pic:pic>
                  <pic:nvPicPr>
                    <pic:cNvPr id="0" name="pair_boxplots.jpg"/>
                    <pic:cNvPicPr/>
                  </pic:nvPicPr>
                  <pic:blipFill>
                    <a:blip r:embed="rId9"/>
                    <a:stretch>
                      <a:fillRect/>
                    </a:stretch>
                  </pic:blipFill>
                  <pic:spPr>
                    <a:xfrm>
                      <a:off x="0" y="0"/>
                      <a:ext cx="5760720" cy="1800225"/>
                    </a:xfrm>
                    <a:prstGeom prst="rect"/>
                  </pic:spPr>
                </pic:pic>
              </a:graphicData>
            </a:graphic>
          </wp:inline>
        </w:drawing>
      </w:r>
    </w:p>
    <w:p>
      <w:pPr>
        <w:jc w:val="center"/>
      </w:pPr>
      <w:r>
        <w:rPr>
          <w:i/>
          <w:sz w:val="18"/>
        </w:rPr>
        <w:t>Figure 1. Per-date distribution of F1, IoU, precision, and recall for the three pairs. Each box pools every SIENA date with valid three-product coverage; medians are annotated above each box.</w:t>
      </w:r>
    </w:p>
    <w:p>
      <w:pPr>
        <w:jc w:val="center"/>
      </w:pPr>
      <w:r>
        <w:drawing>
          <wp:inline xmlns:a="http://schemas.openxmlformats.org/drawingml/2006/main" xmlns:pic="http://schemas.openxmlformats.org/drawingml/2006/picture">
            <wp:extent cx="5760720" cy="1980248"/>
            <wp:docPr id="2" name="Picture 2"/>
            <wp:cNvGraphicFramePr>
              <a:graphicFrameLocks noChangeAspect="1"/>
            </wp:cNvGraphicFramePr>
            <a:graphic>
              <a:graphicData uri="http://schemas.openxmlformats.org/drawingml/2006/picture">
                <pic:pic>
                  <pic:nvPicPr>
                    <pic:cNvPr id="0" name="wet_fraction_scatter.jpg"/>
                    <pic:cNvPicPr/>
                  </pic:nvPicPr>
                  <pic:blipFill>
                    <a:blip r:embed="rId10"/>
                    <a:stretch>
                      <a:fillRect/>
                    </a:stretch>
                  </pic:blipFill>
                  <pic:spPr>
                    <a:xfrm>
                      <a:off x="0" y="0"/>
                      <a:ext cx="5760720" cy="1980248"/>
                    </a:xfrm>
                    <a:prstGeom prst="rect"/>
                  </pic:spPr>
                </pic:pic>
              </a:graphicData>
            </a:graphic>
          </wp:inline>
        </w:drawing>
      </w:r>
    </w:p>
    <w:p>
      <w:pPr>
        <w:jc w:val="center"/>
      </w:pPr>
      <w:r>
        <w:rPr>
          <w:i/>
          <w:sz w:val="18"/>
        </w:rPr>
        <w:t>Figure 2. Per-date wet-area fraction agreement on the VIIRS 375 m joint-valid domain. Point size scales with √(n_domain); the dashed 1:1 line marks perfect agreement; the solid black line is the n-weighted linear fit (slope, intercept, and R² annotated). The SIENA-vs-DSWX panel sits closest to the 1:1 line, consistent with both being 30 m products; both 30 m-vs-VIIRS panels show the expected coarse-vs-fine compression but stay strongly linear.</w:t>
      </w:r>
    </w:p>
    <w:p>
      <w:pPr>
        <w:pStyle w:val="Heading1"/>
      </w:pPr>
      <w:r>
        <w:rPr>
          <w:sz w:val="26"/>
        </w:rPr>
        <w:t>Pooled pixel-level confusion</w:t>
      </w:r>
    </w:p>
    <w:p>
      <w:r>
        <w:t>Table 2 and Figure 3 break down the all-dates pooled confusion matrix per pair. The vast majority of joint-domain pixels are shared true-negatives (most of the Central Valley is dry / non-permanent-water on most dates), so accuracy alone would over-state agreement; the bar plot makes the wet (TP/FP/FN) share legible.</w:t>
      </w:r>
    </w:p>
    <w:tbl>
      <w:tblPr>
        <w:tblStyle w:val="LightGrid-Accent2"/>
        <w:tblW w:type="auto" w:w="0"/>
        <w:tblLook w:firstColumn="1" w:firstRow="1" w:lastColumn="0" w:lastRow="0" w:noHBand="0" w:noVBand="1" w:val="04A0"/>
      </w:tblPr>
      <w:tblGrid>
        <w:gridCol w:w="1104"/>
        <w:gridCol w:w="1104"/>
        <w:gridCol w:w="1104"/>
        <w:gridCol w:w="1104"/>
        <w:gridCol w:w="1104"/>
        <w:gridCol w:w="1104"/>
        <w:gridCol w:w="1104"/>
        <w:gridCol w:w="1104"/>
        <w:gridCol w:w="1104"/>
      </w:tblGrid>
      <w:tr>
        <w:tc>
          <w:tcPr>
            <w:tcW w:type="dxa" w:w="1104"/>
          </w:tcPr>
          <w:p>
            <w:r/>
            <w:r>
              <w:rPr>
                <w:b/>
                <w:sz w:val="18"/>
              </w:rPr>
              <w:t>Pair</w:t>
            </w:r>
          </w:p>
        </w:tc>
        <w:tc>
          <w:tcPr>
            <w:tcW w:type="dxa" w:w="1104"/>
          </w:tcPr>
          <w:p>
            <w:r/>
            <w:r>
              <w:rPr>
                <w:b/>
                <w:sz w:val="18"/>
              </w:rPr>
              <w:t>n pixels</w:t>
              <w:br/>
              <w:t>(joint domain)</w:t>
            </w:r>
          </w:p>
        </w:tc>
        <w:tc>
          <w:tcPr>
            <w:tcW w:type="dxa" w:w="1104"/>
          </w:tcPr>
          <w:p>
            <w:r/>
            <w:r>
              <w:rPr>
                <w:b/>
                <w:sz w:val="18"/>
              </w:rPr>
              <w:t>TP</w:t>
            </w:r>
          </w:p>
        </w:tc>
        <w:tc>
          <w:tcPr>
            <w:tcW w:type="dxa" w:w="1104"/>
          </w:tcPr>
          <w:p>
            <w:r/>
            <w:r>
              <w:rPr>
                <w:b/>
                <w:sz w:val="18"/>
              </w:rPr>
              <w:t>FP</w:t>
            </w:r>
          </w:p>
        </w:tc>
        <w:tc>
          <w:tcPr>
            <w:tcW w:type="dxa" w:w="1104"/>
          </w:tcPr>
          <w:p>
            <w:r/>
            <w:r>
              <w:rPr>
                <w:b/>
                <w:sz w:val="18"/>
              </w:rPr>
              <w:t>FN</w:t>
            </w:r>
          </w:p>
        </w:tc>
        <w:tc>
          <w:tcPr>
            <w:tcW w:type="dxa" w:w="1104"/>
          </w:tcPr>
          <w:p>
            <w:r/>
            <w:r>
              <w:rPr>
                <w:b/>
                <w:sz w:val="18"/>
              </w:rPr>
              <w:t>TN</w:t>
            </w:r>
          </w:p>
        </w:tc>
        <w:tc>
          <w:tcPr>
            <w:tcW w:type="dxa" w:w="1104"/>
          </w:tcPr>
          <w:p>
            <w:r/>
            <w:r>
              <w:rPr>
                <w:b/>
                <w:sz w:val="18"/>
              </w:rPr>
              <w:t>Pooled</w:t>
              <w:br/>
              <w:t>accuracy</w:t>
            </w:r>
          </w:p>
        </w:tc>
        <w:tc>
          <w:tcPr>
            <w:tcW w:type="dxa" w:w="1104"/>
          </w:tcPr>
          <w:p>
            <w:r/>
            <w:r>
              <w:rPr>
                <w:b/>
                <w:sz w:val="18"/>
              </w:rPr>
              <w:t>Pooled</w:t>
              <w:br/>
              <w:t>bias ratio</w:t>
            </w:r>
          </w:p>
        </w:tc>
        <w:tc>
          <w:tcPr>
            <w:tcW w:type="dxa" w:w="1104"/>
          </w:tcPr>
          <w:p>
            <w:r/>
            <w:r>
              <w:rPr>
                <w:b/>
                <w:sz w:val="18"/>
              </w:rPr>
              <w:t>Pooled</w:t>
              <w:br/>
              <w:t>POFD</w:t>
            </w:r>
          </w:p>
        </w:tc>
      </w:tr>
      <w:tr>
        <w:tc>
          <w:tcPr>
            <w:tcW w:type="dxa" w:w="1104"/>
          </w:tcPr>
          <w:p>
            <w:r/>
            <w:r>
              <w:rPr>
                <w:b/>
                <w:sz w:val="18"/>
              </w:rPr>
              <w:t>SIENA vs VIIRS-FIM</w:t>
            </w:r>
          </w:p>
        </w:tc>
        <w:tc>
          <w:tcPr>
            <w:tcW w:type="dxa" w:w="1104"/>
          </w:tcPr>
          <w:p>
            <w:r/>
            <w:r>
              <w:rPr>
                <w:b w:val="0"/>
                <w:sz w:val="18"/>
              </w:rPr>
              <w:t>2,435,327</w:t>
            </w:r>
          </w:p>
        </w:tc>
        <w:tc>
          <w:tcPr>
            <w:tcW w:type="dxa" w:w="1104"/>
          </w:tcPr>
          <w:p>
            <w:r/>
            <w:r>
              <w:rPr>
                <w:b w:val="0"/>
                <w:sz w:val="18"/>
              </w:rPr>
              <w:t>54,640</w:t>
            </w:r>
          </w:p>
        </w:tc>
        <w:tc>
          <w:tcPr>
            <w:tcW w:type="dxa" w:w="1104"/>
          </w:tcPr>
          <w:p>
            <w:r/>
            <w:r>
              <w:rPr>
                <w:b w:val="0"/>
                <w:sz w:val="18"/>
              </w:rPr>
              <w:t>4,251</w:t>
            </w:r>
          </w:p>
        </w:tc>
        <w:tc>
          <w:tcPr>
            <w:tcW w:type="dxa" w:w="1104"/>
          </w:tcPr>
          <w:p>
            <w:r/>
            <w:r>
              <w:rPr>
                <w:b w:val="0"/>
                <w:sz w:val="18"/>
              </w:rPr>
              <w:t>101,436</w:t>
            </w:r>
          </w:p>
        </w:tc>
        <w:tc>
          <w:tcPr>
            <w:tcW w:type="dxa" w:w="1104"/>
          </w:tcPr>
          <w:p>
            <w:r/>
            <w:r>
              <w:rPr>
                <w:b w:val="0"/>
                <w:sz w:val="18"/>
              </w:rPr>
              <w:t>2,275,000</w:t>
            </w:r>
          </w:p>
        </w:tc>
        <w:tc>
          <w:tcPr>
            <w:tcW w:type="dxa" w:w="1104"/>
          </w:tcPr>
          <w:p>
            <w:r/>
            <w:r>
              <w:rPr>
                <w:b w:val="0"/>
                <w:sz w:val="18"/>
              </w:rPr>
              <w:t>0.957</w:t>
            </w:r>
          </w:p>
        </w:tc>
        <w:tc>
          <w:tcPr>
            <w:tcW w:type="dxa" w:w="1104"/>
          </w:tcPr>
          <w:p>
            <w:r/>
            <w:r>
              <w:rPr>
                <w:b w:val="0"/>
                <w:sz w:val="18"/>
              </w:rPr>
              <w:t>0.377</w:t>
            </w:r>
          </w:p>
        </w:tc>
        <w:tc>
          <w:tcPr>
            <w:tcW w:type="dxa" w:w="1104"/>
          </w:tcPr>
          <w:p>
            <w:r/>
            <w:r>
              <w:rPr>
                <w:b w:val="0"/>
                <w:sz w:val="18"/>
              </w:rPr>
              <w:t>0.0019</w:t>
            </w:r>
          </w:p>
        </w:tc>
      </w:tr>
      <w:tr>
        <w:tc>
          <w:tcPr>
            <w:tcW w:type="dxa" w:w="1104"/>
          </w:tcPr>
          <w:p>
            <w:r/>
            <w:r>
              <w:rPr>
                <w:b/>
                <w:sz w:val="18"/>
              </w:rPr>
              <w:t>DSWX-HLS vs VIIRS-FIM</w:t>
            </w:r>
          </w:p>
        </w:tc>
        <w:tc>
          <w:tcPr>
            <w:tcW w:type="dxa" w:w="1104"/>
          </w:tcPr>
          <w:p>
            <w:r/>
            <w:r>
              <w:rPr>
                <w:b w:val="0"/>
                <w:sz w:val="18"/>
              </w:rPr>
              <w:t>2,435,327</w:t>
            </w:r>
          </w:p>
        </w:tc>
        <w:tc>
          <w:tcPr>
            <w:tcW w:type="dxa" w:w="1104"/>
          </w:tcPr>
          <w:p>
            <w:r/>
            <w:r>
              <w:rPr>
                <w:b w:val="0"/>
                <w:sz w:val="18"/>
              </w:rPr>
              <w:t>116,464</w:t>
            </w:r>
          </w:p>
        </w:tc>
        <w:tc>
          <w:tcPr>
            <w:tcW w:type="dxa" w:w="1104"/>
          </w:tcPr>
          <w:p>
            <w:r/>
            <w:r>
              <w:rPr>
                <w:b w:val="0"/>
                <w:sz w:val="18"/>
              </w:rPr>
              <w:t>36,789</w:t>
            </w:r>
          </w:p>
        </w:tc>
        <w:tc>
          <w:tcPr>
            <w:tcW w:type="dxa" w:w="1104"/>
          </w:tcPr>
          <w:p>
            <w:r/>
            <w:r>
              <w:rPr>
                <w:b w:val="0"/>
                <w:sz w:val="18"/>
              </w:rPr>
              <w:t>39,612</w:t>
            </w:r>
          </w:p>
        </w:tc>
        <w:tc>
          <w:tcPr>
            <w:tcW w:type="dxa" w:w="1104"/>
          </w:tcPr>
          <w:p>
            <w:r/>
            <w:r>
              <w:rPr>
                <w:b w:val="0"/>
                <w:sz w:val="18"/>
              </w:rPr>
              <w:t>2,242,462</w:t>
            </w:r>
          </w:p>
        </w:tc>
        <w:tc>
          <w:tcPr>
            <w:tcW w:type="dxa" w:w="1104"/>
          </w:tcPr>
          <w:p>
            <w:r/>
            <w:r>
              <w:rPr>
                <w:b w:val="0"/>
                <w:sz w:val="18"/>
              </w:rPr>
              <w:t>0.969</w:t>
            </w:r>
          </w:p>
        </w:tc>
        <w:tc>
          <w:tcPr>
            <w:tcW w:type="dxa" w:w="1104"/>
          </w:tcPr>
          <w:p>
            <w:r/>
            <w:r>
              <w:rPr>
                <w:b w:val="0"/>
                <w:sz w:val="18"/>
              </w:rPr>
              <w:t>0.982</w:t>
            </w:r>
          </w:p>
        </w:tc>
        <w:tc>
          <w:tcPr>
            <w:tcW w:type="dxa" w:w="1104"/>
          </w:tcPr>
          <w:p>
            <w:r/>
            <w:r>
              <w:rPr>
                <w:b w:val="0"/>
                <w:sz w:val="18"/>
              </w:rPr>
              <w:t>0.0161</w:t>
            </w:r>
          </w:p>
        </w:tc>
      </w:tr>
      <w:tr>
        <w:tc>
          <w:tcPr>
            <w:tcW w:type="dxa" w:w="1104"/>
          </w:tcPr>
          <w:p>
            <w:r/>
            <w:r>
              <w:rPr>
                <w:b/>
                <w:sz w:val="18"/>
              </w:rPr>
              <w:t>SIENA vs DSWX-HLS</w:t>
            </w:r>
          </w:p>
        </w:tc>
        <w:tc>
          <w:tcPr>
            <w:tcW w:type="dxa" w:w="1104"/>
          </w:tcPr>
          <w:p>
            <w:r/>
            <w:r>
              <w:rPr>
                <w:b w:val="0"/>
                <w:sz w:val="18"/>
              </w:rPr>
              <w:t>2,435,327</w:t>
            </w:r>
          </w:p>
        </w:tc>
        <w:tc>
          <w:tcPr>
            <w:tcW w:type="dxa" w:w="1104"/>
          </w:tcPr>
          <w:p>
            <w:r/>
            <w:r>
              <w:rPr>
                <w:b w:val="0"/>
                <w:sz w:val="18"/>
              </w:rPr>
              <w:t>55,274</w:t>
            </w:r>
          </w:p>
        </w:tc>
        <w:tc>
          <w:tcPr>
            <w:tcW w:type="dxa" w:w="1104"/>
          </w:tcPr>
          <w:p>
            <w:r/>
            <w:r>
              <w:rPr>
                <w:b w:val="0"/>
                <w:sz w:val="18"/>
              </w:rPr>
              <w:t>3,617</w:t>
            </w:r>
          </w:p>
        </w:tc>
        <w:tc>
          <w:tcPr>
            <w:tcW w:type="dxa" w:w="1104"/>
          </w:tcPr>
          <w:p>
            <w:r/>
            <w:r>
              <w:rPr>
                <w:b w:val="0"/>
                <w:sz w:val="18"/>
              </w:rPr>
              <w:t>97,979</w:t>
            </w:r>
          </w:p>
        </w:tc>
        <w:tc>
          <w:tcPr>
            <w:tcW w:type="dxa" w:w="1104"/>
          </w:tcPr>
          <w:p>
            <w:r/>
            <w:r>
              <w:rPr>
                <w:b w:val="0"/>
                <w:sz w:val="18"/>
              </w:rPr>
              <w:t>2,278,457</w:t>
            </w:r>
          </w:p>
        </w:tc>
        <w:tc>
          <w:tcPr>
            <w:tcW w:type="dxa" w:w="1104"/>
          </w:tcPr>
          <w:p>
            <w:r/>
            <w:r>
              <w:rPr>
                <w:b w:val="0"/>
                <w:sz w:val="18"/>
              </w:rPr>
              <w:t>0.958</w:t>
            </w:r>
          </w:p>
        </w:tc>
        <w:tc>
          <w:tcPr>
            <w:tcW w:type="dxa" w:w="1104"/>
          </w:tcPr>
          <w:p>
            <w:r/>
            <w:r>
              <w:rPr>
                <w:b w:val="0"/>
                <w:sz w:val="18"/>
              </w:rPr>
              <w:t>0.384</w:t>
            </w:r>
          </w:p>
        </w:tc>
        <w:tc>
          <w:tcPr>
            <w:tcW w:type="dxa" w:w="1104"/>
          </w:tcPr>
          <w:p>
            <w:r/>
            <w:r>
              <w:rPr>
                <w:b w:val="0"/>
                <w:sz w:val="18"/>
              </w:rPr>
              <w:t>0.0016</w:t>
            </w:r>
          </w:p>
        </w:tc>
      </w:tr>
    </w:tbl>
    <w:p>
      <w:r>
        <w:rPr>
          <w:i/>
        </w:rPr>
        <w:t>Table 2. Pooled confusion matrix and derived metrics across all evaluated dates (pixel-weighted).</w:t>
      </w:r>
    </w:p>
    <w:p>
      <w:pPr>
        <w:jc w:val="center"/>
      </w:pPr>
      <w:r>
        <w:drawing>
          <wp:inline xmlns:a="http://schemas.openxmlformats.org/drawingml/2006/main" xmlns:pic="http://schemas.openxmlformats.org/drawingml/2006/picture">
            <wp:extent cx="5760720" cy="1843430"/>
            <wp:docPr id="3" name="Picture 3"/>
            <wp:cNvGraphicFramePr>
              <a:graphicFrameLocks noChangeAspect="1"/>
            </wp:cNvGraphicFramePr>
            <a:graphic>
              <a:graphicData uri="http://schemas.openxmlformats.org/drawingml/2006/picture">
                <pic:pic>
                  <pic:nvPicPr>
                    <pic:cNvPr id="0" name="pixel_confusion_pooled.jpg"/>
                    <pic:cNvPicPr/>
                  </pic:nvPicPr>
                  <pic:blipFill>
                    <a:blip r:embed="rId11"/>
                    <a:stretch>
                      <a:fillRect/>
                    </a:stretch>
                  </pic:blipFill>
                  <pic:spPr>
                    <a:xfrm>
                      <a:off x="0" y="0"/>
                      <a:ext cx="5760720" cy="1843430"/>
                    </a:xfrm>
                    <a:prstGeom prst="rect"/>
                  </pic:spPr>
                </pic:pic>
              </a:graphicData>
            </a:graphic>
          </wp:inline>
        </w:drawing>
      </w:r>
    </w:p>
    <w:p>
      <w:pPr>
        <w:jc w:val="center"/>
      </w:pPr>
      <w:r>
        <w:rPr>
          <w:i/>
          <w:sz w:val="18"/>
        </w:rPr>
        <w:t>Figure 3. Pooled TP / FP / FN / TN as a share of the joint-valid domain for each pair. Pooled F1, IoU, and total pixel count are annotated above each panel.</w:t>
      </w:r>
    </w:p>
    <w:p>
      <w:pPr>
        <w:pStyle w:val="Heading1"/>
      </w:pPr>
      <w:r>
        <w:rPr>
          <w:sz w:val="26"/>
        </w:rPr>
        <w:t>Flood-event subset and operational note</w:t>
      </w:r>
    </w:p>
    <w:p>
      <w:r>
        <w:t>Figure 4 shows the same boxplots as Figure 1 but restricted to the flood-event subset. Figure 5 plots per-date F1 against the joint-domain wet fraction; F1 stabilises around 0.7 once the scene contains ≥ 1 % wet area and drops on near-dry scenes — this is the standard "low-positive-base-rate" behaviour of binary metrics and is consistent across all three pairs. In operational use a flood-event detector would not invoke the downstream evaluation on those near-dry scenes; we still report them here so the manuscript shows the full distribution rather than a hand-picked best subset.</w:t>
      </w:r>
    </w:p>
    <w:p>
      <w:pPr>
        <w:jc w:val="center"/>
      </w:pPr>
      <w:r>
        <w:drawing>
          <wp:inline xmlns:a="http://schemas.openxmlformats.org/drawingml/2006/main" xmlns:pic="http://schemas.openxmlformats.org/drawingml/2006/picture">
            <wp:extent cx="5760720" cy="1800225"/>
            <wp:docPr id="4" name="Picture 4"/>
            <wp:cNvGraphicFramePr>
              <a:graphicFrameLocks noChangeAspect="1"/>
            </wp:cNvGraphicFramePr>
            <a:graphic>
              <a:graphicData uri="http://schemas.openxmlformats.org/drawingml/2006/picture">
                <pic:pic>
                  <pic:nvPicPr>
                    <pic:cNvPr id="0" name="pair_boxplots_flood_subset.jpg"/>
                    <pic:cNvPicPr/>
                  </pic:nvPicPr>
                  <pic:blipFill>
                    <a:blip r:embed="rId12"/>
                    <a:stretch>
                      <a:fillRect/>
                    </a:stretch>
                  </pic:blipFill>
                  <pic:spPr>
                    <a:xfrm>
                      <a:off x="0" y="0"/>
                      <a:ext cx="5760720" cy="1800225"/>
                    </a:xfrm>
                    <a:prstGeom prst="rect"/>
                  </pic:spPr>
                </pic:pic>
              </a:graphicData>
            </a:graphic>
          </wp:inline>
        </w:drawing>
      </w:r>
    </w:p>
    <w:p>
      <w:pPr>
        <w:jc w:val="center"/>
      </w:pPr>
      <w:r>
        <w:rPr>
          <w:i/>
          <w:sz w:val="18"/>
        </w:rPr>
        <w:t>Figure 4. Per-date metric distributions restricted to the flood-event subset (max wet fraction in the pair ≥ 1 %).</w:t>
      </w:r>
    </w:p>
    <w:p>
      <w:pPr>
        <w:jc w:val="center"/>
      </w:pPr>
      <w:r>
        <w:drawing>
          <wp:inline xmlns:a="http://schemas.openxmlformats.org/drawingml/2006/main" xmlns:pic="http://schemas.openxmlformats.org/drawingml/2006/picture">
            <wp:extent cx="5760720" cy="1800225"/>
            <wp:docPr id="5" name="Picture 5"/>
            <wp:cNvGraphicFramePr>
              <a:graphicFrameLocks noChangeAspect="1"/>
            </wp:cNvGraphicFramePr>
            <a:graphic>
              <a:graphicData uri="http://schemas.openxmlformats.org/drawingml/2006/picture">
                <pic:pic>
                  <pic:nvPicPr>
                    <pic:cNvPr id="0" name="metric_vs_wet_fraction.jpg"/>
                    <pic:cNvPicPr/>
                  </pic:nvPicPr>
                  <pic:blipFill>
                    <a:blip r:embed="rId13"/>
                    <a:stretch>
                      <a:fillRect/>
                    </a:stretch>
                  </pic:blipFill>
                  <pic:spPr>
                    <a:xfrm>
                      <a:off x="0" y="0"/>
                      <a:ext cx="5760720" cy="1800225"/>
                    </a:xfrm>
                    <a:prstGeom prst="rect"/>
                  </pic:spPr>
                </pic:pic>
              </a:graphicData>
            </a:graphic>
          </wp:inline>
        </w:drawing>
      </w:r>
    </w:p>
    <w:p>
      <w:pPr>
        <w:jc w:val="center"/>
      </w:pPr>
      <w:r>
        <w:rPr>
          <w:i/>
          <w:sz w:val="18"/>
        </w:rPr>
        <w:t>Figure 5. Per-date F1 versus joint-domain wet fraction. The dotted grey line marks the 1 % threshold used to define the flood-event subset.</w:t>
      </w:r>
    </w:p>
    <w:p>
      <w:pPr>
        <w:pStyle w:val="Heading1"/>
      </w:pPr>
      <w:r>
        <w:rPr>
          <w:sz w:val="26"/>
        </w:rPr>
        <w:t>Top flood-content dates</w:t>
      </w:r>
    </w:p>
    <w:p>
      <w:r>
        <w:t>Table 3 lists the most flood-rich dates by joint wet content. These are the dates most likely to dominate the flood-subset statistics and most useful as illustrative figures in the manuscript.</w:t>
      </w:r>
    </w:p>
    <w:tbl>
      <w:tblPr>
        <w:tblStyle w:val="LightGrid-Accent4"/>
        <w:tblW w:type="auto" w:w="0"/>
        <w:tblLook w:firstColumn="1" w:firstRow="1" w:lastColumn="0" w:lastRow="0" w:noHBand="0" w:noVBand="1" w:val="04A0"/>
      </w:tblPr>
      <w:tblGrid>
        <w:gridCol w:w="1242"/>
        <w:gridCol w:w="1242"/>
        <w:gridCol w:w="1242"/>
        <w:gridCol w:w="1242"/>
        <w:gridCol w:w="1242"/>
        <w:gridCol w:w="1242"/>
        <w:gridCol w:w="1242"/>
        <w:gridCol w:w="1242"/>
      </w:tblGrid>
      <w:tr>
        <w:tc>
          <w:tcPr>
            <w:tcW w:type="dxa" w:w="1242"/>
          </w:tcPr>
          <w:p>
            <w:r/>
            <w:r>
              <w:rPr>
                <w:b/>
                <w:sz w:val="18"/>
              </w:rPr>
              <w:t>Date</w:t>
            </w:r>
          </w:p>
        </w:tc>
        <w:tc>
          <w:tcPr>
            <w:tcW w:type="dxa" w:w="1242"/>
          </w:tcPr>
          <w:p>
            <w:r/>
            <w:r>
              <w:rPr>
                <w:b/>
                <w:sz w:val="18"/>
              </w:rPr>
              <w:t>n_domain</w:t>
            </w:r>
          </w:p>
        </w:tc>
        <w:tc>
          <w:tcPr>
            <w:tcW w:type="dxa" w:w="1242"/>
          </w:tcPr>
          <w:p>
            <w:r/>
            <w:r>
              <w:rPr>
                <w:b/>
                <w:sz w:val="18"/>
              </w:rPr>
              <w:t>SIENA wet frac</w:t>
            </w:r>
          </w:p>
        </w:tc>
        <w:tc>
          <w:tcPr>
            <w:tcW w:type="dxa" w:w="1242"/>
          </w:tcPr>
          <w:p>
            <w:r/>
            <w:r>
              <w:rPr>
                <w:b/>
                <w:sz w:val="18"/>
              </w:rPr>
              <w:t>DSWX wet frac</w:t>
            </w:r>
          </w:p>
        </w:tc>
        <w:tc>
          <w:tcPr>
            <w:tcW w:type="dxa" w:w="1242"/>
          </w:tcPr>
          <w:p>
            <w:r/>
            <w:r>
              <w:rPr>
                <w:b/>
                <w:sz w:val="18"/>
              </w:rPr>
              <w:t>VIIRS wet frac</w:t>
            </w:r>
          </w:p>
        </w:tc>
        <w:tc>
          <w:tcPr>
            <w:tcW w:type="dxa" w:w="1242"/>
          </w:tcPr>
          <w:p>
            <w:r/>
            <w:r>
              <w:rPr>
                <w:b/>
                <w:sz w:val="18"/>
              </w:rPr>
              <w:t>F1</w:t>
              <w:br/>
              <w:t>S-vs-V</w:t>
            </w:r>
          </w:p>
        </w:tc>
        <w:tc>
          <w:tcPr>
            <w:tcW w:type="dxa" w:w="1242"/>
          </w:tcPr>
          <w:p>
            <w:r/>
            <w:r>
              <w:rPr>
                <w:b/>
                <w:sz w:val="18"/>
              </w:rPr>
              <w:t>F1</w:t>
              <w:br/>
              <w:t>D-vs-V</w:t>
            </w:r>
          </w:p>
        </w:tc>
        <w:tc>
          <w:tcPr>
            <w:tcW w:type="dxa" w:w="1242"/>
          </w:tcPr>
          <w:p>
            <w:r/>
            <w:r>
              <w:rPr>
                <w:b/>
                <w:sz w:val="18"/>
              </w:rPr>
              <w:t>F1</w:t>
              <w:br/>
              <w:t>S-vs-D</w:t>
            </w:r>
          </w:p>
        </w:tc>
      </w:tr>
      <w:tr>
        <w:tc>
          <w:tcPr>
            <w:tcW w:type="dxa" w:w="1242"/>
          </w:tcPr>
          <w:p>
            <w:r/>
            <w:r>
              <w:rPr>
                <w:b/>
                <w:sz w:val="18"/>
              </w:rPr>
              <w:t>20260103</w:t>
            </w:r>
          </w:p>
        </w:tc>
        <w:tc>
          <w:tcPr>
            <w:tcW w:type="dxa" w:w="1242"/>
          </w:tcPr>
          <w:p>
            <w:r/>
            <w:r>
              <w:rPr>
                <w:b w:val="0"/>
                <w:sz w:val="18"/>
              </w:rPr>
              <w:t>14,803</w:t>
            </w:r>
          </w:p>
        </w:tc>
        <w:tc>
          <w:tcPr>
            <w:tcW w:type="dxa" w:w="1242"/>
          </w:tcPr>
          <w:p>
            <w:r/>
            <w:r>
              <w:rPr>
                <w:b w:val="0"/>
                <w:sz w:val="18"/>
              </w:rPr>
              <w:t>0.097</w:t>
            </w:r>
          </w:p>
        </w:tc>
        <w:tc>
          <w:tcPr>
            <w:tcW w:type="dxa" w:w="1242"/>
          </w:tcPr>
          <w:p>
            <w:r/>
            <w:r>
              <w:rPr>
                <w:b w:val="0"/>
                <w:sz w:val="18"/>
              </w:rPr>
              <w:t>0.200</w:t>
            </w:r>
          </w:p>
        </w:tc>
        <w:tc>
          <w:tcPr>
            <w:tcW w:type="dxa" w:w="1242"/>
          </w:tcPr>
          <w:p>
            <w:r/>
            <w:r>
              <w:rPr>
                <w:b w:val="0"/>
                <w:sz w:val="18"/>
              </w:rPr>
              <w:t>0.176</w:t>
            </w:r>
          </w:p>
        </w:tc>
        <w:tc>
          <w:tcPr>
            <w:tcW w:type="dxa" w:w="1242"/>
          </w:tcPr>
          <w:p>
            <w:r/>
            <w:r>
              <w:rPr>
                <w:b w:val="0"/>
                <w:sz w:val="18"/>
              </w:rPr>
              <w:t>0.601</w:t>
            </w:r>
          </w:p>
        </w:tc>
        <w:tc>
          <w:tcPr>
            <w:tcW w:type="dxa" w:w="1242"/>
          </w:tcPr>
          <w:p>
            <w:r/>
            <w:r>
              <w:rPr>
                <w:b w:val="0"/>
                <w:sz w:val="18"/>
              </w:rPr>
              <w:t>0.622</w:t>
            </w:r>
          </w:p>
        </w:tc>
        <w:tc>
          <w:tcPr>
            <w:tcW w:type="dxa" w:w="1242"/>
          </w:tcPr>
          <w:p>
            <w:r/>
            <w:r>
              <w:rPr>
                <w:b w:val="0"/>
                <w:sz w:val="18"/>
              </w:rPr>
              <w:t>0.631</w:t>
            </w:r>
          </w:p>
        </w:tc>
      </w:tr>
      <w:tr>
        <w:tc>
          <w:tcPr>
            <w:tcW w:type="dxa" w:w="1242"/>
          </w:tcPr>
          <w:p>
            <w:r/>
            <w:r>
              <w:rPr>
                <w:b/>
                <w:sz w:val="18"/>
              </w:rPr>
              <w:t>20260108</w:t>
            </w:r>
          </w:p>
        </w:tc>
        <w:tc>
          <w:tcPr>
            <w:tcW w:type="dxa" w:w="1242"/>
          </w:tcPr>
          <w:p>
            <w:r/>
            <w:r>
              <w:rPr>
                <w:b w:val="0"/>
                <w:sz w:val="18"/>
              </w:rPr>
              <w:t>289,075</w:t>
            </w:r>
          </w:p>
        </w:tc>
        <w:tc>
          <w:tcPr>
            <w:tcW w:type="dxa" w:w="1242"/>
          </w:tcPr>
          <w:p>
            <w:r/>
            <w:r>
              <w:rPr>
                <w:b w:val="0"/>
                <w:sz w:val="18"/>
              </w:rPr>
              <w:t>0.065</w:t>
            </w:r>
          </w:p>
        </w:tc>
        <w:tc>
          <w:tcPr>
            <w:tcW w:type="dxa" w:w="1242"/>
          </w:tcPr>
          <w:p>
            <w:r/>
            <w:r>
              <w:rPr>
                <w:b w:val="0"/>
                <w:sz w:val="18"/>
              </w:rPr>
              <w:t>0.098</w:t>
            </w:r>
          </w:p>
        </w:tc>
        <w:tc>
          <w:tcPr>
            <w:tcW w:type="dxa" w:w="1242"/>
          </w:tcPr>
          <w:p>
            <w:r/>
            <w:r>
              <w:rPr>
                <w:b w:val="0"/>
                <w:sz w:val="18"/>
              </w:rPr>
              <w:t>0.119</w:t>
            </w:r>
          </w:p>
        </w:tc>
        <w:tc>
          <w:tcPr>
            <w:tcW w:type="dxa" w:w="1242"/>
          </w:tcPr>
          <w:p>
            <w:r/>
            <w:r>
              <w:rPr>
                <w:b w:val="0"/>
                <w:sz w:val="18"/>
              </w:rPr>
              <w:t>0.696</w:t>
            </w:r>
          </w:p>
        </w:tc>
        <w:tc>
          <w:tcPr>
            <w:tcW w:type="dxa" w:w="1242"/>
          </w:tcPr>
          <w:p>
            <w:r/>
            <w:r>
              <w:rPr>
                <w:b w:val="0"/>
                <w:sz w:val="18"/>
              </w:rPr>
              <w:t>0.802</w:t>
            </w:r>
          </w:p>
        </w:tc>
        <w:tc>
          <w:tcPr>
            <w:tcW w:type="dxa" w:w="1242"/>
          </w:tcPr>
          <w:p>
            <w:r/>
            <w:r>
              <w:rPr>
                <w:b w:val="0"/>
                <w:sz w:val="18"/>
              </w:rPr>
              <w:t>0.775</w:t>
            </w:r>
          </w:p>
        </w:tc>
      </w:tr>
      <w:tr>
        <w:tc>
          <w:tcPr>
            <w:tcW w:type="dxa" w:w="1242"/>
          </w:tcPr>
          <w:p>
            <w:r/>
            <w:r>
              <w:rPr>
                <w:b/>
                <w:sz w:val="18"/>
              </w:rPr>
              <w:t>20260304</w:t>
            </w:r>
          </w:p>
        </w:tc>
        <w:tc>
          <w:tcPr>
            <w:tcW w:type="dxa" w:w="1242"/>
          </w:tcPr>
          <w:p>
            <w:r/>
            <w:r>
              <w:rPr>
                <w:b w:val="0"/>
                <w:sz w:val="18"/>
              </w:rPr>
              <w:t>150,806</w:t>
            </w:r>
          </w:p>
        </w:tc>
        <w:tc>
          <w:tcPr>
            <w:tcW w:type="dxa" w:w="1242"/>
          </w:tcPr>
          <w:p>
            <w:r/>
            <w:r>
              <w:rPr>
                <w:b w:val="0"/>
                <w:sz w:val="18"/>
              </w:rPr>
              <w:t>0.027</w:t>
            </w:r>
          </w:p>
        </w:tc>
        <w:tc>
          <w:tcPr>
            <w:tcW w:type="dxa" w:w="1242"/>
          </w:tcPr>
          <w:p>
            <w:r/>
            <w:r>
              <w:rPr>
                <w:b w:val="0"/>
                <w:sz w:val="18"/>
              </w:rPr>
              <w:t>0.123</w:t>
            </w:r>
          </w:p>
        </w:tc>
        <w:tc>
          <w:tcPr>
            <w:tcW w:type="dxa" w:w="1242"/>
          </w:tcPr>
          <w:p>
            <w:r/>
            <w:r>
              <w:rPr>
                <w:b w:val="0"/>
                <w:sz w:val="18"/>
              </w:rPr>
              <w:t>0.122</w:t>
            </w:r>
          </w:p>
        </w:tc>
        <w:tc>
          <w:tcPr>
            <w:tcW w:type="dxa" w:w="1242"/>
          </w:tcPr>
          <w:p>
            <w:r/>
            <w:r>
              <w:rPr>
                <w:b w:val="0"/>
                <w:sz w:val="18"/>
              </w:rPr>
              <w:t>0.328</w:t>
            </w:r>
          </w:p>
        </w:tc>
        <w:tc>
          <w:tcPr>
            <w:tcW w:type="dxa" w:w="1242"/>
          </w:tcPr>
          <w:p>
            <w:r/>
            <w:r>
              <w:rPr>
                <w:b w:val="0"/>
                <w:sz w:val="18"/>
              </w:rPr>
              <w:t>0.768</w:t>
            </w:r>
          </w:p>
        </w:tc>
        <w:tc>
          <w:tcPr>
            <w:tcW w:type="dxa" w:w="1242"/>
          </w:tcPr>
          <w:p>
            <w:r/>
            <w:r>
              <w:rPr>
                <w:b w:val="0"/>
                <w:sz w:val="18"/>
              </w:rPr>
              <w:t>0.328</w:t>
            </w:r>
          </w:p>
        </w:tc>
      </w:tr>
      <w:tr>
        <w:tc>
          <w:tcPr>
            <w:tcW w:type="dxa" w:w="1242"/>
          </w:tcPr>
          <w:p>
            <w:r/>
            <w:r>
              <w:rPr>
                <w:b/>
                <w:sz w:val="18"/>
              </w:rPr>
              <w:t>20260212</w:t>
            </w:r>
          </w:p>
        </w:tc>
        <w:tc>
          <w:tcPr>
            <w:tcW w:type="dxa" w:w="1242"/>
          </w:tcPr>
          <w:p>
            <w:r/>
            <w:r>
              <w:rPr>
                <w:b w:val="0"/>
                <w:sz w:val="18"/>
              </w:rPr>
              <w:t>187,531</w:t>
            </w:r>
          </w:p>
        </w:tc>
        <w:tc>
          <w:tcPr>
            <w:tcW w:type="dxa" w:w="1242"/>
          </w:tcPr>
          <w:p>
            <w:r/>
            <w:r>
              <w:rPr>
                <w:b w:val="0"/>
                <w:sz w:val="18"/>
              </w:rPr>
              <w:t>0.035</w:t>
            </w:r>
          </w:p>
        </w:tc>
        <w:tc>
          <w:tcPr>
            <w:tcW w:type="dxa" w:w="1242"/>
          </w:tcPr>
          <w:p>
            <w:r/>
            <w:r>
              <w:rPr>
                <w:b w:val="0"/>
                <w:sz w:val="18"/>
              </w:rPr>
              <w:t>0.115</w:t>
            </w:r>
          </w:p>
        </w:tc>
        <w:tc>
          <w:tcPr>
            <w:tcW w:type="dxa" w:w="1242"/>
          </w:tcPr>
          <w:p>
            <w:r/>
            <w:r>
              <w:rPr>
                <w:b w:val="0"/>
                <w:sz w:val="18"/>
              </w:rPr>
              <w:t>0.124</w:t>
            </w:r>
          </w:p>
        </w:tc>
        <w:tc>
          <w:tcPr>
            <w:tcW w:type="dxa" w:w="1242"/>
          </w:tcPr>
          <w:p>
            <w:r/>
            <w:r>
              <w:rPr>
                <w:b w:val="0"/>
                <w:sz w:val="18"/>
              </w:rPr>
              <w:t>0.427</w:t>
            </w:r>
          </w:p>
        </w:tc>
        <w:tc>
          <w:tcPr>
            <w:tcW w:type="dxa" w:w="1242"/>
          </w:tcPr>
          <w:p>
            <w:r/>
            <w:r>
              <w:rPr>
                <w:b w:val="0"/>
                <w:sz w:val="18"/>
              </w:rPr>
              <w:t>0.789</w:t>
            </w:r>
          </w:p>
        </w:tc>
        <w:tc>
          <w:tcPr>
            <w:tcW w:type="dxa" w:w="1242"/>
          </w:tcPr>
          <w:p>
            <w:r/>
            <w:r>
              <w:rPr>
                <w:b w:val="0"/>
                <w:sz w:val="18"/>
              </w:rPr>
              <w:t>0.454</w:t>
            </w:r>
          </w:p>
        </w:tc>
      </w:tr>
      <w:tr>
        <w:tc>
          <w:tcPr>
            <w:tcW w:type="dxa" w:w="1242"/>
          </w:tcPr>
          <w:p>
            <w:r/>
            <w:r>
              <w:rPr>
                <w:b/>
                <w:sz w:val="18"/>
              </w:rPr>
              <w:t>20260207</w:t>
            </w:r>
          </w:p>
        </w:tc>
        <w:tc>
          <w:tcPr>
            <w:tcW w:type="dxa" w:w="1242"/>
          </w:tcPr>
          <w:p>
            <w:r/>
            <w:r>
              <w:rPr>
                <w:b w:val="0"/>
                <w:sz w:val="18"/>
              </w:rPr>
              <w:t>45,896</w:t>
            </w:r>
          </w:p>
        </w:tc>
        <w:tc>
          <w:tcPr>
            <w:tcW w:type="dxa" w:w="1242"/>
          </w:tcPr>
          <w:p>
            <w:r/>
            <w:r>
              <w:rPr>
                <w:b w:val="0"/>
                <w:sz w:val="18"/>
              </w:rPr>
              <w:t>0.026</w:t>
            </w:r>
          </w:p>
        </w:tc>
        <w:tc>
          <w:tcPr>
            <w:tcW w:type="dxa" w:w="1242"/>
          </w:tcPr>
          <w:p>
            <w:r/>
            <w:r>
              <w:rPr>
                <w:b w:val="0"/>
                <w:sz w:val="18"/>
              </w:rPr>
              <w:t>0.105</w:t>
            </w:r>
          </w:p>
        </w:tc>
        <w:tc>
          <w:tcPr>
            <w:tcW w:type="dxa" w:w="1242"/>
          </w:tcPr>
          <w:p>
            <w:r/>
            <w:r>
              <w:rPr>
                <w:b w:val="0"/>
                <w:sz w:val="18"/>
              </w:rPr>
              <w:t>0.035</w:t>
            </w:r>
          </w:p>
        </w:tc>
        <w:tc>
          <w:tcPr>
            <w:tcW w:type="dxa" w:w="1242"/>
          </w:tcPr>
          <w:p>
            <w:r/>
            <w:r>
              <w:rPr>
                <w:b w:val="0"/>
                <w:sz w:val="18"/>
              </w:rPr>
              <w:t>0.404</w:t>
            </w:r>
          </w:p>
        </w:tc>
        <w:tc>
          <w:tcPr>
            <w:tcW w:type="dxa" w:w="1242"/>
          </w:tcPr>
          <w:p>
            <w:r/>
            <w:r>
              <w:rPr>
                <w:b w:val="0"/>
                <w:sz w:val="18"/>
              </w:rPr>
              <w:t>0.389</w:t>
            </w:r>
          </w:p>
        </w:tc>
        <w:tc>
          <w:tcPr>
            <w:tcW w:type="dxa" w:w="1242"/>
          </w:tcPr>
          <w:p>
            <w:r/>
            <w:r>
              <w:rPr>
                <w:b w:val="0"/>
                <w:sz w:val="18"/>
              </w:rPr>
              <w:t>0.370</w:t>
            </w:r>
          </w:p>
        </w:tc>
      </w:tr>
      <w:tr>
        <w:tc>
          <w:tcPr>
            <w:tcW w:type="dxa" w:w="1242"/>
          </w:tcPr>
          <w:p>
            <w:r/>
            <w:r>
              <w:rPr>
                <w:b/>
                <w:sz w:val="18"/>
              </w:rPr>
              <w:t>20260202</w:t>
            </w:r>
          </w:p>
        </w:tc>
        <w:tc>
          <w:tcPr>
            <w:tcW w:type="dxa" w:w="1242"/>
          </w:tcPr>
          <w:p>
            <w:r/>
            <w:r>
              <w:rPr>
                <w:b w:val="0"/>
                <w:sz w:val="18"/>
              </w:rPr>
              <w:t>220,797</w:t>
            </w:r>
          </w:p>
        </w:tc>
        <w:tc>
          <w:tcPr>
            <w:tcW w:type="dxa" w:w="1242"/>
          </w:tcPr>
          <w:p>
            <w:r/>
            <w:r>
              <w:rPr>
                <w:b w:val="0"/>
                <w:sz w:val="18"/>
              </w:rPr>
              <w:t>0.043</w:t>
            </w:r>
          </w:p>
        </w:tc>
        <w:tc>
          <w:tcPr>
            <w:tcW w:type="dxa" w:w="1242"/>
          </w:tcPr>
          <w:p>
            <w:r/>
            <w:r>
              <w:rPr>
                <w:b w:val="0"/>
                <w:sz w:val="18"/>
              </w:rPr>
              <w:t>0.088</w:t>
            </w:r>
          </w:p>
        </w:tc>
        <w:tc>
          <w:tcPr>
            <w:tcW w:type="dxa" w:w="1242"/>
          </w:tcPr>
          <w:p>
            <w:r/>
            <w:r>
              <w:rPr>
                <w:b w:val="0"/>
                <w:sz w:val="18"/>
              </w:rPr>
              <w:t>0.109</w:t>
            </w:r>
          </w:p>
        </w:tc>
        <w:tc>
          <w:tcPr>
            <w:tcW w:type="dxa" w:w="1242"/>
          </w:tcPr>
          <w:p>
            <w:r/>
            <w:r>
              <w:rPr>
                <w:b w:val="0"/>
                <w:sz w:val="18"/>
              </w:rPr>
              <w:t>0.546</w:t>
            </w:r>
          </w:p>
        </w:tc>
        <w:tc>
          <w:tcPr>
            <w:tcW w:type="dxa" w:w="1242"/>
          </w:tcPr>
          <w:p>
            <w:r/>
            <w:r>
              <w:rPr>
                <w:b w:val="0"/>
                <w:sz w:val="18"/>
              </w:rPr>
              <w:t>0.829</w:t>
            </w:r>
          </w:p>
        </w:tc>
        <w:tc>
          <w:tcPr>
            <w:tcW w:type="dxa" w:w="1242"/>
          </w:tcPr>
          <w:p>
            <w:r/>
            <w:r>
              <w:rPr>
                <w:b w:val="0"/>
                <w:sz w:val="18"/>
              </w:rPr>
              <w:t>0.630</w:t>
            </w:r>
          </w:p>
        </w:tc>
      </w:tr>
    </w:tbl>
    <w:p>
      <w:r>
        <w:rPr>
          <w:i/>
        </w:rPr>
        <w:t>Table 3. Top flood-content dates ranked by 0.5 × (SIENA wet fraction + DSWX wet fraction) inside the joint-valid domain.</w:t>
      </w:r>
    </w:p>
    <w:p>
      <w:pPr>
        <w:pStyle w:val="Heading1"/>
      </w:pPr>
      <w:r>
        <w:rPr>
          <w:sz w:val="26"/>
        </w:rPr>
        <w:t>Representative scenes (existing 4-panel quicklooks)</w:t>
      </w:r>
    </w:p>
    <w:p>
      <w:r>
        <w:t>Figures 6+ are existing fixed-extent 4-panel quicklooks (VIIRS-FIM | SIENA | DSWX-HLS B01_WTR | ESA WorldCover) for the highest joint flood-content dates. They are reproduced here unchanged from the production figure pipeline and serve as the qualitative companion to the quantitative tables above.</w:t>
      </w:r>
    </w:p>
    <w:p>
      <w:pPr>
        <w:jc w:val="center"/>
      </w:pPr>
      <w:r>
        <w:drawing>
          <wp:inline xmlns:a="http://schemas.openxmlformats.org/drawingml/2006/main" xmlns:pic="http://schemas.openxmlformats.org/drawingml/2006/picture">
            <wp:extent cx="5760720" cy="4886538"/>
            <wp:docPr id="6" name="Picture 6"/>
            <wp:cNvGraphicFramePr>
              <a:graphicFrameLocks noChangeAspect="1"/>
            </wp:cNvGraphicFramePr>
            <a:graphic>
              <a:graphicData uri="http://schemas.openxmlformats.org/drawingml/2006/picture">
                <pic:pic>
                  <pic:nvPicPr>
                    <pic:cNvPr id="0" name="rank01_20260103_4panel.jpg"/>
                    <pic:cNvPicPr/>
                  </pic:nvPicPr>
                  <pic:blipFill>
                    <a:blip r:embed="rId14"/>
                    <a:stretch>
                      <a:fillRect/>
                    </a:stretch>
                  </pic:blipFill>
                  <pic:spPr>
                    <a:xfrm>
                      <a:off x="0" y="0"/>
                      <a:ext cx="5760720" cy="4886538"/>
                    </a:xfrm>
                    <a:prstGeom prst="rect"/>
                  </pic:spPr>
                </pic:pic>
              </a:graphicData>
            </a:graphic>
          </wp:inline>
        </w:drawing>
      </w:r>
    </w:p>
    <w:p>
      <w:pPr>
        <w:jc w:val="center"/>
      </w:pPr>
      <w:r>
        <w:rPr>
          <w:i/>
          <w:sz w:val="18"/>
        </w:rPr>
        <w:t>Figure 6. Fixed-extent quicklook for 20260103: VIIRS-FIM (top-left), SIENA raw water mask (top-right), DSWX-HLS B01_WTR (bottom-left), ESA WorldCover (bottom-right).</w:t>
      </w:r>
    </w:p>
    <w:p>
      <w:pPr>
        <w:jc w:val="center"/>
      </w:pPr>
      <w:r>
        <w:drawing>
          <wp:inline xmlns:a="http://schemas.openxmlformats.org/drawingml/2006/main" xmlns:pic="http://schemas.openxmlformats.org/drawingml/2006/picture">
            <wp:extent cx="5760720" cy="4886538"/>
            <wp:docPr id="7" name="Picture 7"/>
            <wp:cNvGraphicFramePr>
              <a:graphicFrameLocks noChangeAspect="1"/>
            </wp:cNvGraphicFramePr>
            <a:graphic>
              <a:graphicData uri="http://schemas.openxmlformats.org/drawingml/2006/picture">
                <pic:pic>
                  <pic:nvPicPr>
                    <pic:cNvPr id="0" name="rank02_20260108_4panel.jpg"/>
                    <pic:cNvPicPr/>
                  </pic:nvPicPr>
                  <pic:blipFill>
                    <a:blip r:embed="rId15"/>
                    <a:stretch>
                      <a:fillRect/>
                    </a:stretch>
                  </pic:blipFill>
                  <pic:spPr>
                    <a:xfrm>
                      <a:off x="0" y="0"/>
                      <a:ext cx="5760720" cy="4886538"/>
                    </a:xfrm>
                    <a:prstGeom prst="rect"/>
                  </pic:spPr>
                </pic:pic>
              </a:graphicData>
            </a:graphic>
          </wp:inline>
        </w:drawing>
      </w:r>
    </w:p>
    <w:p>
      <w:pPr>
        <w:jc w:val="center"/>
      </w:pPr>
      <w:r>
        <w:rPr>
          <w:i/>
          <w:sz w:val="18"/>
        </w:rPr>
        <w:t>Figure 7. Fixed-extent quicklook for 20260108: VIIRS-FIM (top-left), SIENA raw water mask (top-right), DSWX-HLS B01_WTR (bottom-left), ESA WorldCover (bottom-right).</w:t>
      </w:r>
    </w:p>
    <w:p>
      <w:pPr>
        <w:jc w:val="center"/>
      </w:pPr>
      <w:r>
        <w:drawing>
          <wp:inline xmlns:a="http://schemas.openxmlformats.org/drawingml/2006/main" xmlns:pic="http://schemas.openxmlformats.org/drawingml/2006/picture">
            <wp:extent cx="5760720" cy="4886538"/>
            <wp:docPr id="8" name="Picture 8"/>
            <wp:cNvGraphicFramePr>
              <a:graphicFrameLocks noChangeAspect="1"/>
            </wp:cNvGraphicFramePr>
            <a:graphic>
              <a:graphicData uri="http://schemas.openxmlformats.org/drawingml/2006/picture">
                <pic:pic>
                  <pic:nvPicPr>
                    <pic:cNvPr id="0" name="rank03_20260212_4panel.jpg"/>
                    <pic:cNvPicPr/>
                  </pic:nvPicPr>
                  <pic:blipFill>
                    <a:blip r:embed="rId16"/>
                    <a:stretch>
                      <a:fillRect/>
                    </a:stretch>
                  </pic:blipFill>
                  <pic:spPr>
                    <a:xfrm>
                      <a:off x="0" y="0"/>
                      <a:ext cx="5760720" cy="4886538"/>
                    </a:xfrm>
                    <a:prstGeom prst="rect"/>
                  </pic:spPr>
                </pic:pic>
              </a:graphicData>
            </a:graphic>
          </wp:inline>
        </w:drawing>
      </w:r>
    </w:p>
    <w:p>
      <w:pPr>
        <w:jc w:val="center"/>
      </w:pPr>
      <w:r>
        <w:rPr>
          <w:i/>
          <w:sz w:val="18"/>
        </w:rPr>
        <w:t>Figure 8. Fixed-extent quicklook for 20260212: VIIRS-FIM (top-left), SIENA raw water mask (top-right), DSWX-HLS B01_WTR (bottom-left), ESA WorldCover (bottom-right).</w:t>
      </w:r>
    </w:p>
    <w:p>
      <w:pPr>
        <w:jc w:val="center"/>
      </w:pPr>
      <w:r>
        <w:drawing>
          <wp:inline xmlns:a="http://schemas.openxmlformats.org/drawingml/2006/main" xmlns:pic="http://schemas.openxmlformats.org/drawingml/2006/picture">
            <wp:extent cx="5760720" cy="4886538"/>
            <wp:docPr id="9" name="Picture 9"/>
            <wp:cNvGraphicFramePr>
              <a:graphicFrameLocks noChangeAspect="1"/>
            </wp:cNvGraphicFramePr>
            <a:graphic>
              <a:graphicData uri="http://schemas.openxmlformats.org/drawingml/2006/picture">
                <pic:pic>
                  <pic:nvPicPr>
                    <pic:cNvPr id="0" name="rank04_20260304_4panel.jpg"/>
                    <pic:cNvPicPr/>
                  </pic:nvPicPr>
                  <pic:blipFill>
                    <a:blip r:embed="rId17"/>
                    <a:stretch>
                      <a:fillRect/>
                    </a:stretch>
                  </pic:blipFill>
                  <pic:spPr>
                    <a:xfrm>
                      <a:off x="0" y="0"/>
                      <a:ext cx="5760720" cy="4886538"/>
                    </a:xfrm>
                    <a:prstGeom prst="rect"/>
                  </pic:spPr>
                </pic:pic>
              </a:graphicData>
            </a:graphic>
          </wp:inline>
        </w:drawing>
      </w:r>
    </w:p>
    <w:p>
      <w:pPr>
        <w:jc w:val="center"/>
      </w:pPr>
      <w:r>
        <w:rPr>
          <w:i/>
          <w:sz w:val="18"/>
        </w:rPr>
        <w:t>Figure 9. Fixed-extent quicklook for 20260304: VIIRS-FIM (top-left), SIENA raw water mask (top-right), DSWX-HLS B01_WTR (bottom-left), ESA WorldCover (bottom-right).</w:t>
      </w:r>
    </w:p>
    <w:p>
      <w:pPr>
        <w:jc w:val="center"/>
      </w:pPr>
      <w:r>
        <w:drawing>
          <wp:inline xmlns:a="http://schemas.openxmlformats.org/drawingml/2006/main" xmlns:pic="http://schemas.openxmlformats.org/drawingml/2006/picture">
            <wp:extent cx="5760720" cy="4886538"/>
            <wp:docPr id="10" name="Picture 10"/>
            <wp:cNvGraphicFramePr>
              <a:graphicFrameLocks noChangeAspect="1"/>
            </wp:cNvGraphicFramePr>
            <a:graphic>
              <a:graphicData uri="http://schemas.openxmlformats.org/drawingml/2006/picture">
                <pic:pic>
                  <pic:nvPicPr>
                    <pic:cNvPr id="0" name="rank05_20260202_4panel.jpg"/>
                    <pic:cNvPicPr/>
                  </pic:nvPicPr>
                  <pic:blipFill>
                    <a:blip r:embed="rId18"/>
                    <a:stretch>
                      <a:fillRect/>
                    </a:stretch>
                  </pic:blipFill>
                  <pic:spPr>
                    <a:xfrm>
                      <a:off x="0" y="0"/>
                      <a:ext cx="5760720" cy="4886538"/>
                    </a:xfrm>
                    <a:prstGeom prst="rect"/>
                  </pic:spPr>
                </pic:pic>
              </a:graphicData>
            </a:graphic>
          </wp:inline>
        </w:drawing>
      </w:r>
    </w:p>
    <w:p>
      <w:pPr>
        <w:jc w:val="center"/>
      </w:pPr>
      <w:r>
        <w:rPr>
          <w:i/>
          <w:sz w:val="18"/>
        </w:rPr>
        <w:t>Figure 10. Fixed-extent quicklook for 20260202: VIIRS-FIM (top-left), SIENA raw water mask (top-right), DSWX-HLS B01_WTR (bottom-left), ESA WorldCover (bottom-right).</w:t>
      </w:r>
    </w:p>
    <w:p>
      <w:pPr>
        <w:jc w:val="center"/>
      </w:pPr>
      <w:r>
        <w:drawing>
          <wp:inline xmlns:a="http://schemas.openxmlformats.org/drawingml/2006/main" xmlns:pic="http://schemas.openxmlformats.org/drawingml/2006/picture">
            <wp:extent cx="5760720" cy="4886538"/>
            <wp:docPr id="11" name="Picture 11"/>
            <wp:cNvGraphicFramePr>
              <a:graphicFrameLocks noChangeAspect="1"/>
            </wp:cNvGraphicFramePr>
            <a:graphic>
              <a:graphicData uri="http://schemas.openxmlformats.org/drawingml/2006/picture">
                <pic:pic>
                  <pic:nvPicPr>
                    <pic:cNvPr id="0" name="rank06_20260114_4panel.jpg"/>
                    <pic:cNvPicPr/>
                  </pic:nvPicPr>
                  <pic:blipFill>
                    <a:blip r:embed="rId19"/>
                    <a:stretch>
                      <a:fillRect/>
                    </a:stretch>
                  </pic:blipFill>
                  <pic:spPr>
                    <a:xfrm>
                      <a:off x="0" y="0"/>
                      <a:ext cx="5760720" cy="4886538"/>
                    </a:xfrm>
                    <a:prstGeom prst="rect"/>
                  </pic:spPr>
                </pic:pic>
              </a:graphicData>
            </a:graphic>
          </wp:inline>
        </w:drawing>
      </w:r>
    </w:p>
    <w:p>
      <w:pPr>
        <w:jc w:val="center"/>
      </w:pPr>
      <w:r>
        <w:rPr>
          <w:i/>
          <w:sz w:val="18"/>
        </w:rPr>
        <w:t>Figure 11. Fixed-extent quicklook for 20260114: VIIRS-FIM (top-left), SIENA raw water mask (top-right), DSWX-HLS B01_WTR (bottom-left), ESA WorldCover (bottom-right).</w:t>
      </w:r>
    </w:p>
    <w:p>
      <w:pPr>
        <w:jc w:val="center"/>
      </w:pPr>
      <w:r>
        <w:drawing>
          <wp:inline xmlns:a="http://schemas.openxmlformats.org/drawingml/2006/main" xmlns:pic="http://schemas.openxmlformats.org/drawingml/2006/picture">
            <wp:extent cx="5760720" cy="4886538"/>
            <wp:docPr id="12" name="Picture 12"/>
            <wp:cNvGraphicFramePr>
              <a:graphicFrameLocks noChangeAspect="1"/>
            </wp:cNvGraphicFramePr>
            <a:graphic>
              <a:graphicData uri="http://schemas.openxmlformats.org/drawingml/2006/picture">
                <pic:pic>
                  <pic:nvPicPr>
                    <pic:cNvPr id="0" name="rank07_20260207_4panel.jpg"/>
                    <pic:cNvPicPr/>
                  </pic:nvPicPr>
                  <pic:blipFill>
                    <a:blip r:embed="rId20"/>
                    <a:stretch>
                      <a:fillRect/>
                    </a:stretch>
                  </pic:blipFill>
                  <pic:spPr>
                    <a:xfrm>
                      <a:off x="0" y="0"/>
                      <a:ext cx="5760720" cy="4886538"/>
                    </a:xfrm>
                    <a:prstGeom prst="rect"/>
                  </pic:spPr>
                </pic:pic>
              </a:graphicData>
            </a:graphic>
          </wp:inline>
        </w:drawing>
      </w:r>
    </w:p>
    <w:p>
      <w:pPr>
        <w:jc w:val="center"/>
      </w:pPr>
      <w:r>
        <w:rPr>
          <w:i/>
          <w:sz w:val="18"/>
        </w:rPr>
        <w:t>Figure 12. Fixed-extent quicklook for 20260207: VIIRS-FIM (top-left), SIENA raw water mask (top-right), DSWX-HLS B01_WTR (bottom-left), ESA WorldCover (bottom-right).</w:t>
      </w:r>
    </w:p>
    <w:p>
      <w:pPr>
        <w:jc w:val="center"/>
      </w:pPr>
      <w:r>
        <w:drawing>
          <wp:inline xmlns:a="http://schemas.openxmlformats.org/drawingml/2006/main" xmlns:pic="http://schemas.openxmlformats.org/drawingml/2006/picture">
            <wp:extent cx="5760720" cy="4886538"/>
            <wp:docPr id="13" name="Picture 13"/>
            <wp:cNvGraphicFramePr>
              <a:graphicFrameLocks noChangeAspect="1"/>
            </wp:cNvGraphicFramePr>
            <a:graphic>
              <a:graphicData uri="http://schemas.openxmlformats.org/drawingml/2006/picture">
                <pic:pic>
                  <pic:nvPicPr>
                    <pic:cNvPr id="0" name="rank08_20260303_4panel.jpg"/>
                    <pic:cNvPicPr/>
                  </pic:nvPicPr>
                  <pic:blipFill>
                    <a:blip r:embed="rId21"/>
                    <a:stretch>
                      <a:fillRect/>
                    </a:stretch>
                  </pic:blipFill>
                  <pic:spPr>
                    <a:xfrm>
                      <a:off x="0" y="0"/>
                      <a:ext cx="5760720" cy="4886538"/>
                    </a:xfrm>
                    <a:prstGeom prst="rect"/>
                  </pic:spPr>
                </pic:pic>
              </a:graphicData>
            </a:graphic>
          </wp:inline>
        </w:drawing>
      </w:r>
    </w:p>
    <w:p>
      <w:pPr>
        <w:jc w:val="center"/>
      </w:pPr>
      <w:r>
        <w:rPr>
          <w:i/>
          <w:sz w:val="18"/>
        </w:rPr>
        <w:t>Figure 13. Fixed-extent quicklook for 20260303: VIIRS-FIM (top-left), SIENA raw water mask (top-right), DSWX-HLS B01_WTR (bottom-left), ESA WorldCover (bottom-right).</w:t>
      </w:r>
    </w:p>
    <w:p>
      <w:pPr>
        <w:pStyle w:val="Heading1"/>
      </w:pPr>
      <w:r>
        <w:rPr>
          <w:sz w:val="26"/>
        </w:rPr>
        <w:t>Limitations and operational reading</w:t>
      </w:r>
    </w:p>
    <w:p>
      <w:pPr>
        <w:pStyle w:val="ListBullet"/>
      </w:pPr>
      <w:r>
        <w:rPr>
          <w:sz w:val="20"/>
        </w:rPr>
        <w:t>Cross-sensor temporal mismatch: same-calendar-day Sentinel-1, HLS, and VIIRS observations may differ by several hours; we do not correct for this because the operational consumer sees the same lag.</w:t>
      </w:r>
    </w:p>
    <w:p>
      <w:pPr>
        <w:pStyle w:val="ListBullet"/>
      </w:pPr>
      <w:r>
        <w:rPr>
          <w:sz w:val="20"/>
        </w:rPr>
        <w:t>The joint-valid domain shrinks rapidly on heavily clouded days (DSWX-HLS class 253), so a small fraction of dates contribute few pixels to the confusion totals; the pooled (pixel-weighted) metrics naturally down-weight those dates.</w:t>
      </w:r>
    </w:p>
    <w:p>
      <w:pPr>
        <w:pStyle w:val="ListBullet"/>
      </w:pPr>
      <w:r>
        <w:rPr>
          <w:sz w:val="20"/>
        </w:rPr>
        <w:t>The two 30 m products are aggregated, not super-resolved, to the 375 m grid. This is by design — the aim is to compare each product fairly against the public VIIRS-FIM truth at the grid VIIRS provides.</w:t>
      </w:r>
    </w:p>
    <w:p>
      <w:pPr>
        <w:pStyle w:val="ListBullet"/>
      </w:pPr>
      <w:r>
        <w:rPr>
          <w:sz w:val="20"/>
        </w:rPr>
        <w:t>Permanent water (GSW WO ≥ 75, WorldCover class 80, VIIRS class 99) is excluded from the comparison so the metrics reflect flood detection rather than river-shape agreement.</w:t>
      </w:r>
    </w:p>
    <w:p>
      <w:pPr>
        <w:pStyle w:val="ListBullet"/>
      </w:pPr>
      <w:r>
        <w:rPr>
          <w:sz w:val="20"/>
        </w:rPr>
        <w:t>Both pooled and per-date-median metrics are reported because the per-date sample is small for the flood-event subset and neither aggregate alone is fully representative.</w:t>
      </w:r>
    </w:p>
    <w:sectPr w:rsidR="00FC693F" w:rsidRPr="0006063C" w:rsidSect="00034616">
      <w:pgSz w:w="12240" w:h="15840"/>
      <w:pgMar w:top="1152" w:right="1152" w:bottom="1152" w:left="1152"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jpg"/><Relationship Id="rId10" Type="http://schemas.openxmlformats.org/officeDocument/2006/relationships/image" Target="media/image2.jpg"/><Relationship Id="rId11" Type="http://schemas.openxmlformats.org/officeDocument/2006/relationships/image" Target="media/image3.jpg"/><Relationship Id="rId12" Type="http://schemas.openxmlformats.org/officeDocument/2006/relationships/image" Target="media/image4.jpg"/><Relationship Id="rId13" Type="http://schemas.openxmlformats.org/officeDocument/2006/relationships/image" Target="media/image5.jpg"/><Relationship Id="rId14" Type="http://schemas.openxmlformats.org/officeDocument/2006/relationships/image" Target="media/image6.jpg"/><Relationship Id="rId15" Type="http://schemas.openxmlformats.org/officeDocument/2006/relationships/image" Target="media/image7.jpg"/><Relationship Id="rId16" Type="http://schemas.openxmlformats.org/officeDocument/2006/relationships/image" Target="media/image8.jpg"/><Relationship Id="rId17" Type="http://schemas.openxmlformats.org/officeDocument/2006/relationships/image" Target="media/image9.jpg"/><Relationship Id="rId18" Type="http://schemas.openxmlformats.org/officeDocument/2006/relationships/image" Target="media/image10.jpg"/><Relationship Id="rId19" Type="http://schemas.openxmlformats.org/officeDocument/2006/relationships/image" Target="media/image11.jpg"/><Relationship Id="rId20" Type="http://schemas.openxmlformats.org/officeDocument/2006/relationships/image" Target="media/image12.jpg"/><Relationship Id="rId21" Type="http://schemas.openxmlformats.org/officeDocument/2006/relationships/image" Target="media/image1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