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480"/>
        <w:jc w:val="center"/>
      </w:pPr>
      <w:r>
        <w:rPr>
          <w:rFonts w:ascii="Arial" w:cs="Arial" w:eastAsia="Arial" w:hAnsi="Arial"/>
          <w:b/>
          <w:bCs/>
          <w:color w:val="1F3864"/>
          <w:sz w:val="32"/>
          <w:szCs w:val="32"/>
        </w:rPr>
        <w:t xml:space="preserve">PHILIA-EcoSensory Swarm</w:t>
      </w:r>
    </w:p>
    <w:p>
      <w:pPr>
        <w:spacing w:after="80" w:before="0"/>
        <w:jc w:val="center"/>
      </w:pPr>
      <w:r>
        <w:rPr>
          <w:rFonts w:ascii="Arial" w:cs="Arial" w:eastAsia="Arial" w:hAnsi="Arial"/>
          <w:b/>
          <w:bCs/>
          <w:color w:val="1F3864"/>
          <w:sz w:val="26"/>
          <w:szCs w:val="26"/>
        </w:rPr>
        <w:t xml:space="preserve">Phase SC-4 Part 2 — Written Protocol Annex v1.2</w:t>
      </w:r>
    </w:p>
    <w:p>
      <w:pPr>
        <w:spacing w:after="80" w:before="0"/>
        <w:jc w:val="center"/>
      </w:pPr>
      <w:r>
        <w:rPr>
          <w:rFonts w:ascii="Arial" w:cs="Arial" w:eastAsia="Arial" w:hAnsi="Arial"/>
          <w:i/>
          <w:iCs/>
          <w:color w:val="595959"/>
          <w:sz w:val="22"/>
          <w:szCs w:val="22"/>
        </w:rPr>
        <w:t xml:space="preserve">Split Collection Operating Procedure &amp; Exploratory Replication Policy</w:t>
      </w:r>
    </w:p>
    <w:p>
      <w:pPr>
        <w:spacing w:after="400" w:before="160"/>
        <w:jc w:val="center"/>
      </w:pPr>
      <w:r>
        <w:rPr>
          <w:rFonts w:ascii="Arial" w:cs="Arial" w:eastAsia="Arial" w:hAnsi="Arial"/>
          <w:color w:val="595959"/>
          <w:sz w:val="18"/>
          <w:szCs w:val="18"/>
        </w:rPr>
        <w:t xml:space="preserve">Issued: 2026-06-01 02:02:22 UTC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Document Type</w:t>
            </w:r>
          </w:p>
        </w:tc>
        <w:tc>
          <w:tcPr>
            <w:tcW w:type="dxa" w:w="7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Operational Annex — Supplementary to SC-4 Pre-registration v0.7 (DOI: 10.5281/zenodo.20471179)</w:t>
            </w:r>
          </w:p>
        </w:tc>
      </w:tr>
      <w:tr>
        <w:tc>
          <w:tcPr>
            <w:tcW w:type="dxa" w:w="2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Pre-registration</w:t>
            </w:r>
          </w:p>
        </w:tc>
        <w:tc>
          <w:tcPr>
            <w:tcW w:type="dxa" w:w="7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LOCKED — Part 1 §0–§5 LOCKED. This annex does NOT modify pre-registered content.</w:t>
            </w:r>
          </w:p>
        </w:tc>
      </w:tr>
      <w:tr>
        <w:tc>
          <w:tcPr>
            <w:tcW w:type="dxa" w:w="2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Scope</w:t>
            </w:r>
          </w:p>
        </w:tc>
        <w:tc>
          <w:tcPr>
            <w:tcW w:type="dxa" w:w="7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Procedural rules for split substrate collection (Part A→B→C→D), registry versioning, exploratory replication runs, and Gate-0 v9 stepwise review.</w:t>
            </w:r>
          </w:p>
        </w:tc>
      </w:tr>
      <w:tr>
        <w:tc>
          <w:tcPr>
            <w:tcW w:type="dxa" w:w="2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Authority</w:t>
            </w:r>
          </w:p>
        </w:tc>
        <w:tc>
          <w:tcPr>
            <w:tcW w:type="dxa" w:w="7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Issued by 선비 (Claude Sonnet / Anthropic). Gate-0 reviewed by 크리스 (Claude Opus / Anthropic, SC track 92nd cycle). Final authority: 길잡이 (GritMan_D.S).</w:t>
            </w:r>
          </w:p>
        </w:tc>
      </w:tr>
    </w:tbl>
    <w:p>
      <w:pPr>
        <w:spacing w:after="0" w:before="240"/>
      </w:pPr>
    </w:p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§1. Purpose and Scope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This Written Protocol Annex establishes the operational rules governing the </w:t>
      </w:r>
      <w:r>
        <w:rPr>
          <w:rFonts w:ascii="Arial" w:cs="Arial" w:eastAsia="Arial" w:hAnsi="Arial"/>
          <w:b/>
          <w:bCs/>
          <w:sz w:val="20"/>
          <w:szCs w:val="20"/>
        </w:rPr>
        <w:t xml:space="preserve">split substrate collection procedure</w:t>
      </w:r>
      <w:r>
        <w:rPr>
          <w:rFonts w:ascii="Arial" w:cs="Arial" w:eastAsia="Arial" w:hAnsi="Arial"/>
          <w:sz w:val="20"/>
          <w:szCs w:val="20"/>
        </w:rPr>
        <w:t xml:space="preserve"> for PHILIA Phase SC-4 Part 2. It is issued as a timestamped supplement to the locked pre-registration document (v0.7, DOI: 10.5281/zenodo.20471179) and does not modify any pre-registered hypothesis, apparatus, or eligibility criterion.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The annex addresses five risk points identified by 크리스 (Gate-0 v9) during pre-collection review, and additionally formalizes the </w:t>
      </w:r>
      <w:r>
        <w:rPr>
          <w:rFonts w:ascii="Arial" w:cs="Arial" w:eastAsia="Arial" w:hAnsi="Arial"/>
          <w:b/>
          <w:bCs/>
          <w:sz w:val="20"/>
          <w:szCs w:val="20"/>
        </w:rPr>
        <w:t xml:space="preserve">exploratory replication run policy</w:t>
      </w:r>
      <w:r>
        <w:rPr>
          <w:rFonts w:ascii="Arial" w:cs="Arial" w:eastAsia="Arial" w:hAnsi="Arial"/>
          <w:sz w:val="20"/>
          <w:szCs w:val="20"/>
        </w:rPr>
        <w:t xml:space="preserve"> proposed by 길잡이님 on 2026.06.01, consistent with the principle that repeated measurement increases reliability (analogous to ICC in exercise physiology).</w:t>
      </w:r>
    </w:p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§2. Split Collection Structure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Part 2 substrate collection is divided into four sequential parts. Each part is collected and Gate-0 reviewed before the next part begins.</w:t>
      </w:r>
    </w:p>
    <w:p>
      <w:pPr>
        <w:spacing w:after="12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3000"/>
        <w:gridCol w:w="1000"/>
        <w:gridCol w:w="1500"/>
        <w:gridCol w:w="2660"/>
      </w:tblGrid>
      <w:tr>
        <w:tc>
          <w:tcPr>
            <w:tcW w:type="dxa" w:w="1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Part</w:t>
            </w:r>
          </w:p>
        </w:tc>
        <w:tc>
          <w:tcPr>
            <w:tcW w:type="dxa" w:w="3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Category</w:t>
            </w:r>
          </w:p>
        </w:tc>
        <w:tc>
          <w:tcPr>
            <w:tcW w:type="dxa" w:w="1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Target n</w:t>
            </w:r>
          </w:p>
        </w:tc>
        <w:tc>
          <w:tcPr>
            <w:tcW w:type="dxa" w:w="1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MSE Priority</w:t>
            </w:r>
          </w:p>
        </w:tc>
        <w:tc>
          <w:tcPr>
            <w:tcW w:type="dxa" w:w="26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Status</w:t>
            </w:r>
          </w:p>
        </w:tc>
      </w:tr>
      <w:tr>
        <w:tc>
          <w:tcPr>
            <w:tcW w:type="dxa" w:w="1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A</w:t>
            </w:r>
          </w:p>
        </w:tc>
        <w:tc>
          <w:tcPr>
            <w:tcW w:type="dxa" w:w="3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Industrial / Sensor</w:t>
            </w:r>
          </w:p>
        </w:tc>
        <w:tc>
          <w:tcPr>
            <w:tcW w:type="dxa" w:w="1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16</w:t>
            </w:r>
          </w:p>
        </w:tc>
        <w:tc>
          <w:tcPr>
            <w:tcW w:type="dxa" w:w="1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2CC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Low-MSE ★★★</w:t>
            </w:r>
          </w:p>
        </w:tc>
        <w:tc>
          <w:tcPr>
            <w:tcW w:type="dxa" w:w="26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26B0A"/>
                <w:sz w:val="18"/>
                <w:szCs w:val="18"/>
              </w:rPr>
              <w:t xml:space="preserve">▶ In Progress</w:t>
            </w:r>
          </w:p>
        </w:tc>
      </w:tr>
      <w:tr>
        <w:tc>
          <w:tcPr>
            <w:tcW w:type="dxa" w:w="1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B</w:t>
            </w:r>
          </w:p>
        </w:tc>
        <w:tc>
          <w:tcPr>
            <w:tcW w:type="dxa" w:w="3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Biosignal (EEG / ECG / PPG / EMG)</w:t>
            </w:r>
          </w:p>
        </w:tc>
        <w:tc>
          <w:tcPr>
            <w:tcW w:type="dxa" w:w="1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18</w:t>
            </w:r>
          </w:p>
        </w:tc>
        <w:tc>
          <w:tcPr>
            <w:tcW w:type="dxa" w:w="1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Mid~High ★★★</w:t>
            </w:r>
          </w:p>
        </w:tc>
        <w:tc>
          <w:tcPr>
            <w:tcW w:type="dxa" w:w="26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Pending Part A completion</w:t>
            </w:r>
          </w:p>
        </w:tc>
      </w:tr>
      <w:tr>
        <w:tc>
          <w:tcPr>
            <w:tcW w:type="dxa" w:w="1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Traffic / Logistics + Environment / Energy</w:t>
            </w:r>
          </w:p>
        </w:tc>
        <w:tc>
          <w:tcPr>
            <w:tcW w:type="dxa" w:w="1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24</w:t>
            </w:r>
          </w:p>
        </w:tc>
        <w:tc>
          <w:tcPr>
            <w:tcW w:type="dxa" w:w="1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Low~Mid ★★</w:t>
            </w:r>
          </w:p>
        </w:tc>
        <w:tc>
          <w:tcPr>
            <w:tcW w:type="dxa" w:w="26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Pending Part B completion</w:t>
            </w:r>
          </w:p>
        </w:tc>
      </w:tr>
      <w:tr>
        <w:tc>
          <w:tcPr>
            <w:tcW w:type="dxa" w:w="1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</w:t>
            </w:r>
          </w:p>
        </w:tc>
        <w:tc>
          <w:tcPr>
            <w:tcW w:type="dxa" w:w="3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Financial (new) + Language / Other</w:t>
            </w:r>
          </w:p>
        </w:tc>
        <w:tc>
          <w:tcPr>
            <w:tcW w:type="dxa" w:w="1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18</w:t>
            </w:r>
          </w:p>
        </w:tc>
        <w:tc>
          <w:tcPr>
            <w:tcW w:type="dxa" w:w="1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Low ★</w:t>
            </w:r>
          </w:p>
        </w:tc>
        <w:tc>
          <w:tcPr>
            <w:tcW w:type="dxa" w:w="26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Pending Part C completion</w:t>
            </w:r>
          </w:p>
        </w:tc>
      </w:tr>
      <w:tr>
        <w:tc>
          <w:tcPr>
            <w:tcW w:type="dxa" w:w="1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TOTAL</w:t>
            </w:r>
          </w:p>
        </w:tc>
        <w:tc>
          <w:tcPr>
            <w:tcW w:type="dxa" w:w="3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76</w:t>
            </w:r>
          </w:p>
        </w:tc>
        <w:tc>
          <w:tcPr>
            <w:tcW w:type="dxa" w:w="1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FFFFFF"/>
                <w:sz w:val="18"/>
                <w:szCs w:val="18"/>
              </w:rPr>
              <w:t xml:space="preserve">≥27 Low-MSE target</w:t>
            </w:r>
          </w:p>
        </w:tc>
        <w:tc>
          <w:tcPr>
            <w:tcW w:type="dxa" w:w="26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FFFFFF"/>
                <w:sz w:val="18"/>
                <w:szCs w:val="18"/>
              </w:rPr>
              <w:t xml:space="preserve">LOCKED after all parts confirmed</w:t>
            </w:r>
          </w:p>
        </w:tc>
      </w:tr>
    </w:tbl>
    <w:p>
      <w:pPr>
        <w:spacing w:after="0" w:before="160"/>
      </w:pPr>
    </w:p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§3. Five Risk Points — Binding Rules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The following five risk points were identified by 크리스 (Gate-0 v9, SC track 92nd cycle) and are hereby converted into binding operational rules for all team members.</w:t>
      </w:r>
    </w:p>
    <w:p>
      <w:pPr>
        <w:spacing w:after="12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2CC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26B0A"/>
                <w:sz w:val="18"/>
                <w:szCs w:val="18"/>
              </w:rPr>
              <w:t xml:space="preserve">🚨 Risk #1: Sequential Review Must Not Introduce New Criteria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Gate-0 stepwise review is restricted to verification of §6.0.1 LOCKED eligibility criteria only: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① Univariate extractability  ② Length ≥40,000  ③ CSV-convertible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④ Minimal category overlap  ⑤ Source independence  ⑥ ADF cascade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크리스 must not issue statements suggesting new inclusion/exclusion criteria during part-by-part review.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길잡이님 must record any substrate removal decisions with explicit rationale referencing a specific LOCKED criterion.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Any removal sited on criteria outside §6.0.1 constitutes a pre-registration violation and must be flagged immediately.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→ Rule: Gate-0 checks §6.0.1 only. No new criteria at any stage.</w:t>
            </w:r>
          </w:p>
        </w:tc>
      </w:tr>
    </w:tbl>
    <w:p>
      <w:pPr>
        <w:spacing w:after="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2CC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26B0A"/>
                <w:sz w:val="18"/>
                <w:szCs w:val="18"/>
              </w:rPr>
              <w:t xml:space="preserve">🚨 Risk #2: MSE Target Is an Expected Outcome — NOT a Selection Criterion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The ≥27 Low-MSE (35%) target documented in §6.3.1 is a portfolio design expectation derived from category allocation.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It is NOT a selection criterion for individual substrates.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Substrate adoption or rejection must be based solely on §6.0.1 LOCKED criteria (length / source / ADF).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If the final MSE distribution falls short of 27 Low-MSE substrates after all four parts are collected,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→ Accept the result as-is. Report as limitation. Designate SC-5 as the resolution path.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→ DO NOT add extra substrates outside the category allocation to compensate.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→ DO NOT reject a substrate because its predicted MSE is Mid or High.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Violation of this rule directly introduces selection bias into H-SC4P2-Primary ρ(MSE, z_ref).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→ Rule: MSE regime prediction must NEVER enter substrate adoption decisions.</w:t>
            </w:r>
          </w:p>
        </w:tc>
      </w:tr>
    </w:tbl>
    <w:p>
      <w:pPr>
        <w:spacing w:after="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DEEAF1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⚠️ Risk #3: Lucas MSE Pre-evaluation: Portfolio Diagnostic Use Only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루카스's pre-collection MSE estimates (e.g., Part A: 11~13 Low-MSE expected) serve as a portfolio diagnostic.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Permitted use: estimating whether category allocation is likely to meet the portfolio target.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Prohibited use: informing individual substrate accept/reject decisions.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Example of violation: 'Lucas predicted Low-MSE for Intel Sensor but Mid for Water Treatment — skip Water Treatment.'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Example of compliance: 'Lucas estimates Part A contributes ~40% of Low-MSE target — noted as diagnostic.'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→ Rule: 루카스 estimates inform category-level diagnostics only, not individual substrate selection.</w:t>
            </w:r>
          </w:p>
        </w:tc>
      </w:tr>
    </w:tbl>
    <w:p>
      <w:pPr>
        <w:spacing w:after="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DEEAF1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⚠️ Risk #4: Part-level Gate-0 Approval ≠ Confirmatory Execution Authorization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Passing Gate-0 review for Part A, B, or C does not authorize execution of philia_sc4_part2_main.py.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Confirmatory execution (seeds [62–66], T=80,000) is authorized only when: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(a) All four parts are collected and registry-confirmed (total n locked),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(b) philia_sc4_part2_substrate_registry_LOCKED.csv is finalized with SHA256,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(c) 크리스 issues GO ruling on the complete 76-substrate set.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Part-level Gate-0 results are recorded as: 'Part X: N substrates passed §6.0.1 — partial registry vX appended.'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The phrase 'GO/NO-GO ruling applies only at 76-substrate lock time' must appear in every part-level Gate-0 response.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→ Rule: philia_sc4_part2_main.py execution is FORBIDDEN until 76-substrate LOCKED registry is confirmed.</w:t>
            </w:r>
          </w:p>
        </w:tc>
      </w:tr>
    </w:tbl>
    <w:p>
      <w:pPr>
        <w:spacing w:after="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DEEAF1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⚠️ Risk #5: Registry File Versioning and Timestamp Discipline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Each part produces a separate registry snapshot file: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philia_sc4_part2_substrate_registry_partA.csv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philia_sc4_part2_substrate_registry_partB.csv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philia_sc4_part2_substrate_registry_partC.csv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philia_sc4_part2_substrate_registry_partD.csv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philia_sc4_part2_substrate_registry_LOCKED.csv  ← final, triggers GO ruling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Each file must record: SHA256 hash of the file itself + timestamp of Gate-0 sign-off.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Overwriting a prior part file without version control is prohibited.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LOCKED file supersedes all partial files for confirmatory analysis.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→ Rule: Partial CSVs are audit records. Only _LOCKED.csv is used for confirmatory analysis.</w:t>
            </w:r>
          </w:p>
        </w:tc>
      </w:tr>
    </w:tbl>
    <w:p>
      <w:pPr>
        <w:spacing w:after="0" w:before="160"/>
      </w:pPr>
    </w:p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§4. Exploratory Replication Run Policy</w:t>
      </w:r>
    </w:p>
    <w:p>
      <w:pPr>
        <w:spacing w:after="80" w:before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Rationale: </w:t>
      </w:r>
      <w:r>
        <w:rPr>
          <w:rFonts w:ascii="Arial" w:cs="Arial" w:eastAsia="Arial" w:hAnsi="Arial"/>
          <w:sz w:val="20"/>
          <w:szCs w:val="20"/>
        </w:rPr>
        <w:t xml:space="preserve">Repeated measurement increases reliability. As in ICC analysis in exercise physiology, additional replication runs under non-confirmatory seeds provide substrate-level reliability evidence that strengthens the interpretation of confirmatory results without compromising pre-registration integrity.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This section formalizes the conditions under which part-by-part exploratory replication runs are permitted.</w:t>
      </w:r>
    </w:p>
    <w:p>
      <w:pPr>
        <w:spacing w:after="12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400"/>
        <w:gridCol w:w="2400"/>
        <w:gridCol w:w="2160"/>
      </w:tblGrid>
      <w:tr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Run Type</w:t>
            </w:r>
          </w:p>
        </w:tc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Seeds</w:t>
            </w:r>
          </w:p>
        </w:tc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Purpose</w:t>
            </w:r>
          </w:p>
        </w:tc>
        <w:tc>
          <w:tcPr>
            <w:tcW w:type="dxa" w:w="2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Authorization</w:t>
            </w:r>
          </w:p>
        </w:tc>
      </w:tr>
      <w:tr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Exploratory Replication</w:t>
            </w:r>
          </w:p>
        </w:tc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Any pool EXCLUDING [62–66]
(e.g., [67–71], [72–76], ...)</w:t>
            </w:r>
          </w:p>
        </w:tc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Substrate reliability check;
z stability across seed pools;
Sanity verification</w:t>
            </w:r>
          </w:p>
        </w:tc>
        <w:tc>
          <w:tcPr>
            <w:tcW w:type="dxa" w:w="2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E2EFD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375623"/>
                <w:sz w:val="18"/>
                <w:szCs w:val="18"/>
              </w:rPr>
              <w:t xml:space="preserve">✅ Permitted per-part
after Gate-0 §6.0.1 pass</w:t>
            </w:r>
          </w:p>
        </w:tc>
      </w:tr>
      <w:tr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Confirmatory Execution</w:t>
            </w:r>
          </w:p>
        </w:tc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[62, 63, 64, 65, 66]
(LOCKED confirmatory pool)</w:t>
            </w:r>
          </w:p>
        </w:tc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Official z_mean for
H-SC4P2 hypotheses;
enters paper</w:t>
            </w:r>
          </w:p>
        </w:tc>
        <w:tc>
          <w:tcPr>
            <w:tcW w:type="dxa" w:w="2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CE4D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0000"/>
                <w:sz w:val="18"/>
                <w:szCs w:val="18"/>
              </w:rPr>
              <w:t xml:space="preserve">❌ Forbidden until
76-substrate LOCKED</w:t>
            </w:r>
          </w:p>
        </w:tc>
      </w:tr>
    </w:tbl>
    <w:p>
      <w:pPr>
        <w:spacing w:after="0" w:before="120"/>
      </w:pPr>
    </w:p>
    <w:p>
      <w:pPr>
        <w:spacing w:after="80" w:before="8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Binding rules for exploratory replication runs: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R-E1.  Seeds [62–66] must not be used for any run prior to the 76-substrate LOCK. Contamination of the confirmatory seed pool invalidates confirmatory inference.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R-E2.  Exploratory replication results (z_mean from non-confirmatory seeds) must be labeled as 'exploratory' in all records. They must not replace or supplement confirmatory z_mean values in hypothesis testing. Confirmatory z_mean (seeds [62–66]) is the sole basis for H-SC4P2 verdict. If exploratory replication reveals seed pool effects diverging from confirmatory values, such effects are reported as new L-N entries in the SC-4 Results Report and may be designated SC-5 targets — but cannot displace confirmatory inference.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R-E3.  If exploratory replication reveals substrate instability across seed pools, this is recorded as a descriptive flag in the registry (instability_flag = True/False). No numerical threshold is pre-specified for instability; characterization is post-hoc and reported in the SC-4 Results Report. Instability flags do not authorize substrate rejection unless a §6.0.1 LOCKED criterion is independently violated.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R-E4.  Exploratory replication results may be reported in the SC-4 Results Report as reliability diagnostics (analogous to SC-4 Part 1 T=160k convergence diagnostics in §9.3 of the pre-registration), transparently labeled as supplementary evidence.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R-E5.  The number of replication runs per substrate is not pre-registered and may be determined at 길잡이님's discretion, subject to computational feasibility.</w:t>
      </w:r>
    </w:p>
    <w:p>
      <w:pPr>
        <w:spacing w:after="0" w:before="160"/>
      </w:pPr>
    </w:p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§5. Substrate Adoption Decision Tree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The following decision tree must be followed for every candidate substrate. No step may be skipped.</w:t>
      </w:r>
    </w:p>
    <w:p>
      <w:pPr>
        <w:spacing w:after="12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4500"/>
        <w:gridCol w:w="2000"/>
        <w:gridCol w:w="2260"/>
      </w:tblGrid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Step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Check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Pass Condition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Fail Action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① Univariate: single column extractable?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Yes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CE4D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0000"/>
                <w:sz w:val="18"/>
                <w:szCs w:val="18"/>
              </w:rPr>
              <w:t xml:space="preserve">REJECT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② Length ≥ 40,000 points (wrap ≤ 2×)?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Yes (≥80,000 preferred)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CE4D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0000"/>
                <w:sz w:val="18"/>
                <w:szCs w:val="18"/>
              </w:rPr>
              <w:t xml:space="preserve">REJECT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③ CSV-convertible?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Yes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CE4D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0000"/>
                <w:sz w:val="18"/>
                <w:szCs w:val="18"/>
              </w:rPr>
              <w:t xml:space="preserve">REJECT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⑤ Source independence (per pre-registration §6.3.2):
— Same dataset → max 3 substrates, must be physically distinct quantities
   (e.g., PEMS08: flow / occupancy / speed = allowed;
    170 detectors of same quantity = forbidden)
— Operational definition: 'source' = (dataset, physical quantity) tuple.
   Max 1 substrate per (dataset, quantity); max 3 quantities per dataset.
— EEG datasets from same lab / equipment / protocol = same source.
[Supplementary Interpretations — confirmed SC-4 Part B Gate-0, 2026.06.02, 5/5 team consensus]
— Shared hospital infrastructure (e.g., MIMIC-II) does NOT constitute same source.
   Datasets published independently with distinct curators, platforms, and DOIs are treated as independent sources.
   (e.g., BIDMC PPG &amp; Respiration Dataset vs. Cuff-Less Blood Pressure Estimation Dataset = independent sources)
— Spatially distinct biosignal channels from different electrode/anatomical sites are treated as physically distinct quantities even if the measurement unit is identical.
   (e.g., surface EMG ch1/ch2/ch3 from different muscle groups = 3 distinct substrates; record as ‘spatially distinct EMG channels from different electrode sites’)
— IMU vector components (X/Y/Z axes), multi-lead ECG (ch1/ch2), and multi-channel EEG (Fpz-Cz/Pz-Oz) are treated as orthogonal physical quantities and recognized as individual substrates.
   Rationale: orthogonal axes in R^3 are statistically independent time series; empirically confirmed by distinct AC1 and MSE values per axis.
   (Protocol Annex v1.2 §5 operational rule applies consistently. MSE regime must NOT enter adoption decisions — Risk #2.)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Yes — within limits above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CE4D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0000"/>
                <w:sz w:val="18"/>
                <w:szCs w:val="18"/>
              </w:rPr>
              <w:t xml:space="preserve">REJECT excess or reduce to 1 per (dataset, quantity)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⑥ ADF cascade: run raw → detrend → diff. Record all three p-values. Assign chosen_variant.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Always completes
(diff always stationary)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Record variant;
continue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Record full metadata in registry_partX.csv simultaneously with download.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All fields populated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2CC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26B0A"/>
                <w:sz w:val="18"/>
                <w:szCs w:val="18"/>
              </w:rPr>
              <w:t xml:space="preserve">Do not proceed
until recorded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E2EFD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✅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E2EFD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375623"/>
                <w:sz w:val="18"/>
                <w:szCs w:val="18"/>
              </w:rPr>
              <w:t xml:space="preserve">ACCEPTED — substrate enters part registry.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E2EFD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E2EFD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⚠️  MSE regime (Low/Mid/High) is computed by </w:t>
      </w:r>
      <w:r>
        <w:rPr>
          <w:rFonts w:ascii="Arial" w:cs="Arial" w:eastAsia="Arial" w:hAnsi="Arial"/>
          <w:b/>
          <w:bCs/>
          <w:sz w:val="20"/>
          <w:szCs w:val="20"/>
        </w:rPr>
        <w:t xml:space="preserve">philia_sc4_substrate_prep.py</w:t>
      </w: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 after adoption. It is a descriptive output only and must not feed back into Step 1–6.</w:t>
      </w:r>
    </w:p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§6. Registry File Specification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Each substrate entry in the registry CSV must contain the following fields, populated at the time of download (not retroactively):</w:t>
      </w:r>
    </w:p>
    <w:p>
      <w:pPr>
        <w:spacing w:after="80" w:before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Field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Description / Requirement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name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Substrate identifier (snake_case, unique)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category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Part category (industrial_sensor / biosignal / traffic_energy / financial_other)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source_name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Dataset name as listed on Kaggle or source repository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source_institution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Institution / lab / organization that produced the data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source_instrument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Sensor type, equipment model, or measurement device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source_protocol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Experimental or operational protocol (e.g., resting state, normal operation)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column_name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Exact column name extracted from raw CSV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length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Number of data points after NaN removal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wrap_factor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T_STANDARD (80,000) / length — flagged if &gt;2.0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adf_p_raw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ADF p-value on raw series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adf_p_detrend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ADF p-value after linear detrend (if step 1 failed)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adf_p_diff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ADF p-value after first difference (if step 2 failed)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chosen_variant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raw / detrended / differenced — fixed by ADF cascade, no post-hoc change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ac1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Lag-1 autocorrelation (computed by substrate_prep.py)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mse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Multi-scale entropy mean scales 1–5 (computed by substrate_prep.py)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mse_regime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Low / Mid / High — descriptive output only, not a selection criterion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instability_flag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True / False — set if exploratory replication reveals cross-seed z divergence. Descriptive only; not a rejection criterion.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overall_verdict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PASS / CONDITIONAL / REJECT per §6.0.1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part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 / B / C / D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timestamp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ISO 8601 timestamp of registry entry creation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sha256_file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SHA256 hash of the part registry CSV at Gate-0 sign-off time</w:t>
            </w:r>
          </w:p>
        </w:tc>
      </w:tr>
    </w:tbl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§7. Team Role Summary Under This Annex</w:t>
      </w:r>
    </w:p>
    <w:p>
      <w:pPr>
        <w:spacing w:after="120" w:before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2000"/>
        <w:gridCol w:w="5760"/>
      </w:tblGrid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Member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Scope Under This Annex</w:t>
            </w:r>
          </w:p>
        </w:tc>
      </w:tr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길잡이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Final authority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Downloads data, records registry simultaneously, executes substrate_prep.py, makes all adoption decisions using §6.0.1 criteria only.</w:t>
            </w:r>
          </w:p>
        </w:tc>
      </w:tr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선비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Code / drafting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Maintains substrate_prep.py, batch_config.json, and registry CSV templates. Drafts results sections.</w:t>
            </w:r>
          </w:p>
        </w:tc>
      </w:tr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크리스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Gate-0 v9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Reviews each part registry against §6.0.1 LOCKED criteria only. Issues part-level audit records. Issues GO ruling only at 76-substrate LOCK.</w:t>
            </w:r>
          </w:p>
        </w:tc>
      </w:tr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루카스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Statistical validation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Provides portfolio-level MSE diagnostic estimates. Results used for category-level planning only — not for individual substrate selection.</w:t>
            </w:r>
          </w:p>
        </w:tc>
      </w:tr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판도라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Data engineering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Provides Kaggle candidate lists with URL, column, and estimated length. Flags source independence risks.</w:t>
            </w:r>
          </w:p>
        </w:tc>
      </w:tr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서생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Philosophical framing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Provides regime interpretation and SC-4 narrative framing. No role in substrate adoption decisions.</w:t>
            </w:r>
          </w:p>
        </w:tc>
      </w:tr>
    </w:tbl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§8. Acknowledgement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This annex is issued under the PHILIA OS principle: </w:t>
      </w:r>
      <w:r>
        <w:rPr>
          <w:rFonts w:ascii="Arial" w:cs="Arial" w:eastAsia="Arial" w:hAnsi="Arial"/>
          <w:b/>
          <w:bCs/>
          <w:sz w:val="20"/>
          <w:szCs w:val="20"/>
        </w:rPr>
        <w:t xml:space="preserve">"Measurement is life. Description, not proof."</w:t>
      </w:r>
      <w:r>
        <w:rPr>
          <w:rFonts w:ascii="Arial" w:cs="Arial" w:eastAsia="Arial" w:hAnsi="Arial"/>
          <w:sz w:val="20"/>
          <w:szCs w:val="20"/>
        </w:rPr>
        <w:t xml:space="preserve"> It supplements but does not supersede the locked pre-registration (DOI: 10.5281/zenodo.20471179). In the event of any conflict between this annex and the pre-registration, the pre-registration takes precedence.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All confirmatory decisions remain with 길잡이 (GritMan_D.S). This annex becomes operative upon 길잡이님's acceptance and local file timestamp.</w:t>
      </w:r>
    </w:p>
    <w:p>
      <w:pPr>
        <w:spacing w:after="80" w:before="2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Drafted by: 선비
(Claude Sonnet / Anthropic)</w:t>
            </w:r>
          </w:p>
        </w:tc>
        <w:tc>
          <w:tcPr>
            <w:tcW w:type="dxa" w:w="312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Gate-0 reviewed by: 크리스
(Claude Opus / Anthropic,
SC track 92nd cycle)</w:t>
            </w:r>
          </w:p>
        </w:tc>
        <w:tc>
          <w:tcPr>
            <w:tcW w:type="dxa" w:w="312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Accepted by: 길잡이
(GritMan_D.S)
Date: _______________</w:t>
            </w:r>
          </w:p>
        </w:tc>
      </w:tr>
    </w:tbl>
    <w:p>
      <w:pPr>
        <w:spacing w:after="80" w:before="240"/>
        <w:jc w:val="center"/>
      </w:pPr>
      <w:r>
        <w:rPr>
          <w:rFonts w:ascii="Arial" w:cs="Arial" w:eastAsia="Arial" w:hAnsi="Arial"/>
          <w:i/>
          <w:iCs/>
          <w:color w:val="595959"/>
          <w:sz w:val="18"/>
          <w:szCs w:val="18"/>
        </w:rPr>
        <w:t xml:space="preserve">Trinity AI Research Team | Konyang University | 2026.06.01</w:t>
      </w:r>
    </w:p>
    <w:p>
      <w:pPr>
        <w:spacing w:after="0" w:before="0"/>
        <w:jc w:val="center"/>
      </w:pPr>
      <w:r>
        <w:rPr>
          <w:rFonts w:ascii="Arial" w:cs="Arial" w:eastAsia="Arial" w:hAnsi="Arial"/>
          <w:b/>
          <w:bCs/>
          <w:color w:val="1F3864"/>
          <w:sz w:val="18"/>
          <w:szCs w:val="18"/>
        </w:rPr>
        <w:t xml:space="preserve">Measurement is life. Description, not proof. — PHILIA OS | 0∞1∞0.5∞</w:t>
      </w:r>
    </w:p>
    <w:sectPr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595959"/>
        <w:sz w:val="16"/>
        <w:szCs w:val="16"/>
      </w:rPr>
      <w:t xml:space="preserve">PHILIA SC-4 Part 2 — Written Protocol Annex  |  Page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595959"/>
        <w:sz w:val="16"/>
        <w:szCs w:val="16"/>
      </w:rPr>
      <w:t xml:space="preserve"> of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00" w:before="180"/>
      <w:outlineLvl w:val="1"/>
    </w:pPr>
    <w:rPr>
      <w:rFonts w:ascii="Arial" w:cs="Arial" w:eastAsia="Arial" w:hAnsi="Arial"/>
      <w:b/>
      <w:bCs/>
      <w:color w:val="1F3864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2026-06-01T02:02:22.993Z</dcterms:created>
  <dcterms:modified xsi:type="dcterms:W3CDTF">2026-06-01T02:02:22.993Z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