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20" w:before="480"/>
        <w:jc w:val="center"/>
      </w:pPr>
      <w:r>
        <w:rPr>
          <w:rFonts w:ascii="Arial" w:cs="Arial" w:eastAsia="Arial" w:hAnsi="Arial"/>
          <w:b/>
          <w:bCs/>
          <w:color w:val="1F3864"/>
          <w:sz w:val="32"/>
          <w:szCs w:val="32"/>
        </w:rPr>
        <w:t xml:space="preserve">PHILIA-EcoSensory Swarm</w:t>
      </w:r>
    </w:p>
    <w:p>
      <w:pPr>
        <w:spacing w:after="80" w:before="0"/>
        <w:jc w:val="center"/>
      </w:pPr>
      <w:r>
        <w:rPr>
          <w:rFonts w:ascii="Arial" w:cs="Arial" w:eastAsia="Arial" w:hAnsi="Arial"/>
          <w:b/>
          <w:bCs/>
          <w:color w:val="1F3864"/>
          <w:sz w:val="26"/>
          <w:szCs w:val="26"/>
        </w:rPr>
        <w:t xml:space="preserve">Phase SC-4 Part 2 — Written Protocol Annex v1.1</w:t>
      </w:r>
    </w:p>
    <w:p>
      <w:pPr>
        <w:spacing w:after="80" w:before="0"/>
        <w:jc w:val="center"/>
      </w:pPr>
      <w:r>
        <w:rPr>
          <w:rFonts w:ascii="Arial" w:cs="Arial" w:eastAsia="Arial" w:hAnsi="Arial"/>
          <w:i/>
          <w:iCs/>
          <w:color w:val="595959"/>
          <w:sz w:val="22"/>
          <w:szCs w:val="22"/>
        </w:rPr>
        <w:t xml:space="preserve">Split Collection Operating Procedure &amp; Exploratory Replication Policy</w:t>
      </w:r>
    </w:p>
    <w:p>
      <w:pPr>
        <w:spacing w:after="400" w:before="160"/>
        <w:jc w:val="center"/>
      </w:pPr>
      <w:r>
        <w:rPr>
          <w:rFonts w:ascii="Arial" w:cs="Arial" w:eastAsia="Arial" w:hAnsi="Arial"/>
          <w:color w:val="595959"/>
          <w:sz w:val="18"/>
          <w:szCs w:val="18"/>
        </w:rPr>
        <w:t xml:space="preserve">Issued: 2026-06-01 02:02:22 UTC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200"/>
        <w:gridCol w:w="7160"/>
      </w:tblGrid>
      <w:tr>
        <w:tc>
          <w:tcPr>
            <w:tcW w:type="dxa" w:w="22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Document Type</w:t>
            </w:r>
          </w:p>
        </w:tc>
        <w:tc>
          <w:tcPr>
            <w:tcW w:type="dxa" w:w="71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Operational Annex — Supplementary to SC-4 Pre-registration v0.7 (DOI: 10.5281/zenodo.20471179)</w:t>
            </w:r>
          </w:p>
        </w:tc>
      </w:tr>
      <w:tr>
        <w:tc>
          <w:tcPr>
            <w:tcW w:type="dxa" w:w="22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Pre-registration</w:t>
            </w:r>
          </w:p>
        </w:tc>
        <w:tc>
          <w:tcPr>
            <w:tcW w:type="dxa" w:w="71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LOCKED — Part 1 §0–§5 LOCKED. This annex does NOT modify pre-registered content.</w:t>
            </w:r>
          </w:p>
        </w:tc>
      </w:tr>
      <w:tr>
        <w:tc>
          <w:tcPr>
            <w:tcW w:type="dxa" w:w="22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Scope</w:t>
            </w:r>
          </w:p>
        </w:tc>
        <w:tc>
          <w:tcPr>
            <w:tcW w:type="dxa" w:w="71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Procedural rules for split substrate collection (Part A→B→C→D), registry versioning, exploratory replication runs, and Gate-0 v9 stepwise review.</w:t>
            </w:r>
          </w:p>
        </w:tc>
      </w:tr>
      <w:tr>
        <w:tc>
          <w:tcPr>
            <w:tcW w:type="dxa" w:w="22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Authority</w:t>
            </w:r>
          </w:p>
        </w:tc>
        <w:tc>
          <w:tcPr>
            <w:tcW w:type="dxa" w:w="71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Issued by 선비 (Claude Sonnet / Anthropic). Gate-0 reviewed by 크리스 (Claude Opus / Anthropic, SC track 92nd cycle). Final authority: 길잡이 (GritMan_D.S).</w:t>
            </w:r>
          </w:p>
        </w:tc>
      </w:tr>
    </w:tbl>
    <w:p>
      <w:pPr>
        <w:spacing w:after="0" w:before="240"/>
      </w:pPr>
    </w:p>
    <w:p>
      <w:pPr>
        <w:pBdr>
          <w:bottom w:val="single" w:color="1F3864" w:sz="6" w:space="1"/>
        </w:pBdr>
        <w:spacing w:after="120" w:before="120"/>
      </w:pPr>
    </w:p>
    <w:p>
      <w:pPr>
        <w:pStyle w:val="Heading1"/>
        <w:spacing w:after="120" w:before="24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§1. Purpose and Scope</w:t>
      </w:r>
    </w:p>
    <w:p>
      <w:pPr>
        <w:spacing w:after="80" w:before="80"/>
      </w:pPr>
      <w:r>
        <w:rPr>
          <w:rFonts w:ascii="Arial" w:cs="Arial" w:eastAsia="Arial" w:hAnsi="Arial"/>
          <w:sz w:val="20"/>
          <w:szCs w:val="20"/>
        </w:rPr>
        <w:t xml:space="preserve">This Written Protocol Annex establishes the operational rules governing the </w:t>
      </w:r>
      <w:r>
        <w:rPr>
          <w:rFonts w:ascii="Arial" w:cs="Arial" w:eastAsia="Arial" w:hAnsi="Arial"/>
          <w:b/>
          <w:bCs/>
          <w:sz w:val="20"/>
          <w:szCs w:val="20"/>
        </w:rPr>
        <w:t xml:space="preserve">split substrate collection procedure</w:t>
      </w:r>
      <w:r>
        <w:rPr>
          <w:rFonts w:ascii="Arial" w:cs="Arial" w:eastAsia="Arial" w:hAnsi="Arial"/>
          <w:sz w:val="20"/>
          <w:szCs w:val="20"/>
        </w:rPr>
        <w:t xml:space="preserve"> for PHILIA Phase SC-4 Part 2. It is issued as a timestamped supplement to the locked pre-registration document (v0.7, DOI: 10.5281/zenodo.20471179) and does not modify any pre-registered hypothesis, apparatus, or eligibility criterion.</w:t>
      </w:r>
    </w:p>
    <w:p>
      <w:pPr>
        <w:spacing w:after="80" w:before="80"/>
      </w:pPr>
      <w:r>
        <w:rPr>
          <w:rFonts w:ascii="Arial" w:cs="Arial" w:eastAsia="Arial" w:hAnsi="Arial"/>
          <w:sz w:val="20"/>
          <w:szCs w:val="20"/>
        </w:rPr>
        <w:t xml:space="preserve">The annex addresses five risk points identified by 크리스 (Gate-0 v9) during pre-collection review, and additionally formalizes the </w:t>
      </w:r>
      <w:r>
        <w:rPr>
          <w:rFonts w:ascii="Arial" w:cs="Arial" w:eastAsia="Arial" w:hAnsi="Arial"/>
          <w:b/>
          <w:bCs/>
          <w:sz w:val="20"/>
          <w:szCs w:val="20"/>
        </w:rPr>
        <w:t xml:space="preserve">exploratory replication run policy</w:t>
      </w:r>
      <w:r>
        <w:rPr>
          <w:rFonts w:ascii="Arial" w:cs="Arial" w:eastAsia="Arial" w:hAnsi="Arial"/>
          <w:sz w:val="20"/>
          <w:szCs w:val="20"/>
        </w:rPr>
        <w:t xml:space="preserve"> proposed by 길잡이님 on 2026.06.01, consistent with the principle that repeated measurement increases reliability (analogous to ICC in exercise physiology).</w:t>
      </w:r>
    </w:p>
    <w:p>
      <w:pPr>
        <w:pBdr>
          <w:bottom w:val="single" w:color="1F3864" w:sz="6" w:space="1"/>
        </w:pBdr>
        <w:spacing w:after="120" w:before="120"/>
      </w:pPr>
    </w:p>
    <w:p>
      <w:pPr>
        <w:pStyle w:val="Heading1"/>
        <w:spacing w:after="120" w:before="24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§2. Split Collection Structure</w:t>
      </w:r>
    </w:p>
    <w:p>
      <w:pPr>
        <w:spacing w:after="80" w:before="80"/>
      </w:pPr>
      <w:r>
        <w:rPr>
          <w:rFonts w:ascii="Arial" w:cs="Arial" w:eastAsia="Arial" w:hAnsi="Arial"/>
          <w:sz w:val="20"/>
          <w:szCs w:val="20"/>
        </w:rPr>
        <w:t xml:space="preserve">Part 2 substrate collection is divided into four sequential parts. Each part is collected and Gate-0 reviewed before the next part begins.</w:t>
      </w:r>
    </w:p>
    <w:p>
      <w:pPr>
        <w:spacing w:after="120" w:before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200"/>
        <w:gridCol w:w="3000"/>
        <w:gridCol w:w="1000"/>
        <w:gridCol w:w="1500"/>
        <w:gridCol w:w="2660"/>
      </w:tblGrid>
      <w:tr>
        <w:tc>
          <w:tcPr>
            <w:tcW w:type="dxa" w:w="12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Part</w:t>
            </w:r>
          </w:p>
        </w:tc>
        <w:tc>
          <w:tcPr>
            <w:tcW w:type="dxa" w:w="3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Category</w:t>
            </w:r>
          </w:p>
        </w:tc>
        <w:tc>
          <w:tcPr>
            <w:tcW w:type="dxa" w:w="1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Target n</w:t>
            </w:r>
          </w:p>
        </w:tc>
        <w:tc>
          <w:tcPr>
            <w:tcW w:type="dxa" w:w="15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MSE Priority</w:t>
            </w:r>
          </w:p>
        </w:tc>
        <w:tc>
          <w:tcPr>
            <w:tcW w:type="dxa" w:w="26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Status</w:t>
            </w:r>
          </w:p>
        </w:tc>
      </w:tr>
      <w:tr>
        <w:tc>
          <w:tcPr>
            <w:tcW w:type="dxa" w:w="12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A</w:t>
            </w:r>
          </w:p>
        </w:tc>
        <w:tc>
          <w:tcPr>
            <w:tcW w:type="dxa" w:w="3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Industrial / Sensor</w:t>
            </w:r>
          </w:p>
        </w:tc>
        <w:tc>
          <w:tcPr>
            <w:tcW w:type="dxa" w:w="1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16</w:t>
            </w:r>
          </w:p>
        </w:tc>
        <w:tc>
          <w:tcPr>
            <w:tcW w:type="dxa" w:w="15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2CC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Low-MSE ★★★</w:t>
            </w:r>
          </w:p>
        </w:tc>
        <w:tc>
          <w:tcPr>
            <w:tcW w:type="dxa" w:w="26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26B0A"/>
                <w:sz w:val="18"/>
                <w:szCs w:val="18"/>
              </w:rPr>
              <w:t xml:space="preserve">▶ In Progress</w:t>
            </w:r>
          </w:p>
        </w:tc>
      </w:tr>
      <w:tr>
        <w:tc>
          <w:tcPr>
            <w:tcW w:type="dxa" w:w="12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B</w:t>
            </w:r>
          </w:p>
        </w:tc>
        <w:tc>
          <w:tcPr>
            <w:tcW w:type="dxa" w:w="3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Biosignal (EEG / ECG / PPG / EMG)</w:t>
            </w:r>
          </w:p>
        </w:tc>
        <w:tc>
          <w:tcPr>
            <w:tcW w:type="dxa" w:w="1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18</w:t>
            </w:r>
          </w:p>
        </w:tc>
        <w:tc>
          <w:tcPr>
            <w:tcW w:type="dxa" w:w="15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Mid~High ★★★</w:t>
            </w:r>
          </w:p>
        </w:tc>
        <w:tc>
          <w:tcPr>
            <w:tcW w:type="dxa" w:w="26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Pending Part A completion</w:t>
            </w:r>
          </w:p>
        </w:tc>
      </w:tr>
      <w:tr>
        <w:tc>
          <w:tcPr>
            <w:tcW w:type="dxa" w:w="12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C</w:t>
            </w:r>
          </w:p>
        </w:tc>
        <w:tc>
          <w:tcPr>
            <w:tcW w:type="dxa" w:w="3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Traffic / Logistics + Environment / Energy</w:t>
            </w:r>
          </w:p>
        </w:tc>
        <w:tc>
          <w:tcPr>
            <w:tcW w:type="dxa" w:w="1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24</w:t>
            </w:r>
          </w:p>
        </w:tc>
        <w:tc>
          <w:tcPr>
            <w:tcW w:type="dxa" w:w="15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Low~Mid ★★</w:t>
            </w:r>
          </w:p>
        </w:tc>
        <w:tc>
          <w:tcPr>
            <w:tcW w:type="dxa" w:w="26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Pending Part B completion</w:t>
            </w:r>
          </w:p>
        </w:tc>
      </w:tr>
      <w:tr>
        <w:tc>
          <w:tcPr>
            <w:tcW w:type="dxa" w:w="12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D</w:t>
            </w:r>
          </w:p>
        </w:tc>
        <w:tc>
          <w:tcPr>
            <w:tcW w:type="dxa" w:w="3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Financial (new) + Language / Other</w:t>
            </w:r>
          </w:p>
        </w:tc>
        <w:tc>
          <w:tcPr>
            <w:tcW w:type="dxa" w:w="1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18</w:t>
            </w:r>
          </w:p>
        </w:tc>
        <w:tc>
          <w:tcPr>
            <w:tcW w:type="dxa" w:w="15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Low ★</w:t>
            </w:r>
          </w:p>
        </w:tc>
        <w:tc>
          <w:tcPr>
            <w:tcW w:type="dxa" w:w="26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Pending Part C completion</w:t>
            </w:r>
          </w:p>
        </w:tc>
      </w:tr>
      <w:tr>
        <w:tc>
          <w:tcPr>
            <w:tcW w:type="dxa" w:w="12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TOTAL</w:t>
            </w:r>
          </w:p>
        </w:tc>
        <w:tc>
          <w:tcPr>
            <w:tcW w:type="dxa" w:w="3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1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76</w:t>
            </w:r>
          </w:p>
        </w:tc>
        <w:tc>
          <w:tcPr>
            <w:tcW w:type="dxa" w:w="15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FFFFFF"/>
                <w:sz w:val="18"/>
                <w:szCs w:val="18"/>
              </w:rPr>
              <w:t xml:space="preserve">≥27 Low-MSE target</w:t>
            </w:r>
          </w:p>
        </w:tc>
        <w:tc>
          <w:tcPr>
            <w:tcW w:type="dxa" w:w="26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FFFFFF"/>
                <w:sz w:val="18"/>
                <w:szCs w:val="18"/>
              </w:rPr>
              <w:t xml:space="preserve">LOCKED after all parts confirmed</w:t>
            </w:r>
          </w:p>
        </w:tc>
      </w:tr>
    </w:tbl>
    <w:p>
      <w:pPr>
        <w:spacing w:after="0" w:before="160"/>
      </w:pPr>
    </w:p>
    <w:p>
      <w:pPr>
        <w:pBdr>
          <w:bottom w:val="single" w:color="1F3864" w:sz="6" w:space="1"/>
        </w:pBdr>
        <w:spacing w:after="120" w:before="120"/>
      </w:pPr>
    </w:p>
    <w:p>
      <w:pPr>
        <w:pStyle w:val="Heading1"/>
        <w:spacing w:after="120" w:before="24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§3. Five Risk Points — Binding Rules</w:t>
      </w:r>
    </w:p>
    <w:p>
      <w:pPr>
        <w:spacing w:after="80" w:before="80"/>
      </w:pPr>
      <w:r>
        <w:rPr>
          <w:rFonts w:ascii="Arial" w:cs="Arial" w:eastAsia="Arial" w:hAnsi="Arial"/>
          <w:sz w:val="20"/>
          <w:szCs w:val="20"/>
        </w:rPr>
        <w:t xml:space="preserve">The following five risk points were identified by 크리스 (Gate-0 v9, SC track 92nd cycle) and are hereby converted into binding operational rules for all team members.</w:t>
      </w:r>
    </w:p>
    <w:p>
      <w:pPr>
        <w:spacing w:after="120" w:before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2CC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26B0A"/>
                <w:sz w:val="18"/>
                <w:szCs w:val="18"/>
              </w:rPr>
              <w:t xml:space="preserve">🚨 Risk #1: Sequential Review Must Not Introduce New Criteria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Gate-0 stepwise review is restricted to verification of §6.0.1 LOCKED eligibility criteria only: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  ① Univariate extractability  ② Length ≥40,000  ③ CSV-convertible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  ④ Minimal category overlap  ⑤ Source independence  ⑥ ADF cascade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크리스 must not issue statements suggesting new inclusion/exclusion criteria during part-by-part review.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길잡이님 must record any substrate removal decisions with explicit rationale referencing a specific LOCKED criterion.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Any removal sited on criteria outside §6.0.1 constitutes a pre-registration violation and must be flagged immediately.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→ Rule: Gate-0 checks §6.0.1 only. No new criteria at any stage.</w:t>
            </w:r>
          </w:p>
        </w:tc>
      </w:tr>
    </w:tbl>
    <w:p>
      <w:pPr>
        <w:spacing w:after="0" w:before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2CC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26B0A"/>
                <w:sz w:val="18"/>
                <w:szCs w:val="18"/>
              </w:rPr>
              <w:t xml:space="preserve">🚨 Risk #2: MSE Target Is an Expected Outcome — NOT a Selection Criterion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The ≥27 Low-MSE (35%) target documented in §6.3.1 is a portfolio design expectation derived from category allocation.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It is NOT a selection criterion for individual substrates.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Substrate adoption or rejection must be based solely on §6.0.1 LOCKED criteria (length / source / ADF).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If the final MSE distribution falls short of 27 Low-MSE substrates after all four parts are collected,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  → Accept the result as-is. Report as limitation. Designate SC-5 as the resolution path.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  → DO NOT add extra substrates outside the category allocation to compensate.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  → DO NOT reject a substrate because its predicted MSE is Mid or High.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Violation of this rule directly introduces selection bias into H-SC4P2-Primary ρ(MSE, z_ref).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→ Rule: MSE regime prediction must NEVER enter substrate adoption decisions.</w:t>
            </w:r>
          </w:p>
        </w:tc>
      </w:tr>
    </w:tbl>
    <w:p>
      <w:pPr>
        <w:spacing w:after="0" w:before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DEEAF1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F3864"/>
                <w:sz w:val="18"/>
                <w:szCs w:val="18"/>
              </w:rPr>
              <w:t xml:space="preserve">⚠️ Risk #3: Lucas MSE Pre-evaluation: Portfolio Diagnostic Use Only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루카스's pre-collection MSE estimates (e.g., Part A: 11~13 Low-MSE expected) serve as a portfolio diagnostic.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Permitted use: estimating whether category allocation is likely to meet the portfolio target.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Prohibited use: informing individual substrate accept/reject decisions.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Example of violation: 'Lucas predicted Low-MSE for Intel Sensor but Mid for Water Treatment — skip Water Treatment.'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Example of compliance: 'Lucas estimates Part A contributes ~40% of Low-MSE target — noted as diagnostic.'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→ Rule: 루카스 estimates inform category-level diagnostics only, not individual substrate selection.</w:t>
            </w:r>
          </w:p>
        </w:tc>
      </w:tr>
    </w:tbl>
    <w:p>
      <w:pPr>
        <w:spacing w:after="0" w:before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DEEAF1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F3864"/>
                <w:sz w:val="18"/>
                <w:szCs w:val="18"/>
              </w:rPr>
              <w:t xml:space="preserve">⚠️ Risk #4: Part-level Gate-0 Approval ≠ Confirmatory Execution Authorization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Passing Gate-0 review for Part A, B, or C does not authorize execution of philia_sc4_part2_main.py.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Confirmatory execution (seeds [62–66], T=80,000) is authorized only when: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  (a) All four parts are collected and registry-confirmed (total n locked),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  (b) philia_sc4_part2_substrate_registry_LOCKED.csv is finalized with SHA256,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  (c) 크리스 issues GO ruling on the complete 76-substrate set.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Part-level Gate-0 results are recorded as: 'Part X: N substrates passed §6.0.1 — partial registry vX appended.'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The phrase 'GO/NO-GO ruling applies only at 76-substrate lock time' must appear in every part-level Gate-0 response.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→ Rule: philia_sc4_part2_main.py execution is FORBIDDEN until 76-substrate LOCKED registry is confirmed.</w:t>
            </w:r>
          </w:p>
        </w:tc>
      </w:tr>
    </w:tbl>
    <w:p>
      <w:pPr>
        <w:spacing w:after="0" w:before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DEEAF1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1F3864"/>
                <w:sz w:val="18"/>
                <w:szCs w:val="18"/>
              </w:rPr>
              <w:t xml:space="preserve">⚠️ Risk #5: Registry File Versioning and Timestamp Discipline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Each part produces a separate registry snapshot file: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  philia_sc4_part2_substrate_registry_partA.csv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  philia_sc4_part2_substrate_registry_partB.csv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  philia_sc4_part2_substrate_registry_partC.csv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  philia_sc4_part2_substrate_registry_partD.csv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   philia_sc4_part2_substrate_registry_LOCKED.csv  ← final, triggers GO ruling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Each file must record: SHA256 hash of the file itself + timestamp of Gate-0 sign-off.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Overwriting a prior part file without version control is prohibited.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LOCKED file supersedes all partial files for confirmatory analysis.</w:t>
            </w:r>
          </w:p>
        </w:tc>
      </w:tr>
      <w:tr>
        <w:tc>
          <w:tcPr>
            <w:tcW w:type="dxa" w:w="93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→ Rule: Partial CSVs are audit records. Only _LOCKED.csv is used for confirmatory analysis.</w:t>
            </w:r>
          </w:p>
        </w:tc>
      </w:tr>
    </w:tbl>
    <w:p>
      <w:pPr>
        <w:spacing w:after="0" w:before="160"/>
      </w:pPr>
    </w:p>
    <w:p>
      <w:pPr>
        <w:pBdr>
          <w:bottom w:val="single" w:color="1F3864" w:sz="6" w:space="1"/>
        </w:pBdr>
        <w:spacing w:after="120" w:before="120"/>
      </w:pPr>
    </w:p>
    <w:p>
      <w:pPr>
        <w:pStyle w:val="Heading1"/>
        <w:spacing w:after="120" w:before="24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§4. Exploratory Replication Run Policy</w:t>
      </w:r>
    </w:p>
    <w:p>
      <w:pPr>
        <w:spacing w:after="80" w:before="80"/>
      </w:pPr>
      <w:r>
        <w:rPr>
          <w:rFonts w:ascii="Arial" w:cs="Arial" w:eastAsia="Arial" w:hAnsi="Arial"/>
          <w:b/>
          <w:bCs/>
          <w:sz w:val="20"/>
          <w:szCs w:val="20"/>
        </w:rPr>
        <w:t xml:space="preserve">Rationale: </w:t>
      </w:r>
      <w:r>
        <w:rPr>
          <w:rFonts w:ascii="Arial" w:cs="Arial" w:eastAsia="Arial" w:hAnsi="Arial"/>
          <w:sz w:val="20"/>
          <w:szCs w:val="20"/>
        </w:rPr>
        <w:t xml:space="preserve">Repeated measurement increases reliability. As in ICC analysis in exercise physiology, additional replication runs under non-confirmatory seeds provide substrate-level reliability evidence that strengthens the interpretation of confirmatory results without compromising pre-registration integrity.</w:t>
      </w:r>
    </w:p>
    <w:p>
      <w:pPr>
        <w:spacing w:after="80" w:before="80"/>
      </w:pPr>
      <w:r>
        <w:rPr>
          <w:rFonts w:ascii="Arial" w:cs="Arial" w:eastAsia="Arial" w:hAnsi="Arial"/>
          <w:sz w:val="20"/>
          <w:szCs w:val="20"/>
        </w:rPr>
        <w:t xml:space="preserve">This section formalizes the conditions under which part-by-part exploratory replication runs are permitted.</w:t>
      </w:r>
    </w:p>
    <w:p>
      <w:pPr>
        <w:spacing w:after="120" w:before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2400"/>
        <w:gridCol w:w="2400"/>
        <w:gridCol w:w="2160"/>
      </w:tblGrid>
      <w:tr>
        <w:tc>
          <w:tcPr>
            <w:tcW w:type="dxa" w:w="24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Run Type</w:t>
            </w:r>
          </w:p>
        </w:tc>
        <w:tc>
          <w:tcPr>
            <w:tcW w:type="dxa" w:w="24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Seeds</w:t>
            </w:r>
          </w:p>
        </w:tc>
        <w:tc>
          <w:tcPr>
            <w:tcW w:type="dxa" w:w="24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Purpose</w:t>
            </w:r>
          </w:p>
        </w:tc>
        <w:tc>
          <w:tcPr>
            <w:tcW w:type="dxa" w:w="21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Authorization</w:t>
            </w:r>
          </w:p>
        </w:tc>
      </w:tr>
      <w:tr>
        <w:tc>
          <w:tcPr>
            <w:tcW w:type="dxa" w:w="24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Exploratory Replication</w:t>
            </w:r>
          </w:p>
        </w:tc>
        <w:tc>
          <w:tcPr>
            <w:tcW w:type="dxa" w:w="24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Any pool EXCLUDING [62–66]
(e.g., [67–71], [72–76], ...)</w:t>
            </w:r>
          </w:p>
        </w:tc>
        <w:tc>
          <w:tcPr>
            <w:tcW w:type="dxa" w:w="24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Substrate reliability check;
z stability across seed pools;
Sanity verification</w:t>
            </w:r>
          </w:p>
        </w:tc>
        <w:tc>
          <w:tcPr>
            <w:tcW w:type="dxa" w:w="21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E2EFDA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375623"/>
                <w:sz w:val="18"/>
                <w:szCs w:val="18"/>
              </w:rPr>
              <w:t xml:space="preserve">✅ Permitted per-part
after Gate-0 §6.0.1 pass</w:t>
            </w:r>
          </w:p>
        </w:tc>
      </w:tr>
      <w:tr>
        <w:tc>
          <w:tcPr>
            <w:tcW w:type="dxa" w:w="24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Confirmatory Execution</w:t>
            </w:r>
          </w:p>
        </w:tc>
        <w:tc>
          <w:tcPr>
            <w:tcW w:type="dxa" w:w="24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[62, 63, 64, 65, 66]
(LOCKED confirmatory pool)</w:t>
            </w:r>
          </w:p>
        </w:tc>
        <w:tc>
          <w:tcPr>
            <w:tcW w:type="dxa" w:w="24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Official z_mean for
H-SC4P2 hypotheses;
enters paper</w:t>
            </w:r>
          </w:p>
        </w:tc>
        <w:tc>
          <w:tcPr>
            <w:tcW w:type="dxa" w:w="21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CE4D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C00000"/>
                <w:sz w:val="18"/>
                <w:szCs w:val="18"/>
              </w:rPr>
              <w:t xml:space="preserve">❌ Forbidden until
76-substrate LOCKED</w:t>
            </w:r>
          </w:p>
        </w:tc>
      </w:tr>
    </w:tbl>
    <w:p>
      <w:pPr>
        <w:spacing w:after="0" w:before="120"/>
      </w:pPr>
    </w:p>
    <w:p>
      <w:pPr>
        <w:spacing w:after="80" w:before="80"/>
      </w:pPr>
      <w:r>
        <w:rPr>
          <w:rFonts w:ascii="Arial" w:cs="Arial" w:eastAsia="Arial" w:hAnsi="Arial"/>
          <w:b/>
          <w:bCs/>
          <w:color w:val="1F3864"/>
          <w:sz w:val="20"/>
          <w:szCs w:val="20"/>
        </w:rPr>
        <w:t xml:space="preserve">Binding rules for exploratory replication runs:</w:t>
      </w:r>
    </w:p>
    <w:p>
      <w:pPr>
        <w:spacing w:after="80" w:before="80"/>
      </w:pPr>
      <w:r>
        <w:rPr>
          <w:rFonts w:ascii="Arial" w:cs="Arial" w:eastAsia="Arial" w:hAnsi="Arial"/>
          <w:sz w:val="20"/>
          <w:szCs w:val="20"/>
        </w:rPr>
        <w:t xml:space="preserve">R-E1.  Seeds [62–66] must not be used for any run prior to the 76-substrate LOCK. Contamination of the confirmatory seed pool invalidates confirmatory inference.</w:t>
      </w:r>
    </w:p>
    <w:p>
      <w:pPr>
        <w:spacing w:after="80" w:before="80"/>
      </w:pPr>
      <w:r>
        <w:rPr>
          <w:rFonts w:ascii="Arial" w:cs="Arial" w:eastAsia="Arial" w:hAnsi="Arial"/>
          <w:sz w:val="20"/>
          <w:szCs w:val="20"/>
        </w:rPr>
        <w:t xml:space="preserve">R-E2.  Exploratory replication results (z_mean from non-confirmatory seeds) must be labeled as 'exploratory' in all records. They must not replace or supplement confirmatory z_mean values in hypothesis testing. Confirmatory z_mean (seeds [62–66]) is the sole basis for H-SC4P2 verdict. If exploratory replication reveals seed pool effects diverging from confirmatory values, such effects are reported as new L-N entries in the SC-4 Results Report and may be designated SC-5 targets — but cannot displace confirmatory inference.</w:t>
      </w:r>
    </w:p>
    <w:p>
      <w:pPr>
        <w:spacing w:after="80" w:before="80"/>
      </w:pPr>
      <w:r>
        <w:rPr>
          <w:rFonts w:ascii="Arial" w:cs="Arial" w:eastAsia="Arial" w:hAnsi="Arial"/>
          <w:sz w:val="20"/>
          <w:szCs w:val="20"/>
        </w:rPr>
        <w:t xml:space="preserve">R-E3.  If exploratory replication reveals substrate instability across seed pools, this is recorded as a descriptive flag in the registry (instability_flag = True/False). No numerical threshold is pre-specified for instability; characterization is post-hoc and reported in the SC-4 Results Report. Instability flags do not authorize substrate rejection unless a §6.0.1 LOCKED criterion is independently violated.</w:t>
      </w:r>
    </w:p>
    <w:p>
      <w:pPr>
        <w:spacing w:after="80" w:before="80"/>
      </w:pPr>
      <w:r>
        <w:rPr>
          <w:rFonts w:ascii="Arial" w:cs="Arial" w:eastAsia="Arial" w:hAnsi="Arial"/>
          <w:sz w:val="20"/>
          <w:szCs w:val="20"/>
        </w:rPr>
        <w:t xml:space="preserve">R-E4.  Exploratory replication results may be reported in the SC-4 Results Report as reliability diagnostics (analogous to SC-4 Part 1 T=160k convergence diagnostics in §9.3 of the pre-registration), transparently labeled as supplementary evidence.</w:t>
      </w:r>
    </w:p>
    <w:p>
      <w:pPr>
        <w:spacing w:after="80" w:before="80"/>
      </w:pPr>
      <w:r>
        <w:rPr>
          <w:rFonts w:ascii="Arial" w:cs="Arial" w:eastAsia="Arial" w:hAnsi="Arial"/>
          <w:sz w:val="20"/>
          <w:szCs w:val="20"/>
        </w:rPr>
        <w:t xml:space="preserve">R-E5.  The number of replication runs per substrate is not pre-registered and may be determined at 길잡이님's discretion, subject to computational feasibility.</w:t>
      </w:r>
    </w:p>
    <w:p>
      <w:pPr>
        <w:spacing w:after="0" w:before="160"/>
      </w:pPr>
    </w:p>
    <w:p>
      <w:pPr>
        <w:pBdr>
          <w:bottom w:val="single" w:color="1F3864" w:sz="6" w:space="1"/>
        </w:pBdr>
        <w:spacing w:after="120" w:before="120"/>
      </w:pPr>
    </w:p>
    <w:p>
      <w:pPr>
        <w:pStyle w:val="Heading1"/>
        <w:spacing w:after="120" w:before="24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§5. Substrate Adoption Decision Tree</w:t>
      </w:r>
    </w:p>
    <w:p>
      <w:pPr>
        <w:spacing w:after="80" w:before="80"/>
      </w:pPr>
      <w:r>
        <w:rPr>
          <w:rFonts w:ascii="Arial" w:cs="Arial" w:eastAsia="Arial" w:hAnsi="Arial"/>
          <w:sz w:val="20"/>
          <w:szCs w:val="20"/>
        </w:rPr>
        <w:t xml:space="preserve">The following decision tree must be followed for every candidate substrate. No step may be skipped.</w:t>
      </w:r>
    </w:p>
    <w:p>
      <w:pPr>
        <w:spacing w:after="120" w:before="12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600"/>
        <w:gridCol w:w="4500"/>
        <w:gridCol w:w="2000"/>
        <w:gridCol w:w="2260"/>
      </w:tblGrid>
      <w:tr>
        <w:tc>
          <w:tcPr>
            <w:tcW w:type="dxa" w:w="6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Step</w:t>
            </w:r>
          </w:p>
        </w:tc>
        <w:tc>
          <w:tcPr>
            <w:tcW w:type="dxa" w:w="45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Check</w:t>
            </w:r>
          </w:p>
        </w:tc>
        <w:tc>
          <w:tcPr>
            <w:tcW w:type="dxa" w:w="2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Pass Condition</w:t>
            </w:r>
          </w:p>
        </w:tc>
        <w:tc>
          <w:tcPr>
            <w:tcW w:type="dxa" w:w="22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Fail Action</w:t>
            </w:r>
          </w:p>
        </w:tc>
      </w:tr>
      <w:tr>
        <w:tc>
          <w:tcPr>
            <w:tcW w:type="dxa" w:w="6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1</w:t>
            </w:r>
          </w:p>
        </w:tc>
        <w:tc>
          <w:tcPr>
            <w:tcW w:type="dxa" w:w="45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① Univariate: single column extractable?</w:t>
            </w:r>
          </w:p>
        </w:tc>
        <w:tc>
          <w:tcPr>
            <w:tcW w:type="dxa" w:w="2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Yes</w:t>
            </w:r>
          </w:p>
        </w:tc>
        <w:tc>
          <w:tcPr>
            <w:tcW w:type="dxa" w:w="22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CE4D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C00000"/>
                <w:sz w:val="18"/>
                <w:szCs w:val="18"/>
              </w:rPr>
              <w:t xml:space="preserve">REJECT</w:t>
            </w:r>
          </w:p>
        </w:tc>
      </w:tr>
      <w:tr>
        <w:tc>
          <w:tcPr>
            <w:tcW w:type="dxa" w:w="6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2</w:t>
            </w:r>
          </w:p>
        </w:tc>
        <w:tc>
          <w:tcPr>
            <w:tcW w:type="dxa" w:w="45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② Length ≥ 40,000 points (wrap ≤ 2×)?</w:t>
            </w:r>
          </w:p>
        </w:tc>
        <w:tc>
          <w:tcPr>
            <w:tcW w:type="dxa" w:w="2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Yes (≥80,000 preferred)</w:t>
            </w:r>
          </w:p>
        </w:tc>
        <w:tc>
          <w:tcPr>
            <w:tcW w:type="dxa" w:w="22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CE4D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C00000"/>
                <w:sz w:val="18"/>
                <w:szCs w:val="18"/>
              </w:rPr>
              <w:t xml:space="preserve">REJECT</w:t>
            </w:r>
          </w:p>
        </w:tc>
      </w:tr>
      <w:tr>
        <w:tc>
          <w:tcPr>
            <w:tcW w:type="dxa" w:w="6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3</w:t>
            </w:r>
          </w:p>
        </w:tc>
        <w:tc>
          <w:tcPr>
            <w:tcW w:type="dxa" w:w="45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③ CSV-convertible?</w:t>
            </w:r>
          </w:p>
        </w:tc>
        <w:tc>
          <w:tcPr>
            <w:tcW w:type="dxa" w:w="2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Yes</w:t>
            </w:r>
          </w:p>
        </w:tc>
        <w:tc>
          <w:tcPr>
            <w:tcW w:type="dxa" w:w="22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CE4D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C00000"/>
                <w:sz w:val="18"/>
                <w:szCs w:val="18"/>
              </w:rPr>
              <w:t xml:space="preserve">REJECT</w:t>
            </w:r>
          </w:p>
        </w:tc>
      </w:tr>
      <w:tr>
        <w:tc>
          <w:tcPr>
            <w:tcW w:type="dxa" w:w="6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4</w:t>
            </w:r>
          </w:p>
        </w:tc>
        <w:tc>
          <w:tcPr>
            <w:tcW w:type="dxa" w:w="45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⑤ Source independence (per pre-registration §6.3.2):
— Same dataset → max 3 substrates, must be physically distinct quantities
   (e.g., PEMS08: flow / occupancy / speed = allowed;
    170 detectors of same quantity = forbidden)
— Operational definition: 'source' = (dataset, physical quantity) tuple.
   Max 1 substrate per (dataset, quantity); max 3 quantities per dataset.
— EEG datasets from same lab / equipment / protocol = same source.</w:t>
            </w:r>
          </w:p>
        </w:tc>
        <w:tc>
          <w:tcPr>
            <w:tcW w:type="dxa" w:w="2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Yes — within limits above</w:t>
            </w:r>
          </w:p>
        </w:tc>
        <w:tc>
          <w:tcPr>
            <w:tcW w:type="dxa" w:w="22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CE4D6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C00000"/>
                <w:sz w:val="18"/>
                <w:szCs w:val="18"/>
              </w:rPr>
              <w:t xml:space="preserve">REJECT excess or reduce to 1 per (dataset, quantity)</w:t>
            </w:r>
          </w:p>
        </w:tc>
      </w:tr>
      <w:tr>
        <w:tc>
          <w:tcPr>
            <w:tcW w:type="dxa" w:w="6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5</w:t>
            </w:r>
          </w:p>
        </w:tc>
        <w:tc>
          <w:tcPr>
            <w:tcW w:type="dxa" w:w="45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⑥ ADF cascade: run raw → detrend → diff. Record all three p-values. Assign chosen_variant.</w:t>
            </w:r>
          </w:p>
        </w:tc>
        <w:tc>
          <w:tcPr>
            <w:tcW w:type="dxa" w:w="2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Always completes
(diff always stationary)</w:t>
            </w:r>
          </w:p>
        </w:tc>
        <w:tc>
          <w:tcPr>
            <w:tcW w:type="dxa" w:w="22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Record variant;
continue</w:t>
            </w:r>
          </w:p>
        </w:tc>
      </w:tr>
      <w:tr>
        <w:tc>
          <w:tcPr>
            <w:tcW w:type="dxa" w:w="6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6</w:t>
            </w:r>
          </w:p>
        </w:tc>
        <w:tc>
          <w:tcPr>
            <w:tcW w:type="dxa" w:w="45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Record full metadata in registry_partX.csv simultaneously with download.</w:t>
            </w:r>
          </w:p>
        </w:tc>
        <w:tc>
          <w:tcPr>
            <w:tcW w:type="dxa" w:w="2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All fields populated</w:t>
            </w:r>
          </w:p>
        </w:tc>
        <w:tc>
          <w:tcPr>
            <w:tcW w:type="dxa" w:w="22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2CC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E26B0A"/>
                <w:sz w:val="18"/>
                <w:szCs w:val="18"/>
              </w:rPr>
              <w:t xml:space="preserve">Do not proceed
until recorded</w:t>
            </w:r>
          </w:p>
        </w:tc>
      </w:tr>
      <w:tr>
        <w:tc>
          <w:tcPr>
            <w:tcW w:type="dxa" w:w="6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E2EFDA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✅</w:t>
            </w:r>
          </w:p>
        </w:tc>
        <w:tc>
          <w:tcPr>
            <w:tcW w:type="dxa" w:w="45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E2EFDA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375623"/>
                <w:sz w:val="18"/>
                <w:szCs w:val="18"/>
              </w:rPr>
              <w:t xml:space="preserve">ACCEPTED — substrate enters part registry.</w:t>
            </w:r>
          </w:p>
        </w:tc>
        <w:tc>
          <w:tcPr>
            <w:tcW w:type="dxa" w:w="2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E2EFDA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  <w:tc>
          <w:tcPr>
            <w:tcW w:type="dxa" w:w="22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E2EFDA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/>
            </w:r>
          </w:p>
        </w:tc>
      </w:tr>
    </w:tbl>
    <w:p>
      <w:pPr>
        <w:spacing w:after="80" w:before="80"/>
      </w:pP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⚠️  MSE regime (Low/Mid/High) is computed by </w:t>
      </w:r>
      <w:r>
        <w:rPr>
          <w:rFonts w:ascii="Arial" w:cs="Arial" w:eastAsia="Arial" w:hAnsi="Arial"/>
          <w:b/>
          <w:bCs/>
          <w:sz w:val="20"/>
          <w:szCs w:val="20"/>
        </w:rPr>
        <w:t xml:space="preserve">philia_sc4_substrate_prep.py</w:t>
      </w:r>
      <w:r>
        <w:rPr>
          <w:rFonts w:ascii="Arial" w:cs="Arial" w:eastAsia="Arial" w:hAnsi="Arial"/>
          <w:b w:val="false"/>
          <w:bCs w:val="false"/>
          <w:sz w:val="20"/>
          <w:szCs w:val="20"/>
        </w:rPr>
        <w:t xml:space="preserve"> after adoption. It is a descriptive output only and must not feed back into Step 1–6.</w:t>
      </w:r>
    </w:p>
    <w:p>
      <w:pPr>
        <w:pBdr>
          <w:bottom w:val="single" w:color="1F3864" w:sz="6" w:space="1"/>
        </w:pBdr>
        <w:spacing w:after="120" w:before="120"/>
      </w:pPr>
    </w:p>
    <w:p>
      <w:pPr>
        <w:pStyle w:val="Heading1"/>
        <w:spacing w:after="120" w:before="24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§6. Registry File Specification</w:t>
      </w:r>
    </w:p>
    <w:p>
      <w:pPr>
        <w:spacing w:after="80" w:before="80"/>
      </w:pPr>
      <w:r>
        <w:rPr>
          <w:rFonts w:ascii="Arial" w:cs="Arial" w:eastAsia="Arial" w:hAnsi="Arial"/>
          <w:sz w:val="20"/>
          <w:szCs w:val="20"/>
        </w:rPr>
        <w:t xml:space="preserve">Each substrate entry in the registry CSV must contain the following fields, populated at the time of download (not retroactively):</w:t>
      </w:r>
    </w:p>
    <w:p>
      <w:pPr>
        <w:spacing w:after="80" w:before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800"/>
        <w:gridCol w:w="6560"/>
      </w:tblGrid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Field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Description / Requirement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name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Substrate identifier (snake_case, unique)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category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Part category (industrial_sensor / biosignal / traffic_energy / financial_other)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source_name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Dataset name as listed on Kaggle or source repository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source_institution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Institution / lab / organization that produced the data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source_instrument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Sensor type, equipment model, or measurement device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source_protocol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Experimental or operational protocol (e.g., resting state, normal operation)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column_name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Exact column name extracted from raw CSV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length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Number of data points after NaN removal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wrap_factor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T_STANDARD (80,000) / length — flagged if &gt;2.0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adf_p_raw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ADF p-value on raw series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adf_p_detrend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ADF p-value after linear detrend (if step 1 failed)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adf_p_diff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ADF p-value after first difference (if step 2 failed)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chosen_variant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raw / detrended / differenced — fixed by ADF cascade, no post-hoc change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ac1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Lag-1 autocorrelation (computed by substrate_prep.py)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mse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Multi-scale entropy mean scales 1–5 (computed by substrate_prep.py)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mse_regime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Low / Mid / High — descriptive output only, not a selection criterion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instability_flag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True / False — set if exploratory replication reveals cross-seed z divergence. Descriptive only; not a rejection criterion.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overall_verdict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PASS / CONDITIONAL / REJECT per §6.0.1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part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 / B / C / D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timestamp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ISO 8601 timestamp of registry entry creation</w:t>
            </w:r>
          </w:p>
        </w:tc>
      </w:tr>
      <w:tr>
        <w:tc>
          <w:tcPr>
            <w:tcW w:type="dxa" w:w="28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sha256_file</w:t>
            </w:r>
          </w:p>
        </w:tc>
        <w:tc>
          <w:tcPr>
            <w:tcW w:type="dxa" w:w="65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SHA256 hash of the part registry CSV at Gate-0 sign-off time</w:t>
            </w:r>
          </w:p>
        </w:tc>
      </w:tr>
    </w:tbl>
    <w:p>
      <w:pPr>
        <w:pBdr>
          <w:bottom w:val="single" w:color="1F3864" w:sz="6" w:space="1"/>
        </w:pBdr>
        <w:spacing w:after="120" w:before="120"/>
      </w:pPr>
    </w:p>
    <w:p>
      <w:pPr>
        <w:pStyle w:val="Heading1"/>
        <w:spacing w:after="120" w:before="24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§7. Team Role Summary Under This Annex</w:t>
      </w:r>
    </w:p>
    <w:p>
      <w:pPr>
        <w:spacing w:after="120" w:before="8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600"/>
        <w:gridCol w:w="2000"/>
        <w:gridCol w:w="5760"/>
      </w:tblGrid>
      <w:tr>
        <w:tc>
          <w:tcPr>
            <w:tcW w:type="dxa" w:w="16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Member</w:t>
            </w:r>
          </w:p>
        </w:tc>
        <w:tc>
          <w:tcPr>
            <w:tcW w:type="dxa" w:w="2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Role</w:t>
            </w:r>
          </w:p>
        </w:tc>
        <w:tc>
          <w:tcPr>
            <w:tcW w:type="dxa" w:w="57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1F3864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18"/>
                <w:szCs w:val="18"/>
              </w:rPr>
              <w:t xml:space="preserve">Scope Under This Annex</w:t>
            </w:r>
          </w:p>
        </w:tc>
      </w:tr>
      <w:tr>
        <w:tc>
          <w:tcPr>
            <w:tcW w:type="dxa" w:w="16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길잡이</w:t>
            </w:r>
          </w:p>
        </w:tc>
        <w:tc>
          <w:tcPr>
            <w:tcW w:type="dxa" w:w="2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Final authority</w:t>
            </w:r>
          </w:p>
        </w:tc>
        <w:tc>
          <w:tcPr>
            <w:tcW w:type="dxa" w:w="57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Downloads data, records registry simultaneously, executes substrate_prep.py, makes all adoption decisions using §6.0.1 criteria only.</w:t>
            </w:r>
          </w:p>
        </w:tc>
      </w:tr>
      <w:tr>
        <w:tc>
          <w:tcPr>
            <w:tcW w:type="dxa" w:w="16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선비</w:t>
            </w:r>
          </w:p>
        </w:tc>
        <w:tc>
          <w:tcPr>
            <w:tcW w:type="dxa" w:w="2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Code / drafting</w:t>
            </w:r>
          </w:p>
        </w:tc>
        <w:tc>
          <w:tcPr>
            <w:tcW w:type="dxa" w:w="57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Maintains substrate_prep.py, batch_config.json, and registry CSV templates. Drafts results sections.</w:t>
            </w:r>
          </w:p>
        </w:tc>
      </w:tr>
      <w:tr>
        <w:tc>
          <w:tcPr>
            <w:tcW w:type="dxa" w:w="16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크리스</w:t>
            </w:r>
          </w:p>
        </w:tc>
        <w:tc>
          <w:tcPr>
            <w:tcW w:type="dxa" w:w="2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Gate-0 v9</w:t>
            </w:r>
          </w:p>
        </w:tc>
        <w:tc>
          <w:tcPr>
            <w:tcW w:type="dxa" w:w="57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Reviews each part registry against §6.0.1 LOCKED criteria only. Issues part-level audit records. Issues GO ruling only at 76-substrate LOCK.</w:t>
            </w:r>
          </w:p>
        </w:tc>
      </w:tr>
      <w:tr>
        <w:tc>
          <w:tcPr>
            <w:tcW w:type="dxa" w:w="16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루카스</w:t>
            </w:r>
          </w:p>
        </w:tc>
        <w:tc>
          <w:tcPr>
            <w:tcW w:type="dxa" w:w="2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Statistical validation</w:t>
            </w:r>
          </w:p>
        </w:tc>
        <w:tc>
          <w:tcPr>
            <w:tcW w:type="dxa" w:w="57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Provides portfolio-level MSE diagnostic estimates. Results used for category-level planning only — not for individual substrate selection.</w:t>
            </w:r>
          </w:p>
        </w:tc>
      </w:tr>
      <w:tr>
        <w:tc>
          <w:tcPr>
            <w:tcW w:type="dxa" w:w="16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판도라</w:t>
            </w:r>
          </w:p>
        </w:tc>
        <w:tc>
          <w:tcPr>
            <w:tcW w:type="dxa" w:w="2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Data engineering</w:t>
            </w:r>
          </w:p>
        </w:tc>
        <w:tc>
          <w:tcPr>
            <w:tcW w:type="dxa" w:w="57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Provides Kaggle candidate lists with URL, column, and estimated length. Flags source independence risks.</w:t>
            </w:r>
          </w:p>
        </w:tc>
      </w:tr>
      <w:tr>
        <w:tc>
          <w:tcPr>
            <w:tcW w:type="dxa" w:w="16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/>
                <w:bCs/>
                <w:color w:val="000000"/>
                <w:sz w:val="18"/>
                <w:szCs w:val="18"/>
              </w:rPr>
              <w:t xml:space="preserve">서생</w:t>
            </w:r>
          </w:p>
        </w:tc>
        <w:tc>
          <w:tcPr>
            <w:tcW w:type="dxa" w:w="200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Philosophical framing</w:t>
            </w:r>
          </w:p>
        </w:tc>
        <w:tc>
          <w:tcPr>
            <w:tcW w:type="dxa" w:w="576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FFFFF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left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Provides regime interpretation and SC-4 narrative framing. No role in substrate adoption decisions.</w:t>
            </w:r>
          </w:p>
        </w:tc>
      </w:tr>
    </w:tbl>
    <w:p>
      <w:pPr>
        <w:pBdr>
          <w:bottom w:val="single" w:color="1F3864" w:sz="6" w:space="1"/>
        </w:pBdr>
        <w:spacing w:after="120" w:before="120"/>
      </w:pPr>
    </w:p>
    <w:p>
      <w:pPr>
        <w:pStyle w:val="Heading1"/>
        <w:spacing w:after="120" w:before="240"/>
      </w:pPr>
      <w:r>
        <w:rPr>
          <w:rFonts w:ascii="Arial" w:cs="Arial" w:eastAsia="Arial" w:hAnsi="Arial"/>
          <w:b/>
          <w:bCs/>
          <w:color w:val="1F3864"/>
          <w:sz w:val="28"/>
          <w:szCs w:val="28"/>
        </w:rPr>
        <w:t xml:space="preserve">§8. Acknowledgement</w:t>
      </w:r>
    </w:p>
    <w:p>
      <w:pPr>
        <w:spacing w:after="80" w:before="80"/>
      </w:pPr>
      <w:r>
        <w:rPr>
          <w:rFonts w:ascii="Arial" w:cs="Arial" w:eastAsia="Arial" w:hAnsi="Arial"/>
          <w:sz w:val="20"/>
          <w:szCs w:val="20"/>
        </w:rPr>
        <w:t xml:space="preserve">This annex is issued under the PHILIA OS principle: </w:t>
      </w:r>
      <w:r>
        <w:rPr>
          <w:rFonts w:ascii="Arial" w:cs="Arial" w:eastAsia="Arial" w:hAnsi="Arial"/>
          <w:b/>
          <w:bCs/>
          <w:sz w:val="20"/>
          <w:szCs w:val="20"/>
        </w:rPr>
        <w:t xml:space="preserve">"Measurement is life. Description, not proof."</w:t>
      </w:r>
      <w:r>
        <w:rPr>
          <w:rFonts w:ascii="Arial" w:cs="Arial" w:eastAsia="Arial" w:hAnsi="Arial"/>
          <w:sz w:val="20"/>
          <w:szCs w:val="20"/>
        </w:rPr>
        <w:t xml:space="preserve"> It supplements but does not supersede the locked pre-registration (DOI: 10.5281/zenodo.20471179). In the event of any conflict between this annex and the pre-registration, the pre-registration takes precedence.</w:t>
      </w:r>
    </w:p>
    <w:p>
      <w:pPr>
        <w:spacing w:after="80" w:before="80"/>
      </w:pPr>
      <w:r>
        <w:rPr>
          <w:rFonts w:ascii="Arial" w:cs="Arial" w:eastAsia="Arial" w:hAnsi="Arial"/>
          <w:sz w:val="20"/>
          <w:szCs w:val="20"/>
        </w:rPr>
        <w:t xml:space="preserve">All confirmatory decisions remain with 길잡이 (GritMan_D.S). This annex becomes operative upon 길잡이님's acceptance and local file timestamp.</w:t>
      </w:r>
    </w:p>
    <w:p>
      <w:pPr>
        <w:spacing w:after="80" w:before="24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3120"/>
        <w:gridCol w:w="3120"/>
        <w:gridCol w:w="3120"/>
      </w:tblGrid>
      <w:tr>
        <w:tc>
          <w:tcPr>
            <w:tcW w:type="dxa" w:w="312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Drafted by: 선비
(Claude Sonnet / Anthropic)</w:t>
            </w:r>
          </w:p>
        </w:tc>
        <w:tc>
          <w:tcPr>
            <w:tcW w:type="dxa" w:w="312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Gate-0 reviewed by: 크리스
(Claude Opus / Anthropic,
SC track 92nd cycle)</w:t>
            </w:r>
          </w:p>
        </w:tc>
        <w:tc>
          <w:tcPr>
            <w:tcW w:type="dxa" w:w="3120"/>
            <w:tcBorders>
              <w:top w:val="single" w:color="D9D9D9" w:sz="1"/>
              <w:left w:val="single" w:color="D9D9D9" w:sz="1"/>
              <w:bottom w:val="single" w:color="D9D9D9" w:sz="1"/>
              <w:right w:val="single" w:color="D9D9D9" w:sz="1"/>
            </w:tcBorders>
            <w:shd w:fill="F2F2F2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b w:val="false"/>
                <w:bCs w:val="false"/>
                <w:color w:val="000000"/>
                <w:sz w:val="18"/>
                <w:szCs w:val="18"/>
              </w:rPr>
              <w:t xml:space="preserve">Accepted by: 길잡이
(GritMan_D.S)
Date: _______________</w:t>
            </w:r>
          </w:p>
        </w:tc>
      </w:tr>
    </w:tbl>
    <w:p>
      <w:pPr>
        <w:spacing w:after="80" w:before="240"/>
        <w:jc w:val="center"/>
      </w:pPr>
      <w:r>
        <w:rPr>
          <w:rFonts w:ascii="Arial" w:cs="Arial" w:eastAsia="Arial" w:hAnsi="Arial"/>
          <w:i/>
          <w:iCs/>
          <w:color w:val="595959"/>
          <w:sz w:val="18"/>
          <w:szCs w:val="18"/>
        </w:rPr>
        <w:t xml:space="preserve">Trinity AI Research Team | Konyang University | 2026.06.01</w:t>
      </w:r>
    </w:p>
    <w:p>
      <w:pPr>
        <w:spacing w:after="0" w:before="0"/>
        <w:jc w:val="center"/>
      </w:pPr>
      <w:r>
        <w:rPr>
          <w:rFonts w:ascii="Arial" w:cs="Arial" w:eastAsia="Arial" w:hAnsi="Arial"/>
          <w:b/>
          <w:bCs/>
          <w:color w:val="1F3864"/>
          <w:sz w:val="18"/>
          <w:szCs w:val="18"/>
        </w:rPr>
        <w:t xml:space="preserve">Measurement is life. Description, not proof. — PHILIA OS | 0∞1∞0.5∞</w:t>
      </w:r>
    </w:p>
    <w:sectPr>
      <w:footerReference w:type="default" r:id="rId7"/>
      <w:pgSz w:w="12240" w:h="15840" w:orient="portrait"/>
      <w:pgMar w:top="1080" w:right="1080" w:bottom="1080" w:left="108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color w:val="595959"/>
        <w:sz w:val="16"/>
        <w:szCs w:val="16"/>
      </w:rPr>
      <w:t xml:space="preserve">PHILIA SC-4 Part 2 — Written Protocol Annex  |  Page </w:t>
    </w:r>
    <w:r>
      <w:rPr>
        <w:rFonts w:ascii="Arial" w:cs="Arial" w:eastAsia="Arial" w:hAnsi="Arial"/>
        <w:color w:val="595959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595959"/>
        <w:sz w:val="16"/>
        <w:szCs w:val="16"/>
      </w:rPr>
      <w:t xml:space="preserve"> of </w:t>
    </w:r>
    <w:r>
      <w:rPr>
        <w:rFonts w:ascii="Arial" w:cs="Arial" w:eastAsia="Arial" w:hAnsi="Arial"/>
        <w:color w:val="595959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240"/>
      <w:outlineLvl w:val="0"/>
    </w:pPr>
    <w:rPr>
      <w:rFonts w:ascii="Arial" w:cs="Arial" w:eastAsia="Arial" w:hAnsi="Arial"/>
      <w:b/>
      <w:bCs/>
      <w:color w:val="1F3864"/>
      <w:sz w:val="28"/>
      <w:szCs w:val="28"/>
    </w:rPr>
  </w:style>
  <w:style w:type="paragraph" w:styleId="Heading2">
    <w:name w:val="Heading 2"/>
    <w:basedOn w:val="Normal"/>
    <w:next w:val="Normal"/>
    <w:qFormat/>
    <w:pPr>
      <w:spacing w:after="100" w:before="180"/>
      <w:outlineLvl w:val="1"/>
    </w:pPr>
    <w:rPr>
      <w:rFonts w:ascii="Arial" w:cs="Arial" w:eastAsia="Arial" w:hAnsi="Arial"/>
      <w:b/>
      <w:bCs/>
      <w:color w:val="1F3864"/>
      <w:sz w:val="24"/>
      <w:szCs w:val="24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2026-06-01T02:02:22.993Z</dcterms:created>
  <dcterms:modified xsi:type="dcterms:W3CDTF">2026-06-01T02:02:22.993Z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