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47C" w14:textId="77777777" w:rsidR="00A42A45" w:rsidRDefault="00A42A45" w:rsidP="007B204F">
      <w:pPr>
        <w:spacing w:after="360"/>
        <w:jc w:val="center"/>
        <w:rPr>
          <w:rFonts w:ascii="Arial" w:eastAsia="Arial" w:hAnsi="Arial" w:cs="Arial"/>
          <w:b/>
          <w:bCs/>
          <w:sz w:val="40"/>
          <w:szCs w:val="40"/>
        </w:rPr>
      </w:pPr>
      <w:r>
        <w:rPr>
          <w:rFonts w:ascii="Arial" w:eastAsia="Arial" w:hAnsi="Arial" w:cs="Arial"/>
          <w:b/>
          <w:bCs/>
          <w:sz w:val="40"/>
          <w:szCs w:val="40"/>
        </w:rPr>
        <w:t>Annotated Companion Guide</w:t>
      </w:r>
    </w:p>
    <w:p w14:paraId="71BEC21C" w14:textId="6CE9E7D4" w:rsidR="00A42A45" w:rsidRPr="00A42A45" w:rsidRDefault="00A42A45" w:rsidP="009912AC">
      <w:pPr>
        <w:spacing w:after="80"/>
        <w:jc w:val="center"/>
        <w:rPr>
          <w:i/>
          <w:iCs/>
          <w:color w:val="444444"/>
        </w:rPr>
      </w:pPr>
      <w:r w:rsidRPr="00A42A45">
        <w:rPr>
          <w:i/>
          <w:iCs/>
          <w:color w:val="444444"/>
        </w:rPr>
        <w:t>for the book</w:t>
      </w:r>
    </w:p>
    <w:p w14:paraId="609D615A" w14:textId="77777777" w:rsidR="007B204F" w:rsidRDefault="009912AC" w:rsidP="007B204F">
      <w:pPr>
        <w:spacing w:before="80"/>
        <w:jc w:val="center"/>
        <w:rPr>
          <w:i/>
          <w:iCs/>
          <w:color w:val="444444"/>
          <w:sz w:val="28"/>
          <w:szCs w:val="28"/>
        </w:rPr>
      </w:pPr>
      <w:r w:rsidRPr="00A42A45">
        <w:rPr>
          <w:b/>
          <w:bCs/>
          <w:i/>
          <w:iCs/>
          <w:color w:val="444444"/>
          <w:sz w:val="40"/>
          <w:szCs w:val="40"/>
        </w:rPr>
        <w:t>Cannabis Is Food</w:t>
      </w:r>
      <w:r w:rsidR="00702EDC" w:rsidRPr="00A42A45">
        <w:rPr>
          <w:i/>
          <w:iCs/>
          <w:color w:val="444444"/>
          <w:sz w:val="36"/>
          <w:szCs w:val="36"/>
        </w:rPr>
        <w:br/>
      </w:r>
      <w:r w:rsidR="00702EDC" w:rsidRPr="00A42A45">
        <w:rPr>
          <w:i/>
          <w:iCs/>
          <w:color w:val="444444"/>
          <w:sz w:val="28"/>
          <w:szCs w:val="28"/>
        </w:rPr>
        <w:t>Why Your Body Needs It Raw, Not Heated</w:t>
      </w:r>
    </w:p>
    <w:p w14:paraId="584AE884" w14:textId="10AC9DE1" w:rsidR="009912AC" w:rsidRPr="00153C7D" w:rsidRDefault="00153C7D" w:rsidP="007B204F">
      <w:pPr>
        <w:spacing w:after="80" w:line="264" w:lineRule="auto"/>
        <w:jc w:val="center"/>
        <w:rPr>
          <w:rFonts w:ascii="Helvetica" w:hAnsi="Helvetica" w:cs="Helvetica"/>
          <w:color w:val="666666"/>
          <w:sz w:val="20"/>
          <w:szCs w:val="20"/>
        </w:rPr>
      </w:pPr>
      <w:r w:rsidRPr="00153C7D">
        <w:rPr>
          <w:rFonts w:ascii="Helvetica" w:hAnsi="Helvetica" w:cs="Helvetica"/>
          <w:color w:val="666666"/>
          <w:sz w:val="20"/>
          <w:szCs w:val="20"/>
        </w:rPr>
        <w:t>DOI 10.5281/zenodo.20471362</w:t>
      </w:r>
    </w:p>
    <w:p w14:paraId="69656E3A" w14:textId="77777777" w:rsidR="00702EDC" w:rsidRPr="00702EDC" w:rsidRDefault="00702EDC" w:rsidP="009912AC">
      <w:pPr>
        <w:spacing w:after="80"/>
        <w:jc w:val="center"/>
        <w:rPr>
          <w:i/>
          <w:iCs/>
        </w:rPr>
      </w:pPr>
    </w:p>
    <w:p w14:paraId="215E6808" w14:textId="399A9D8B" w:rsidR="009912AC" w:rsidRPr="00434F35" w:rsidRDefault="009912AC" w:rsidP="00434F35">
      <w:pPr>
        <w:spacing w:after="160"/>
        <w:jc w:val="center"/>
        <w:rPr>
          <w:rFonts w:cs="Helvetica"/>
          <w:b/>
          <w:bCs/>
          <w:smallCaps/>
          <w:color w:val="666666"/>
          <w:sz w:val="28"/>
          <w:szCs w:val="28"/>
        </w:rPr>
      </w:pPr>
      <w:r w:rsidRPr="00434F35">
        <w:rPr>
          <w:rFonts w:cs="Helvetica"/>
          <w:b/>
          <w:bCs/>
          <w:smallCaps/>
          <w:color w:val="666666"/>
          <w:sz w:val="28"/>
          <w:szCs w:val="28"/>
        </w:rPr>
        <w:t>Jeffrey Benjamin</w:t>
      </w:r>
    </w:p>
    <w:p w14:paraId="179917CB" w14:textId="77777777" w:rsidR="00887FC4" w:rsidRPr="00434F35" w:rsidRDefault="00887FC4" w:rsidP="00434F35">
      <w:pPr>
        <w:spacing w:after="80"/>
        <w:jc w:val="center"/>
        <w:rPr>
          <w:rFonts w:cs="Helvetica"/>
          <w:i/>
          <w:iCs/>
          <w:color w:val="666666"/>
        </w:rPr>
      </w:pPr>
      <w:r w:rsidRPr="00434F35">
        <w:rPr>
          <w:rFonts w:cs="Helvetica"/>
          <w:i/>
          <w:iCs/>
          <w:color w:val="666666"/>
        </w:rPr>
        <w:t>Endocannabinoid Nutritional Biologist</w:t>
      </w:r>
    </w:p>
    <w:p w14:paraId="5FD2FA9F" w14:textId="0599CAC7" w:rsidR="00887FC4" w:rsidRPr="00434F35" w:rsidRDefault="00887FC4" w:rsidP="007B204F">
      <w:pPr>
        <w:spacing w:after="600" w:line="264" w:lineRule="auto"/>
        <w:jc w:val="center"/>
        <w:rPr>
          <w:rFonts w:ascii="Helvetica" w:hAnsi="Helvetica" w:cs="Helvetica"/>
          <w:color w:val="666666"/>
          <w:sz w:val="20"/>
          <w:szCs w:val="20"/>
        </w:rPr>
      </w:pPr>
      <w:r w:rsidRPr="00434F35">
        <w:rPr>
          <w:rFonts w:ascii="Helvetica" w:hAnsi="Helvetica" w:cs="Helvetica"/>
          <w:color w:val="666666"/>
          <w:sz w:val="20"/>
          <w:szCs w:val="20"/>
        </w:rPr>
        <w:t>ORCID 0009-0008-5226-4346</w:t>
      </w:r>
      <w:r w:rsidR="00C83E45">
        <w:rPr>
          <w:rFonts w:ascii="Helvetica" w:hAnsi="Helvetica" w:cs="Helvetica"/>
          <w:color w:val="666666"/>
          <w:sz w:val="20"/>
          <w:szCs w:val="20"/>
        </w:rPr>
        <w:br/>
        <w:t xml:space="preserve">DOI </w:t>
      </w:r>
      <w:r w:rsidR="00C83E45" w:rsidRPr="00C83E45">
        <w:rPr>
          <w:rFonts w:ascii="Helvetica" w:hAnsi="Helvetica" w:cs="Helvetica"/>
          <w:color w:val="666666"/>
          <w:sz w:val="20"/>
          <w:szCs w:val="20"/>
        </w:rPr>
        <w:t>10.5281/zenodo.20501206</w:t>
      </w:r>
    </w:p>
    <w:p w14:paraId="0BA926A3" w14:textId="77777777" w:rsidR="009749C7" w:rsidRPr="009749C7" w:rsidRDefault="000A0B67" w:rsidP="001B6722">
      <w:pPr>
        <w:spacing w:before="120" w:after="60" w:line="276" w:lineRule="auto"/>
        <w:rPr>
          <w:rFonts w:eastAsia="Arial" w:cs="Arial"/>
          <w:color w:val="222222"/>
        </w:rPr>
      </w:pPr>
      <w:r w:rsidRPr="009749C7">
        <w:rPr>
          <w:rFonts w:eastAsia="Arial" w:cs="Arial"/>
          <w:color w:val="222222"/>
        </w:rPr>
        <w:t>This document is a section-by-section map of the</w:t>
      </w:r>
      <w:r w:rsidR="009749C7" w:rsidRPr="009749C7">
        <w:rPr>
          <w:rFonts w:eastAsia="Arial" w:cs="Arial"/>
          <w:color w:val="222222"/>
        </w:rPr>
        <w:t xml:space="preserve"> </w:t>
      </w:r>
      <w:r w:rsidRPr="009749C7">
        <w:rPr>
          <w:rFonts w:eastAsia="Arial" w:cs="Arial"/>
          <w:color w:val="222222"/>
        </w:rPr>
        <w:t>book's scientific and nutritional argument, produced as a standalone companion for readers who wish to go deeper, practitioners seeking a clinical reference trail, and researchers tracing the intellectual lineage of Endocannabinoid Nutritional Biology.</w:t>
      </w:r>
    </w:p>
    <w:p w14:paraId="18221578" w14:textId="300B02FE" w:rsidR="009749C7" w:rsidRPr="009749C7" w:rsidRDefault="009749C7" w:rsidP="001B6722">
      <w:pPr>
        <w:spacing w:before="120" w:after="60" w:line="276" w:lineRule="auto"/>
        <w:rPr>
          <w:rFonts w:eastAsia="Arial" w:cs="Arial"/>
          <w:color w:val="222222"/>
        </w:rPr>
      </w:pPr>
      <w:r w:rsidRPr="009749C7">
        <w:rPr>
          <w:rFonts w:eastAsia="Arial" w:cs="Arial"/>
          <w:color w:val="222222"/>
        </w:rPr>
        <w:t xml:space="preserve">Think of the main </w:t>
      </w:r>
      <w:r w:rsidR="001B6722">
        <w:rPr>
          <w:rFonts w:eastAsia="Arial" w:cs="Arial"/>
          <w:color w:val="222222"/>
        </w:rPr>
        <w:t>book</w:t>
      </w:r>
      <w:r w:rsidRPr="009749C7">
        <w:rPr>
          <w:rFonts w:eastAsia="Arial" w:cs="Arial"/>
          <w:color w:val="222222"/>
        </w:rPr>
        <w:t xml:space="preserve"> as the </w:t>
      </w:r>
      <w:r w:rsidRPr="001B6722">
        <w:rPr>
          <w:rFonts w:eastAsia="Arial" w:cs="Arial"/>
          <w:b/>
          <w:bCs/>
          <w:color w:val="222222"/>
        </w:rPr>
        <w:t>journey</w:t>
      </w:r>
      <w:r w:rsidRPr="009749C7">
        <w:rPr>
          <w:rFonts w:eastAsia="Arial" w:cs="Arial"/>
          <w:color w:val="222222"/>
        </w:rPr>
        <w:t xml:space="preserve"> and this </w:t>
      </w:r>
      <w:r w:rsidR="001B6722">
        <w:rPr>
          <w:rFonts w:eastAsia="Arial" w:cs="Arial"/>
          <w:color w:val="222222"/>
        </w:rPr>
        <w:t>e</w:t>
      </w:r>
      <w:r w:rsidRPr="009749C7">
        <w:rPr>
          <w:rFonts w:eastAsia="Arial" w:cs="Arial"/>
          <w:color w:val="222222"/>
        </w:rPr>
        <w:t xml:space="preserve">xpanded </w:t>
      </w:r>
      <w:r w:rsidR="001B6722">
        <w:rPr>
          <w:rFonts w:eastAsia="Arial" w:cs="Arial"/>
          <w:color w:val="222222"/>
        </w:rPr>
        <w:t>table of contents</w:t>
      </w:r>
      <w:r w:rsidRPr="009749C7">
        <w:rPr>
          <w:rFonts w:eastAsia="Arial" w:cs="Arial"/>
          <w:color w:val="222222"/>
        </w:rPr>
        <w:t xml:space="preserve"> as the </w:t>
      </w:r>
      <w:r w:rsidRPr="001B6722">
        <w:rPr>
          <w:rFonts w:eastAsia="Arial" w:cs="Arial"/>
          <w:b/>
          <w:bCs/>
          <w:color w:val="222222"/>
        </w:rPr>
        <w:t>map with elevation contours, trail markers, and reference points</w:t>
      </w:r>
      <w:r w:rsidRPr="009749C7">
        <w:rPr>
          <w:rFonts w:eastAsia="Arial" w:cs="Arial"/>
          <w:color w:val="222222"/>
        </w:rPr>
        <w:t>.</w:t>
      </w:r>
      <w:r w:rsidR="001B6722">
        <w:rPr>
          <w:rFonts w:eastAsia="Arial" w:cs="Arial"/>
          <w:color w:val="222222"/>
        </w:rPr>
        <w:t xml:space="preserve"> </w:t>
      </w:r>
      <w:r w:rsidRPr="009749C7">
        <w:rPr>
          <w:rFonts w:eastAsia="Arial" w:cs="Arial"/>
          <w:color w:val="222222"/>
        </w:rPr>
        <w:t>It doesn't replace the main text, but it:</w:t>
      </w:r>
    </w:p>
    <w:p w14:paraId="4E1BAA0D" w14:textId="59CE71A6"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Accelerates navigation for targeted use</w:t>
      </w:r>
    </w:p>
    <w:p w14:paraId="16578D5E" w14:textId="213FB82A"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Strengthens academic credibility through explicit citation trails</w:t>
      </w:r>
    </w:p>
    <w:p w14:paraId="37D6FE0E" w14:textId="1D265489"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Makes methodological priorities (sex-stratification, nutritional framing) unmistakable</w:t>
      </w:r>
    </w:p>
    <w:p w14:paraId="4DDD2DAF" w14:textId="3C77C2BD"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Serves as a structural integrity check on the argument itself</w:t>
      </w:r>
    </w:p>
    <w:p w14:paraId="5CC53388" w14:textId="7C983B19" w:rsidR="009749C7" w:rsidRPr="009749C7" w:rsidRDefault="009749C7" w:rsidP="001B6722">
      <w:pPr>
        <w:spacing w:before="120" w:after="60" w:line="276" w:lineRule="auto"/>
        <w:rPr>
          <w:rFonts w:eastAsia="Arial" w:cs="Arial"/>
          <w:color w:val="222222"/>
        </w:rPr>
      </w:pPr>
      <w:r w:rsidRPr="009749C7">
        <w:rPr>
          <w:rFonts w:eastAsia="Arial" w:cs="Arial"/>
          <w:color w:val="222222"/>
        </w:rPr>
        <w:t xml:space="preserve">If you're evaluating this work for research, clinical consideration, or serious personal application, this </w:t>
      </w:r>
      <w:r w:rsidR="001B6722">
        <w:rPr>
          <w:rFonts w:eastAsia="Arial" w:cs="Arial"/>
          <w:color w:val="222222"/>
        </w:rPr>
        <w:t xml:space="preserve">is </w:t>
      </w:r>
      <w:r w:rsidRPr="009749C7">
        <w:rPr>
          <w:rFonts w:eastAsia="Arial" w:cs="Arial"/>
          <w:color w:val="222222"/>
        </w:rPr>
        <w:t>a high-value companion. If you're just exploring the core idea, the main text stands on its own.</w:t>
      </w:r>
    </w:p>
    <w:p w14:paraId="2321CA97" w14:textId="733BEB77" w:rsidR="000A0B67" w:rsidRDefault="000A0B67" w:rsidP="001B6722">
      <w:pPr>
        <w:spacing w:before="120" w:after="60" w:line="276" w:lineRule="auto"/>
        <w:rPr>
          <w:rFonts w:eastAsia="Arial" w:cs="Arial"/>
          <w:color w:val="222222"/>
        </w:rPr>
      </w:pPr>
      <w:r w:rsidRPr="009749C7">
        <w:rPr>
          <w:rFonts w:eastAsia="Arial" w:cs="Arial"/>
          <w:color w:val="222222"/>
        </w:rPr>
        <w:t xml:space="preserve">For each major section of the </w:t>
      </w:r>
      <w:proofErr w:type="gramStart"/>
      <w:r w:rsidRPr="009749C7">
        <w:rPr>
          <w:rFonts w:eastAsia="Arial" w:cs="Arial"/>
          <w:color w:val="222222"/>
        </w:rPr>
        <w:t>book</w:t>
      </w:r>
      <w:proofErr w:type="gramEnd"/>
      <w:r w:rsidRPr="009749C7">
        <w:rPr>
          <w:rFonts w:eastAsia="Arial" w:cs="Arial"/>
          <w:color w:val="222222"/>
        </w:rPr>
        <w:t xml:space="preserve"> it provides a synthesis paragraph describing what that section contributes — its value to the argument, its position in the structure, and where it points. Where published science directly supports the claims made, breadcrumb citations are provided as entry points for further reading rather than formal references. Chapter summaries synthesize across their sections. Part summaries describe the arc of each major structural movement. The document is organized to mirror the book's architecture precisely and can be read independently, read alongside the book, or used as a navigation instrument by those returning to specific content. It is </w:t>
      </w:r>
      <w:r w:rsidRPr="009749C7">
        <w:rPr>
          <w:rFonts w:eastAsia="Arial" w:cs="Arial"/>
          <w:color w:val="222222"/>
        </w:rPr>
        <w:lastRenderedPageBreak/>
        <w:t xml:space="preserve">available on </w:t>
      </w:r>
      <w:proofErr w:type="spellStart"/>
      <w:r w:rsidRPr="009749C7">
        <w:rPr>
          <w:rFonts w:eastAsia="Arial" w:cs="Arial"/>
          <w:color w:val="222222"/>
        </w:rPr>
        <w:t>Zenodo</w:t>
      </w:r>
      <w:proofErr w:type="spellEnd"/>
      <w:r w:rsidRPr="009749C7">
        <w:rPr>
          <w:rFonts w:eastAsia="Arial" w:cs="Arial"/>
          <w:color w:val="222222"/>
        </w:rPr>
        <w:t xml:space="preserve"> with its own DOI and as a premium companion to the print and </w:t>
      </w:r>
      <w:proofErr w:type="spellStart"/>
      <w:r w:rsidRPr="009749C7">
        <w:rPr>
          <w:rFonts w:eastAsia="Arial" w:cs="Arial"/>
          <w:color w:val="222222"/>
        </w:rPr>
        <w:t>ebook</w:t>
      </w:r>
      <w:proofErr w:type="spellEnd"/>
      <w:r w:rsidRPr="009749C7">
        <w:rPr>
          <w:rFonts w:eastAsia="Arial" w:cs="Arial"/>
          <w:color w:val="222222"/>
        </w:rPr>
        <w:t xml:space="preserve"> editions.</w:t>
      </w:r>
    </w:p>
    <w:p w14:paraId="7E6920A6" w14:textId="77777777" w:rsidR="008C48D4" w:rsidRPr="009749C7" w:rsidRDefault="008C48D4" w:rsidP="001B6722">
      <w:pPr>
        <w:spacing w:before="120" w:after="60" w:line="276" w:lineRule="auto"/>
        <w:rPr>
          <w:rFonts w:eastAsia="Arial" w:cs="Arial"/>
          <w:color w:val="222222"/>
        </w:rPr>
      </w:pPr>
    </w:p>
    <w:p w14:paraId="4B5FF013" w14:textId="39A3CB35" w:rsidR="00C661B8" w:rsidRDefault="00000000" w:rsidP="003C2323">
      <w:pPr>
        <w:keepNext/>
        <w:spacing w:before="240" w:after="60"/>
      </w:pPr>
      <w:r>
        <w:rPr>
          <w:rFonts w:ascii="Arial" w:eastAsia="Arial" w:hAnsi="Arial" w:cs="Arial"/>
          <w:b/>
          <w:bCs/>
          <w:caps/>
          <w:color w:val="222222"/>
          <w:sz w:val="26"/>
          <w:szCs w:val="26"/>
        </w:rPr>
        <w:t>Prologue</w:t>
      </w:r>
    </w:p>
    <w:p w14:paraId="3A89F3D3" w14:textId="4C045DCE" w:rsidR="00C661B8" w:rsidRDefault="00000000">
      <w:pPr>
        <w:spacing w:before="240" w:after="60"/>
        <w:ind w:left="360"/>
      </w:pPr>
      <w:r>
        <w:rPr>
          <w:rFonts w:ascii="Arial" w:eastAsia="Arial" w:hAnsi="Arial" w:cs="Arial"/>
          <w:b/>
          <w:bCs/>
        </w:rPr>
        <w:t>The Man on the Mountain</w:t>
      </w:r>
      <w:r>
        <w:rPr>
          <w:rFonts w:ascii="Arial" w:eastAsia="Arial" w:hAnsi="Arial" w:cs="Arial"/>
          <w:color w:val="888888"/>
          <w:sz w:val="20"/>
          <w:szCs w:val="20"/>
        </w:rPr>
        <w:t xml:space="preserve">   [</w:t>
      </w:r>
      <w:r w:rsidR="00A267FD">
        <w:rPr>
          <w:rFonts w:ascii="Arial" w:eastAsia="Arial" w:hAnsi="Arial" w:cs="Arial"/>
          <w:color w:val="888888"/>
          <w:sz w:val="20"/>
          <w:szCs w:val="20"/>
        </w:rPr>
        <w:t xml:space="preserve">page </w:t>
      </w:r>
      <w:r w:rsidR="009912AC">
        <w:rPr>
          <w:rFonts w:ascii="Arial" w:eastAsia="Arial" w:hAnsi="Arial" w:cs="Arial"/>
          <w:color w:val="888888"/>
          <w:sz w:val="20"/>
          <w:szCs w:val="20"/>
        </w:rPr>
        <w:t>1</w:t>
      </w:r>
      <w:r>
        <w:rPr>
          <w:rFonts w:ascii="Arial" w:eastAsia="Arial" w:hAnsi="Arial" w:cs="Arial"/>
          <w:color w:val="888888"/>
          <w:sz w:val="20"/>
          <w:szCs w:val="20"/>
        </w:rPr>
        <w:t>]</w:t>
      </w:r>
    </w:p>
    <w:p w14:paraId="595BC735" w14:textId="2738B0D2" w:rsidR="00C661B8" w:rsidRDefault="00D04D1B">
      <w:pPr>
        <w:spacing w:after="160" w:line="320" w:lineRule="auto"/>
        <w:ind w:left="360" w:right="360"/>
      </w:pPr>
      <w:r w:rsidRPr="00D04D1B">
        <w:rPr>
          <w:color w:val="333333"/>
          <w:sz w:val="20"/>
          <w:szCs w:val="20"/>
        </w:rPr>
        <w:t>The book opens on a documented case: a man whose three spinal surgeries included a severed nerve bundle and a permanent disability prognosis who walks fourteen years later, with no scar tissue, after changing only his diet. Notably, the recovery reverts when the diet is not followed — and restores when it is resumed — establishing dietary causation rather than coincidence.</w:t>
      </w:r>
      <w:r>
        <w:rPr>
          <w:color w:val="333333"/>
          <w:sz w:val="20"/>
          <w:szCs w:val="20"/>
        </w:rPr>
        <w:t xml:space="preserve"> </w:t>
      </w:r>
      <w:r w:rsidR="00E37CD2" w:rsidRPr="00E37CD2">
        <w:rPr>
          <w:color w:val="333333"/>
          <w:sz w:val="20"/>
          <w:szCs w:val="20"/>
        </w:rPr>
        <w:t>The Prologue establishes the book's terms through this case — this is a nutritional story, not a pharmaceutical one.</w:t>
      </w:r>
    </w:p>
    <w:p w14:paraId="30F62920" w14:textId="77777777" w:rsidR="00C661B8" w:rsidRDefault="00000000" w:rsidP="001B6722">
      <w:pPr>
        <w:spacing w:before="120" w:after="120"/>
        <w:jc w:val="center"/>
      </w:pPr>
      <w:r>
        <w:rPr>
          <w:color w:val="CCCCCC"/>
          <w:sz w:val="20"/>
          <w:szCs w:val="20"/>
        </w:rPr>
        <w:t>― ― ―</w:t>
      </w:r>
    </w:p>
    <w:p w14:paraId="6E94878A" w14:textId="54477EE0" w:rsidR="00C661B8" w:rsidRDefault="00000000" w:rsidP="001B6722">
      <w:pPr>
        <w:spacing w:before="240" w:after="60"/>
      </w:pPr>
      <w:r>
        <w:rPr>
          <w:rFonts w:ascii="Arial" w:eastAsia="Arial" w:hAnsi="Arial" w:cs="Arial"/>
          <w:b/>
          <w:bCs/>
          <w:caps/>
          <w:color w:val="222222"/>
          <w:sz w:val="26"/>
          <w:szCs w:val="26"/>
        </w:rPr>
        <w:t>Introduction</w:t>
      </w:r>
    </w:p>
    <w:p w14:paraId="5320ADF2" w14:textId="3359765A" w:rsidR="00C661B8" w:rsidRDefault="00000000">
      <w:pPr>
        <w:spacing w:before="240" w:after="60"/>
        <w:ind w:left="360"/>
      </w:pPr>
      <w:r>
        <w:rPr>
          <w:rFonts w:ascii="Arial" w:eastAsia="Arial" w:hAnsi="Arial" w:cs="Arial"/>
          <w:b/>
          <w:bCs/>
        </w:rPr>
        <w:t>The Great Misunderstanding</w:t>
      </w:r>
      <w:r>
        <w:rPr>
          <w:rFonts w:ascii="Arial" w:eastAsia="Arial" w:hAnsi="Arial" w:cs="Arial"/>
          <w:color w:val="888888"/>
          <w:sz w:val="20"/>
          <w:szCs w:val="20"/>
        </w:rPr>
        <w:t xml:space="preserve">   [</w:t>
      </w:r>
      <w:r w:rsidR="00A267FD">
        <w:rPr>
          <w:rFonts w:ascii="Arial" w:eastAsia="Arial" w:hAnsi="Arial" w:cs="Arial"/>
          <w:color w:val="888888"/>
          <w:sz w:val="20"/>
          <w:szCs w:val="20"/>
        </w:rPr>
        <w:t>3</w:t>
      </w:r>
      <w:r>
        <w:rPr>
          <w:rFonts w:ascii="Arial" w:eastAsia="Arial" w:hAnsi="Arial" w:cs="Arial"/>
          <w:color w:val="888888"/>
          <w:sz w:val="20"/>
          <w:szCs w:val="20"/>
        </w:rPr>
        <w:t>]</w:t>
      </w:r>
    </w:p>
    <w:p w14:paraId="27BDFDA6" w14:textId="412FED29" w:rsidR="00C661B8" w:rsidRDefault="0034699A">
      <w:pPr>
        <w:spacing w:after="160" w:line="320" w:lineRule="auto"/>
        <w:ind w:left="360" w:right="360"/>
        <w:rPr>
          <w:color w:val="333333"/>
          <w:sz w:val="20"/>
          <w:szCs w:val="20"/>
        </w:rPr>
      </w:pPr>
      <w:r w:rsidRPr="0034699A">
        <w:rPr>
          <w:color w:val="333333"/>
          <w:sz w:val="20"/>
          <w:szCs w:val="20"/>
        </w:rPr>
        <w:t>The Introduction opens with the author's own entry into the story — how a systems architect came to be translating fourteen years of scientific research, and why he stayed — before reframing the century-long cultural debate over cannabis as a biological misunderstanding. Heating the plant produces psychoactive compounds; eating it raw delivers the acidic nutritional compounds the body's master regulatory system requires. Four sections name the category error, establish the book's central proposition, and introduce the research that supports it before the science begins.</w:t>
      </w:r>
    </w:p>
    <w:p w14:paraId="02E4BFB2" w14:textId="546F02FD" w:rsidR="0034699A" w:rsidRPr="0034699A" w:rsidRDefault="0034699A" w:rsidP="008564A9">
      <w:pPr>
        <w:keepNext/>
        <w:spacing w:before="200" w:after="40"/>
        <w:ind w:left="720" w:right="360"/>
        <w:rPr>
          <w:i/>
          <w:iCs/>
        </w:rPr>
      </w:pPr>
      <w:r w:rsidRPr="0034699A">
        <w:rPr>
          <w:i/>
          <w:iCs/>
        </w:rPr>
        <w:t xml:space="preserve">The Lost Food Group </w:t>
      </w:r>
      <w:r w:rsidRPr="0034699A">
        <w:rPr>
          <w:rFonts w:ascii="Arial" w:eastAsia="Arial" w:hAnsi="Arial" w:cs="Arial"/>
          <w:color w:val="888888"/>
          <w:sz w:val="20"/>
          <w:szCs w:val="20"/>
        </w:rPr>
        <w:t xml:space="preserve"> [</w:t>
      </w:r>
      <w:r w:rsidR="00A267FD">
        <w:rPr>
          <w:rFonts w:ascii="Arial" w:eastAsia="Arial" w:hAnsi="Arial" w:cs="Arial"/>
          <w:color w:val="888888"/>
          <w:sz w:val="20"/>
          <w:szCs w:val="20"/>
        </w:rPr>
        <w:t>4</w:t>
      </w:r>
      <w:r w:rsidRPr="0034699A">
        <w:rPr>
          <w:rFonts w:ascii="Arial" w:eastAsia="Arial" w:hAnsi="Arial" w:cs="Arial"/>
          <w:color w:val="888888"/>
          <w:sz w:val="20"/>
          <w:szCs w:val="20"/>
        </w:rPr>
        <w:t>]</w:t>
      </w:r>
    </w:p>
    <w:p w14:paraId="534C3BB7" w14:textId="21505926" w:rsidR="0034699A" w:rsidRPr="0034699A" w:rsidRDefault="0034699A" w:rsidP="0034699A">
      <w:pPr>
        <w:spacing w:after="80" w:line="300" w:lineRule="auto"/>
        <w:ind w:left="720" w:right="360"/>
        <w:rPr>
          <w:color w:val="444444"/>
          <w:sz w:val="18"/>
          <w:szCs w:val="18"/>
        </w:rPr>
      </w:pPr>
      <w:r w:rsidRPr="0034699A">
        <w:rPr>
          <w:color w:val="444444"/>
          <w:sz w:val="18"/>
          <w:szCs w:val="18"/>
        </w:rPr>
        <w:t xml:space="preserve">Cannabis has spent a century in the wrong category. Not </w:t>
      </w:r>
      <w:proofErr w:type="gramStart"/>
      <w:r w:rsidRPr="0034699A">
        <w:rPr>
          <w:color w:val="444444"/>
          <w:sz w:val="18"/>
          <w:szCs w:val="18"/>
        </w:rPr>
        <w:t>a food</w:t>
      </w:r>
      <w:proofErr w:type="gramEnd"/>
      <w:r w:rsidRPr="0034699A">
        <w:rPr>
          <w:color w:val="444444"/>
          <w:sz w:val="18"/>
          <w:szCs w:val="18"/>
        </w:rPr>
        <w:t xml:space="preserve">, not </w:t>
      </w:r>
      <w:proofErr w:type="gramStart"/>
      <w:r w:rsidRPr="0034699A">
        <w:rPr>
          <w:color w:val="444444"/>
          <w:sz w:val="18"/>
          <w:szCs w:val="18"/>
        </w:rPr>
        <w:t>a nutrient</w:t>
      </w:r>
      <w:proofErr w:type="gramEnd"/>
      <w:r w:rsidRPr="0034699A">
        <w:rPr>
          <w:color w:val="444444"/>
          <w:sz w:val="18"/>
          <w:szCs w:val="18"/>
        </w:rPr>
        <w:t>, not a member of any recognized dietary group — a controlled substance, a vice, a medicine at best. The category error preceded the science that would have corrected it: the Endocannabinoid System was not discovered until 1988, fifty-one years after the plant most aligned with its nutritional requirements was removed from the food chain. This section names that error plainly before a single scientific argument is made, introduces the author's entry into the work and the collaboration that produced the research behind it, and delivers the operating premise of everything that follows. The message is stated before the evidence begins: you don't smoke it. You eat it.</w:t>
      </w:r>
    </w:p>
    <w:p w14:paraId="3EB88FE3" w14:textId="2090E547" w:rsidR="00C661B8" w:rsidRDefault="00000000" w:rsidP="003C2323">
      <w:pPr>
        <w:keepNext/>
        <w:spacing w:before="200" w:after="40"/>
        <w:ind w:left="720"/>
      </w:pPr>
      <w:r>
        <w:rPr>
          <w:i/>
          <w:iCs/>
        </w:rPr>
        <w:t>Medicine Versus Food</w:t>
      </w:r>
      <w:r w:rsidR="0034699A">
        <w:rPr>
          <w:i/>
          <w:iCs/>
        </w:rPr>
        <w:t xml:space="preserve"> </w:t>
      </w:r>
      <w:r>
        <w:rPr>
          <w:rFonts w:ascii="Arial" w:eastAsia="Arial" w:hAnsi="Arial" w:cs="Arial"/>
          <w:color w:val="888888"/>
          <w:sz w:val="20"/>
          <w:szCs w:val="20"/>
        </w:rPr>
        <w:t xml:space="preserve"> [</w:t>
      </w:r>
      <w:r w:rsidR="009912AC">
        <w:rPr>
          <w:rFonts w:ascii="Arial" w:eastAsia="Arial" w:hAnsi="Arial" w:cs="Arial"/>
          <w:color w:val="888888"/>
          <w:sz w:val="20"/>
          <w:szCs w:val="20"/>
        </w:rPr>
        <w:t>5</w:t>
      </w:r>
      <w:r>
        <w:rPr>
          <w:rFonts w:ascii="Arial" w:eastAsia="Arial" w:hAnsi="Arial" w:cs="Arial"/>
          <w:color w:val="888888"/>
          <w:sz w:val="20"/>
          <w:szCs w:val="20"/>
        </w:rPr>
        <w:t>]</w:t>
      </w:r>
    </w:p>
    <w:p w14:paraId="4974D55A" w14:textId="77777777" w:rsidR="00C661B8" w:rsidRDefault="00000000">
      <w:pPr>
        <w:spacing w:after="80" w:line="300" w:lineRule="auto"/>
        <w:ind w:left="720" w:right="360"/>
      </w:pPr>
      <w:r>
        <w:rPr>
          <w:color w:val="444444"/>
          <w:sz w:val="18"/>
          <w:szCs w:val="18"/>
        </w:rPr>
        <w:t>Establishes the book's defining distinction: decarboxylation converts nutritional acids into psychoactive compounds only under heat. Raw consumption delivers those acids intact to a physiological system that has been without them for roughly a century. The hemp seed plus raw Cannabis combination is introduced as an adult nutritional formula aligned with human breast milk.</w:t>
      </w:r>
    </w:p>
    <w:p w14:paraId="2229A807" w14:textId="44A1CFBD" w:rsidR="00C661B8" w:rsidRDefault="00000000" w:rsidP="003C2323">
      <w:pPr>
        <w:keepNext/>
        <w:spacing w:before="200" w:after="40"/>
        <w:ind w:left="720"/>
      </w:pPr>
      <w:r>
        <w:rPr>
          <w:i/>
          <w:iCs/>
        </w:rPr>
        <w:t>A New Field Takes Shape</w:t>
      </w:r>
      <w:r>
        <w:rPr>
          <w:rFonts w:ascii="Arial" w:eastAsia="Arial" w:hAnsi="Arial" w:cs="Arial"/>
          <w:color w:val="888888"/>
          <w:sz w:val="20"/>
          <w:szCs w:val="20"/>
        </w:rPr>
        <w:t xml:space="preserve">  [</w:t>
      </w:r>
      <w:r w:rsidR="00A267FD">
        <w:rPr>
          <w:rFonts w:ascii="Arial" w:eastAsia="Arial" w:hAnsi="Arial" w:cs="Arial"/>
          <w:color w:val="888888"/>
          <w:sz w:val="20"/>
          <w:szCs w:val="20"/>
        </w:rPr>
        <w:t>5</w:t>
      </w:r>
      <w:r>
        <w:rPr>
          <w:rFonts w:ascii="Arial" w:eastAsia="Arial" w:hAnsi="Arial" w:cs="Arial"/>
          <w:color w:val="888888"/>
          <w:sz w:val="20"/>
          <w:szCs w:val="20"/>
        </w:rPr>
        <w:t>]</w:t>
      </w:r>
    </w:p>
    <w:p w14:paraId="331FCF37" w14:textId="77777777" w:rsidR="00C661B8" w:rsidRDefault="00000000">
      <w:pPr>
        <w:spacing w:after="80" w:line="300" w:lineRule="auto"/>
        <w:ind w:left="720" w:right="360"/>
      </w:pPr>
      <w:r>
        <w:rPr>
          <w:color w:val="444444"/>
          <w:sz w:val="18"/>
          <w:szCs w:val="18"/>
        </w:rPr>
        <w:t xml:space="preserve">Situates the Floyd-Benjamin preprints as work that connects existing science through a biology-first and nutritional lens — revealing gaps that have skewed pharmaceutical outcomes and left the nutritional question entirely unasked. The gap this book addresses is synthetic, not scientific. The cereal box </w:t>
      </w:r>
      <w:r>
        <w:rPr>
          <w:color w:val="444444"/>
          <w:sz w:val="18"/>
          <w:szCs w:val="18"/>
        </w:rPr>
        <w:lastRenderedPageBreak/>
        <w:t>analogy: we can now give the Cannabis plant a nutritional label. This book is that label, in plain language.</w:t>
      </w:r>
    </w:p>
    <w:p w14:paraId="665D2D12"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preprints202601.1505.v1 (Unified Theory); preprints202602.1085.v1 (Vitamers); zenodo.org/communities/nutritional-</w:t>
      </w:r>
      <w:proofErr w:type="spellStart"/>
      <w:r>
        <w:rPr>
          <w:i/>
          <w:iCs/>
          <w:color w:val="888888"/>
          <w:sz w:val="18"/>
          <w:szCs w:val="18"/>
        </w:rPr>
        <w:t>ecs</w:t>
      </w:r>
      <w:proofErr w:type="spellEnd"/>
    </w:p>
    <w:p w14:paraId="1F96FF4E" w14:textId="77777777" w:rsidR="00C661B8" w:rsidRDefault="00000000" w:rsidP="003C2323">
      <w:pPr>
        <w:spacing w:before="120" w:after="120"/>
        <w:jc w:val="center"/>
      </w:pPr>
      <w:r>
        <w:rPr>
          <w:color w:val="CCCCCC"/>
          <w:sz w:val="20"/>
          <w:szCs w:val="20"/>
        </w:rPr>
        <w:t>― ― ―</w:t>
      </w:r>
    </w:p>
    <w:p w14:paraId="7ECD1F29" w14:textId="5D4D9106" w:rsidR="00C661B8" w:rsidRDefault="00000000" w:rsidP="003C2323">
      <w:pPr>
        <w:spacing w:before="240" w:after="60"/>
      </w:pPr>
      <w:r>
        <w:rPr>
          <w:rFonts w:ascii="Arial" w:eastAsia="Arial" w:hAnsi="Arial" w:cs="Arial"/>
          <w:b/>
          <w:bCs/>
          <w:caps/>
          <w:color w:val="222222"/>
          <w:sz w:val="26"/>
          <w:szCs w:val="26"/>
        </w:rPr>
        <w:t>Part One — The Problem</w:t>
      </w:r>
      <w:r>
        <w:rPr>
          <w:rFonts w:ascii="Arial" w:eastAsia="Arial" w:hAnsi="Arial" w:cs="Arial"/>
          <w:color w:val="888888"/>
          <w:sz w:val="22"/>
          <w:szCs w:val="22"/>
        </w:rPr>
        <w:t xml:space="preserve">   [</w:t>
      </w:r>
      <w:r w:rsidR="009912AC">
        <w:rPr>
          <w:rFonts w:ascii="Arial" w:eastAsia="Arial" w:hAnsi="Arial" w:cs="Arial"/>
          <w:color w:val="888888"/>
          <w:sz w:val="22"/>
          <w:szCs w:val="22"/>
        </w:rPr>
        <w:t>7</w:t>
      </w:r>
      <w:r>
        <w:rPr>
          <w:rFonts w:ascii="Arial" w:eastAsia="Arial" w:hAnsi="Arial" w:cs="Arial"/>
          <w:color w:val="888888"/>
          <w:sz w:val="22"/>
          <w:szCs w:val="22"/>
        </w:rPr>
        <w:t>]</w:t>
      </w:r>
    </w:p>
    <w:p w14:paraId="1E316135" w14:textId="77777777" w:rsidR="00C661B8" w:rsidRDefault="00000000">
      <w:pPr>
        <w:spacing w:after="320" w:line="320" w:lineRule="auto"/>
        <w:ind w:left="360" w:right="360"/>
      </w:pPr>
      <w:r>
        <w:rPr>
          <w:i/>
          <w:iCs/>
          <w:color w:val="333333"/>
          <w:sz w:val="20"/>
          <w:szCs w:val="20"/>
        </w:rPr>
        <w:t>Part One establishes what is wrong and why. The Endocannabinoid System governs homeostasis across virtually every physiological domain — and the modern diet systematically denies it the nutritional inputs it requires. Four chapters build the case from the individual cell to the population, from the present crisis back 500 million years to the evolutionary roots of the system, and forward through the science that finally named the deficiency. By the end of Part One the reader understands not just that something is missing from the modern diet, but precisely what it is, why it was removed, and what the century since has cost.</w:t>
      </w:r>
    </w:p>
    <w:p w14:paraId="676AE4BA" w14:textId="2FBC5C44" w:rsidR="00C661B8" w:rsidRDefault="00000000">
      <w:pPr>
        <w:spacing w:before="240" w:after="60"/>
        <w:ind w:left="360"/>
      </w:pPr>
      <w:r>
        <w:rPr>
          <w:rFonts w:ascii="Arial" w:eastAsia="Arial" w:hAnsi="Arial" w:cs="Arial"/>
          <w:b/>
          <w:bCs/>
        </w:rPr>
        <w:t>Chapter 1 — The Invisible Problem</w:t>
      </w:r>
      <w:r>
        <w:rPr>
          <w:rFonts w:ascii="Arial" w:eastAsia="Arial" w:hAnsi="Arial" w:cs="Arial"/>
          <w:color w:val="888888"/>
          <w:sz w:val="20"/>
          <w:szCs w:val="20"/>
        </w:rPr>
        <w:t xml:space="preserve">   [</w:t>
      </w:r>
      <w:r w:rsidR="009912AC">
        <w:rPr>
          <w:rFonts w:ascii="Arial" w:eastAsia="Arial" w:hAnsi="Arial" w:cs="Arial"/>
          <w:color w:val="888888"/>
          <w:sz w:val="20"/>
          <w:szCs w:val="20"/>
        </w:rPr>
        <w:t>9</w:t>
      </w:r>
      <w:r>
        <w:rPr>
          <w:rFonts w:ascii="Arial" w:eastAsia="Arial" w:hAnsi="Arial" w:cs="Arial"/>
          <w:color w:val="888888"/>
          <w:sz w:val="20"/>
          <w:szCs w:val="20"/>
        </w:rPr>
        <w:t>]</w:t>
      </w:r>
    </w:p>
    <w:p w14:paraId="0AD58F70" w14:textId="77777777" w:rsidR="00C661B8" w:rsidRDefault="00000000">
      <w:pPr>
        <w:spacing w:after="160" w:line="320" w:lineRule="auto"/>
        <w:ind w:left="360" w:right="360"/>
      </w:pPr>
      <w:r>
        <w:rPr>
          <w:color w:val="333333"/>
          <w:sz w:val="20"/>
          <w:szCs w:val="20"/>
        </w:rPr>
        <w:t>The opening chapter identifies the shared root beneath conditions as apparently unrelated as migraine, fibromyalgia, anxiety, and metabolic dysfunction: a master regulatory system running without its required inputs. The ECS governs pain, mood, sleep, appetite, immune response, and metabolism simultaneously — and it runs on specific dietary fatty acids and mineral cofactors the Standard American Diet fails to provide. Chapter 1 introduces Clinical Endocannabinoid Deficiency, establishes the 500-million-year evolutionary anchor, explains the always-on energy drain produced by retrograde inhibition failure, quantifies the dietary gap, and indicts half a century of pharmacological misdirection.</w:t>
      </w:r>
    </w:p>
    <w:p w14:paraId="3DEC6353" w14:textId="0809BB01" w:rsidR="00C661B8" w:rsidRDefault="00000000">
      <w:pPr>
        <w:spacing w:before="200" w:after="40"/>
        <w:ind w:left="720"/>
      </w:pPr>
      <w:r>
        <w:rPr>
          <w:i/>
          <w:iCs/>
        </w:rPr>
        <w:t>Clinical Endocannabinoid Deficiency</w:t>
      </w:r>
      <w:r>
        <w:rPr>
          <w:rFonts w:ascii="Arial" w:eastAsia="Arial" w:hAnsi="Arial" w:cs="Arial"/>
          <w:color w:val="888888"/>
          <w:sz w:val="20"/>
          <w:szCs w:val="20"/>
        </w:rPr>
        <w:t xml:space="preserve">   [</w:t>
      </w:r>
      <w:r w:rsidR="009912AC">
        <w:rPr>
          <w:rFonts w:ascii="Arial" w:eastAsia="Arial" w:hAnsi="Arial" w:cs="Arial"/>
          <w:color w:val="888888"/>
          <w:sz w:val="20"/>
          <w:szCs w:val="20"/>
        </w:rPr>
        <w:t>9</w:t>
      </w:r>
      <w:r>
        <w:rPr>
          <w:rFonts w:ascii="Arial" w:eastAsia="Arial" w:hAnsi="Arial" w:cs="Arial"/>
          <w:color w:val="888888"/>
          <w:sz w:val="20"/>
          <w:szCs w:val="20"/>
        </w:rPr>
        <w:t>]</w:t>
      </w:r>
    </w:p>
    <w:p w14:paraId="30AB445D" w14:textId="77777777" w:rsidR="00C661B8" w:rsidRDefault="00000000">
      <w:pPr>
        <w:spacing w:after="80" w:line="300" w:lineRule="auto"/>
        <w:ind w:left="720" w:right="360"/>
      </w:pPr>
      <w:r>
        <w:rPr>
          <w:color w:val="444444"/>
          <w:sz w:val="18"/>
          <w:szCs w:val="18"/>
        </w:rPr>
        <w:t>Introduces Dr. Ethan Russo's CECD hypothesis — chronic low ECS tone underlies treatment-resistant migraine, fibromyalgia, and IBS — and identifies the missing piece the Floyd-Benjamin research supplies: the ECS is nutritionally dependent, its deficiency is dietary in origin, and the correction follows the same logic as any other nutritional deficiency. Scurvy is treated with an orange, not a pharmaceutical.</w:t>
      </w:r>
    </w:p>
    <w:p w14:paraId="356A7C20"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Russo, E.B. (2004) Neuroendocrinology Letters 25(1-2); Russo, E.B. (2016) Cannabis and Cannabinoid Research 1(1)</w:t>
      </w:r>
    </w:p>
    <w:p w14:paraId="5128B762" w14:textId="78544A54" w:rsidR="00C661B8" w:rsidRDefault="00000000">
      <w:pPr>
        <w:spacing w:before="200" w:after="40"/>
        <w:ind w:left="720"/>
      </w:pPr>
      <w:r>
        <w:rPr>
          <w:i/>
          <w:iCs/>
        </w:rPr>
        <w:t>The Cross-Kingdom Key</w:t>
      </w:r>
      <w:r>
        <w:rPr>
          <w:rFonts w:ascii="Arial" w:eastAsia="Arial" w:hAnsi="Arial" w:cs="Arial"/>
          <w:color w:val="888888"/>
          <w:sz w:val="20"/>
          <w:szCs w:val="20"/>
        </w:rPr>
        <w:t xml:space="preserve">   [</w:t>
      </w:r>
      <w:r w:rsidR="009912AC">
        <w:rPr>
          <w:rFonts w:ascii="Arial" w:eastAsia="Arial" w:hAnsi="Arial" w:cs="Arial"/>
          <w:color w:val="888888"/>
          <w:sz w:val="20"/>
          <w:szCs w:val="20"/>
        </w:rPr>
        <w:t>10</w:t>
      </w:r>
      <w:r>
        <w:rPr>
          <w:rFonts w:ascii="Arial" w:eastAsia="Arial" w:hAnsi="Arial" w:cs="Arial"/>
          <w:color w:val="888888"/>
          <w:sz w:val="20"/>
          <w:szCs w:val="20"/>
        </w:rPr>
        <w:t>]</w:t>
      </w:r>
    </w:p>
    <w:p w14:paraId="221009B0" w14:textId="77777777" w:rsidR="00C661B8" w:rsidRDefault="00000000">
      <w:pPr>
        <w:spacing w:after="80" w:line="300" w:lineRule="auto"/>
        <w:ind w:left="720" w:right="360"/>
      </w:pPr>
      <w:r>
        <w:rPr>
          <w:color w:val="444444"/>
          <w:sz w:val="18"/>
          <w:szCs w:val="18"/>
        </w:rPr>
        <w:t xml:space="preserve">The ECS is an ancient system: CB1 and CB2 receptors emerged in the common ancestor of all vertebrates over 500 million years ago. Cannabis evolved into a system that already awaited it — a late-arriving nutritional key for a master operating system perfected over half a billion years. When humans banned this plant in 1937, the biological hardware had been coded to expect its chemistry for longer than the human species </w:t>
      </w:r>
      <w:proofErr w:type="gramStart"/>
      <w:r>
        <w:rPr>
          <w:color w:val="444444"/>
          <w:sz w:val="18"/>
          <w:szCs w:val="18"/>
        </w:rPr>
        <w:t>has existed</w:t>
      </w:r>
      <w:proofErr w:type="gramEnd"/>
      <w:r>
        <w:rPr>
          <w:color w:val="444444"/>
          <w:sz w:val="18"/>
          <w:szCs w:val="18"/>
        </w:rPr>
        <w:t>.</w:t>
      </w:r>
    </w:p>
    <w:p w14:paraId="5C506BA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 xml:space="preserve">McPartland et al. (2006) Trends in Ecology &amp; Evolution; Elphick &amp; </w:t>
      </w:r>
      <w:proofErr w:type="spellStart"/>
      <w:r>
        <w:rPr>
          <w:i/>
          <w:iCs/>
          <w:color w:val="888888"/>
          <w:sz w:val="18"/>
          <w:szCs w:val="18"/>
        </w:rPr>
        <w:t>Egertová</w:t>
      </w:r>
      <w:proofErr w:type="spellEnd"/>
      <w:r>
        <w:rPr>
          <w:i/>
          <w:iCs/>
          <w:color w:val="888888"/>
          <w:sz w:val="18"/>
          <w:szCs w:val="18"/>
        </w:rPr>
        <w:t xml:space="preserve"> (2001) Philosophical Transactions of the Royal Society B 356(1407)</w:t>
      </w:r>
    </w:p>
    <w:p w14:paraId="143F6AF2" w14:textId="016514FA" w:rsidR="00C661B8" w:rsidRDefault="00000000" w:rsidP="008564A9">
      <w:pPr>
        <w:keepNext/>
        <w:spacing w:before="200" w:after="40"/>
        <w:ind w:left="720"/>
      </w:pPr>
      <w:r>
        <w:rPr>
          <w:i/>
          <w:iCs/>
        </w:rPr>
        <w:lastRenderedPageBreak/>
        <w:t>The "Always-On" Energy Drain</w:t>
      </w:r>
      <w:r>
        <w:rPr>
          <w:rFonts w:ascii="Arial" w:eastAsia="Arial" w:hAnsi="Arial" w:cs="Arial"/>
          <w:color w:val="888888"/>
          <w:sz w:val="20"/>
          <w:szCs w:val="20"/>
        </w:rPr>
        <w:t xml:space="preserve">   [</w:t>
      </w:r>
      <w:r w:rsidR="009912AC">
        <w:rPr>
          <w:rFonts w:ascii="Arial" w:eastAsia="Arial" w:hAnsi="Arial" w:cs="Arial"/>
          <w:color w:val="888888"/>
          <w:sz w:val="20"/>
          <w:szCs w:val="20"/>
        </w:rPr>
        <w:t>10</w:t>
      </w:r>
      <w:r>
        <w:rPr>
          <w:rFonts w:ascii="Arial" w:eastAsia="Arial" w:hAnsi="Arial" w:cs="Arial"/>
          <w:color w:val="888888"/>
          <w:sz w:val="20"/>
          <w:szCs w:val="20"/>
        </w:rPr>
        <w:t>]</w:t>
      </w:r>
    </w:p>
    <w:p w14:paraId="5FF68800" w14:textId="77777777" w:rsidR="00C661B8" w:rsidRDefault="00000000">
      <w:pPr>
        <w:spacing w:after="80" w:line="300" w:lineRule="auto"/>
        <w:ind w:left="720" w:right="360"/>
      </w:pPr>
      <w:r>
        <w:rPr>
          <w:color w:val="444444"/>
          <w:sz w:val="18"/>
          <w:szCs w:val="18"/>
        </w:rPr>
        <w:t xml:space="preserve">A starved ECS fails to execute retrograde inhibition — the mechanism that tells neurons to stop firing. Upstream neurons lock into continuous firing and relentlessly exhaust ATP, glucose, and cellular oxygen. </w:t>
      </w:r>
      <w:proofErr w:type="gramStart"/>
      <w:r>
        <w:rPr>
          <w:color w:val="444444"/>
          <w:sz w:val="18"/>
          <w:szCs w:val="18"/>
        </w:rPr>
        <w:t>The mitochondria</w:t>
      </w:r>
      <w:proofErr w:type="gramEnd"/>
      <w:r>
        <w:rPr>
          <w:color w:val="444444"/>
          <w:sz w:val="18"/>
          <w:szCs w:val="18"/>
        </w:rPr>
        <w:t xml:space="preserve"> are forced into chronic overproduction, accelerating oxidative stress. Chronic exhaustion is not a mood disorder; it is a structural hemorrhage of metabolic power at the cellular source. A bioenergetic crisis.</w:t>
      </w:r>
    </w:p>
    <w:p w14:paraId="0FCC49C9" w14:textId="294A33FE" w:rsidR="00C661B8" w:rsidRDefault="00000000" w:rsidP="002E3952">
      <w:pPr>
        <w:keepNext/>
        <w:spacing w:before="200" w:after="40"/>
        <w:ind w:left="720"/>
      </w:pPr>
      <w:r>
        <w:rPr>
          <w:i/>
          <w:iCs/>
        </w:rPr>
        <w:t>The Dietary Gap — By the Numbers</w:t>
      </w:r>
      <w:r>
        <w:rPr>
          <w:rFonts w:ascii="Arial" w:eastAsia="Arial" w:hAnsi="Arial" w:cs="Arial"/>
          <w:color w:val="888888"/>
          <w:sz w:val="20"/>
          <w:szCs w:val="20"/>
        </w:rPr>
        <w:t xml:space="preserve">   [</w:t>
      </w:r>
      <w:r w:rsidR="009912AC">
        <w:rPr>
          <w:rFonts w:ascii="Arial" w:eastAsia="Arial" w:hAnsi="Arial" w:cs="Arial"/>
          <w:color w:val="888888"/>
          <w:sz w:val="20"/>
          <w:szCs w:val="20"/>
        </w:rPr>
        <w:t>11</w:t>
      </w:r>
      <w:r>
        <w:rPr>
          <w:rFonts w:ascii="Arial" w:eastAsia="Arial" w:hAnsi="Arial" w:cs="Arial"/>
          <w:color w:val="888888"/>
          <w:sz w:val="20"/>
          <w:szCs w:val="20"/>
        </w:rPr>
        <w:t>]</w:t>
      </w:r>
    </w:p>
    <w:p w14:paraId="2B375912" w14:textId="77777777" w:rsidR="00C661B8" w:rsidRDefault="00000000">
      <w:pPr>
        <w:spacing w:after="80" w:line="300" w:lineRule="auto"/>
        <w:ind w:left="720" w:right="360"/>
      </w:pPr>
      <w:r>
        <w:rPr>
          <w:color w:val="444444"/>
          <w:sz w:val="18"/>
          <w:szCs w:val="18"/>
        </w:rPr>
        <w:t>The ECS requires Omega-6 to Omega-3 fatty acids in approximately a 2:1 to 4:1 ratio. The Standard American Diet delivers 15:1 to 20:1. Hemp seed delivers 2.5:1 to 3:1 — the only commonly available food matching the ECS's requirements this precisely. A five-to-ten-fold distortion compounding over a lifetime and across generations.</w:t>
      </w:r>
    </w:p>
    <w:p w14:paraId="0560D219" w14:textId="71E60F34" w:rsidR="00C661B8" w:rsidRDefault="00000000">
      <w:pPr>
        <w:spacing w:before="200" w:after="40"/>
        <w:ind w:left="720"/>
      </w:pPr>
      <w:r>
        <w:rPr>
          <w:i/>
          <w:iCs/>
        </w:rPr>
        <w:t>Half a Century of the Wrong Question</w:t>
      </w:r>
      <w:r>
        <w:rPr>
          <w:rFonts w:ascii="Arial" w:eastAsia="Arial" w:hAnsi="Arial" w:cs="Arial"/>
          <w:color w:val="888888"/>
          <w:sz w:val="20"/>
          <w:szCs w:val="20"/>
        </w:rPr>
        <w:t xml:space="preserve">   [</w:t>
      </w:r>
      <w:r w:rsidR="009912AC">
        <w:rPr>
          <w:rFonts w:ascii="Arial" w:eastAsia="Arial" w:hAnsi="Arial" w:cs="Arial"/>
          <w:color w:val="888888"/>
          <w:sz w:val="20"/>
          <w:szCs w:val="20"/>
        </w:rPr>
        <w:t>11</w:t>
      </w:r>
      <w:r>
        <w:rPr>
          <w:rFonts w:ascii="Arial" w:eastAsia="Arial" w:hAnsi="Arial" w:cs="Arial"/>
          <w:color w:val="888888"/>
          <w:sz w:val="20"/>
          <w:szCs w:val="20"/>
        </w:rPr>
        <w:t>]</w:t>
      </w:r>
    </w:p>
    <w:p w14:paraId="6E68B24A" w14:textId="77777777" w:rsidR="00C661B8" w:rsidRDefault="00000000">
      <w:pPr>
        <w:spacing w:after="80" w:line="300" w:lineRule="auto"/>
        <w:ind w:left="720" w:right="360"/>
      </w:pPr>
      <w:r>
        <w:rPr>
          <w:color w:val="444444"/>
          <w:sz w:val="18"/>
          <w:szCs w:val="18"/>
        </w:rPr>
        <w:t>ECS research has spent decades asking what drugs interact with the system while almost entirely neglecting to ask what feeds it. A drug introduced into a nutritionally depleted ECS produces unpredictable, attenuated, or paradoxical effects — which may explain the variability plaguing cannabinoid clinical trials. The problem is not the absence of medicine. It is the absence of a foundational food group.</w:t>
      </w:r>
    </w:p>
    <w:p w14:paraId="418CBD57" w14:textId="792C1023" w:rsidR="00C661B8" w:rsidRDefault="00000000">
      <w:pPr>
        <w:spacing w:before="240" w:after="60"/>
        <w:ind w:left="360"/>
      </w:pPr>
      <w:r>
        <w:rPr>
          <w:rFonts w:ascii="Arial" w:eastAsia="Arial" w:hAnsi="Arial" w:cs="Arial"/>
          <w:b/>
          <w:bCs/>
        </w:rPr>
        <w:t>Chapter 2 — The Nutritional Gold Standard</w:t>
      </w:r>
      <w:r>
        <w:rPr>
          <w:rFonts w:ascii="Arial" w:eastAsia="Arial" w:hAnsi="Arial" w:cs="Arial"/>
          <w:color w:val="888888"/>
          <w:sz w:val="20"/>
          <w:szCs w:val="20"/>
        </w:rPr>
        <w:t xml:space="preserve">   [</w:t>
      </w:r>
      <w:r w:rsidR="009912AC">
        <w:rPr>
          <w:rFonts w:ascii="Arial" w:eastAsia="Arial" w:hAnsi="Arial" w:cs="Arial"/>
          <w:color w:val="888888"/>
          <w:sz w:val="20"/>
          <w:szCs w:val="20"/>
        </w:rPr>
        <w:t>13</w:t>
      </w:r>
      <w:r>
        <w:rPr>
          <w:rFonts w:ascii="Arial" w:eastAsia="Arial" w:hAnsi="Arial" w:cs="Arial"/>
          <w:color w:val="888888"/>
          <w:sz w:val="20"/>
          <w:szCs w:val="20"/>
        </w:rPr>
        <w:t>]</w:t>
      </w:r>
    </w:p>
    <w:p w14:paraId="4F488134" w14:textId="10B9EF1D" w:rsidR="00C661B8" w:rsidRDefault="00000000">
      <w:pPr>
        <w:spacing w:after="160" w:line="320" w:lineRule="auto"/>
        <w:ind w:left="360" w:right="360"/>
      </w:pPr>
      <w:r>
        <w:rPr>
          <w:color w:val="333333"/>
          <w:sz w:val="20"/>
          <w:szCs w:val="20"/>
        </w:rPr>
        <w:t xml:space="preserve">Human breast milk is the gold standard of infant nutrition because it is architecturally optimized for a system being built. The Floyd-Benjamin research shows that hemp seed plus raw Cannabis matches breast milk across the nutritional axes most relevant to ECS function — making it the adult formula for the same physiological network. Chapter 2 examines the specific components creating this alignment, presents the comparative analysis across </w:t>
      </w:r>
      <w:r w:rsidR="00D8354B">
        <w:rPr>
          <w:color w:val="333333"/>
          <w:sz w:val="20"/>
          <w:szCs w:val="20"/>
        </w:rPr>
        <w:t>twenty</w:t>
      </w:r>
      <w:r>
        <w:rPr>
          <w:color w:val="333333"/>
          <w:sz w:val="20"/>
          <w:szCs w:val="20"/>
        </w:rPr>
        <w:t xml:space="preserve"> nutritional domains, and explains how the GLA pathway fast-tracks gut repair as the foundational benefit.</w:t>
      </w:r>
    </w:p>
    <w:p w14:paraId="2B91967D" w14:textId="1677E1D6" w:rsidR="00C661B8" w:rsidRDefault="00000000">
      <w:pPr>
        <w:spacing w:before="200" w:after="40"/>
        <w:ind w:left="720"/>
      </w:pPr>
      <w:r>
        <w:rPr>
          <w:i/>
          <w:iCs/>
        </w:rPr>
        <w:t>Fabulous Fats</w:t>
      </w:r>
      <w:r>
        <w:rPr>
          <w:rFonts w:ascii="Arial" w:eastAsia="Arial" w:hAnsi="Arial" w:cs="Arial"/>
          <w:color w:val="888888"/>
          <w:sz w:val="20"/>
          <w:szCs w:val="20"/>
        </w:rPr>
        <w:t xml:space="preserve">   [</w:t>
      </w:r>
      <w:r w:rsidR="009912AC">
        <w:rPr>
          <w:rFonts w:ascii="Arial" w:eastAsia="Arial" w:hAnsi="Arial" w:cs="Arial"/>
          <w:color w:val="888888"/>
          <w:sz w:val="20"/>
          <w:szCs w:val="20"/>
        </w:rPr>
        <w:t>13</w:t>
      </w:r>
      <w:r>
        <w:rPr>
          <w:rFonts w:ascii="Arial" w:eastAsia="Arial" w:hAnsi="Arial" w:cs="Arial"/>
          <w:color w:val="888888"/>
          <w:sz w:val="20"/>
          <w:szCs w:val="20"/>
        </w:rPr>
        <w:t>]</w:t>
      </w:r>
    </w:p>
    <w:p w14:paraId="0B46F0C9" w14:textId="77777777" w:rsidR="00C661B8" w:rsidRDefault="00000000">
      <w:pPr>
        <w:spacing w:after="80" w:line="300" w:lineRule="auto"/>
        <w:ind w:left="720" w:right="360"/>
      </w:pPr>
      <w:r>
        <w:rPr>
          <w:color w:val="444444"/>
          <w:sz w:val="18"/>
          <w:szCs w:val="18"/>
        </w:rPr>
        <w:t>Hemp seed's 2.5:1 to 3:1 Omega-6 to Omega-3 ratio precisely matches ECS synthesis requirements for anandamide and 2-AG. GLA bypasses the delta-6-desaturase bottleneck chronically impaired in modern populations, directly pre-fueling the anti-inflammatory pathway and reducing the ECS's workload before it begins. SDA provides a secondary bypass for EPA synthesis.</w:t>
      </w:r>
    </w:p>
    <w:p w14:paraId="3B900B6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proofErr w:type="spellStart"/>
      <w:r>
        <w:rPr>
          <w:i/>
          <w:iCs/>
          <w:color w:val="888888"/>
          <w:sz w:val="18"/>
          <w:szCs w:val="18"/>
        </w:rPr>
        <w:t>Farinon</w:t>
      </w:r>
      <w:proofErr w:type="spellEnd"/>
      <w:r>
        <w:rPr>
          <w:i/>
          <w:iCs/>
          <w:color w:val="888888"/>
          <w:sz w:val="18"/>
          <w:szCs w:val="18"/>
        </w:rPr>
        <w:t xml:space="preserve"> et al. (2020) Nutrients 12(7):1935; Callaway (2004) </w:t>
      </w:r>
      <w:proofErr w:type="spellStart"/>
      <w:r>
        <w:rPr>
          <w:i/>
          <w:iCs/>
          <w:color w:val="888888"/>
          <w:sz w:val="18"/>
          <w:szCs w:val="18"/>
        </w:rPr>
        <w:t>Euphytica</w:t>
      </w:r>
      <w:proofErr w:type="spellEnd"/>
      <w:r>
        <w:rPr>
          <w:i/>
          <w:iCs/>
          <w:color w:val="888888"/>
          <w:sz w:val="18"/>
          <w:szCs w:val="18"/>
        </w:rPr>
        <w:t xml:space="preserve"> 140(1-2):65-72</w:t>
      </w:r>
    </w:p>
    <w:p w14:paraId="2012A46C" w14:textId="6B5A3312" w:rsidR="00C661B8" w:rsidRDefault="00000000">
      <w:pPr>
        <w:spacing w:before="200" w:after="40"/>
        <w:ind w:left="720"/>
      </w:pPr>
      <w:r>
        <w:rPr>
          <w:i/>
          <w:iCs/>
        </w:rPr>
        <w:t>Powerful Proteins</w:t>
      </w:r>
      <w:r>
        <w:rPr>
          <w:rFonts w:ascii="Arial" w:eastAsia="Arial" w:hAnsi="Arial" w:cs="Arial"/>
          <w:color w:val="888888"/>
          <w:sz w:val="20"/>
          <w:szCs w:val="20"/>
        </w:rPr>
        <w:t xml:space="preserve">   [</w:t>
      </w:r>
      <w:r w:rsidR="009912AC">
        <w:rPr>
          <w:rFonts w:ascii="Arial" w:eastAsia="Arial" w:hAnsi="Arial" w:cs="Arial"/>
          <w:color w:val="888888"/>
          <w:sz w:val="20"/>
          <w:szCs w:val="20"/>
        </w:rPr>
        <w:t>14</w:t>
      </w:r>
      <w:r>
        <w:rPr>
          <w:rFonts w:ascii="Arial" w:eastAsia="Arial" w:hAnsi="Arial" w:cs="Arial"/>
          <w:color w:val="888888"/>
          <w:sz w:val="20"/>
          <w:szCs w:val="20"/>
        </w:rPr>
        <w:t>]</w:t>
      </w:r>
    </w:p>
    <w:p w14:paraId="063A7E95" w14:textId="77777777" w:rsidR="00C661B8" w:rsidRDefault="00000000">
      <w:pPr>
        <w:spacing w:after="80" w:line="300" w:lineRule="auto"/>
        <w:ind w:left="720" w:right="360"/>
      </w:pPr>
      <w:r>
        <w:rPr>
          <w:color w:val="444444"/>
          <w:sz w:val="18"/>
          <w:szCs w:val="18"/>
        </w:rPr>
        <w:t xml:space="preserve">Hemp seed's protein architecture — </w:t>
      </w:r>
      <w:proofErr w:type="spellStart"/>
      <w:r>
        <w:rPr>
          <w:color w:val="444444"/>
          <w:sz w:val="18"/>
          <w:szCs w:val="18"/>
        </w:rPr>
        <w:t>edestin</w:t>
      </w:r>
      <w:proofErr w:type="spellEnd"/>
      <w:r>
        <w:rPr>
          <w:color w:val="444444"/>
          <w:sz w:val="18"/>
          <w:szCs w:val="18"/>
        </w:rPr>
        <w:t xml:space="preserve"> dominant, albumin complementary — provides the foundational structural inputs for ECS function, vascular delivery, and tissue repair. The two proteins together address both the anabolic (arginine/nitric oxide) and circulatory (albumin/transport) dimensions of getting the right fatty acid substrates to the right cellular destinations.</w:t>
      </w:r>
    </w:p>
    <w:p w14:paraId="0D16C837" w14:textId="7DB4C4E6" w:rsidR="00C661B8" w:rsidRDefault="00000000">
      <w:pPr>
        <w:spacing w:before="100" w:after="20"/>
        <w:ind w:left="1080"/>
      </w:pPr>
      <w:proofErr w:type="spellStart"/>
      <w:r>
        <w:rPr>
          <w:i/>
          <w:iCs/>
          <w:color w:val="555555"/>
          <w:sz w:val="20"/>
          <w:szCs w:val="20"/>
        </w:rPr>
        <w:t>Edestin</w:t>
      </w:r>
      <w:proofErr w:type="spellEnd"/>
      <w:r>
        <w:rPr>
          <w:i/>
          <w:iCs/>
          <w:color w:val="555555"/>
          <w:sz w:val="20"/>
          <w:szCs w:val="20"/>
        </w:rPr>
        <w:t>: The Protein That Mirrors Your Blood</w:t>
      </w:r>
      <w:r>
        <w:rPr>
          <w:rFonts w:ascii="Arial" w:eastAsia="Arial" w:hAnsi="Arial" w:cs="Arial"/>
          <w:color w:val="AAAAAA"/>
          <w:sz w:val="18"/>
          <w:szCs w:val="18"/>
        </w:rPr>
        <w:t xml:space="preserve">   [</w:t>
      </w:r>
      <w:r w:rsidR="009912AC">
        <w:rPr>
          <w:rFonts w:ascii="Arial" w:eastAsia="Arial" w:hAnsi="Arial" w:cs="Arial"/>
          <w:color w:val="AAAAAA"/>
          <w:sz w:val="18"/>
          <w:szCs w:val="18"/>
        </w:rPr>
        <w:t>14</w:t>
      </w:r>
      <w:r>
        <w:rPr>
          <w:rFonts w:ascii="Arial" w:eastAsia="Arial" w:hAnsi="Arial" w:cs="Arial"/>
          <w:color w:val="AAAAAA"/>
          <w:sz w:val="18"/>
          <w:szCs w:val="18"/>
        </w:rPr>
        <w:t>]</w:t>
      </w:r>
    </w:p>
    <w:p w14:paraId="3E0B8E4B" w14:textId="77777777" w:rsidR="00C661B8" w:rsidRDefault="00000000" w:rsidP="00EE5089">
      <w:pPr>
        <w:spacing w:after="80" w:line="300" w:lineRule="auto"/>
        <w:ind w:left="1080" w:right="360"/>
      </w:pPr>
      <w:proofErr w:type="spellStart"/>
      <w:r>
        <w:rPr>
          <w:color w:val="444444"/>
          <w:sz w:val="18"/>
          <w:szCs w:val="18"/>
        </w:rPr>
        <w:t>Edestin</w:t>
      </w:r>
      <w:proofErr w:type="spellEnd"/>
      <w:r>
        <w:rPr>
          <w:color w:val="444444"/>
          <w:sz w:val="18"/>
          <w:szCs w:val="18"/>
        </w:rPr>
        <w:t xml:space="preserve"> is a globular protein found nowhere else in the plant kingdom in this form — structurally </w:t>
      </w:r>
      <w:proofErr w:type="gramStart"/>
      <w:r>
        <w:rPr>
          <w:color w:val="444444"/>
          <w:sz w:val="18"/>
          <w:szCs w:val="18"/>
        </w:rPr>
        <w:t>similar to</w:t>
      </w:r>
      <w:proofErr w:type="gramEnd"/>
      <w:r>
        <w:rPr>
          <w:color w:val="444444"/>
          <w:sz w:val="18"/>
          <w:szCs w:val="18"/>
        </w:rPr>
        <w:t xml:space="preserve"> human blood plasma globulins, digestibility above 90%, no inflammatory gut response. Its L-arginine concentration — highest of any plant protein — provides the nitric oxide precursor that dilates blood vessels and delivers the fatty acid substrates the ECS depends on.</w:t>
      </w:r>
    </w:p>
    <w:p w14:paraId="5C5EA272" w14:textId="77777777" w:rsidR="00C661B8" w:rsidRDefault="00000000" w:rsidP="00EE5089">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House et al. (2010) Journal of Agricultural and Food Chemistry 58(22):11801</w:t>
      </w:r>
    </w:p>
    <w:p w14:paraId="358AC907" w14:textId="71F2A8F9" w:rsidR="00C661B8" w:rsidRDefault="00000000">
      <w:pPr>
        <w:spacing w:before="100" w:after="20"/>
        <w:ind w:left="1080"/>
      </w:pPr>
      <w:r>
        <w:rPr>
          <w:i/>
          <w:iCs/>
          <w:color w:val="555555"/>
          <w:sz w:val="20"/>
          <w:szCs w:val="20"/>
        </w:rPr>
        <w:t>Albumin: Smooth Sailing for All Circulatory Destinations</w:t>
      </w:r>
      <w:r>
        <w:rPr>
          <w:rFonts w:ascii="Arial" w:eastAsia="Arial" w:hAnsi="Arial" w:cs="Arial"/>
          <w:color w:val="AAAAAA"/>
          <w:sz w:val="18"/>
          <w:szCs w:val="18"/>
        </w:rPr>
        <w:t xml:space="preserve">   [</w:t>
      </w:r>
      <w:r w:rsidR="009912AC">
        <w:rPr>
          <w:rFonts w:ascii="Arial" w:eastAsia="Arial" w:hAnsi="Arial" w:cs="Arial"/>
          <w:color w:val="AAAAAA"/>
          <w:sz w:val="18"/>
          <w:szCs w:val="18"/>
        </w:rPr>
        <w:t>14</w:t>
      </w:r>
      <w:r>
        <w:rPr>
          <w:rFonts w:ascii="Arial" w:eastAsia="Arial" w:hAnsi="Arial" w:cs="Arial"/>
          <w:color w:val="AAAAAA"/>
          <w:sz w:val="18"/>
          <w:szCs w:val="18"/>
        </w:rPr>
        <w:t>]</w:t>
      </w:r>
    </w:p>
    <w:p w14:paraId="284EF4AD" w14:textId="77777777" w:rsidR="00C661B8" w:rsidRDefault="00000000" w:rsidP="00EE5089">
      <w:pPr>
        <w:spacing w:after="80" w:line="300" w:lineRule="auto"/>
        <w:ind w:left="1080" w:right="360"/>
      </w:pPr>
      <w:r>
        <w:rPr>
          <w:color w:val="444444"/>
          <w:sz w:val="18"/>
          <w:szCs w:val="18"/>
        </w:rPr>
        <w:lastRenderedPageBreak/>
        <w:t>Hemp seed albumin constitutes approximately 35% of its protein fraction. In the bloodstream, albumin maintains oncotic pressure — the force keeping plasma fluid inside vessels. Critically, it is the body's primary carrier of long-chain fatty acids, steroid hormones, and lipid-signaling precursors across both the vascular system and the interstitial matrix — the extracellular space where albumin shuttles hydrophobic ECS precursors from capillary walls directly to target cell receptors.</w:t>
      </w:r>
    </w:p>
    <w:p w14:paraId="780D503C" w14:textId="603C1A81" w:rsidR="00C661B8" w:rsidRDefault="00000000" w:rsidP="001373AF">
      <w:pPr>
        <w:keepNext/>
        <w:spacing w:before="200" w:after="40"/>
        <w:ind w:left="720"/>
      </w:pPr>
      <w:r>
        <w:rPr>
          <w:i/>
          <w:iCs/>
        </w:rPr>
        <w:t>The Minerals: Zinc and Magnesium</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A267FD">
        <w:rPr>
          <w:rFonts w:ascii="Arial" w:eastAsia="Arial" w:hAnsi="Arial" w:cs="Arial"/>
          <w:color w:val="888888"/>
          <w:sz w:val="20"/>
          <w:szCs w:val="20"/>
        </w:rPr>
        <w:t>6</w:t>
      </w:r>
      <w:r>
        <w:rPr>
          <w:rFonts w:ascii="Arial" w:eastAsia="Arial" w:hAnsi="Arial" w:cs="Arial"/>
          <w:color w:val="888888"/>
          <w:sz w:val="20"/>
          <w:szCs w:val="20"/>
        </w:rPr>
        <w:t>]</w:t>
      </w:r>
    </w:p>
    <w:p w14:paraId="31CC0143" w14:textId="77777777" w:rsidR="00C661B8" w:rsidRDefault="00000000">
      <w:pPr>
        <w:spacing w:after="80" w:line="300" w:lineRule="auto"/>
        <w:ind w:left="720" w:right="360"/>
      </w:pPr>
      <w:r>
        <w:rPr>
          <w:color w:val="444444"/>
          <w:sz w:val="18"/>
          <w:szCs w:val="18"/>
        </w:rPr>
        <w:t>Magnesium is required by NAPE-PLD, the enzyme synthesizing anandamide. Without it, morning ECS tone cannot be established. Zinc sits directly in the signaling pathway between the receptor and the cell — insufficient zinc means the signal arrives and goes nowhere. Both deficiencies are epidemic. Neither can be compensated for by any amount of cannabinoid, pharmaceutical or dietary. Zinc deficiency is a key trigger for the always-on energy drain.</w:t>
      </w:r>
    </w:p>
    <w:p w14:paraId="7A593DB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Horrobin (1993) Progress in Lipid Research 32(3); Okamoto et al. (2004) Journal of Biological Chemistry 279(7)</w:t>
      </w:r>
    </w:p>
    <w:p w14:paraId="4CA21955" w14:textId="27EBC11C" w:rsidR="00C661B8" w:rsidRDefault="00000000">
      <w:pPr>
        <w:spacing w:before="200" w:after="40"/>
        <w:ind w:left="720"/>
      </w:pPr>
      <w:r>
        <w:rPr>
          <w:i/>
          <w:iCs/>
        </w:rPr>
        <w:t>Comparative Analysis: Adult Formula Breast Milk</w:t>
      </w:r>
      <w:r>
        <w:rPr>
          <w:rFonts w:ascii="Arial" w:eastAsia="Arial" w:hAnsi="Arial" w:cs="Arial"/>
          <w:color w:val="888888"/>
          <w:sz w:val="20"/>
          <w:szCs w:val="20"/>
        </w:rPr>
        <w:t xml:space="preserve">   [</w:t>
      </w:r>
      <w:r w:rsidR="009912AC">
        <w:rPr>
          <w:rFonts w:ascii="Arial" w:eastAsia="Arial" w:hAnsi="Arial" w:cs="Arial"/>
          <w:color w:val="888888"/>
          <w:sz w:val="20"/>
          <w:szCs w:val="20"/>
        </w:rPr>
        <w:t>16</w:t>
      </w:r>
      <w:r w:rsidR="00EA17B7">
        <w:rPr>
          <w:rFonts w:ascii="Arial" w:eastAsia="Arial" w:hAnsi="Arial" w:cs="Arial"/>
          <w:color w:val="888888"/>
          <w:sz w:val="20"/>
          <w:szCs w:val="20"/>
        </w:rPr>
        <w:t>-1</w:t>
      </w:r>
      <w:r w:rsidR="00A267FD">
        <w:rPr>
          <w:rFonts w:ascii="Arial" w:eastAsia="Arial" w:hAnsi="Arial" w:cs="Arial"/>
          <w:color w:val="888888"/>
          <w:sz w:val="20"/>
          <w:szCs w:val="20"/>
        </w:rPr>
        <w:t>9</w:t>
      </w:r>
      <w:r>
        <w:rPr>
          <w:rFonts w:ascii="Arial" w:eastAsia="Arial" w:hAnsi="Arial" w:cs="Arial"/>
          <w:color w:val="888888"/>
          <w:sz w:val="20"/>
          <w:szCs w:val="20"/>
        </w:rPr>
        <w:t>]</w:t>
      </w:r>
    </w:p>
    <w:p w14:paraId="01B2A906" w14:textId="69D5506C" w:rsidR="00C661B8" w:rsidRDefault="00000000">
      <w:pPr>
        <w:spacing w:after="80" w:line="300" w:lineRule="auto"/>
        <w:ind w:left="720" w:right="360"/>
      </w:pPr>
      <w:r>
        <w:rPr>
          <w:color w:val="444444"/>
          <w:sz w:val="18"/>
          <w:szCs w:val="18"/>
        </w:rPr>
        <w:t xml:space="preserve">A </w:t>
      </w:r>
      <w:r w:rsidR="00D8354B">
        <w:rPr>
          <w:color w:val="444444"/>
          <w:sz w:val="18"/>
          <w:szCs w:val="18"/>
        </w:rPr>
        <w:t>twenty</w:t>
      </w:r>
      <w:r>
        <w:rPr>
          <w:color w:val="444444"/>
          <w:sz w:val="18"/>
          <w:szCs w:val="18"/>
        </w:rPr>
        <w:t>-row side-by-side comparison of human breast milk and hemp seed plus raw Cannabis across every ECS-relevant nutritional domain: fatty acid profile, acidic vitamer content, endocannabinoid precursor density, mineral cofactors, protein architecture, phytosterols, anti-inflammatory compounds, prebiotic fiber, and the shared B12 limitation. This work is positioned as food and nutrition science — a nutritional label placed beside the gold standard.</w:t>
      </w:r>
    </w:p>
    <w:p w14:paraId="3E0B082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zenodo.org/records/19066408 (Pointedly Unresolved); zenodo.org/records/20437815 (Nutritional Gold Standard — Adult Formula)</w:t>
      </w:r>
    </w:p>
    <w:p w14:paraId="48455448" w14:textId="7CB84DAB" w:rsidR="00C661B8" w:rsidRDefault="00000000">
      <w:pPr>
        <w:spacing w:before="200" w:after="40"/>
        <w:ind w:left="720"/>
      </w:pPr>
      <w:r>
        <w:rPr>
          <w:i/>
          <w:iCs/>
        </w:rPr>
        <w:t>Fast-Tracked Nutrients</w:t>
      </w:r>
      <w:r>
        <w:rPr>
          <w:rFonts w:ascii="Arial" w:eastAsia="Arial" w:hAnsi="Arial" w:cs="Arial"/>
          <w:color w:val="888888"/>
          <w:sz w:val="20"/>
          <w:szCs w:val="20"/>
        </w:rPr>
        <w:t xml:space="preserve">   [</w:t>
      </w:r>
      <w:r w:rsidR="009912AC">
        <w:rPr>
          <w:rFonts w:ascii="Arial" w:eastAsia="Arial" w:hAnsi="Arial" w:cs="Arial"/>
          <w:color w:val="888888"/>
          <w:sz w:val="20"/>
          <w:szCs w:val="20"/>
        </w:rPr>
        <w:t>19</w:t>
      </w:r>
      <w:r>
        <w:rPr>
          <w:rFonts w:ascii="Arial" w:eastAsia="Arial" w:hAnsi="Arial" w:cs="Arial"/>
          <w:color w:val="888888"/>
          <w:sz w:val="20"/>
          <w:szCs w:val="20"/>
        </w:rPr>
        <w:t>]</w:t>
      </w:r>
    </w:p>
    <w:p w14:paraId="26BF25E6" w14:textId="77777777" w:rsidR="00C661B8" w:rsidRDefault="00000000">
      <w:pPr>
        <w:spacing w:after="80" w:line="300" w:lineRule="auto"/>
        <w:ind w:left="720" w:right="360"/>
      </w:pPr>
      <w:r>
        <w:rPr>
          <w:color w:val="444444"/>
          <w:sz w:val="18"/>
          <w:szCs w:val="18"/>
        </w:rPr>
        <w:t xml:space="preserve">The GLA metabolic pathway targets </w:t>
      </w:r>
      <w:proofErr w:type="gramStart"/>
      <w:r>
        <w:rPr>
          <w:color w:val="444444"/>
          <w:sz w:val="18"/>
          <w:szCs w:val="18"/>
        </w:rPr>
        <w:t>the gut</w:t>
      </w:r>
      <w:proofErr w:type="gramEnd"/>
      <w:r>
        <w:rPr>
          <w:color w:val="444444"/>
          <w:sz w:val="18"/>
          <w:szCs w:val="18"/>
        </w:rPr>
        <w:t xml:space="preserve"> dysbiosis that frequently acts as a pathological masking condition — starving the host of critical inputs while disrupting endogenous signaling. Hemp seed fast-tracks gut repair on its own, removing the hidden bottleneck that prevents the body from benefiting from the nutrition it is being given.</w:t>
      </w:r>
    </w:p>
    <w:p w14:paraId="0E1DB6EF" w14:textId="3BC1BB30" w:rsidR="00C661B8" w:rsidRDefault="00000000">
      <w:pPr>
        <w:spacing w:before="240" w:after="60"/>
        <w:ind w:left="360"/>
      </w:pPr>
      <w:r>
        <w:rPr>
          <w:rFonts w:ascii="Arial" w:eastAsia="Arial" w:hAnsi="Arial" w:cs="Arial"/>
          <w:b/>
          <w:bCs/>
        </w:rPr>
        <w:t>Chapter 3 — Masked Starvation</w:t>
      </w:r>
      <w:r>
        <w:rPr>
          <w:rFonts w:ascii="Arial" w:eastAsia="Arial" w:hAnsi="Arial" w:cs="Arial"/>
          <w:color w:val="888888"/>
          <w:sz w:val="20"/>
          <w:szCs w:val="20"/>
        </w:rPr>
        <w:t xml:space="preserve">   [</w:t>
      </w:r>
      <w:r w:rsidR="009912AC">
        <w:rPr>
          <w:rFonts w:ascii="Arial" w:eastAsia="Arial" w:hAnsi="Arial" w:cs="Arial"/>
          <w:color w:val="888888"/>
          <w:sz w:val="20"/>
          <w:szCs w:val="20"/>
        </w:rPr>
        <w:t>21</w:t>
      </w:r>
      <w:r>
        <w:rPr>
          <w:rFonts w:ascii="Arial" w:eastAsia="Arial" w:hAnsi="Arial" w:cs="Arial"/>
          <w:color w:val="888888"/>
          <w:sz w:val="20"/>
          <w:szCs w:val="20"/>
        </w:rPr>
        <w:t>]</w:t>
      </w:r>
    </w:p>
    <w:p w14:paraId="24FFA227" w14:textId="77777777" w:rsidR="00C661B8" w:rsidRDefault="00000000">
      <w:pPr>
        <w:spacing w:after="160" w:line="320" w:lineRule="auto"/>
        <w:ind w:left="360" w:right="360"/>
      </w:pPr>
      <w:r>
        <w:rPr>
          <w:color w:val="333333"/>
          <w:sz w:val="20"/>
          <w:szCs w:val="20"/>
        </w:rPr>
        <w:t xml:space="preserve">Chapter 3 answers the historical question: how did we arrive here? Two threads run in parallel. The first is evolutionary: the ECS is a 500-million-year-old system whose hardware predates the plant that feeds it. The second is political: the food was removed from the diet in 1937 through a legislative process, not a scientific one, </w:t>
      </w:r>
      <w:proofErr w:type="gramStart"/>
      <w:r>
        <w:rPr>
          <w:color w:val="333333"/>
          <w:sz w:val="20"/>
          <w:szCs w:val="20"/>
        </w:rPr>
        <w:t>at the moment</w:t>
      </w:r>
      <w:proofErr w:type="gramEnd"/>
      <w:r>
        <w:rPr>
          <w:color w:val="333333"/>
          <w:sz w:val="20"/>
          <w:szCs w:val="20"/>
        </w:rPr>
        <w:t xml:space="preserve"> the ECS was twenty-seven years from being discovered. Against that backdrop, four scientists over sixty-two years built the intellectual framework that makes a nutritional understanding of the ECS not just possible but overdue. Chapter 3 is both a history of absence and a tribute to the science that filled it.</w:t>
      </w:r>
    </w:p>
    <w:p w14:paraId="7DFC75E6" w14:textId="06E6127E" w:rsidR="00C661B8" w:rsidRDefault="00000000">
      <w:pPr>
        <w:spacing w:before="200" w:after="40"/>
        <w:ind w:left="720"/>
      </w:pPr>
      <w:r>
        <w:rPr>
          <w:i/>
          <w:iCs/>
        </w:rPr>
        <w:t>Evolutionary Depth</w:t>
      </w:r>
      <w:r>
        <w:rPr>
          <w:rFonts w:ascii="Arial" w:eastAsia="Arial" w:hAnsi="Arial" w:cs="Arial"/>
          <w:color w:val="888888"/>
          <w:sz w:val="20"/>
          <w:szCs w:val="20"/>
        </w:rPr>
        <w:t xml:space="preserve">   [</w:t>
      </w:r>
      <w:r w:rsidR="009912AC">
        <w:rPr>
          <w:rFonts w:ascii="Arial" w:eastAsia="Arial" w:hAnsi="Arial" w:cs="Arial"/>
          <w:color w:val="888888"/>
          <w:sz w:val="20"/>
          <w:szCs w:val="20"/>
        </w:rPr>
        <w:t>21</w:t>
      </w:r>
      <w:r>
        <w:rPr>
          <w:rFonts w:ascii="Arial" w:eastAsia="Arial" w:hAnsi="Arial" w:cs="Arial"/>
          <w:color w:val="888888"/>
          <w:sz w:val="20"/>
          <w:szCs w:val="20"/>
        </w:rPr>
        <w:t>]</w:t>
      </w:r>
    </w:p>
    <w:p w14:paraId="5944008C" w14:textId="77777777" w:rsidR="00C661B8" w:rsidRDefault="00000000">
      <w:pPr>
        <w:spacing w:after="80" w:line="300" w:lineRule="auto"/>
        <w:ind w:left="720" w:right="360"/>
      </w:pPr>
      <w:r>
        <w:rPr>
          <w:color w:val="444444"/>
          <w:sz w:val="18"/>
          <w:szCs w:val="18"/>
        </w:rPr>
        <w:t>The complete CB1 and CB2 receptor architecture defining all vertebrate life emerged over 500 million years ago. Cannabis is not an alien intruder — it is the late-arriving nutritional key for a master operating system nature had been building for half a billion years. The plant evolved into a system that already awaited it. Before humans mapped the system in 1964, nature had hard-wired the ECS into every vertebrate on Earth.</w:t>
      </w:r>
    </w:p>
    <w:p w14:paraId="20D5EEC7"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 xml:space="preserve">McPartland et al. (2006) Trends in Ecology &amp; Evolution 21(10); Elphick &amp; </w:t>
      </w:r>
      <w:proofErr w:type="spellStart"/>
      <w:r>
        <w:rPr>
          <w:i/>
          <w:iCs/>
          <w:color w:val="888888"/>
          <w:sz w:val="18"/>
          <w:szCs w:val="18"/>
        </w:rPr>
        <w:t>Egertová</w:t>
      </w:r>
      <w:proofErr w:type="spellEnd"/>
      <w:r>
        <w:rPr>
          <w:i/>
          <w:iCs/>
          <w:color w:val="888888"/>
          <w:sz w:val="18"/>
          <w:szCs w:val="18"/>
        </w:rPr>
        <w:t xml:space="preserve"> (2001) Phil. Trans. Royal Society B 356(1407)</w:t>
      </w:r>
    </w:p>
    <w:p w14:paraId="4A35FBB2" w14:textId="2E5866FF" w:rsidR="00C661B8" w:rsidRDefault="00000000">
      <w:pPr>
        <w:spacing w:before="200" w:after="40"/>
        <w:ind w:left="720"/>
      </w:pPr>
      <w:r>
        <w:rPr>
          <w:i/>
          <w:iCs/>
        </w:rPr>
        <w:lastRenderedPageBreak/>
        <w:t>1937: The Removal</w:t>
      </w:r>
      <w:r>
        <w:rPr>
          <w:rFonts w:ascii="Arial" w:eastAsia="Arial" w:hAnsi="Arial" w:cs="Arial"/>
          <w:color w:val="888888"/>
          <w:sz w:val="20"/>
          <w:szCs w:val="20"/>
        </w:rPr>
        <w:t xml:space="preserve">   [</w:t>
      </w:r>
      <w:r w:rsidR="009912AC">
        <w:rPr>
          <w:rFonts w:ascii="Arial" w:eastAsia="Arial" w:hAnsi="Arial" w:cs="Arial"/>
          <w:color w:val="888888"/>
          <w:sz w:val="20"/>
          <w:szCs w:val="20"/>
        </w:rPr>
        <w:t>22</w:t>
      </w:r>
      <w:r>
        <w:rPr>
          <w:rFonts w:ascii="Arial" w:eastAsia="Arial" w:hAnsi="Arial" w:cs="Arial"/>
          <w:color w:val="888888"/>
          <w:sz w:val="20"/>
          <w:szCs w:val="20"/>
        </w:rPr>
        <w:t>]</w:t>
      </w:r>
    </w:p>
    <w:p w14:paraId="1405A65F" w14:textId="77777777" w:rsidR="00C661B8" w:rsidRDefault="00000000">
      <w:pPr>
        <w:spacing w:after="80" w:line="300" w:lineRule="auto"/>
        <w:ind w:left="720" w:right="360"/>
      </w:pPr>
      <w:r>
        <w:rPr>
          <w:color w:val="444444"/>
          <w:sz w:val="18"/>
          <w:szCs w:val="18"/>
        </w:rPr>
        <w:t xml:space="preserve">The Marihuana Tax Act of 1937 conflated industrial hemp, nutritional hemp, and psychoactive cannabis under a single politically constructed prohibition. The nutritional argument was never made in defense of the plant because </w:t>
      </w:r>
      <w:proofErr w:type="gramStart"/>
      <w:r>
        <w:rPr>
          <w:color w:val="444444"/>
          <w:sz w:val="18"/>
          <w:szCs w:val="18"/>
        </w:rPr>
        <w:t>the nutritional</w:t>
      </w:r>
      <w:proofErr w:type="gramEnd"/>
      <w:r>
        <w:rPr>
          <w:color w:val="444444"/>
          <w:sz w:val="18"/>
          <w:szCs w:val="18"/>
        </w:rPr>
        <w:t xml:space="preserve"> science didn't exist yet. What was removed was not a drug — it was </w:t>
      </w:r>
      <w:proofErr w:type="gramStart"/>
      <w:r>
        <w:rPr>
          <w:color w:val="444444"/>
          <w:sz w:val="18"/>
          <w:szCs w:val="18"/>
        </w:rPr>
        <w:t>the food</w:t>
      </w:r>
      <w:proofErr w:type="gramEnd"/>
      <w:r>
        <w:rPr>
          <w:color w:val="444444"/>
          <w:sz w:val="18"/>
          <w:szCs w:val="18"/>
        </w:rPr>
        <w:t xml:space="preserve"> most precisely aligned with a physiological system that science would not discover for another twenty-seven years.</w:t>
      </w:r>
    </w:p>
    <w:p w14:paraId="37CC41A9" w14:textId="2A2E9E3A" w:rsidR="00C661B8" w:rsidRDefault="00000000">
      <w:pPr>
        <w:spacing w:before="200" w:after="40"/>
        <w:ind w:left="720"/>
      </w:pPr>
      <w:r>
        <w:rPr>
          <w:i/>
          <w:iCs/>
        </w:rPr>
        <w:t>The Four Who Built the Map</w:t>
      </w:r>
      <w:r>
        <w:rPr>
          <w:rFonts w:ascii="Arial" w:eastAsia="Arial" w:hAnsi="Arial" w:cs="Arial"/>
          <w:color w:val="888888"/>
          <w:sz w:val="20"/>
          <w:szCs w:val="20"/>
        </w:rPr>
        <w:t xml:space="preserve">   [</w:t>
      </w:r>
      <w:r w:rsidR="009912AC">
        <w:rPr>
          <w:rFonts w:ascii="Arial" w:eastAsia="Arial" w:hAnsi="Arial" w:cs="Arial"/>
          <w:color w:val="888888"/>
          <w:sz w:val="20"/>
          <w:szCs w:val="20"/>
        </w:rPr>
        <w:t>22</w:t>
      </w:r>
      <w:r>
        <w:rPr>
          <w:rFonts w:ascii="Arial" w:eastAsia="Arial" w:hAnsi="Arial" w:cs="Arial"/>
          <w:color w:val="888888"/>
          <w:sz w:val="20"/>
          <w:szCs w:val="20"/>
        </w:rPr>
        <w:t>]</w:t>
      </w:r>
    </w:p>
    <w:p w14:paraId="31FFBE3F" w14:textId="77777777" w:rsidR="00C661B8" w:rsidRDefault="00000000">
      <w:pPr>
        <w:spacing w:after="80" w:line="300" w:lineRule="auto"/>
        <w:ind w:left="720" w:right="360"/>
      </w:pPr>
      <w:r>
        <w:rPr>
          <w:color w:val="444444"/>
          <w:sz w:val="18"/>
          <w:szCs w:val="18"/>
        </w:rPr>
        <w:t>This section tributes the four scientists whose combined work creates the intellectual foundation for Endocannabinoid Nutritional Biology. Each portrait establishes what that researcher contributed and how it connects directly to the nutritional framework this book presents. Together they form a sixty-two-year arc: from structural chemistry to enzymatic logic to whole-body network to clinical deficiency — from what the plant contains to what happens to a body deprived of it.</w:t>
      </w:r>
    </w:p>
    <w:p w14:paraId="3B324629" w14:textId="4A7F743A" w:rsidR="00C661B8" w:rsidRDefault="00000000">
      <w:pPr>
        <w:spacing w:before="100" w:after="20"/>
        <w:ind w:left="1080"/>
      </w:pPr>
      <w:r>
        <w:rPr>
          <w:i/>
          <w:iCs/>
          <w:color w:val="555555"/>
          <w:sz w:val="20"/>
          <w:szCs w:val="20"/>
        </w:rPr>
        <w:t>Raphael Mechoulam: The Structural Catalog</w:t>
      </w:r>
      <w:r>
        <w:rPr>
          <w:rFonts w:ascii="Arial" w:eastAsia="Arial" w:hAnsi="Arial" w:cs="Arial"/>
          <w:color w:val="AAAAAA"/>
          <w:sz w:val="18"/>
          <w:szCs w:val="18"/>
        </w:rPr>
        <w:t xml:space="preserve">   [</w:t>
      </w:r>
      <w:r w:rsidR="009912AC">
        <w:rPr>
          <w:rFonts w:ascii="Arial" w:eastAsia="Arial" w:hAnsi="Arial" w:cs="Arial"/>
          <w:color w:val="AAAAAA"/>
          <w:sz w:val="18"/>
          <w:szCs w:val="18"/>
        </w:rPr>
        <w:t>22</w:t>
      </w:r>
      <w:r>
        <w:rPr>
          <w:rFonts w:ascii="Arial" w:eastAsia="Arial" w:hAnsi="Arial" w:cs="Arial"/>
          <w:color w:val="AAAAAA"/>
          <w:sz w:val="18"/>
          <w:szCs w:val="18"/>
        </w:rPr>
        <w:t>]</w:t>
      </w:r>
    </w:p>
    <w:p w14:paraId="12BA737B" w14:textId="77777777" w:rsidR="00C661B8" w:rsidRDefault="00000000" w:rsidP="00243DA5">
      <w:pPr>
        <w:spacing w:after="80" w:line="300" w:lineRule="auto"/>
        <w:ind w:left="1080" w:right="360"/>
      </w:pPr>
      <w:r>
        <w:rPr>
          <w:color w:val="444444"/>
          <w:sz w:val="18"/>
          <w:szCs w:val="18"/>
        </w:rPr>
        <w:t xml:space="preserve">In 1964, </w:t>
      </w:r>
      <w:proofErr w:type="spellStart"/>
      <w:r>
        <w:rPr>
          <w:color w:val="444444"/>
          <w:sz w:val="18"/>
          <w:szCs w:val="18"/>
        </w:rPr>
        <w:t>Mechoulam</w:t>
      </w:r>
      <w:proofErr w:type="spellEnd"/>
      <w:r>
        <w:rPr>
          <w:color w:val="444444"/>
          <w:sz w:val="18"/>
          <w:szCs w:val="18"/>
        </w:rPr>
        <w:t xml:space="preserve"> became the first to systematically characterize Cannabis </w:t>
      </w:r>
      <w:proofErr w:type="spellStart"/>
      <w:r>
        <w:rPr>
          <w:color w:val="444444"/>
          <w:sz w:val="18"/>
          <w:szCs w:val="18"/>
        </w:rPr>
        <w:t>sativa's</w:t>
      </w:r>
      <w:proofErr w:type="spellEnd"/>
      <w:r>
        <w:rPr>
          <w:color w:val="444444"/>
          <w:sz w:val="18"/>
          <w:szCs w:val="18"/>
        </w:rPr>
        <w:t xml:space="preserve"> molecular constituents — naming cannabinoids, identifying THC, and isolating the acidic precursors THCA, CBDA, and CBGA whose nutritional significance would not be revisited for decades. The Floyd-Benjamin research returns directly to </w:t>
      </w:r>
      <w:proofErr w:type="spellStart"/>
      <w:r>
        <w:rPr>
          <w:color w:val="444444"/>
          <w:sz w:val="18"/>
          <w:szCs w:val="18"/>
        </w:rPr>
        <w:t>Mechoulam's</w:t>
      </w:r>
      <w:proofErr w:type="spellEnd"/>
      <w:r>
        <w:rPr>
          <w:color w:val="444444"/>
          <w:sz w:val="18"/>
          <w:szCs w:val="18"/>
        </w:rPr>
        <w:t xml:space="preserve"> structural data, asking what happens to those acids inside a living body rather than under heat.</w:t>
      </w:r>
    </w:p>
    <w:p w14:paraId="15ECEE55"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proofErr w:type="spellStart"/>
      <w:r>
        <w:rPr>
          <w:i/>
          <w:iCs/>
          <w:color w:val="888888"/>
          <w:sz w:val="18"/>
          <w:szCs w:val="18"/>
        </w:rPr>
        <w:t>Mechoulam</w:t>
      </w:r>
      <w:proofErr w:type="spellEnd"/>
      <w:r>
        <w:rPr>
          <w:i/>
          <w:iCs/>
          <w:color w:val="888888"/>
          <w:sz w:val="18"/>
          <w:szCs w:val="18"/>
        </w:rPr>
        <w:t xml:space="preserve"> &amp; </w:t>
      </w:r>
      <w:proofErr w:type="spellStart"/>
      <w:r>
        <w:rPr>
          <w:i/>
          <w:iCs/>
          <w:color w:val="888888"/>
          <w:sz w:val="18"/>
          <w:szCs w:val="18"/>
        </w:rPr>
        <w:t>Gaoni</w:t>
      </w:r>
      <w:proofErr w:type="spellEnd"/>
      <w:r>
        <w:rPr>
          <w:i/>
          <w:iCs/>
          <w:color w:val="888888"/>
          <w:sz w:val="18"/>
          <w:szCs w:val="18"/>
        </w:rPr>
        <w:t xml:space="preserve"> (1964) Journal of the American Chemical Society 86(8):1646</w:t>
      </w:r>
    </w:p>
    <w:p w14:paraId="3D7FF2A5" w14:textId="5727CAE1" w:rsidR="00C661B8" w:rsidRDefault="00000000">
      <w:pPr>
        <w:spacing w:before="100" w:after="20"/>
        <w:ind w:left="1080"/>
      </w:pPr>
      <w:r>
        <w:rPr>
          <w:i/>
          <w:iCs/>
          <w:color w:val="555555"/>
          <w:sz w:val="20"/>
          <w:szCs w:val="20"/>
        </w:rPr>
        <w:t>Daniele Piomelli: The Enzymatic Logic</w:t>
      </w:r>
      <w:r>
        <w:rPr>
          <w:rFonts w:ascii="Arial" w:eastAsia="Arial" w:hAnsi="Arial" w:cs="Arial"/>
          <w:color w:val="AAAAAA"/>
          <w:sz w:val="18"/>
          <w:szCs w:val="18"/>
        </w:rPr>
        <w:t xml:space="preserve">   [</w:t>
      </w:r>
      <w:r w:rsidR="009912AC">
        <w:rPr>
          <w:rFonts w:ascii="Arial" w:eastAsia="Arial" w:hAnsi="Arial" w:cs="Arial"/>
          <w:color w:val="AAAAAA"/>
          <w:sz w:val="18"/>
          <w:szCs w:val="18"/>
        </w:rPr>
        <w:t>23</w:t>
      </w:r>
      <w:r>
        <w:rPr>
          <w:rFonts w:ascii="Arial" w:eastAsia="Arial" w:hAnsi="Arial" w:cs="Arial"/>
          <w:color w:val="AAAAAA"/>
          <w:sz w:val="18"/>
          <w:szCs w:val="18"/>
        </w:rPr>
        <w:t>]</w:t>
      </w:r>
    </w:p>
    <w:p w14:paraId="708C6D85" w14:textId="77777777" w:rsidR="00C661B8" w:rsidRDefault="00000000" w:rsidP="00243DA5">
      <w:pPr>
        <w:spacing w:after="80" w:line="300" w:lineRule="auto"/>
        <w:ind w:left="1080" w:right="360"/>
      </w:pPr>
      <w:proofErr w:type="spellStart"/>
      <w:r>
        <w:rPr>
          <w:color w:val="444444"/>
          <w:sz w:val="18"/>
          <w:szCs w:val="18"/>
        </w:rPr>
        <w:t>Piomelli</w:t>
      </w:r>
      <w:proofErr w:type="spellEnd"/>
      <w:r>
        <w:rPr>
          <w:color w:val="444444"/>
          <w:sz w:val="18"/>
          <w:szCs w:val="18"/>
        </w:rPr>
        <w:t xml:space="preserve"> decoded how the ECS operates: endocannabinoids are lipid messengers manufactured on demand from membrane precursors, not stored in vesicles. His work on FAAH and MAGL established that ECS tone is equally a function of how fast signals are destroyed as how much is produced. CBDA's modulation of FAAH is the direct nutritional application of </w:t>
      </w:r>
      <w:proofErr w:type="spellStart"/>
      <w:r>
        <w:rPr>
          <w:color w:val="444444"/>
          <w:sz w:val="18"/>
          <w:szCs w:val="18"/>
        </w:rPr>
        <w:t>Piomelli's</w:t>
      </w:r>
      <w:proofErr w:type="spellEnd"/>
      <w:r>
        <w:rPr>
          <w:color w:val="444444"/>
          <w:sz w:val="18"/>
          <w:szCs w:val="18"/>
        </w:rPr>
        <w:t xml:space="preserve"> enzymatic logic.</w:t>
      </w:r>
    </w:p>
    <w:p w14:paraId="56526F64"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proofErr w:type="spellStart"/>
      <w:r>
        <w:rPr>
          <w:i/>
          <w:iCs/>
          <w:color w:val="888888"/>
          <w:sz w:val="18"/>
          <w:szCs w:val="18"/>
        </w:rPr>
        <w:t>Piomelli</w:t>
      </w:r>
      <w:proofErr w:type="spellEnd"/>
      <w:r>
        <w:rPr>
          <w:i/>
          <w:iCs/>
          <w:color w:val="888888"/>
          <w:sz w:val="18"/>
          <w:szCs w:val="18"/>
        </w:rPr>
        <w:t xml:space="preserve"> (2003) Nature Reviews Neuroscience 4(11):873; Cravatt et al. (1996) Nature 384(6604):83</w:t>
      </w:r>
    </w:p>
    <w:p w14:paraId="338834B5" w14:textId="1CC26759" w:rsidR="00C661B8" w:rsidRDefault="00000000">
      <w:pPr>
        <w:spacing w:before="100" w:after="20"/>
        <w:ind w:left="1080"/>
      </w:pPr>
      <w:r>
        <w:rPr>
          <w:i/>
          <w:iCs/>
          <w:color w:val="555555"/>
          <w:sz w:val="20"/>
          <w:szCs w:val="20"/>
        </w:rPr>
        <w:t>Vincenzo Di Marzo: The Whole-Body Network</w:t>
      </w:r>
      <w:r>
        <w:rPr>
          <w:rFonts w:ascii="Arial" w:eastAsia="Arial" w:hAnsi="Arial" w:cs="Arial"/>
          <w:color w:val="AAAAAA"/>
          <w:sz w:val="18"/>
          <w:szCs w:val="18"/>
        </w:rPr>
        <w:t xml:space="preserve">   [</w:t>
      </w:r>
      <w:r w:rsidR="009912AC">
        <w:rPr>
          <w:rFonts w:ascii="Arial" w:eastAsia="Arial" w:hAnsi="Arial" w:cs="Arial"/>
          <w:color w:val="AAAAAA"/>
          <w:sz w:val="18"/>
          <w:szCs w:val="18"/>
        </w:rPr>
        <w:t>24</w:t>
      </w:r>
      <w:r>
        <w:rPr>
          <w:rFonts w:ascii="Arial" w:eastAsia="Arial" w:hAnsi="Arial" w:cs="Arial"/>
          <w:color w:val="AAAAAA"/>
          <w:sz w:val="18"/>
          <w:szCs w:val="18"/>
        </w:rPr>
        <w:t>]</w:t>
      </w:r>
    </w:p>
    <w:p w14:paraId="0B5AD461" w14:textId="77777777" w:rsidR="00C661B8" w:rsidRDefault="00000000" w:rsidP="00243DA5">
      <w:pPr>
        <w:spacing w:after="80" w:line="300" w:lineRule="auto"/>
        <w:ind w:left="1080" w:right="360"/>
      </w:pPr>
      <w:r>
        <w:rPr>
          <w:color w:val="444444"/>
          <w:sz w:val="18"/>
          <w:szCs w:val="18"/>
        </w:rPr>
        <w:t xml:space="preserve">Di Marzo expanded the ECS from a neural system to a whole-organism network — the </w:t>
      </w:r>
      <w:proofErr w:type="spellStart"/>
      <w:r>
        <w:rPr>
          <w:color w:val="444444"/>
          <w:sz w:val="18"/>
          <w:szCs w:val="18"/>
        </w:rPr>
        <w:t>endocannabinoidome</w:t>
      </w:r>
      <w:proofErr w:type="spellEnd"/>
      <w:r>
        <w:rPr>
          <w:color w:val="444444"/>
          <w:sz w:val="18"/>
          <w:szCs w:val="18"/>
        </w:rPr>
        <w:t xml:space="preserve"> — continuously tuned by dietary fatty acid composition, gut microbiome activity, and enterohepatic recycling. His work made it scientifically necessary, not merely plausible, to ask what diet has to do with ECS function.</w:t>
      </w:r>
    </w:p>
    <w:p w14:paraId="369251CC"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Di Marzo et al. (1994) Nature 372(6507):686; Di Marzo (2020) Annual Review of Pharmacology and Toxicology 60</w:t>
      </w:r>
    </w:p>
    <w:p w14:paraId="2658E0AB" w14:textId="1BF8ADAF" w:rsidR="00C661B8" w:rsidRDefault="00000000">
      <w:pPr>
        <w:spacing w:before="100" w:after="20"/>
        <w:ind w:left="1080"/>
      </w:pPr>
      <w:r>
        <w:rPr>
          <w:i/>
          <w:iCs/>
          <w:color w:val="555555"/>
          <w:sz w:val="20"/>
          <w:szCs w:val="20"/>
        </w:rPr>
        <w:t>Ethan Russo: The Clinical Consequences</w:t>
      </w:r>
      <w:r>
        <w:rPr>
          <w:rFonts w:ascii="Arial" w:eastAsia="Arial" w:hAnsi="Arial" w:cs="Arial"/>
          <w:color w:val="AAAAAA"/>
          <w:sz w:val="18"/>
          <w:szCs w:val="18"/>
        </w:rPr>
        <w:t xml:space="preserve">   [</w:t>
      </w:r>
      <w:r w:rsidR="009912AC">
        <w:rPr>
          <w:rFonts w:ascii="Arial" w:eastAsia="Arial" w:hAnsi="Arial" w:cs="Arial"/>
          <w:color w:val="AAAAAA"/>
          <w:sz w:val="18"/>
          <w:szCs w:val="18"/>
        </w:rPr>
        <w:t>24</w:t>
      </w:r>
      <w:r>
        <w:rPr>
          <w:rFonts w:ascii="Arial" w:eastAsia="Arial" w:hAnsi="Arial" w:cs="Arial"/>
          <w:color w:val="AAAAAA"/>
          <w:sz w:val="18"/>
          <w:szCs w:val="18"/>
        </w:rPr>
        <w:t>]</w:t>
      </w:r>
    </w:p>
    <w:p w14:paraId="3AAFC6A1" w14:textId="77777777" w:rsidR="00C661B8" w:rsidRDefault="00000000" w:rsidP="00243DA5">
      <w:pPr>
        <w:spacing w:after="80" w:line="300" w:lineRule="auto"/>
        <w:ind w:left="1080" w:right="360"/>
      </w:pPr>
      <w:r>
        <w:rPr>
          <w:color w:val="444444"/>
          <w:sz w:val="18"/>
          <w:szCs w:val="18"/>
        </w:rPr>
        <w:t xml:space="preserve">Russo named the clinical cost of ECS deficiency — CECD — and argued that whole-plant compound profiles restore ECS tone more effectively than any isolate. Both contributions are </w:t>
      </w:r>
      <w:proofErr w:type="gramStart"/>
      <w:r>
        <w:rPr>
          <w:color w:val="444444"/>
          <w:sz w:val="18"/>
          <w:szCs w:val="18"/>
        </w:rPr>
        <w:t>load-bearing</w:t>
      </w:r>
      <w:proofErr w:type="gramEnd"/>
      <w:r>
        <w:rPr>
          <w:color w:val="444444"/>
          <w:sz w:val="18"/>
          <w:szCs w:val="18"/>
        </w:rPr>
        <w:t xml:space="preserve"> for the Floyd-Benjamin framework: CECD names what a starved ECS produces over time; the entourage effect explains why whole hemp seed and raw Cannabis outperform extracted compounds.</w:t>
      </w:r>
    </w:p>
    <w:p w14:paraId="0463E569"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Russo (2004) Neuroendocrinology Letters 25(1-2); Russo (2011) British Journal of Pharmacology 163(7):1344</w:t>
      </w:r>
    </w:p>
    <w:p w14:paraId="0764953C" w14:textId="170D4573" w:rsidR="00C661B8" w:rsidRDefault="00000000">
      <w:pPr>
        <w:spacing w:before="200" w:after="40"/>
        <w:ind w:left="720"/>
      </w:pPr>
      <w:r>
        <w:rPr>
          <w:i/>
          <w:iCs/>
        </w:rPr>
        <w:t>The Through-Line</w:t>
      </w:r>
      <w:r>
        <w:rPr>
          <w:rFonts w:ascii="Arial" w:eastAsia="Arial" w:hAnsi="Arial" w:cs="Arial"/>
          <w:color w:val="888888"/>
          <w:sz w:val="20"/>
          <w:szCs w:val="20"/>
        </w:rPr>
        <w:t xml:space="preserve">   [</w:t>
      </w:r>
      <w:r w:rsidR="009912AC">
        <w:rPr>
          <w:rFonts w:ascii="Arial" w:eastAsia="Arial" w:hAnsi="Arial" w:cs="Arial"/>
          <w:color w:val="888888"/>
          <w:sz w:val="20"/>
          <w:szCs w:val="20"/>
        </w:rPr>
        <w:t>25</w:t>
      </w:r>
      <w:r>
        <w:rPr>
          <w:rFonts w:ascii="Arial" w:eastAsia="Arial" w:hAnsi="Arial" w:cs="Arial"/>
          <w:color w:val="888888"/>
          <w:sz w:val="20"/>
          <w:szCs w:val="20"/>
        </w:rPr>
        <w:t>]</w:t>
      </w:r>
    </w:p>
    <w:p w14:paraId="38BDD918" w14:textId="77777777" w:rsidR="00C661B8" w:rsidRDefault="00000000">
      <w:pPr>
        <w:spacing w:after="80" w:line="300" w:lineRule="auto"/>
        <w:ind w:left="720" w:right="360"/>
      </w:pPr>
      <w:r>
        <w:rPr>
          <w:color w:val="444444"/>
          <w:sz w:val="18"/>
          <w:szCs w:val="18"/>
        </w:rPr>
        <w:t xml:space="preserve">Synthesizes the four arcs: </w:t>
      </w:r>
      <w:proofErr w:type="spellStart"/>
      <w:r>
        <w:rPr>
          <w:color w:val="444444"/>
          <w:sz w:val="18"/>
          <w:szCs w:val="18"/>
        </w:rPr>
        <w:t>Mechoulam</w:t>
      </w:r>
      <w:proofErr w:type="spellEnd"/>
      <w:r>
        <w:rPr>
          <w:color w:val="444444"/>
          <w:sz w:val="18"/>
          <w:szCs w:val="18"/>
        </w:rPr>
        <w:t xml:space="preserve"> isolated the structural compounds. </w:t>
      </w:r>
      <w:proofErr w:type="spellStart"/>
      <w:r>
        <w:rPr>
          <w:color w:val="444444"/>
          <w:sz w:val="18"/>
          <w:szCs w:val="18"/>
        </w:rPr>
        <w:t>Piomelli</w:t>
      </w:r>
      <w:proofErr w:type="spellEnd"/>
      <w:r>
        <w:rPr>
          <w:color w:val="444444"/>
          <w:sz w:val="18"/>
          <w:szCs w:val="18"/>
        </w:rPr>
        <w:t xml:space="preserve"> decoded the enzymatic logic. Di Marzo expanded the frame to a system-level, nutritionally modulated whole-</w:t>
      </w:r>
      <w:r>
        <w:rPr>
          <w:color w:val="444444"/>
          <w:sz w:val="18"/>
          <w:szCs w:val="18"/>
        </w:rPr>
        <w:lastRenderedPageBreak/>
        <w:t xml:space="preserve">organism network. Russo described what clinical deficiency looks like. </w:t>
      </w:r>
      <w:proofErr w:type="gramStart"/>
      <w:r>
        <w:rPr>
          <w:color w:val="444444"/>
          <w:sz w:val="18"/>
          <w:szCs w:val="18"/>
        </w:rPr>
        <w:t>Three</w:t>
      </w:r>
      <w:proofErr w:type="gramEnd"/>
      <w:r>
        <w:rPr>
          <w:color w:val="444444"/>
          <w:sz w:val="18"/>
          <w:szCs w:val="18"/>
        </w:rPr>
        <w:t xml:space="preserve"> </w:t>
      </w:r>
      <w:proofErr w:type="gramStart"/>
      <w:r>
        <w:rPr>
          <w:color w:val="444444"/>
          <w:sz w:val="18"/>
          <w:szCs w:val="18"/>
        </w:rPr>
        <w:t>built the map</w:t>
      </w:r>
      <w:proofErr w:type="gramEnd"/>
      <w:r>
        <w:rPr>
          <w:color w:val="444444"/>
          <w:sz w:val="18"/>
          <w:szCs w:val="18"/>
        </w:rPr>
        <w:t>. The fourth showed what it was a map of.</w:t>
      </w:r>
    </w:p>
    <w:p w14:paraId="663E2D55" w14:textId="35D9F4D3" w:rsidR="00C661B8" w:rsidRDefault="00000000">
      <w:pPr>
        <w:spacing w:before="240" w:after="60"/>
        <w:ind w:left="360"/>
      </w:pPr>
      <w:r>
        <w:rPr>
          <w:rFonts w:ascii="Arial" w:eastAsia="Arial" w:hAnsi="Arial" w:cs="Arial"/>
          <w:b/>
          <w:bCs/>
        </w:rPr>
        <w:t>Chapter 4 — Winter Is Coming (For Your Cells)</w:t>
      </w:r>
      <w:r>
        <w:rPr>
          <w:rFonts w:ascii="Arial" w:eastAsia="Arial" w:hAnsi="Arial" w:cs="Arial"/>
          <w:color w:val="888888"/>
          <w:sz w:val="20"/>
          <w:szCs w:val="20"/>
        </w:rPr>
        <w:t xml:space="preserve">   [</w:t>
      </w:r>
      <w:r w:rsidR="009912AC">
        <w:rPr>
          <w:rFonts w:ascii="Arial" w:eastAsia="Arial" w:hAnsi="Arial" w:cs="Arial"/>
          <w:color w:val="888888"/>
          <w:sz w:val="20"/>
          <w:szCs w:val="20"/>
        </w:rPr>
        <w:t>27</w:t>
      </w:r>
      <w:r>
        <w:rPr>
          <w:rFonts w:ascii="Arial" w:eastAsia="Arial" w:hAnsi="Arial" w:cs="Arial"/>
          <w:color w:val="888888"/>
          <w:sz w:val="20"/>
          <w:szCs w:val="20"/>
        </w:rPr>
        <w:t>]</w:t>
      </w:r>
    </w:p>
    <w:p w14:paraId="7A5DF7E2" w14:textId="77777777" w:rsidR="00C661B8" w:rsidRDefault="00000000">
      <w:pPr>
        <w:spacing w:after="160" w:line="320" w:lineRule="auto"/>
        <w:ind w:left="360" w:right="360"/>
      </w:pPr>
      <w:r>
        <w:rPr>
          <w:color w:val="333333"/>
          <w:sz w:val="20"/>
          <w:szCs w:val="20"/>
        </w:rPr>
        <w:t>The deficiency is not a theory. It is visible in the population data: diabetes rates, metabolic dysfunction, shortened lifespans, accelerated puberty. Chapter 4 maps what chronic ECS undernutrition looks like at population scale and explains why it has been so difficult to see — no diagnostic panel measures ECS tone, and the sex-stratified architecture of the system means pooled research data has been obscuring both sexes simultaneously. The chapter closes with the correction: two foods, sex-stratified doses, one daily practice.</w:t>
      </w:r>
    </w:p>
    <w:p w14:paraId="01FB896C" w14:textId="0DE8BB29" w:rsidR="00C661B8" w:rsidRDefault="00000000">
      <w:pPr>
        <w:spacing w:before="200" w:after="40"/>
        <w:ind w:left="720"/>
      </w:pPr>
      <w:proofErr w:type="gramStart"/>
      <w:r>
        <w:rPr>
          <w:i/>
          <w:iCs/>
        </w:rPr>
        <w:t>The Population</w:t>
      </w:r>
      <w:proofErr w:type="gramEnd"/>
      <w:r>
        <w:rPr>
          <w:i/>
          <w:iCs/>
        </w:rPr>
        <w:t>-Scale Evidence</w:t>
      </w:r>
      <w:r>
        <w:rPr>
          <w:rFonts w:ascii="Arial" w:eastAsia="Arial" w:hAnsi="Arial" w:cs="Arial"/>
          <w:color w:val="888888"/>
          <w:sz w:val="20"/>
          <w:szCs w:val="20"/>
        </w:rPr>
        <w:t xml:space="preserve">   [</w:t>
      </w:r>
      <w:r w:rsidR="009912AC">
        <w:rPr>
          <w:rFonts w:ascii="Arial" w:eastAsia="Arial" w:hAnsi="Arial" w:cs="Arial"/>
          <w:color w:val="888888"/>
          <w:sz w:val="20"/>
          <w:szCs w:val="20"/>
        </w:rPr>
        <w:t>27</w:t>
      </w:r>
      <w:r>
        <w:rPr>
          <w:rFonts w:ascii="Arial" w:eastAsia="Arial" w:hAnsi="Arial" w:cs="Arial"/>
          <w:color w:val="888888"/>
          <w:sz w:val="20"/>
          <w:szCs w:val="20"/>
        </w:rPr>
        <w:t>]</w:t>
      </w:r>
    </w:p>
    <w:p w14:paraId="29D3B280" w14:textId="77777777" w:rsidR="00C661B8" w:rsidRDefault="00000000">
      <w:pPr>
        <w:spacing w:after="80" w:line="300" w:lineRule="auto"/>
        <w:ind w:left="720" w:right="360"/>
      </w:pPr>
      <w:r>
        <w:rPr>
          <w:color w:val="444444"/>
          <w:sz w:val="18"/>
          <w:szCs w:val="18"/>
        </w:rPr>
        <w:t xml:space="preserve">Type 2 diabetes </w:t>
      </w:r>
      <w:proofErr w:type="gramStart"/>
      <w:r>
        <w:rPr>
          <w:color w:val="444444"/>
          <w:sz w:val="18"/>
          <w:szCs w:val="18"/>
        </w:rPr>
        <w:t>rising</w:t>
      </w:r>
      <w:proofErr w:type="gramEnd"/>
      <w:r>
        <w:rPr>
          <w:color w:val="444444"/>
          <w:sz w:val="18"/>
          <w:szCs w:val="18"/>
        </w:rPr>
        <w:t xml:space="preserve"> from under 1% in 1950 to nearly 14% today. Over 93% of American adults show metabolic dysfunction. Children projected to have shorter lifespans than their parents for the first time in modern history. Girls reaching puberty up to five years earlier than in 1920. These trends share a common substrate: a master regulatory system operating without its required nutritional inputs for multiple generations.</w:t>
      </w:r>
    </w:p>
    <w:p w14:paraId="3973B02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Araújo et al. (2019) Journal of the American College of Cardiology 73(1); CDC National Diabetes Statistics Report</w:t>
      </w:r>
    </w:p>
    <w:p w14:paraId="263A4008" w14:textId="6CE3B639" w:rsidR="00C661B8" w:rsidRDefault="00000000">
      <w:pPr>
        <w:spacing w:before="200" w:after="40"/>
        <w:ind w:left="720"/>
      </w:pPr>
      <w:r>
        <w:rPr>
          <w:i/>
          <w:iCs/>
        </w:rPr>
        <w:t xml:space="preserve">Why </w:t>
      </w:r>
      <w:proofErr w:type="gramStart"/>
      <w:r>
        <w:rPr>
          <w:i/>
          <w:iCs/>
        </w:rPr>
        <w:t>the Deficiency</w:t>
      </w:r>
      <w:proofErr w:type="gramEnd"/>
      <w:r>
        <w:rPr>
          <w:i/>
          <w:iCs/>
        </w:rPr>
        <w:t xml:space="preserve"> Is Invisible</w:t>
      </w:r>
      <w:r>
        <w:rPr>
          <w:rFonts w:ascii="Arial" w:eastAsia="Arial" w:hAnsi="Arial" w:cs="Arial"/>
          <w:color w:val="888888"/>
          <w:sz w:val="20"/>
          <w:szCs w:val="20"/>
        </w:rPr>
        <w:t xml:space="preserve">   [</w:t>
      </w:r>
      <w:r w:rsidR="009912AC">
        <w:rPr>
          <w:rFonts w:ascii="Arial" w:eastAsia="Arial" w:hAnsi="Arial" w:cs="Arial"/>
          <w:color w:val="888888"/>
          <w:sz w:val="20"/>
          <w:szCs w:val="20"/>
        </w:rPr>
        <w:t>28</w:t>
      </w:r>
      <w:r>
        <w:rPr>
          <w:rFonts w:ascii="Arial" w:eastAsia="Arial" w:hAnsi="Arial" w:cs="Arial"/>
          <w:color w:val="888888"/>
          <w:sz w:val="20"/>
          <w:szCs w:val="20"/>
        </w:rPr>
        <w:t>]</w:t>
      </w:r>
    </w:p>
    <w:p w14:paraId="23B747A7" w14:textId="77777777" w:rsidR="00C661B8" w:rsidRDefault="00000000">
      <w:pPr>
        <w:spacing w:after="80" w:line="300" w:lineRule="auto"/>
        <w:ind w:left="720" w:right="360"/>
      </w:pPr>
      <w:r>
        <w:rPr>
          <w:color w:val="444444"/>
          <w:sz w:val="18"/>
          <w:szCs w:val="18"/>
        </w:rPr>
        <w:t>ECS deficiency produces symptoms attributable to dozens of other causes. No blood panel measures ECS nutritional status. Sex-stratified differences mean pooled data represents neither male nor female physiology accurately. The deficiency is real, widespread, and invisible to current diagnostic tools — which means clinicians treating downstream conditions are managing symptoms of a root cause they have no way to measure.</w:t>
      </w:r>
    </w:p>
    <w:p w14:paraId="494495D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(2026) zenodo.org/records/19067272 (The Blind Spot)</w:t>
      </w:r>
    </w:p>
    <w:p w14:paraId="6735B146" w14:textId="3F8FC1BE" w:rsidR="00C661B8" w:rsidRDefault="00000000">
      <w:pPr>
        <w:spacing w:before="200" w:after="40"/>
        <w:ind w:left="720"/>
      </w:pPr>
      <w:r>
        <w:rPr>
          <w:i/>
          <w:iCs/>
        </w:rPr>
        <w:t>The Correction</w:t>
      </w:r>
      <w:r>
        <w:rPr>
          <w:rFonts w:ascii="Arial" w:eastAsia="Arial" w:hAnsi="Arial" w:cs="Arial"/>
          <w:color w:val="888888"/>
          <w:sz w:val="20"/>
          <w:szCs w:val="20"/>
        </w:rPr>
        <w:t xml:space="preserve">   [</w:t>
      </w:r>
      <w:r w:rsidR="009912AC">
        <w:rPr>
          <w:rFonts w:ascii="Arial" w:eastAsia="Arial" w:hAnsi="Arial" w:cs="Arial"/>
          <w:color w:val="888888"/>
          <w:sz w:val="20"/>
          <w:szCs w:val="20"/>
        </w:rPr>
        <w:t>28</w:t>
      </w:r>
      <w:r>
        <w:rPr>
          <w:rFonts w:ascii="Arial" w:eastAsia="Arial" w:hAnsi="Arial" w:cs="Arial"/>
          <w:color w:val="888888"/>
          <w:sz w:val="20"/>
          <w:szCs w:val="20"/>
        </w:rPr>
        <w:t>]</w:t>
      </w:r>
    </w:p>
    <w:p w14:paraId="11DEA58C" w14:textId="77777777" w:rsidR="00C661B8" w:rsidRDefault="00000000">
      <w:pPr>
        <w:spacing w:after="80" w:line="300" w:lineRule="auto"/>
        <w:ind w:left="720" w:right="360"/>
      </w:pPr>
      <w:r>
        <w:rPr>
          <w:color w:val="444444"/>
          <w:sz w:val="18"/>
          <w:szCs w:val="18"/>
        </w:rPr>
        <w:t>A nutritional deficiency is treated with nutrients — the same logic that cures scurvy with Vitamin C. Hemp seed and raw Cannabis plant. Two tablespoons per meal for women, three for men. One eighth ounce of raw Cannabis per day, added to cooled food. The details are in Part Three. First, we need to understand what happens inside the body when they arrive.</w:t>
      </w:r>
    </w:p>
    <w:p w14:paraId="25819A8B" w14:textId="77777777" w:rsidR="00C661B8" w:rsidRDefault="00000000">
      <w:pPr>
        <w:spacing w:before="480" w:after="60"/>
      </w:pPr>
      <w:r>
        <w:rPr>
          <w:rFonts w:ascii="Arial" w:eastAsia="Arial" w:hAnsi="Arial" w:cs="Arial"/>
          <w:b/>
          <w:bCs/>
          <w:caps/>
          <w:color w:val="888888"/>
        </w:rPr>
        <w:t>Interlude — As Promised ...</w:t>
      </w:r>
    </w:p>
    <w:p w14:paraId="78128030" w14:textId="7FA3C804" w:rsidR="00C661B8" w:rsidRDefault="00000000">
      <w:pPr>
        <w:spacing w:after="80"/>
        <w:ind w:left="360"/>
      </w:pPr>
      <w:r w:rsidRPr="00AB5E86">
        <w:rPr>
          <w:rFonts w:ascii="Arial" w:eastAsia="Arial" w:hAnsi="Arial" w:cs="Arial"/>
          <w:sz w:val="22"/>
          <w:szCs w:val="22"/>
        </w:rPr>
        <w:t>Four Nutritional</w:t>
      </w:r>
      <w:r w:rsidRPr="00AB5E86">
        <w:rPr>
          <w:i/>
          <w:iCs/>
          <w:sz w:val="20"/>
          <w:szCs w:val="20"/>
        </w:rPr>
        <w:t xml:space="preserve"> </w:t>
      </w:r>
      <w:r w:rsidRPr="00AB5E86">
        <w:rPr>
          <w:rFonts w:ascii="Arial" w:eastAsia="Arial" w:hAnsi="Arial" w:cs="Arial"/>
          <w:sz w:val="22"/>
          <w:szCs w:val="22"/>
        </w:rPr>
        <w:t>Labels</w:t>
      </w:r>
      <w:r w:rsidRPr="00AB5E86">
        <w:rPr>
          <w:rFonts w:ascii="Arial" w:eastAsia="Arial" w:hAnsi="Arial" w:cs="Arial"/>
          <w:color w:val="888888"/>
          <w:sz w:val="22"/>
          <w:szCs w:val="22"/>
        </w:rPr>
        <w:t xml:space="preserve">   [</w:t>
      </w:r>
      <w:r w:rsidR="009912AC" w:rsidRPr="00AB5E86">
        <w:rPr>
          <w:rFonts w:ascii="Arial" w:eastAsia="Arial" w:hAnsi="Arial" w:cs="Arial"/>
          <w:color w:val="888888"/>
          <w:sz w:val="22"/>
          <w:szCs w:val="22"/>
        </w:rPr>
        <w:t>30</w:t>
      </w:r>
      <w:r w:rsidR="00EA17B7" w:rsidRPr="00AB5E86">
        <w:rPr>
          <w:rFonts w:ascii="Arial" w:eastAsia="Arial" w:hAnsi="Arial" w:cs="Arial"/>
          <w:color w:val="888888"/>
          <w:sz w:val="22"/>
          <w:szCs w:val="22"/>
        </w:rPr>
        <w:t>-34</w:t>
      </w:r>
      <w:r w:rsidRPr="00AB5E86">
        <w:rPr>
          <w:rFonts w:ascii="Arial" w:eastAsia="Arial" w:hAnsi="Arial" w:cs="Arial"/>
          <w:color w:val="888888"/>
          <w:sz w:val="22"/>
          <w:szCs w:val="22"/>
        </w:rPr>
        <w:t>]</w:t>
      </w:r>
    </w:p>
    <w:p w14:paraId="78CCAC64" w14:textId="77777777" w:rsidR="00C661B8" w:rsidRDefault="00000000">
      <w:pPr>
        <w:spacing w:after="160" w:line="320" w:lineRule="auto"/>
        <w:ind w:left="360" w:right="360"/>
      </w:pPr>
      <w:r>
        <w:rPr>
          <w:color w:val="333333"/>
          <w:sz w:val="20"/>
          <w:szCs w:val="20"/>
        </w:rPr>
        <w:t>In the Introduction, we promised to give Cannabis a nutritional label — the same way we label a box of cereal. Here it is. Four labels: hulled hemp seed (with the 3:1 LA:ALA ratio and all mineral cofactors named), raw Cannabis leaf and flower (acidic vitamers quantified — the label that has never existed before because no one has framed Cannabis as food), decarboxylated Cannabis (the same flower after heat — the vitamers disappear, THC appears; the argument made in data without a word of prose), and hemp flower (the federally legal nationwide alternative with its full CBDA and CBGA profile). Reading all four labels in sequence delivers the book's central argument in numbers.</w:t>
      </w:r>
    </w:p>
    <w:p w14:paraId="5EFE7B60" w14:textId="77777777" w:rsidR="00C661B8" w:rsidRDefault="00000000" w:rsidP="003C2323">
      <w:pPr>
        <w:spacing w:before="120" w:after="120"/>
        <w:jc w:val="center"/>
      </w:pPr>
      <w:r>
        <w:rPr>
          <w:color w:val="CCCCCC"/>
          <w:sz w:val="20"/>
          <w:szCs w:val="20"/>
        </w:rPr>
        <w:t>― ― ―</w:t>
      </w:r>
    </w:p>
    <w:p w14:paraId="63D0063D" w14:textId="7A9EDE9B" w:rsidR="00C661B8" w:rsidRDefault="00000000" w:rsidP="003C2323">
      <w:pPr>
        <w:spacing w:before="240" w:after="60"/>
      </w:pPr>
      <w:r>
        <w:rPr>
          <w:rFonts w:ascii="Arial" w:eastAsia="Arial" w:hAnsi="Arial" w:cs="Arial"/>
          <w:b/>
          <w:bCs/>
          <w:caps/>
          <w:color w:val="222222"/>
          <w:sz w:val="26"/>
          <w:szCs w:val="26"/>
        </w:rPr>
        <w:lastRenderedPageBreak/>
        <w:t>Part Two — The Capability</w:t>
      </w:r>
      <w:r>
        <w:rPr>
          <w:rFonts w:ascii="Arial" w:eastAsia="Arial" w:hAnsi="Arial" w:cs="Arial"/>
          <w:color w:val="888888"/>
          <w:sz w:val="22"/>
          <w:szCs w:val="22"/>
        </w:rPr>
        <w:t xml:space="preserve">   [</w:t>
      </w:r>
      <w:r w:rsidR="009912AC">
        <w:rPr>
          <w:rFonts w:ascii="Arial" w:eastAsia="Arial" w:hAnsi="Arial" w:cs="Arial"/>
          <w:color w:val="888888"/>
          <w:sz w:val="22"/>
          <w:szCs w:val="22"/>
        </w:rPr>
        <w:t>35</w:t>
      </w:r>
      <w:r>
        <w:rPr>
          <w:rFonts w:ascii="Arial" w:eastAsia="Arial" w:hAnsi="Arial" w:cs="Arial"/>
          <w:color w:val="888888"/>
          <w:sz w:val="22"/>
          <w:szCs w:val="22"/>
        </w:rPr>
        <w:t>]</w:t>
      </w:r>
    </w:p>
    <w:p w14:paraId="3E8C2F5F" w14:textId="77777777" w:rsidR="00C661B8" w:rsidRDefault="00000000">
      <w:pPr>
        <w:spacing w:after="320" w:line="320" w:lineRule="auto"/>
        <w:ind w:left="360" w:right="360"/>
      </w:pPr>
      <w:r>
        <w:rPr>
          <w:i/>
          <w:iCs/>
          <w:color w:val="333333"/>
          <w:sz w:val="20"/>
          <w:szCs w:val="20"/>
        </w:rPr>
        <w:t>Part Two explains what the body does when the ECS is properly fed. Four chapters move from the adult formula's mechanistic architecture through the ECS as master regulator to the brain's specific requirements to the gut's role as the metabolic gateway through which dietary Cannabis operates. By the end of Part Two the reader understands not just that the ECS is important but how it works, what it signals with, why sex matters to its function, and why eating cannabis rather than inhaling it produces a fundamentally different physiological experience.</w:t>
      </w:r>
    </w:p>
    <w:p w14:paraId="230227DB" w14:textId="222E89EA" w:rsidR="00C661B8" w:rsidRDefault="00000000">
      <w:pPr>
        <w:spacing w:before="240" w:after="60"/>
        <w:ind w:left="360"/>
      </w:pPr>
      <w:r>
        <w:rPr>
          <w:rFonts w:ascii="Arial" w:eastAsia="Arial" w:hAnsi="Arial" w:cs="Arial"/>
          <w:b/>
          <w:bCs/>
        </w:rPr>
        <w:t>Chapter 5 — The Fuel</w:t>
      </w:r>
      <w:r>
        <w:rPr>
          <w:rFonts w:ascii="Arial" w:eastAsia="Arial" w:hAnsi="Arial" w:cs="Arial"/>
          <w:color w:val="888888"/>
          <w:sz w:val="20"/>
          <w:szCs w:val="20"/>
        </w:rPr>
        <w:t xml:space="preserve">   [</w:t>
      </w:r>
      <w:r w:rsidR="009912AC">
        <w:rPr>
          <w:rFonts w:ascii="Arial" w:eastAsia="Arial" w:hAnsi="Arial" w:cs="Arial"/>
          <w:color w:val="888888"/>
          <w:sz w:val="20"/>
          <w:szCs w:val="20"/>
        </w:rPr>
        <w:t>37</w:t>
      </w:r>
      <w:r>
        <w:rPr>
          <w:rFonts w:ascii="Arial" w:eastAsia="Arial" w:hAnsi="Arial" w:cs="Arial"/>
          <w:color w:val="888888"/>
          <w:sz w:val="20"/>
          <w:szCs w:val="20"/>
        </w:rPr>
        <w:t>]</w:t>
      </w:r>
    </w:p>
    <w:p w14:paraId="24BFB5F5" w14:textId="77777777" w:rsidR="00C661B8" w:rsidRDefault="00000000">
      <w:pPr>
        <w:spacing w:after="160" w:line="320" w:lineRule="auto"/>
        <w:ind w:left="360" w:right="360"/>
      </w:pPr>
      <w:r>
        <w:rPr>
          <w:color w:val="333333"/>
          <w:sz w:val="20"/>
          <w:szCs w:val="20"/>
        </w:rPr>
        <w:t>Every physiological system has a matching nutrient set. Chapter 5 examines the breast milk alignment not as a surface comparison but as a structural argument: the inversion of protein architecture and anti-inflammatory potency between breast milk and Cannabis sativa reveals that these are two phases of the same evolutionary nutritional program, one calibrated for building and one for maintenance. The Three Pillars then map the three independent, convergent mechanisms through which hemp seed plus raw Cannabis delivers its ECS support simultaneously.</w:t>
      </w:r>
    </w:p>
    <w:p w14:paraId="69B430B9" w14:textId="56207533" w:rsidR="00C661B8" w:rsidRDefault="00000000">
      <w:pPr>
        <w:spacing w:before="200" w:after="40"/>
        <w:ind w:left="720"/>
      </w:pPr>
      <w:r>
        <w:rPr>
          <w:i/>
          <w:iCs/>
        </w:rPr>
        <w:t xml:space="preserve">The Adult Formula: An Inversion </w:t>
      </w:r>
      <w:proofErr w:type="gramStart"/>
      <w:r>
        <w:rPr>
          <w:i/>
          <w:iCs/>
        </w:rPr>
        <w:t>With</w:t>
      </w:r>
      <w:proofErr w:type="gramEnd"/>
      <w:r>
        <w:rPr>
          <w:i/>
          <w:iCs/>
        </w:rPr>
        <w:t xml:space="preserve"> Meaning</w:t>
      </w:r>
      <w:r>
        <w:rPr>
          <w:rFonts w:ascii="Arial" w:eastAsia="Arial" w:hAnsi="Arial" w:cs="Arial"/>
          <w:color w:val="888888"/>
          <w:sz w:val="20"/>
          <w:szCs w:val="20"/>
        </w:rPr>
        <w:t xml:space="preserve">   [</w:t>
      </w:r>
      <w:r w:rsidR="009912AC">
        <w:rPr>
          <w:rFonts w:ascii="Arial" w:eastAsia="Arial" w:hAnsi="Arial" w:cs="Arial"/>
          <w:color w:val="888888"/>
          <w:sz w:val="20"/>
          <w:szCs w:val="20"/>
        </w:rPr>
        <w:t>37</w:t>
      </w:r>
      <w:r>
        <w:rPr>
          <w:rFonts w:ascii="Arial" w:eastAsia="Arial" w:hAnsi="Arial" w:cs="Arial"/>
          <w:color w:val="888888"/>
          <w:sz w:val="20"/>
          <w:szCs w:val="20"/>
        </w:rPr>
        <w:t>]</w:t>
      </w:r>
    </w:p>
    <w:p w14:paraId="40BE164E" w14:textId="77777777" w:rsidR="00C661B8" w:rsidRDefault="00000000">
      <w:pPr>
        <w:spacing w:after="80" w:line="300" w:lineRule="auto"/>
        <w:ind w:left="720" w:right="360"/>
      </w:pPr>
      <w:r>
        <w:rPr>
          <w:color w:val="444444"/>
          <w:sz w:val="18"/>
          <w:szCs w:val="18"/>
        </w:rPr>
        <w:t>The comparison of breast milk and hemp seed plus raw Cannabis is not a perfect symmetry — and the asymmetry is the finding. Two values are deliberately inverted: protein architecture and anti-inflammatory potency. Both inversions are directionally consistent with the biological transition from infant (growth program, protected environment) to adult (maintenance program, chronic inflammatory load). The inversion pattern, combined with the shared B12 gap, makes a structural case that these are not two unrelated foods that happen to share features.</w:t>
      </w:r>
    </w:p>
    <w:p w14:paraId="576A73C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zenodo.org/records/19066408; zenodo.org/records/20437815</w:t>
      </w:r>
    </w:p>
    <w:p w14:paraId="29E91B33" w14:textId="1BDD7869" w:rsidR="00C661B8" w:rsidRDefault="00000000">
      <w:pPr>
        <w:spacing w:before="100" w:after="20"/>
        <w:ind w:left="1080"/>
      </w:pPr>
      <w:r>
        <w:rPr>
          <w:i/>
          <w:iCs/>
          <w:color w:val="555555"/>
          <w:sz w:val="20"/>
          <w:szCs w:val="20"/>
        </w:rPr>
        <w:t>Biological Transition: Infant to Adult Values Inverted</w:t>
      </w:r>
      <w:r>
        <w:rPr>
          <w:rFonts w:ascii="Arial" w:eastAsia="Arial" w:hAnsi="Arial" w:cs="Arial"/>
          <w:color w:val="AAAAAA"/>
          <w:sz w:val="18"/>
          <w:szCs w:val="18"/>
        </w:rPr>
        <w:t xml:space="preserve">   [</w:t>
      </w:r>
      <w:r w:rsidR="009912AC">
        <w:rPr>
          <w:rFonts w:ascii="Arial" w:eastAsia="Arial" w:hAnsi="Arial" w:cs="Arial"/>
          <w:color w:val="AAAAAA"/>
          <w:sz w:val="18"/>
          <w:szCs w:val="18"/>
        </w:rPr>
        <w:t>37</w:t>
      </w:r>
      <w:r>
        <w:rPr>
          <w:rFonts w:ascii="Arial" w:eastAsia="Arial" w:hAnsi="Arial" w:cs="Arial"/>
          <w:color w:val="AAAAAA"/>
          <w:sz w:val="18"/>
          <w:szCs w:val="18"/>
        </w:rPr>
        <w:t>]</w:t>
      </w:r>
    </w:p>
    <w:p w14:paraId="6EC52EF1" w14:textId="77777777" w:rsidR="00C661B8" w:rsidRDefault="00000000" w:rsidP="00962572">
      <w:pPr>
        <w:spacing w:after="80" w:line="300" w:lineRule="auto"/>
        <w:ind w:left="1080" w:right="360"/>
      </w:pPr>
      <w:r>
        <w:rPr>
          <w:color w:val="444444"/>
          <w:sz w:val="18"/>
          <w:szCs w:val="18"/>
        </w:rPr>
        <w:t>Protein architecture and anti-inflammatory potency are both deliberately inverted between breast milk and whole-plant hemp. The inversion is the developmental signal.</w:t>
      </w:r>
    </w:p>
    <w:p w14:paraId="1DA6D554" w14:textId="31FC49CD" w:rsidR="00C661B8" w:rsidRDefault="00000000">
      <w:pPr>
        <w:spacing w:before="100" w:after="20"/>
        <w:ind w:left="1080"/>
      </w:pPr>
      <w:r>
        <w:rPr>
          <w:i/>
          <w:iCs/>
          <w:color w:val="555555"/>
          <w:sz w:val="20"/>
          <w:szCs w:val="20"/>
        </w:rPr>
        <w:t>Protein Architecture Inversion</w:t>
      </w:r>
      <w:r>
        <w:rPr>
          <w:rFonts w:ascii="Arial" w:eastAsia="Arial" w:hAnsi="Arial" w:cs="Arial"/>
          <w:color w:val="AAAAAA"/>
          <w:sz w:val="18"/>
          <w:szCs w:val="18"/>
        </w:rPr>
        <w:t xml:space="preserve">   [</w:t>
      </w:r>
      <w:r w:rsidR="009912AC">
        <w:rPr>
          <w:rFonts w:ascii="Arial" w:eastAsia="Arial" w:hAnsi="Arial" w:cs="Arial"/>
          <w:color w:val="AAAAAA"/>
          <w:sz w:val="18"/>
          <w:szCs w:val="18"/>
        </w:rPr>
        <w:t>38</w:t>
      </w:r>
      <w:r>
        <w:rPr>
          <w:rFonts w:ascii="Arial" w:eastAsia="Arial" w:hAnsi="Arial" w:cs="Arial"/>
          <w:color w:val="AAAAAA"/>
          <w:sz w:val="18"/>
          <w:szCs w:val="18"/>
        </w:rPr>
        <w:t>]</w:t>
      </w:r>
    </w:p>
    <w:p w14:paraId="2452C212" w14:textId="77777777" w:rsidR="00C661B8" w:rsidRDefault="00000000" w:rsidP="00962572">
      <w:pPr>
        <w:spacing w:after="80" w:line="300" w:lineRule="auto"/>
        <w:ind w:left="1080" w:right="360"/>
      </w:pPr>
      <w:r>
        <w:rPr>
          <w:color w:val="444444"/>
          <w:sz w:val="18"/>
          <w:szCs w:val="18"/>
        </w:rPr>
        <w:t xml:space="preserve">Breast milk protein is whey-dominant, activating mTOR — the growth program. Hemp seed protein is </w:t>
      </w:r>
      <w:proofErr w:type="spellStart"/>
      <w:r>
        <w:rPr>
          <w:color w:val="444444"/>
          <w:sz w:val="18"/>
          <w:szCs w:val="18"/>
        </w:rPr>
        <w:t>edestin</w:t>
      </w:r>
      <w:proofErr w:type="spellEnd"/>
      <w:r>
        <w:rPr>
          <w:color w:val="444444"/>
          <w:sz w:val="18"/>
          <w:szCs w:val="18"/>
        </w:rPr>
        <w:t xml:space="preserve">-dominant, activating AMPK — the maintenance program. The organism is switching from growth to homeostasis at weaning, and the nutritional substrate switches in </w:t>
      </w:r>
      <w:proofErr w:type="gramStart"/>
      <w:r>
        <w:rPr>
          <w:color w:val="444444"/>
          <w:sz w:val="18"/>
          <w:szCs w:val="18"/>
        </w:rPr>
        <w:t>exactly the same</w:t>
      </w:r>
      <w:proofErr w:type="gramEnd"/>
      <w:r>
        <w:rPr>
          <w:color w:val="444444"/>
          <w:sz w:val="18"/>
          <w:szCs w:val="18"/>
        </w:rPr>
        <w:t xml:space="preserve"> direction simultaneously.</w:t>
      </w:r>
    </w:p>
    <w:p w14:paraId="15EBFC1E" w14:textId="78E2C444" w:rsidR="00C661B8" w:rsidRDefault="00000000">
      <w:pPr>
        <w:spacing w:before="100" w:after="20"/>
        <w:ind w:left="1080"/>
      </w:pPr>
      <w:r>
        <w:rPr>
          <w:i/>
          <w:iCs/>
          <w:color w:val="555555"/>
          <w:sz w:val="20"/>
          <w:szCs w:val="20"/>
        </w:rPr>
        <w:t>Anti-inflammatory Potency Inversion</w:t>
      </w:r>
      <w:r>
        <w:rPr>
          <w:rFonts w:ascii="Arial" w:eastAsia="Arial" w:hAnsi="Arial" w:cs="Arial"/>
          <w:color w:val="AAAAAA"/>
          <w:sz w:val="18"/>
          <w:szCs w:val="18"/>
        </w:rPr>
        <w:t xml:space="preserve">   [</w:t>
      </w:r>
      <w:r w:rsidR="009912AC">
        <w:rPr>
          <w:rFonts w:ascii="Arial" w:eastAsia="Arial" w:hAnsi="Arial" w:cs="Arial"/>
          <w:color w:val="AAAAAA"/>
          <w:sz w:val="18"/>
          <w:szCs w:val="18"/>
        </w:rPr>
        <w:t>38</w:t>
      </w:r>
      <w:r>
        <w:rPr>
          <w:rFonts w:ascii="Arial" w:eastAsia="Arial" w:hAnsi="Arial" w:cs="Arial"/>
          <w:color w:val="AAAAAA"/>
          <w:sz w:val="18"/>
          <w:szCs w:val="18"/>
        </w:rPr>
        <w:t>]</w:t>
      </w:r>
    </w:p>
    <w:p w14:paraId="1933BAA1" w14:textId="77777777" w:rsidR="00C661B8" w:rsidRDefault="00000000" w:rsidP="00962572">
      <w:pPr>
        <w:spacing w:after="80" w:line="300" w:lineRule="auto"/>
        <w:ind w:left="1080" w:right="360"/>
      </w:pPr>
      <w:r>
        <w:rPr>
          <w:color w:val="444444"/>
          <w:sz w:val="18"/>
          <w:szCs w:val="18"/>
        </w:rPr>
        <w:t xml:space="preserve">Breast milk provides moderate flavonoid protection appropriate for an infant in a biochemically protected environment. Cannabis sativa provides </w:t>
      </w:r>
      <w:proofErr w:type="spellStart"/>
      <w:r>
        <w:rPr>
          <w:color w:val="444444"/>
          <w:sz w:val="18"/>
          <w:szCs w:val="18"/>
        </w:rPr>
        <w:t>Cannflavins</w:t>
      </w:r>
      <w:proofErr w:type="spellEnd"/>
      <w:r>
        <w:rPr>
          <w:color w:val="444444"/>
          <w:sz w:val="18"/>
          <w:szCs w:val="18"/>
        </w:rPr>
        <w:t xml:space="preserve"> A and B at approximately 30 times aspirin's PGE2 inhibitory potency — scaled to the chronic inflammatory load of adult life. </w:t>
      </w:r>
      <w:proofErr w:type="gramStart"/>
      <w:r>
        <w:rPr>
          <w:color w:val="444444"/>
          <w:sz w:val="18"/>
          <w:szCs w:val="18"/>
        </w:rPr>
        <w:t>The protective</w:t>
      </w:r>
      <w:proofErr w:type="gramEnd"/>
      <w:r>
        <w:rPr>
          <w:color w:val="444444"/>
          <w:sz w:val="18"/>
          <w:szCs w:val="18"/>
        </w:rPr>
        <w:t xml:space="preserve"> chemistry doesn't just change at weaning; it upgrades in proportion to the inflammatory challenge the organism will face.</w:t>
      </w:r>
    </w:p>
    <w:p w14:paraId="708B8103" w14:textId="573D49BC" w:rsidR="00C661B8" w:rsidRDefault="00000000">
      <w:pPr>
        <w:spacing w:before="100" w:after="20"/>
        <w:ind w:left="1080"/>
      </w:pPr>
      <w:proofErr w:type="gramStart"/>
      <w:r>
        <w:rPr>
          <w:i/>
          <w:iCs/>
          <w:color w:val="555555"/>
          <w:sz w:val="20"/>
          <w:szCs w:val="20"/>
        </w:rPr>
        <w:t>The Vitamin</w:t>
      </w:r>
      <w:proofErr w:type="gramEnd"/>
      <w:r>
        <w:rPr>
          <w:i/>
          <w:iCs/>
          <w:color w:val="555555"/>
          <w:sz w:val="20"/>
          <w:szCs w:val="20"/>
        </w:rPr>
        <w:t xml:space="preserve"> B12 Confirmation</w:t>
      </w:r>
      <w:r>
        <w:rPr>
          <w:rFonts w:ascii="Arial" w:eastAsia="Arial" w:hAnsi="Arial" w:cs="Arial"/>
          <w:color w:val="AAAAAA"/>
          <w:sz w:val="18"/>
          <w:szCs w:val="18"/>
        </w:rPr>
        <w:t xml:space="preserve">   [</w:t>
      </w:r>
      <w:r w:rsidR="009912AC">
        <w:rPr>
          <w:rFonts w:ascii="Arial" w:eastAsia="Arial" w:hAnsi="Arial" w:cs="Arial"/>
          <w:color w:val="AAAAAA"/>
          <w:sz w:val="18"/>
          <w:szCs w:val="18"/>
        </w:rPr>
        <w:t>39</w:t>
      </w:r>
      <w:r>
        <w:rPr>
          <w:rFonts w:ascii="Arial" w:eastAsia="Arial" w:hAnsi="Arial" w:cs="Arial"/>
          <w:color w:val="AAAAAA"/>
          <w:sz w:val="18"/>
          <w:szCs w:val="18"/>
        </w:rPr>
        <w:t>]</w:t>
      </w:r>
    </w:p>
    <w:p w14:paraId="32E137B8" w14:textId="77777777" w:rsidR="00C661B8" w:rsidRDefault="00000000" w:rsidP="00962572">
      <w:pPr>
        <w:spacing w:after="80" w:line="300" w:lineRule="auto"/>
        <w:ind w:left="1080" w:right="360"/>
      </w:pPr>
      <w:r>
        <w:rPr>
          <w:color w:val="444444"/>
          <w:sz w:val="18"/>
          <w:szCs w:val="18"/>
        </w:rPr>
        <w:t>The single shared deficiency of B12 across both substrates confirms structural validity of the comparison. If the alignment were coincidental, there would be no reason to expect the same specific gap in both. The absence confirms the relationship.</w:t>
      </w:r>
    </w:p>
    <w:p w14:paraId="0523496A" w14:textId="46CEE38A" w:rsidR="00C661B8" w:rsidRDefault="00000000" w:rsidP="00C46D62">
      <w:pPr>
        <w:keepNext/>
        <w:spacing w:before="200" w:after="40"/>
        <w:ind w:left="720"/>
      </w:pPr>
      <w:r>
        <w:rPr>
          <w:i/>
          <w:iCs/>
        </w:rPr>
        <w:lastRenderedPageBreak/>
        <w:t>The Three Pillars</w:t>
      </w:r>
      <w:r>
        <w:rPr>
          <w:rFonts w:ascii="Arial" w:eastAsia="Arial" w:hAnsi="Arial" w:cs="Arial"/>
          <w:color w:val="888888"/>
          <w:sz w:val="20"/>
          <w:szCs w:val="20"/>
        </w:rPr>
        <w:t xml:space="preserve">   [</w:t>
      </w:r>
      <w:r w:rsidR="009912AC">
        <w:rPr>
          <w:rFonts w:ascii="Arial" w:eastAsia="Arial" w:hAnsi="Arial" w:cs="Arial"/>
          <w:color w:val="888888"/>
          <w:sz w:val="20"/>
          <w:szCs w:val="20"/>
        </w:rPr>
        <w:t>39</w:t>
      </w:r>
      <w:r>
        <w:rPr>
          <w:rFonts w:ascii="Arial" w:eastAsia="Arial" w:hAnsi="Arial" w:cs="Arial"/>
          <w:color w:val="888888"/>
          <w:sz w:val="20"/>
          <w:szCs w:val="20"/>
        </w:rPr>
        <w:t>]</w:t>
      </w:r>
    </w:p>
    <w:p w14:paraId="35C42A7F" w14:textId="77777777" w:rsidR="00C661B8" w:rsidRDefault="00000000">
      <w:pPr>
        <w:spacing w:after="80" w:line="300" w:lineRule="auto"/>
        <w:ind w:left="720" w:right="360"/>
      </w:pPr>
      <w:r>
        <w:rPr>
          <w:color w:val="444444"/>
          <w:sz w:val="18"/>
          <w:szCs w:val="18"/>
        </w:rPr>
        <w:t xml:space="preserve">Three independent, convergent mechanisms through which hemp seed plus raw Cannabis supports ECS function simultaneously: Pillar One supplies the fatty acid precursors and cofactors for on-demand endocannabinoid synthesis. Pillar Two maintains the membrane architecture that CB1 and CB2 receptor conformation depends on. Pillar Three supplies </w:t>
      </w:r>
      <w:proofErr w:type="gramStart"/>
      <w:r>
        <w:rPr>
          <w:color w:val="444444"/>
          <w:sz w:val="18"/>
          <w:szCs w:val="18"/>
        </w:rPr>
        <w:t>the mineral</w:t>
      </w:r>
      <w:proofErr w:type="gramEnd"/>
      <w:r>
        <w:rPr>
          <w:color w:val="444444"/>
          <w:sz w:val="18"/>
          <w:szCs w:val="18"/>
        </w:rPr>
        <w:t xml:space="preserve"> cofactors for enzymatic function plus CBDA's direct modulation of FAAH. The combination represents three distinct pathways arriving at the same endpoint.</w:t>
      </w:r>
    </w:p>
    <w:p w14:paraId="419F0C73" w14:textId="2D608444" w:rsidR="00C661B8" w:rsidRDefault="00000000">
      <w:pPr>
        <w:spacing w:before="100" w:after="20"/>
        <w:ind w:left="1080"/>
      </w:pPr>
      <w:r>
        <w:rPr>
          <w:i/>
          <w:iCs/>
          <w:color w:val="555555"/>
          <w:sz w:val="20"/>
          <w:szCs w:val="20"/>
        </w:rPr>
        <w:t>Pillar One: Endocannabinoid Ligand Supply</w:t>
      </w:r>
      <w:r>
        <w:rPr>
          <w:rFonts w:ascii="Arial" w:eastAsia="Arial" w:hAnsi="Arial" w:cs="Arial"/>
          <w:color w:val="AAAAAA"/>
          <w:sz w:val="18"/>
          <w:szCs w:val="18"/>
        </w:rPr>
        <w:t xml:space="preserve">   [</w:t>
      </w:r>
      <w:r w:rsidR="009912AC">
        <w:rPr>
          <w:rFonts w:ascii="Arial" w:eastAsia="Arial" w:hAnsi="Arial" w:cs="Arial"/>
          <w:color w:val="AAAAAA"/>
          <w:sz w:val="18"/>
          <w:szCs w:val="18"/>
        </w:rPr>
        <w:t>39</w:t>
      </w:r>
      <w:r>
        <w:rPr>
          <w:rFonts w:ascii="Arial" w:eastAsia="Arial" w:hAnsi="Arial" w:cs="Arial"/>
          <w:color w:val="AAAAAA"/>
          <w:sz w:val="18"/>
          <w:szCs w:val="18"/>
        </w:rPr>
        <w:t>]</w:t>
      </w:r>
    </w:p>
    <w:p w14:paraId="0DAD681B" w14:textId="77777777" w:rsidR="00C661B8" w:rsidRDefault="00000000" w:rsidP="00962572">
      <w:pPr>
        <w:spacing w:after="80" w:line="300" w:lineRule="auto"/>
        <w:ind w:left="1080" w:right="360"/>
      </w:pPr>
      <w:r>
        <w:rPr>
          <w:color w:val="444444"/>
          <w:sz w:val="18"/>
          <w:szCs w:val="18"/>
        </w:rPr>
        <w:t>The ECS produces AEA and 2-AG from arachidonic acid derived from linoleic acid. Hemp seed delivers the 3:1 LA:ALA ratio for optimal enzymatic substrate balance, GLA bypasses the rate-limiting delta-6-desaturase step entirely, and SDA provides a secondary EPA bypass — all while co-packaging the Mg and Zn cofactors the pathway requires. Raw plant omega-3 inputs produce endocannabinoid-related compounds that fine-tune ECS tone without overriding it.</w:t>
      </w:r>
    </w:p>
    <w:p w14:paraId="507F7C7E" w14:textId="77777777" w:rsidR="00C661B8" w:rsidRDefault="00000000" w:rsidP="00962572">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 xml:space="preserve">Floyd &amp; Benjamin, preprints202601.1505.v1; </w:t>
      </w:r>
      <w:proofErr w:type="spellStart"/>
      <w:r>
        <w:rPr>
          <w:i/>
          <w:iCs/>
          <w:color w:val="888888"/>
          <w:sz w:val="18"/>
          <w:szCs w:val="18"/>
        </w:rPr>
        <w:t>Farinon</w:t>
      </w:r>
      <w:proofErr w:type="spellEnd"/>
      <w:r>
        <w:rPr>
          <w:i/>
          <w:iCs/>
          <w:color w:val="888888"/>
          <w:sz w:val="18"/>
          <w:szCs w:val="18"/>
        </w:rPr>
        <w:t xml:space="preserve"> et al. (2020) Nutrients 12(7)</w:t>
      </w:r>
    </w:p>
    <w:p w14:paraId="45D7DFD0" w14:textId="5FF9666B" w:rsidR="00C661B8" w:rsidRDefault="00000000">
      <w:pPr>
        <w:spacing w:before="100" w:after="20"/>
        <w:ind w:left="1080"/>
      </w:pPr>
      <w:r>
        <w:rPr>
          <w:i/>
          <w:iCs/>
          <w:color w:val="555555"/>
          <w:sz w:val="20"/>
          <w:szCs w:val="20"/>
        </w:rPr>
        <w:t>Pillar Two: Receptor Integrity and Membrane Architecture</w:t>
      </w:r>
      <w:r>
        <w:rPr>
          <w:rFonts w:ascii="Arial" w:eastAsia="Arial" w:hAnsi="Arial" w:cs="Arial"/>
          <w:color w:val="AAAAAA"/>
          <w:sz w:val="18"/>
          <w:szCs w:val="18"/>
        </w:rPr>
        <w:t xml:space="preserve">   [</w:t>
      </w:r>
      <w:r w:rsidR="009912AC">
        <w:rPr>
          <w:rFonts w:ascii="Arial" w:eastAsia="Arial" w:hAnsi="Arial" w:cs="Arial"/>
          <w:color w:val="AAAAAA"/>
          <w:sz w:val="18"/>
          <w:szCs w:val="18"/>
        </w:rPr>
        <w:t>40</w:t>
      </w:r>
      <w:r>
        <w:rPr>
          <w:rFonts w:ascii="Arial" w:eastAsia="Arial" w:hAnsi="Arial" w:cs="Arial"/>
          <w:color w:val="AAAAAA"/>
          <w:sz w:val="18"/>
          <w:szCs w:val="18"/>
        </w:rPr>
        <w:t>]</w:t>
      </w:r>
    </w:p>
    <w:p w14:paraId="05B219F0" w14:textId="77777777" w:rsidR="00C661B8" w:rsidRDefault="00000000" w:rsidP="00962572">
      <w:pPr>
        <w:spacing w:after="80" w:line="300" w:lineRule="auto"/>
        <w:ind w:left="1080" w:right="360"/>
      </w:pPr>
      <w:r>
        <w:rPr>
          <w:color w:val="444444"/>
          <w:sz w:val="18"/>
          <w:szCs w:val="18"/>
        </w:rPr>
        <w:t xml:space="preserve">CB1 and CB2 signaling efficiency depends on membrane fluidity, determined by phospholipid and sterol composition. Hemp seed's beta-sitosterol and </w:t>
      </w:r>
      <w:proofErr w:type="spellStart"/>
      <w:r>
        <w:rPr>
          <w:color w:val="444444"/>
          <w:sz w:val="18"/>
          <w:szCs w:val="18"/>
        </w:rPr>
        <w:t>campesterol</w:t>
      </w:r>
      <w:proofErr w:type="spellEnd"/>
      <w:r>
        <w:rPr>
          <w:color w:val="444444"/>
          <w:sz w:val="18"/>
          <w:szCs w:val="18"/>
        </w:rPr>
        <w:t xml:space="preserve"> optimize adult cell membrane fluidity for GPCR function. Beta-caryophyllene (BCP), a terpene in hemp seed, is a selective CB2 agonist — making hemp seed one of the only foods containing a direct dietary cannabinoid requiring no metabolic conversion.</w:t>
      </w:r>
    </w:p>
    <w:p w14:paraId="1C99CAD4" w14:textId="5380BC78" w:rsidR="00C661B8" w:rsidRDefault="00000000">
      <w:pPr>
        <w:spacing w:before="100" w:after="20"/>
        <w:ind w:left="1080"/>
      </w:pPr>
      <w:r>
        <w:rPr>
          <w:i/>
          <w:iCs/>
          <w:color w:val="555555"/>
          <w:sz w:val="20"/>
          <w:szCs w:val="20"/>
        </w:rPr>
        <w:t>Pillar Three: Enzymatic Machinery</w:t>
      </w:r>
      <w:r>
        <w:rPr>
          <w:rFonts w:ascii="Arial" w:eastAsia="Arial" w:hAnsi="Arial" w:cs="Arial"/>
          <w:color w:val="AAAAAA"/>
          <w:sz w:val="18"/>
          <w:szCs w:val="18"/>
        </w:rPr>
        <w:t xml:space="preserve">   [</w:t>
      </w:r>
      <w:r w:rsidR="009912AC">
        <w:rPr>
          <w:rFonts w:ascii="Arial" w:eastAsia="Arial" w:hAnsi="Arial" w:cs="Arial"/>
          <w:color w:val="AAAAAA"/>
          <w:sz w:val="18"/>
          <w:szCs w:val="18"/>
        </w:rPr>
        <w:t>41</w:t>
      </w:r>
      <w:r>
        <w:rPr>
          <w:rFonts w:ascii="Arial" w:eastAsia="Arial" w:hAnsi="Arial" w:cs="Arial"/>
          <w:color w:val="AAAAAA"/>
          <w:sz w:val="18"/>
          <w:szCs w:val="18"/>
        </w:rPr>
        <w:t>]</w:t>
      </w:r>
    </w:p>
    <w:p w14:paraId="5306FB29" w14:textId="77777777" w:rsidR="00C661B8" w:rsidRDefault="00000000" w:rsidP="00962572">
      <w:pPr>
        <w:spacing w:after="80" w:line="300" w:lineRule="auto"/>
        <w:ind w:left="1080" w:right="360"/>
      </w:pPr>
      <w:r>
        <w:rPr>
          <w:color w:val="444444"/>
          <w:sz w:val="18"/>
          <w:szCs w:val="18"/>
        </w:rPr>
        <w:t>Hemp seed's exceptional magnesium density (450-700mg/100g) and zinc content (9-12mg/100g) supply cofactor requirements for NAPE-PLD, DAGL, FAAH, and MAGL at concentrations not matched by most plant foods. CBDA from raw flower extends AEA half-life by moderating FAAH activity — pharmacologically analogous to SSRI mechanisms in the serotonin system, but nutritional rather than pharmaceutical.</w:t>
      </w:r>
    </w:p>
    <w:p w14:paraId="4DDE2D0F" w14:textId="77777777" w:rsidR="00C661B8" w:rsidRDefault="00000000" w:rsidP="00962572">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Floyd (2025) preprints202512.1465.v1; Floyd &amp; Benjamin preprints202602.1085.v1</w:t>
      </w:r>
    </w:p>
    <w:p w14:paraId="5F737822" w14:textId="43A0898B" w:rsidR="00C661B8" w:rsidRDefault="00000000">
      <w:pPr>
        <w:spacing w:before="200" w:after="40"/>
        <w:ind w:left="720"/>
      </w:pPr>
      <w:r>
        <w:rPr>
          <w:i/>
          <w:iCs/>
        </w:rPr>
        <w:t>The Anti-inflammatory Overlay</w:t>
      </w:r>
      <w:r>
        <w:rPr>
          <w:rFonts w:ascii="Arial" w:eastAsia="Arial" w:hAnsi="Arial" w:cs="Arial"/>
          <w:color w:val="888888"/>
          <w:sz w:val="20"/>
          <w:szCs w:val="20"/>
        </w:rPr>
        <w:t xml:space="preserve"> </w:t>
      </w:r>
      <w:r w:rsidR="009912AC">
        <w:rPr>
          <w:rFonts w:ascii="Arial" w:eastAsia="Arial" w:hAnsi="Arial" w:cs="Arial"/>
          <w:color w:val="888888"/>
          <w:sz w:val="20"/>
          <w:szCs w:val="20"/>
        </w:rPr>
        <w:t xml:space="preserve"> </w:t>
      </w:r>
      <w:r>
        <w:rPr>
          <w:rFonts w:ascii="Arial" w:eastAsia="Arial" w:hAnsi="Arial" w:cs="Arial"/>
          <w:color w:val="888888"/>
          <w:sz w:val="20"/>
          <w:szCs w:val="20"/>
        </w:rPr>
        <w:t xml:space="preserve"> [</w:t>
      </w:r>
      <w:r w:rsidR="009912AC">
        <w:rPr>
          <w:rFonts w:ascii="Arial" w:eastAsia="Arial" w:hAnsi="Arial" w:cs="Arial"/>
          <w:color w:val="888888"/>
          <w:sz w:val="20"/>
          <w:szCs w:val="20"/>
        </w:rPr>
        <w:t>41</w:t>
      </w:r>
      <w:r>
        <w:rPr>
          <w:rFonts w:ascii="Arial" w:eastAsia="Arial" w:hAnsi="Arial" w:cs="Arial"/>
          <w:color w:val="888888"/>
          <w:sz w:val="20"/>
          <w:szCs w:val="20"/>
        </w:rPr>
        <w:t>]</w:t>
      </w:r>
    </w:p>
    <w:p w14:paraId="6BD48877" w14:textId="77777777" w:rsidR="00C661B8" w:rsidRDefault="00000000">
      <w:pPr>
        <w:spacing w:after="80" w:line="300" w:lineRule="auto"/>
        <w:ind w:left="720" w:right="360"/>
      </w:pPr>
      <w:r>
        <w:rPr>
          <w:color w:val="444444"/>
          <w:sz w:val="18"/>
          <w:szCs w:val="18"/>
        </w:rPr>
        <w:t xml:space="preserve">Cannabis sativa achieves series-1 and series-3 eicosanoid dominance through three pathways: GLA→DGLA→PGE1, SDA→EPA, and the </w:t>
      </w:r>
      <w:proofErr w:type="spellStart"/>
      <w:r>
        <w:rPr>
          <w:color w:val="444444"/>
          <w:sz w:val="18"/>
          <w:szCs w:val="18"/>
        </w:rPr>
        <w:t>cannflavin</w:t>
      </w:r>
      <w:proofErr w:type="spellEnd"/>
      <w:r>
        <w:rPr>
          <w:color w:val="444444"/>
          <w:sz w:val="18"/>
          <w:szCs w:val="18"/>
        </w:rPr>
        <w:t xml:space="preserve"> pathway. </w:t>
      </w:r>
      <w:proofErr w:type="spellStart"/>
      <w:r>
        <w:rPr>
          <w:color w:val="444444"/>
          <w:sz w:val="18"/>
          <w:szCs w:val="18"/>
        </w:rPr>
        <w:t>Cannflavins</w:t>
      </w:r>
      <w:proofErr w:type="spellEnd"/>
      <w:r>
        <w:rPr>
          <w:color w:val="444444"/>
          <w:sz w:val="18"/>
          <w:szCs w:val="18"/>
        </w:rPr>
        <w:t xml:space="preserve"> A and B inhibit PGE2 synthesis at potency approximately 30 times greater than aspirin by weight. No other plant produces them. This reduces the background inflammatory burden the ECS would otherwise be recruited to manage. </w:t>
      </w:r>
      <w:proofErr w:type="spellStart"/>
      <w:r>
        <w:rPr>
          <w:color w:val="444444"/>
          <w:sz w:val="18"/>
          <w:szCs w:val="18"/>
        </w:rPr>
        <w:t>Cannflavins</w:t>
      </w:r>
      <w:proofErr w:type="spellEnd"/>
      <w:r>
        <w:rPr>
          <w:color w:val="444444"/>
          <w:sz w:val="18"/>
          <w:szCs w:val="18"/>
        </w:rPr>
        <w:t xml:space="preserve"> and eicosanoid balance is by design.</w:t>
      </w:r>
    </w:p>
    <w:p w14:paraId="53842E72" w14:textId="37F19F33" w:rsidR="00C661B8" w:rsidRDefault="00000000">
      <w:pPr>
        <w:spacing w:before="240" w:after="60"/>
        <w:ind w:left="360"/>
      </w:pPr>
      <w:r>
        <w:rPr>
          <w:rFonts w:ascii="Arial" w:eastAsia="Arial" w:hAnsi="Arial" w:cs="Arial"/>
          <w:b/>
          <w:bCs/>
        </w:rPr>
        <w:t>Chapter 6 — The Master Regulator</w:t>
      </w:r>
      <w:r>
        <w:rPr>
          <w:rFonts w:ascii="Arial" w:eastAsia="Arial" w:hAnsi="Arial" w:cs="Arial"/>
          <w:color w:val="888888"/>
          <w:sz w:val="20"/>
          <w:szCs w:val="20"/>
        </w:rPr>
        <w:t xml:space="preserve">   [</w:t>
      </w:r>
      <w:r w:rsidR="009912AC">
        <w:rPr>
          <w:rFonts w:ascii="Arial" w:eastAsia="Arial" w:hAnsi="Arial" w:cs="Arial"/>
          <w:color w:val="888888"/>
          <w:sz w:val="20"/>
          <w:szCs w:val="20"/>
        </w:rPr>
        <w:t>43</w:t>
      </w:r>
      <w:r>
        <w:rPr>
          <w:rFonts w:ascii="Arial" w:eastAsia="Arial" w:hAnsi="Arial" w:cs="Arial"/>
          <w:color w:val="888888"/>
          <w:sz w:val="20"/>
          <w:szCs w:val="20"/>
        </w:rPr>
        <w:t>]</w:t>
      </w:r>
    </w:p>
    <w:p w14:paraId="10F6B6F0" w14:textId="77777777" w:rsidR="00C661B8" w:rsidRDefault="00000000">
      <w:pPr>
        <w:spacing w:after="160" w:line="320" w:lineRule="auto"/>
        <w:ind w:left="360" w:right="360"/>
      </w:pPr>
      <w:r>
        <w:rPr>
          <w:color w:val="333333"/>
          <w:sz w:val="20"/>
          <w:szCs w:val="20"/>
        </w:rPr>
        <w:t xml:space="preserve">Chapter 6 is the ECS's formal introduction: what it is, how it signals, and what happens to the body when it receives its required </w:t>
      </w:r>
      <w:proofErr w:type="gramStart"/>
      <w:r>
        <w:rPr>
          <w:color w:val="333333"/>
          <w:sz w:val="20"/>
          <w:szCs w:val="20"/>
        </w:rPr>
        <w:t>inputs</w:t>
      </w:r>
      <w:proofErr w:type="gramEnd"/>
      <w:r>
        <w:rPr>
          <w:color w:val="333333"/>
          <w:sz w:val="20"/>
          <w:szCs w:val="20"/>
        </w:rPr>
        <w:t xml:space="preserve">. The ECS is not a discrete </w:t>
      </w:r>
      <w:proofErr w:type="gramStart"/>
      <w:r>
        <w:rPr>
          <w:color w:val="333333"/>
          <w:sz w:val="20"/>
          <w:szCs w:val="20"/>
        </w:rPr>
        <w:t>organ</w:t>
      </w:r>
      <w:proofErr w:type="gramEnd"/>
      <w:r>
        <w:rPr>
          <w:color w:val="333333"/>
          <w:sz w:val="20"/>
          <w:szCs w:val="20"/>
        </w:rPr>
        <w:t xml:space="preserve"> but a system woven through every tissue, governing homeostasis by manufacturing signaling molecules on demand from membrane lipids. This chapter establishes the molecular basis of ECS deficiency, introduces the acidic vitamers as </w:t>
      </w:r>
      <w:proofErr w:type="gramStart"/>
      <w:r>
        <w:rPr>
          <w:color w:val="333333"/>
          <w:sz w:val="20"/>
          <w:szCs w:val="20"/>
        </w:rPr>
        <w:t>the ECS's</w:t>
      </w:r>
      <w:proofErr w:type="gramEnd"/>
      <w:r>
        <w:rPr>
          <w:color w:val="333333"/>
          <w:sz w:val="20"/>
          <w:szCs w:val="20"/>
        </w:rPr>
        <w:t xml:space="preserve"> conditional micronutrients, and describes what restoration of a deficient ECS </w:t>
      </w:r>
      <w:proofErr w:type="gramStart"/>
      <w:r>
        <w:rPr>
          <w:color w:val="333333"/>
          <w:sz w:val="20"/>
          <w:szCs w:val="20"/>
        </w:rPr>
        <w:t>actually produces</w:t>
      </w:r>
      <w:proofErr w:type="gramEnd"/>
      <w:r>
        <w:rPr>
          <w:color w:val="333333"/>
          <w:sz w:val="20"/>
          <w:szCs w:val="20"/>
        </w:rPr>
        <w:t>.</w:t>
      </w:r>
    </w:p>
    <w:p w14:paraId="63D4E1C3" w14:textId="610DC6E0" w:rsidR="00C661B8" w:rsidRDefault="00000000">
      <w:pPr>
        <w:spacing w:before="200" w:after="40"/>
        <w:ind w:left="720"/>
      </w:pPr>
      <w:r>
        <w:rPr>
          <w:i/>
          <w:iCs/>
        </w:rPr>
        <w:t>What the ECS Signals With</w:t>
      </w:r>
      <w:r>
        <w:rPr>
          <w:rFonts w:ascii="Arial" w:eastAsia="Arial" w:hAnsi="Arial" w:cs="Arial"/>
          <w:color w:val="888888"/>
          <w:sz w:val="20"/>
          <w:szCs w:val="20"/>
        </w:rPr>
        <w:t xml:space="preserve">   [</w:t>
      </w:r>
      <w:r w:rsidR="009912AC">
        <w:rPr>
          <w:rFonts w:ascii="Arial" w:eastAsia="Arial" w:hAnsi="Arial" w:cs="Arial"/>
          <w:color w:val="888888"/>
          <w:sz w:val="20"/>
          <w:szCs w:val="20"/>
        </w:rPr>
        <w:t>43</w:t>
      </w:r>
      <w:r>
        <w:rPr>
          <w:rFonts w:ascii="Arial" w:eastAsia="Arial" w:hAnsi="Arial" w:cs="Arial"/>
          <w:color w:val="888888"/>
          <w:sz w:val="20"/>
          <w:szCs w:val="20"/>
        </w:rPr>
        <w:t>]</w:t>
      </w:r>
    </w:p>
    <w:p w14:paraId="78E5E81A" w14:textId="77777777" w:rsidR="00C661B8" w:rsidRDefault="00000000">
      <w:pPr>
        <w:spacing w:after="80" w:line="300" w:lineRule="auto"/>
        <w:ind w:left="720" w:right="360"/>
      </w:pPr>
      <w:r>
        <w:rPr>
          <w:color w:val="444444"/>
          <w:sz w:val="18"/>
          <w:szCs w:val="18"/>
        </w:rPr>
        <w:t xml:space="preserve">Anandamide and 2-AG are not stored neurotransmitters — they are manufactured on demand from fatty acid precursors </w:t>
      </w:r>
      <w:proofErr w:type="gramStart"/>
      <w:r>
        <w:rPr>
          <w:color w:val="444444"/>
          <w:sz w:val="18"/>
          <w:szCs w:val="18"/>
        </w:rPr>
        <w:t>at the moment</w:t>
      </w:r>
      <w:proofErr w:type="gramEnd"/>
      <w:r>
        <w:rPr>
          <w:color w:val="444444"/>
          <w:sz w:val="18"/>
          <w:szCs w:val="18"/>
        </w:rPr>
        <w:t xml:space="preserve"> a signal is required. The quality of those membranes and the </w:t>
      </w:r>
      <w:r>
        <w:rPr>
          <w:color w:val="444444"/>
          <w:sz w:val="18"/>
          <w:szCs w:val="18"/>
        </w:rPr>
        <w:lastRenderedPageBreak/>
        <w:t xml:space="preserve">availability of mineral cofactors determine whether the ECS can respond at all. A membrane built from the wrong fatty acid ratios, or an enzyme starved </w:t>
      </w:r>
      <w:proofErr w:type="gramStart"/>
      <w:r>
        <w:rPr>
          <w:color w:val="444444"/>
          <w:sz w:val="18"/>
          <w:szCs w:val="18"/>
        </w:rPr>
        <w:t>of</w:t>
      </w:r>
      <w:proofErr w:type="gramEnd"/>
      <w:r>
        <w:rPr>
          <w:color w:val="444444"/>
          <w:sz w:val="18"/>
          <w:szCs w:val="18"/>
        </w:rPr>
        <w:t xml:space="preserve"> its cofactor, means a signal that cannot be generated.</w:t>
      </w:r>
    </w:p>
    <w:p w14:paraId="27062DB9"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proofErr w:type="spellStart"/>
      <w:r>
        <w:rPr>
          <w:i/>
          <w:iCs/>
          <w:color w:val="888888"/>
          <w:sz w:val="18"/>
          <w:szCs w:val="18"/>
        </w:rPr>
        <w:t>Piomelli</w:t>
      </w:r>
      <w:proofErr w:type="spellEnd"/>
      <w:r>
        <w:rPr>
          <w:i/>
          <w:iCs/>
          <w:color w:val="888888"/>
          <w:sz w:val="18"/>
          <w:szCs w:val="18"/>
        </w:rPr>
        <w:t xml:space="preserve"> (2003) Nature Reviews Neuroscience 4(11):873; Devane et al. (1992) Science 258(5090):1946</w:t>
      </w:r>
    </w:p>
    <w:p w14:paraId="3314EAD9" w14:textId="2DD500D1" w:rsidR="00C661B8" w:rsidRDefault="00000000" w:rsidP="00A267FD">
      <w:pPr>
        <w:keepNext/>
        <w:spacing w:before="200" w:after="40"/>
        <w:ind w:left="720"/>
      </w:pPr>
      <w:r>
        <w:rPr>
          <w:i/>
          <w:iCs/>
        </w:rPr>
        <w:t>The Acidic Vitamers: The ECS's Vitamins</w:t>
      </w:r>
      <w:r>
        <w:rPr>
          <w:rFonts w:ascii="Arial" w:eastAsia="Arial" w:hAnsi="Arial" w:cs="Arial"/>
          <w:color w:val="888888"/>
          <w:sz w:val="20"/>
          <w:szCs w:val="20"/>
        </w:rPr>
        <w:t xml:space="preserve">   [</w:t>
      </w:r>
      <w:r w:rsidR="009912AC">
        <w:rPr>
          <w:rFonts w:ascii="Arial" w:eastAsia="Arial" w:hAnsi="Arial" w:cs="Arial"/>
          <w:color w:val="888888"/>
          <w:sz w:val="20"/>
          <w:szCs w:val="20"/>
        </w:rPr>
        <w:t>44</w:t>
      </w:r>
      <w:r>
        <w:rPr>
          <w:rFonts w:ascii="Arial" w:eastAsia="Arial" w:hAnsi="Arial" w:cs="Arial"/>
          <w:color w:val="888888"/>
          <w:sz w:val="20"/>
          <w:szCs w:val="20"/>
        </w:rPr>
        <w:t>]</w:t>
      </w:r>
    </w:p>
    <w:p w14:paraId="44825C1A" w14:textId="77777777" w:rsidR="00C661B8" w:rsidRDefault="00000000">
      <w:pPr>
        <w:spacing w:after="80" w:line="300" w:lineRule="auto"/>
        <w:ind w:left="720" w:right="360"/>
      </w:pPr>
      <w:r>
        <w:rPr>
          <w:color w:val="444444"/>
          <w:sz w:val="18"/>
          <w:szCs w:val="18"/>
        </w:rPr>
        <w:t xml:space="preserve">THCA, CBDA, and CBGA — the acidic forms in raw unheated Cannabis — are proposed as ECS vitamers: conditional micronutrients analogous to beta-carotene for Vitamin A. Only 3 to 5 percent convert to psychoactive forms at body temperature and gastric </w:t>
      </w:r>
      <w:proofErr w:type="spellStart"/>
      <w:r>
        <w:rPr>
          <w:color w:val="444444"/>
          <w:sz w:val="18"/>
          <w:szCs w:val="18"/>
        </w:rPr>
        <w:t>pH.</w:t>
      </w:r>
      <w:proofErr w:type="spellEnd"/>
      <w:r>
        <w:rPr>
          <w:color w:val="444444"/>
          <w:sz w:val="18"/>
          <w:szCs w:val="18"/>
        </w:rPr>
        <w:t xml:space="preserve"> The remainder circulate as structurally stable, biologically active acids that interact with ECS signaling in ways dietary fatty acids alone cannot replicate and that are entirely absent from every modern dietary pattern.</w:t>
      </w:r>
    </w:p>
    <w:p w14:paraId="5814200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(2026) preprints202602.1085.v1 (ECS Vitamers); Floyd (2025) preprints202512.1465.v1 (Stomach Acid)</w:t>
      </w:r>
    </w:p>
    <w:p w14:paraId="171E3498" w14:textId="32405A59" w:rsidR="00C661B8" w:rsidRDefault="00000000">
      <w:pPr>
        <w:spacing w:before="200" w:after="40"/>
        <w:ind w:left="720"/>
      </w:pPr>
      <w:r>
        <w:rPr>
          <w:i/>
          <w:iCs/>
        </w:rPr>
        <w:t>What Happens When It Gets Fed</w:t>
      </w:r>
      <w:r>
        <w:rPr>
          <w:rFonts w:ascii="Arial" w:eastAsia="Arial" w:hAnsi="Arial" w:cs="Arial"/>
          <w:color w:val="888888"/>
          <w:sz w:val="20"/>
          <w:szCs w:val="20"/>
        </w:rPr>
        <w:t xml:space="preserve">   [</w:t>
      </w:r>
      <w:r w:rsidR="009912AC">
        <w:rPr>
          <w:rFonts w:ascii="Arial" w:eastAsia="Arial" w:hAnsi="Arial" w:cs="Arial"/>
          <w:color w:val="888888"/>
          <w:sz w:val="20"/>
          <w:szCs w:val="20"/>
        </w:rPr>
        <w:t>45</w:t>
      </w:r>
      <w:r>
        <w:rPr>
          <w:rFonts w:ascii="Arial" w:eastAsia="Arial" w:hAnsi="Arial" w:cs="Arial"/>
          <w:color w:val="888888"/>
          <w:sz w:val="20"/>
          <w:szCs w:val="20"/>
        </w:rPr>
        <w:t>]</w:t>
      </w:r>
    </w:p>
    <w:p w14:paraId="7CD46296" w14:textId="77777777" w:rsidR="00C661B8" w:rsidRDefault="00000000">
      <w:pPr>
        <w:spacing w:after="80" w:line="300" w:lineRule="auto"/>
        <w:ind w:left="720" w:right="360"/>
      </w:pPr>
      <w:r>
        <w:rPr>
          <w:color w:val="444444"/>
          <w:sz w:val="18"/>
          <w:szCs w:val="18"/>
        </w:rPr>
        <w:t>Fourteen years of documented observation: chronic inflammation resolves, pain returns to proportional levels, sleep becomes genuinely restorative, mood stabilizes, appetite self-regulates. None of these are drug effects. They are the effects of a system functioning at its designed level because it finally has what it needs. The goal is nutritional sufficiency maintained daily — not escalating doses.</w:t>
      </w:r>
    </w:p>
    <w:p w14:paraId="7AD71D9C" w14:textId="3B5F8757" w:rsidR="00C661B8" w:rsidRDefault="00000000">
      <w:pPr>
        <w:spacing w:before="240" w:after="60"/>
        <w:ind w:left="360"/>
      </w:pPr>
      <w:r>
        <w:rPr>
          <w:rFonts w:ascii="Arial" w:eastAsia="Arial" w:hAnsi="Arial" w:cs="Arial"/>
          <w:b/>
          <w:bCs/>
        </w:rPr>
        <w:t>Chapter 7 — Fueling Your Brain</w:t>
      </w:r>
      <w:r>
        <w:rPr>
          <w:rFonts w:ascii="Arial" w:eastAsia="Arial" w:hAnsi="Arial" w:cs="Arial"/>
          <w:color w:val="888888"/>
          <w:sz w:val="20"/>
          <w:szCs w:val="20"/>
        </w:rPr>
        <w:t xml:space="preserve">   [</w:t>
      </w:r>
      <w:r w:rsidR="009912AC">
        <w:rPr>
          <w:rFonts w:ascii="Arial" w:eastAsia="Arial" w:hAnsi="Arial" w:cs="Arial"/>
          <w:color w:val="888888"/>
          <w:sz w:val="20"/>
          <w:szCs w:val="20"/>
        </w:rPr>
        <w:t>47</w:t>
      </w:r>
      <w:r>
        <w:rPr>
          <w:rFonts w:ascii="Arial" w:eastAsia="Arial" w:hAnsi="Arial" w:cs="Arial"/>
          <w:color w:val="888888"/>
          <w:sz w:val="20"/>
          <w:szCs w:val="20"/>
        </w:rPr>
        <w:t>]</w:t>
      </w:r>
    </w:p>
    <w:p w14:paraId="2997D319" w14:textId="77777777" w:rsidR="00C661B8" w:rsidRDefault="00000000">
      <w:pPr>
        <w:spacing w:after="160" w:line="320" w:lineRule="auto"/>
        <w:ind w:left="360" w:right="360"/>
      </w:pPr>
      <w:r>
        <w:rPr>
          <w:color w:val="333333"/>
          <w:sz w:val="20"/>
          <w:szCs w:val="20"/>
        </w:rPr>
        <w:t>The brain has the highest CB1 receptor density of any tissue and the most catastrophic long-term consequences of impaired homeostasis. Chapter 7 covers what the ECS does in the brain — retrograde signaling, excitotoxicity protection, cognitive flexibility — and advances two findings that reframe the entire existing research literature: the metabolite cascade from oral raw Cannabis delivers a richer family of brain-active compounds than any isolated dose, and the brain's ECS is not the same system in a male and a female body.</w:t>
      </w:r>
    </w:p>
    <w:p w14:paraId="408A2F70" w14:textId="39C12AF0" w:rsidR="00C661B8" w:rsidRDefault="00000000">
      <w:pPr>
        <w:spacing w:before="200" w:after="40"/>
        <w:ind w:left="720"/>
      </w:pPr>
      <w:r>
        <w:rPr>
          <w:i/>
          <w:iCs/>
        </w:rPr>
        <w:t xml:space="preserve">What </w:t>
      </w:r>
      <w:proofErr w:type="gramStart"/>
      <w:r>
        <w:rPr>
          <w:i/>
          <w:iCs/>
        </w:rPr>
        <w:t>the Metabolite</w:t>
      </w:r>
      <w:proofErr w:type="gramEnd"/>
      <w:r>
        <w:rPr>
          <w:i/>
          <w:iCs/>
        </w:rPr>
        <w:t xml:space="preserve"> Cascade Delivers</w:t>
      </w:r>
      <w:r>
        <w:rPr>
          <w:rFonts w:ascii="Arial" w:eastAsia="Arial" w:hAnsi="Arial" w:cs="Arial"/>
          <w:color w:val="888888"/>
          <w:sz w:val="20"/>
          <w:szCs w:val="20"/>
        </w:rPr>
        <w:t xml:space="preserve">   [</w:t>
      </w:r>
      <w:r w:rsidR="009912AC">
        <w:rPr>
          <w:rFonts w:ascii="Arial" w:eastAsia="Arial" w:hAnsi="Arial" w:cs="Arial"/>
          <w:color w:val="888888"/>
          <w:sz w:val="20"/>
          <w:szCs w:val="20"/>
        </w:rPr>
        <w:t>47</w:t>
      </w:r>
      <w:r>
        <w:rPr>
          <w:rFonts w:ascii="Arial" w:eastAsia="Arial" w:hAnsi="Arial" w:cs="Arial"/>
          <w:color w:val="888888"/>
          <w:sz w:val="20"/>
          <w:szCs w:val="20"/>
        </w:rPr>
        <w:t>]</w:t>
      </w:r>
    </w:p>
    <w:p w14:paraId="104AAEDC" w14:textId="77777777" w:rsidR="00C661B8" w:rsidRDefault="00000000">
      <w:pPr>
        <w:spacing w:after="80" w:line="300" w:lineRule="auto"/>
        <w:ind w:left="720" w:right="360"/>
      </w:pPr>
      <w:r>
        <w:rPr>
          <w:color w:val="444444"/>
          <w:sz w:val="18"/>
          <w:szCs w:val="18"/>
        </w:rPr>
        <w:t>Oral raw Cannabis is metabolized through the stomach, liver, and gut microbiome into a diverse family of compounds — including a THCA metabolite binding CB1 at roughly four times THC's affinity. What arrives at the brain is not a single compound but a distributed ensemble. Gut microbial enzymes recycle metabolites via enterohepatic pathways, providing sustained ECS signaling that isolated CBD cannot replicate.</w:t>
      </w:r>
    </w:p>
    <w:p w14:paraId="1C22F93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(2025) preprints202512.1899.v1 (Conversion Pathways); Huestis (2007) Chemistry &amp; Biodiversity 4(8):1770</w:t>
      </w:r>
    </w:p>
    <w:p w14:paraId="04BFEE9B" w14:textId="62C24A22" w:rsidR="00C661B8" w:rsidRDefault="00000000">
      <w:pPr>
        <w:spacing w:before="200" w:after="40"/>
        <w:ind w:left="720"/>
      </w:pPr>
      <w:r>
        <w:rPr>
          <w:i/>
          <w:iCs/>
        </w:rPr>
        <w:t>The Sex Difference Is Not a Detail</w:t>
      </w:r>
      <w:r>
        <w:rPr>
          <w:rFonts w:ascii="Arial" w:eastAsia="Arial" w:hAnsi="Arial" w:cs="Arial"/>
          <w:color w:val="888888"/>
          <w:sz w:val="20"/>
          <w:szCs w:val="20"/>
        </w:rPr>
        <w:t xml:space="preserve">   [</w:t>
      </w:r>
      <w:r w:rsidR="009912AC">
        <w:rPr>
          <w:rFonts w:ascii="Arial" w:eastAsia="Arial" w:hAnsi="Arial" w:cs="Arial"/>
          <w:color w:val="888888"/>
          <w:sz w:val="20"/>
          <w:szCs w:val="20"/>
        </w:rPr>
        <w:t>48</w:t>
      </w:r>
      <w:r>
        <w:rPr>
          <w:rFonts w:ascii="Arial" w:eastAsia="Arial" w:hAnsi="Arial" w:cs="Arial"/>
          <w:color w:val="888888"/>
          <w:sz w:val="20"/>
          <w:szCs w:val="20"/>
        </w:rPr>
        <w:t>]</w:t>
      </w:r>
    </w:p>
    <w:p w14:paraId="52315D31" w14:textId="77777777" w:rsidR="00C661B8" w:rsidRDefault="00000000">
      <w:pPr>
        <w:spacing w:after="80" w:line="300" w:lineRule="auto"/>
        <w:ind w:left="720" w:right="360"/>
      </w:pPr>
      <w:r>
        <w:rPr>
          <w:color w:val="444444"/>
          <w:sz w:val="18"/>
          <w:szCs w:val="18"/>
        </w:rPr>
        <w:t xml:space="preserve">Estradiol upregulates CB1 expression in limbic structures. Testosterone modulates through different enzymatic pathways. The result is two distinct ECS architectures achieving similar regulatory goals through different mechanisms. Pooled-sex clinical research represents a mathematical blend of two architectures that neither </w:t>
      </w:r>
      <w:proofErr w:type="gramStart"/>
      <w:r>
        <w:rPr>
          <w:color w:val="444444"/>
          <w:sz w:val="18"/>
          <w:szCs w:val="18"/>
        </w:rPr>
        <w:t>actually exhibits</w:t>
      </w:r>
      <w:proofErr w:type="gramEnd"/>
      <w:r>
        <w:rPr>
          <w:color w:val="444444"/>
          <w:sz w:val="18"/>
          <w:szCs w:val="18"/>
        </w:rPr>
        <w:t>. Sex stratification is not a methodological refinement — it is a prerequisite. ALA-to-DHA conversion for hippocampal neurogenesis also differs by sex, making optimal hemp seed intake sex-dependent.</w:t>
      </w:r>
    </w:p>
    <w:p w14:paraId="4AD0F312" w14:textId="77777777" w:rsidR="00C661B8" w:rsidRDefault="00000000">
      <w:pPr>
        <w:spacing w:after="160" w:line="280" w:lineRule="auto"/>
        <w:ind w:left="720" w:right="360"/>
        <w:rPr>
          <w:i/>
          <w:iCs/>
          <w:color w:val="888888"/>
          <w:sz w:val="18"/>
          <w:szCs w:val="18"/>
        </w:rPr>
      </w:pPr>
      <w:r>
        <w:rPr>
          <w:rFonts w:ascii="Arial" w:eastAsia="Arial" w:hAnsi="Arial" w:cs="Arial"/>
          <w:b/>
          <w:bCs/>
          <w:color w:val="888888"/>
          <w:sz w:val="18"/>
          <w:szCs w:val="18"/>
        </w:rPr>
        <w:t xml:space="preserve">Breadcrumbs: </w:t>
      </w:r>
      <w:r>
        <w:rPr>
          <w:i/>
          <w:iCs/>
          <w:color w:val="888888"/>
          <w:sz w:val="18"/>
          <w:szCs w:val="18"/>
        </w:rPr>
        <w:t>Floyd &amp; Benjamin (2026) zenodo.org/records/19067272 (The Blind Spot); Bradshaw &amp; Walker (2005) British Journal of Pharmacology 145(4)</w:t>
      </w:r>
    </w:p>
    <w:p w14:paraId="65BE3278" w14:textId="05D0ACF6" w:rsidR="00091DE4" w:rsidRDefault="00091DE4" w:rsidP="00032463">
      <w:pPr>
        <w:spacing w:before="200" w:after="40"/>
        <w:ind w:left="720" w:right="360"/>
      </w:pPr>
      <w:r w:rsidRPr="00091DE4">
        <w:rPr>
          <w:i/>
          <w:iCs/>
        </w:rPr>
        <w:lastRenderedPageBreak/>
        <w:t xml:space="preserve">The Circadian Architect   </w:t>
      </w:r>
      <w:r w:rsidRPr="00091DE4">
        <w:rPr>
          <w:rFonts w:ascii="Arial" w:eastAsia="Arial" w:hAnsi="Arial" w:cs="Arial"/>
          <w:color w:val="888888"/>
          <w:sz w:val="20"/>
          <w:szCs w:val="20"/>
        </w:rPr>
        <w:t>[</w:t>
      </w:r>
      <w:r w:rsidR="00A267FD">
        <w:rPr>
          <w:rFonts w:ascii="Arial" w:eastAsia="Arial" w:hAnsi="Arial" w:cs="Arial"/>
          <w:color w:val="888888"/>
          <w:sz w:val="20"/>
          <w:szCs w:val="20"/>
        </w:rPr>
        <w:t>49</w:t>
      </w:r>
      <w:r w:rsidRPr="00091DE4">
        <w:rPr>
          <w:rFonts w:ascii="Arial" w:eastAsia="Arial" w:hAnsi="Arial" w:cs="Arial"/>
          <w:color w:val="888888"/>
          <w:sz w:val="20"/>
          <w:szCs w:val="20"/>
        </w:rPr>
        <w:t>]</w:t>
      </w:r>
    </w:p>
    <w:p w14:paraId="2A2EC1E0" w14:textId="77777777" w:rsidR="00091DE4" w:rsidRPr="00091DE4" w:rsidRDefault="00091DE4" w:rsidP="00091DE4">
      <w:pPr>
        <w:spacing w:after="160" w:line="280" w:lineRule="auto"/>
        <w:ind w:left="720" w:right="360"/>
        <w:rPr>
          <w:color w:val="444444"/>
          <w:sz w:val="18"/>
          <w:szCs w:val="18"/>
        </w:rPr>
      </w:pPr>
      <w:r w:rsidRPr="00091DE4">
        <w:rPr>
          <w:color w:val="444444"/>
          <w:sz w:val="18"/>
          <w:szCs w:val="18"/>
        </w:rPr>
        <w:t>The pineal gland deliberately sits outside the blood-brain barrier — one of only seven circumventricular organs that lack the tight-junction endothelium protecting the rest of the brain. This is the design, not an oversight. It sits outside the barrier to sample blood freely, read the light-dark signal from the world, and use melatonin — lipophilic, crossing the BBB freely — to regulate the very barrier it bypasses. Where the glymphatic flush and the circadian ECS rhythm are covered in Sacred Cycles, this section covers how that rhythm is architecturally set in the first place: the pineal as the neuroendocrine transducer, melatonin as the lipophilic messenger that crosses the gate it governs, and the ECS as the co-regulator that determines whether the nightly repair sequence actually executes. When CB1 tone is nutritionally deficient, the melatonin signal arrives intact — but the CB1 side of the handshake does not answer. The brain's debris clearance runs at reduced capacity not because the trigger is absent but because the executing mechanism is undernourished.</w:t>
      </w:r>
    </w:p>
    <w:p w14:paraId="5F648CDE" w14:textId="5536EAFD" w:rsidR="00091DE4" w:rsidRDefault="00091DE4" w:rsidP="00091DE4">
      <w:pPr>
        <w:spacing w:after="160" w:line="280" w:lineRule="auto"/>
        <w:ind w:left="720" w:right="360"/>
      </w:pPr>
      <w:r w:rsidRPr="00091DE4">
        <w:rPr>
          <w:rFonts w:ascii="Arial" w:eastAsia="Arial" w:hAnsi="Arial" w:cs="Arial"/>
          <w:b/>
          <w:bCs/>
          <w:color w:val="888888"/>
          <w:sz w:val="18"/>
          <w:szCs w:val="18"/>
        </w:rPr>
        <w:t>Breadcrumbs:</w:t>
      </w:r>
      <w:r>
        <w:t xml:space="preserve"> </w:t>
      </w:r>
      <w:r w:rsidRPr="00091DE4">
        <w:rPr>
          <w:i/>
          <w:iCs/>
          <w:color w:val="888888"/>
          <w:sz w:val="18"/>
          <w:szCs w:val="18"/>
        </w:rPr>
        <w:t xml:space="preserve">Reiter et al. (2010) Journal of Pineal Research 49(1); </w:t>
      </w:r>
      <w:proofErr w:type="spellStart"/>
      <w:r w:rsidRPr="00091DE4">
        <w:rPr>
          <w:i/>
          <w:iCs/>
          <w:color w:val="888888"/>
          <w:sz w:val="18"/>
          <w:szCs w:val="18"/>
        </w:rPr>
        <w:t>Zisapel</w:t>
      </w:r>
      <w:proofErr w:type="spellEnd"/>
      <w:r w:rsidRPr="00091DE4">
        <w:rPr>
          <w:i/>
          <w:iCs/>
          <w:color w:val="888888"/>
          <w:sz w:val="18"/>
          <w:szCs w:val="18"/>
        </w:rPr>
        <w:t xml:space="preserve"> (2018) British Journal of Pharmacology 175(16); </w:t>
      </w:r>
      <w:proofErr w:type="spellStart"/>
      <w:r w:rsidRPr="00091DE4">
        <w:rPr>
          <w:i/>
          <w:iCs/>
          <w:color w:val="888888"/>
          <w:sz w:val="18"/>
          <w:szCs w:val="18"/>
        </w:rPr>
        <w:t>Mauriz</w:t>
      </w:r>
      <w:proofErr w:type="spellEnd"/>
      <w:r w:rsidRPr="00091DE4">
        <w:rPr>
          <w:i/>
          <w:iCs/>
          <w:color w:val="888888"/>
          <w:sz w:val="18"/>
          <w:szCs w:val="18"/>
        </w:rPr>
        <w:t xml:space="preserve"> et al. (2013) Journal of Pineal Research 54(1); Jessen et al. (2015) Science Advances 1(6)</w:t>
      </w:r>
    </w:p>
    <w:p w14:paraId="4D09E450" w14:textId="73C0EFF2" w:rsidR="00C661B8" w:rsidRDefault="00000000">
      <w:pPr>
        <w:spacing w:before="240" w:after="60"/>
        <w:ind w:left="360"/>
      </w:pPr>
      <w:r>
        <w:rPr>
          <w:rFonts w:ascii="Arial" w:eastAsia="Arial" w:hAnsi="Arial" w:cs="Arial"/>
          <w:b/>
          <w:bCs/>
        </w:rPr>
        <w:t>Chapter 8 — Go With Your Gut</w:t>
      </w:r>
      <w:r>
        <w:rPr>
          <w:rFonts w:ascii="Arial" w:eastAsia="Arial" w:hAnsi="Arial" w:cs="Arial"/>
          <w:color w:val="888888"/>
          <w:sz w:val="20"/>
          <w:szCs w:val="20"/>
        </w:rPr>
        <w:t xml:space="preserve">   [</w:t>
      </w:r>
      <w:r w:rsidR="00962572">
        <w:rPr>
          <w:rFonts w:ascii="Arial" w:eastAsia="Arial" w:hAnsi="Arial" w:cs="Arial"/>
          <w:color w:val="888888"/>
          <w:sz w:val="20"/>
          <w:szCs w:val="20"/>
        </w:rPr>
        <w:t>51</w:t>
      </w:r>
      <w:r>
        <w:rPr>
          <w:rFonts w:ascii="Arial" w:eastAsia="Arial" w:hAnsi="Arial" w:cs="Arial"/>
          <w:color w:val="888888"/>
          <w:sz w:val="20"/>
          <w:szCs w:val="20"/>
        </w:rPr>
        <w:t>]</w:t>
      </w:r>
    </w:p>
    <w:p w14:paraId="0F88A4B0" w14:textId="77777777" w:rsidR="00C661B8" w:rsidRDefault="00000000">
      <w:pPr>
        <w:spacing w:after="160" w:line="320" w:lineRule="auto"/>
        <w:ind w:left="360" w:right="360"/>
      </w:pPr>
      <w:r>
        <w:rPr>
          <w:color w:val="333333"/>
          <w:sz w:val="20"/>
          <w:szCs w:val="20"/>
        </w:rPr>
        <w:t>The gut is among the most ECS-dense tissues in the body. Chapter 8 explains why eating cannabis produces a qualitatively different physiological experience from inhaling it: the stomach, liver, and gut microbiome transform raw acidic cannabinoids into a sustained, distributed nutritional input rather than a single bolus. The Floyd-Benjamin stomach acid paper overturns the assumption that acidic cannabinoids are merely inactive precursors awaiting heat.</w:t>
      </w:r>
    </w:p>
    <w:p w14:paraId="08229C54" w14:textId="0993F67C" w:rsidR="00C661B8" w:rsidRDefault="00000000">
      <w:pPr>
        <w:spacing w:before="200" w:after="40"/>
        <w:ind w:left="720"/>
      </w:pPr>
      <w:r>
        <w:rPr>
          <w:i/>
          <w:iCs/>
        </w:rPr>
        <w:t>The Stomach Acid Discovery</w:t>
      </w:r>
      <w:r>
        <w:rPr>
          <w:rFonts w:ascii="Arial" w:eastAsia="Arial" w:hAnsi="Arial" w:cs="Arial"/>
          <w:color w:val="888888"/>
          <w:sz w:val="20"/>
          <w:szCs w:val="20"/>
        </w:rPr>
        <w:t xml:space="preserve">   [</w:t>
      </w:r>
      <w:r w:rsidR="00962572">
        <w:rPr>
          <w:rFonts w:ascii="Arial" w:eastAsia="Arial" w:hAnsi="Arial" w:cs="Arial"/>
          <w:color w:val="888888"/>
          <w:sz w:val="20"/>
          <w:szCs w:val="20"/>
        </w:rPr>
        <w:t>51</w:t>
      </w:r>
      <w:r>
        <w:rPr>
          <w:rFonts w:ascii="Arial" w:eastAsia="Arial" w:hAnsi="Arial" w:cs="Arial"/>
          <w:color w:val="888888"/>
          <w:sz w:val="20"/>
          <w:szCs w:val="20"/>
        </w:rPr>
        <w:t>]</w:t>
      </w:r>
    </w:p>
    <w:p w14:paraId="32D3F252" w14:textId="77777777" w:rsidR="00C661B8" w:rsidRDefault="00000000">
      <w:pPr>
        <w:spacing w:after="80" w:line="300" w:lineRule="auto"/>
        <w:ind w:left="720" w:right="360"/>
      </w:pPr>
      <w:r>
        <w:rPr>
          <w:color w:val="444444"/>
          <w:sz w:val="18"/>
          <w:szCs w:val="18"/>
        </w:rPr>
        <w:t>At gastric pH and body temperature, conversion of THCA to THC is estimated at 5 to 10 percent at most. At blood pH of 7.4, acidic forms exist as more than 99 percent ionized anions — structurally inert to further decarboxylation. The stomach initiates a metabolic cascade through liver conjugation, phase I and II metabolism, and enterohepatic recycling that provides hours of sustained ECS signaling from a single dose.</w:t>
      </w:r>
    </w:p>
    <w:p w14:paraId="08040949"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(2025) preprints202512.1465.v1 (Stomach Acid); Watanabe et al. (2007) Drug Metabolism and Pharmacokinetics</w:t>
      </w:r>
    </w:p>
    <w:p w14:paraId="1DE4F2AA" w14:textId="2DA1FAD1" w:rsidR="00C661B8" w:rsidRDefault="00000000">
      <w:pPr>
        <w:spacing w:before="200" w:after="40"/>
        <w:ind w:left="720"/>
      </w:pPr>
      <w:r>
        <w:rPr>
          <w:i/>
          <w:iCs/>
        </w:rPr>
        <w:t>Gut Integrity and the ECS</w:t>
      </w:r>
      <w:r>
        <w:rPr>
          <w:rFonts w:ascii="Arial" w:eastAsia="Arial" w:hAnsi="Arial" w:cs="Arial"/>
          <w:color w:val="888888"/>
          <w:sz w:val="20"/>
          <w:szCs w:val="20"/>
        </w:rPr>
        <w:t xml:space="preserve">   [</w:t>
      </w:r>
      <w:r w:rsidR="00962572">
        <w:rPr>
          <w:rFonts w:ascii="Arial" w:eastAsia="Arial" w:hAnsi="Arial" w:cs="Arial"/>
          <w:color w:val="888888"/>
          <w:sz w:val="20"/>
          <w:szCs w:val="20"/>
        </w:rPr>
        <w:t>52</w:t>
      </w:r>
      <w:r>
        <w:rPr>
          <w:rFonts w:ascii="Arial" w:eastAsia="Arial" w:hAnsi="Arial" w:cs="Arial"/>
          <w:color w:val="888888"/>
          <w:sz w:val="20"/>
          <w:szCs w:val="20"/>
        </w:rPr>
        <w:t>]</w:t>
      </w:r>
    </w:p>
    <w:p w14:paraId="733E1F9F" w14:textId="77777777" w:rsidR="00C661B8" w:rsidRDefault="00000000">
      <w:pPr>
        <w:spacing w:after="80" w:line="300" w:lineRule="auto"/>
        <w:ind w:left="720" w:right="360"/>
      </w:pPr>
      <w:r>
        <w:rPr>
          <w:color w:val="444444"/>
          <w:sz w:val="18"/>
          <w:szCs w:val="18"/>
        </w:rPr>
        <w:t>CB1 and CB2 receptors in the gut lining govern the tight junction proteins determining intestinal permeability. Chronically low ECS tone loosens those junctions — the leaky gut mechanism. Hemp seed's GLA bypasses delta-6-desaturase to deliver immediate anti-inflammatory support while the longer ECS restoration is underway. The gut microbiome, supported by hemp seed's prebiotic fiber and Cannabis enterohepatic recycling, is the bridge between dietary inputs and the brain.</w:t>
      </w:r>
    </w:p>
    <w:p w14:paraId="31501BF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 xml:space="preserve">Di Marzo &amp; Izzo (2006) Gut 55(8); Massa &amp; </w:t>
      </w:r>
      <w:proofErr w:type="spellStart"/>
      <w:r>
        <w:rPr>
          <w:i/>
          <w:iCs/>
          <w:color w:val="888888"/>
          <w:sz w:val="18"/>
          <w:szCs w:val="18"/>
        </w:rPr>
        <w:t>Monory</w:t>
      </w:r>
      <w:proofErr w:type="spellEnd"/>
      <w:r>
        <w:rPr>
          <w:i/>
          <w:iCs/>
          <w:color w:val="888888"/>
          <w:sz w:val="18"/>
          <w:szCs w:val="18"/>
        </w:rPr>
        <w:t xml:space="preserve"> (2006) Current Pharmaceutical Design 12(12)</w:t>
      </w:r>
    </w:p>
    <w:p w14:paraId="694E6AE3" w14:textId="77777777" w:rsidR="00C661B8" w:rsidRDefault="00000000">
      <w:pPr>
        <w:spacing w:before="480" w:after="60"/>
      </w:pPr>
      <w:r>
        <w:rPr>
          <w:rFonts w:ascii="Arial" w:eastAsia="Arial" w:hAnsi="Arial" w:cs="Arial"/>
          <w:b/>
          <w:bCs/>
          <w:caps/>
          <w:color w:val="888888"/>
        </w:rPr>
        <w:t>Interlude — You eat it. Your body needs it. Every body needs it.</w:t>
      </w:r>
    </w:p>
    <w:p w14:paraId="0067663A" w14:textId="7586AC4C" w:rsidR="00C661B8" w:rsidRDefault="00000000">
      <w:pPr>
        <w:spacing w:after="160" w:line="320" w:lineRule="auto"/>
        <w:ind w:left="360" w:right="360"/>
      </w:pPr>
      <w:r>
        <w:rPr>
          <w:color w:val="333333"/>
          <w:sz w:val="20"/>
          <w:szCs w:val="20"/>
        </w:rPr>
        <w:t xml:space="preserve">The </w:t>
      </w:r>
      <w:r w:rsidR="00A267FD">
        <w:rPr>
          <w:color w:val="333333"/>
          <w:sz w:val="20"/>
          <w:szCs w:val="20"/>
        </w:rPr>
        <w:t xml:space="preserve">second </w:t>
      </w:r>
      <w:r>
        <w:rPr>
          <w:color w:val="333333"/>
          <w:sz w:val="20"/>
          <w:szCs w:val="20"/>
        </w:rPr>
        <w:t>Interlude</w:t>
      </w:r>
      <w:r w:rsidR="00AB5E86">
        <w:rPr>
          <w:color w:val="333333"/>
          <w:sz w:val="20"/>
          <w:szCs w:val="20"/>
        </w:rPr>
        <w:t xml:space="preserve"> </w:t>
      </w:r>
      <w:r w:rsidR="00AB5E86" w:rsidRPr="00AB5E86">
        <w:rPr>
          <w:rFonts w:ascii="Arial" w:eastAsia="Arial" w:hAnsi="Arial" w:cs="Arial"/>
          <w:color w:val="888888"/>
          <w:sz w:val="20"/>
          <w:szCs w:val="20"/>
        </w:rPr>
        <w:t>[page 5</w:t>
      </w:r>
      <w:r w:rsidR="00A74DFF">
        <w:rPr>
          <w:rFonts w:ascii="Arial" w:eastAsia="Arial" w:hAnsi="Arial" w:cs="Arial"/>
          <w:color w:val="888888"/>
          <w:sz w:val="20"/>
          <w:szCs w:val="20"/>
        </w:rPr>
        <w:t>5</w:t>
      </w:r>
      <w:r w:rsidR="00AB5E86" w:rsidRPr="00AB5E86">
        <w:rPr>
          <w:rFonts w:ascii="Arial" w:eastAsia="Arial" w:hAnsi="Arial" w:cs="Arial"/>
          <w:color w:val="888888"/>
          <w:sz w:val="20"/>
          <w:szCs w:val="20"/>
        </w:rPr>
        <w:t>]</w:t>
      </w:r>
      <w:r>
        <w:rPr>
          <w:color w:val="333333"/>
          <w:sz w:val="20"/>
          <w:szCs w:val="20"/>
        </w:rPr>
        <w:t xml:space="preserve"> is the bridge between </w:t>
      </w:r>
      <w:proofErr w:type="gramStart"/>
      <w:r>
        <w:rPr>
          <w:color w:val="333333"/>
          <w:sz w:val="20"/>
          <w:szCs w:val="20"/>
        </w:rPr>
        <w:t>the science</w:t>
      </w:r>
      <w:proofErr w:type="gramEnd"/>
      <w:r>
        <w:rPr>
          <w:color w:val="333333"/>
          <w:sz w:val="20"/>
          <w:szCs w:val="20"/>
        </w:rPr>
        <w:t xml:space="preserve"> and the solution. It names what the reader has just absorbed across eight chapters and two </w:t>
      </w:r>
      <w:proofErr w:type="gramStart"/>
      <w:r>
        <w:rPr>
          <w:color w:val="333333"/>
          <w:sz w:val="20"/>
          <w:szCs w:val="20"/>
        </w:rPr>
        <w:t>Parts, and</w:t>
      </w:r>
      <w:proofErr w:type="gramEnd"/>
      <w:r>
        <w:rPr>
          <w:color w:val="333333"/>
          <w:sz w:val="20"/>
          <w:szCs w:val="20"/>
        </w:rPr>
        <w:t xml:space="preserve"> delivers the call to action in its simplest form: a handful of hemp seed per meal, a handful of raw Cannabis per day, any way that fits. The body that just spent twenty-five thousand words explaining its own deficiency </w:t>
      </w:r>
      <w:r>
        <w:rPr>
          <w:color w:val="333333"/>
          <w:sz w:val="20"/>
          <w:szCs w:val="20"/>
        </w:rPr>
        <w:lastRenderedPageBreak/>
        <w:t>already knows how to restore it — it simply needs two foods it hasn't had access to for the better part of a century.</w:t>
      </w:r>
    </w:p>
    <w:p w14:paraId="19C977CB" w14:textId="77777777" w:rsidR="00C661B8" w:rsidRDefault="00000000" w:rsidP="003C2323">
      <w:pPr>
        <w:spacing w:before="120" w:after="120"/>
        <w:jc w:val="center"/>
      </w:pPr>
      <w:r>
        <w:rPr>
          <w:color w:val="CCCCCC"/>
          <w:sz w:val="20"/>
          <w:szCs w:val="20"/>
        </w:rPr>
        <w:t>― ― ―</w:t>
      </w:r>
    </w:p>
    <w:p w14:paraId="61056D7A" w14:textId="0F243508" w:rsidR="00C661B8" w:rsidRDefault="00000000" w:rsidP="00A267FD">
      <w:pPr>
        <w:keepNext/>
        <w:spacing w:before="240" w:after="60"/>
      </w:pPr>
      <w:r>
        <w:rPr>
          <w:rFonts w:ascii="Arial" w:eastAsia="Arial" w:hAnsi="Arial" w:cs="Arial"/>
          <w:b/>
          <w:bCs/>
          <w:caps/>
          <w:color w:val="222222"/>
          <w:sz w:val="26"/>
          <w:szCs w:val="26"/>
        </w:rPr>
        <w:t>Part Three — The Solution</w:t>
      </w:r>
      <w:r>
        <w:rPr>
          <w:rFonts w:ascii="Arial" w:eastAsia="Arial" w:hAnsi="Arial" w:cs="Arial"/>
          <w:color w:val="888888"/>
          <w:sz w:val="22"/>
          <w:szCs w:val="22"/>
        </w:rPr>
        <w:t xml:space="preserve">   [</w:t>
      </w:r>
      <w:r w:rsidR="009912AC">
        <w:rPr>
          <w:rFonts w:ascii="Arial" w:eastAsia="Arial" w:hAnsi="Arial" w:cs="Arial"/>
          <w:color w:val="888888"/>
          <w:sz w:val="22"/>
          <w:szCs w:val="22"/>
        </w:rPr>
        <w:t>5</w:t>
      </w:r>
      <w:r w:rsidR="00A74DFF">
        <w:rPr>
          <w:rFonts w:ascii="Arial" w:eastAsia="Arial" w:hAnsi="Arial" w:cs="Arial"/>
          <w:color w:val="888888"/>
          <w:sz w:val="22"/>
          <w:szCs w:val="22"/>
        </w:rPr>
        <w:t>7</w:t>
      </w:r>
      <w:r>
        <w:rPr>
          <w:rFonts w:ascii="Arial" w:eastAsia="Arial" w:hAnsi="Arial" w:cs="Arial"/>
          <w:color w:val="888888"/>
          <w:sz w:val="22"/>
          <w:szCs w:val="22"/>
        </w:rPr>
        <w:t>]</w:t>
      </w:r>
    </w:p>
    <w:p w14:paraId="2845DB83" w14:textId="77777777" w:rsidR="00C661B8" w:rsidRDefault="00000000">
      <w:pPr>
        <w:spacing w:after="320" w:line="320" w:lineRule="auto"/>
        <w:ind w:left="360" w:right="360"/>
      </w:pPr>
      <w:r>
        <w:rPr>
          <w:i/>
          <w:iCs/>
          <w:color w:val="333333"/>
          <w:sz w:val="20"/>
          <w:szCs w:val="20"/>
        </w:rPr>
        <w:t xml:space="preserve">Part Three is where </w:t>
      </w:r>
      <w:proofErr w:type="gramStart"/>
      <w:r>
        <w:rPr>
          <w:i/>
          <w:iCs/>
          <w:color w:val="333333"/>
          <w:sz w:val="20"/>
          <w:szCs w:val="20"/>
        </w:rPr>
        <w:t>the science</w:t>
      </w:r>
      <w:proofErr w:type="gramEnd"/>
      <w:r>
        <w:rPr>
          <w:i/>
          <w:iCs/>
          <w:color w:val="333333"/>
          <w:sz w:val="20"/>
          <w:szCs w:val="20"/>
        </w:rPr>
        <w:t xml:space="preserve"> becomes practice. Four chapters move from the body's daily ECS rhythm through sourcing and kitchen preparation to the Troubleshooting Guide that maps the most prevalent chronic conditions to the specific ECS nodes they reflect and the nutritional corrections that address them. The complexity is in Parts One and Two. Part Three is intentionally simple: two foods, clear instructions, real costs, practical answers. Homeostasis is not a state we manufacture; it is a biological default we must feed.</w:t>
      </w:r>
    </w:p>
    <w:p w14:paraId="1B02F5C0" w14:textId="580EB523" w:rsidR="00C661B8" w:rsidRDefault="00000000">
      <w:pPr>
        <w:spacing w:before="240" w:after="60"/>
        <w:ind w:left="360"/>
      </w:pPr>
      <w:r>
        <w:rPr>
          <w:rFonts w:ascii="Arial" w:eastAsia="Arial" w:hAnsi="Arial" w:cs="Arial"/>
          <w:b/>
          <w:bCs/>
        </w:rPr>
        <w:t>Chapter 9 — Sacred Cycles: Sleep and Stress</w:t>
      </w:r>
      <w:r>
        <w:rPr>
          <w:rFonts w:ascii="Arial" w:eastAsia="Arial" w:hAnsi="Arial" w:cs="Arial"/>
          <w:color w:val="888888"/>
          <w:sz w:val="20"/>
          <w:szCs w:val="20"/>
        </w:rPr>
        <w:t xml:space="preserve">   [</w:t>
      </w:r>
      <w:r w:rsidR="009912AC">
        <w:rPr>
          <w:rFonts w:ascii="Arial" w:eastAsia="Arial" w:hAnsi="Arial" w:cs="Arial"/>
          <w:color w:val="888888"/>
          <w:sz w:val="20"/>
          <w:szCs w:val="20"/>
        </w:rPr>
        <w:t>5</w:t>
      </w:r>
      <w:r w:rsidR="00A74DFF">
        <w:rPr>
          <w:rFonts w:ascii="Arial" w:eastAsia="Arial" w:hAnsi="Arial" w:cs="Arial"/>
          <w:color w:val="888888"/>
          <w:sz w:val="20"/>
          <w:szCs w:val="20"/>
        </w:rPr>
        <w:t>9</w:t>
      </w:r>
      <w:r>
        <w:rPr>
          <w:rFonts w:ascii="Arial" w:eastAsia="Arial" w:hAnsi="Arial" w:cs="Arial"/>
          <w:color w:val="888888"/>
          <w:sz w:val="20"/>
          <w:szCs w:val="20"/>
        </w:rPr>
        <w:t>]</w:t>
      </w:r>
    </w:p>
    <w:p w14:paraId="5B9A9353" w14:textId="77777777" w:rsidR="00C661B8" w:rsidRDefault="00000000">
      <w:pPr>
        <w:spacing w:after="160" w:line="320" w:lineRule="auto"/>
        <w:ind w:left="360" w:right="360"/>
      </w:pPr>
      <w:r>
        <w:rPr>
          <w:color w:val="333333"/>
          <w:sz w:val="20"/>
          <w:szCs w:val="20"/>
        </w:rPr>
        <w:t>The ECS operates on a daily rhythm governing the transition from performance mode to repair mode. Chapter 9 maps that rhythm — anandamide's morning peak for alertness and stress modulation, 2-AG's evening peak for rest and repair — and explains what happens when chronic deficiency disrupts it. The cortisol buffer collapses. The glymphatic flush that clears the brain during sleep becomes sluggish. The body accumulates the metabolic debt of nights that were not genuinely restorative.</w:t>
      </w:r>
    </w:p>
    <w:p w14:paraId="5412C96B" w14:textId="02528842" w:rsidR="00C661B8" w:rsidRDefault="00000000">
      <w:pPr>
        <w:spacing w:before="200" w:after="40"/>
        <w:ind w:left="720"/>
      </w:pPr>
      <w:r>
        <w:rPr>
          <w:i/>
          <w:iCs/>
        </w:rPr>
        <w:t>The Diurnal Pulse</w:t>
      </w:r>
      <w:r>
        <w:rPr>
          <w:rFonts w:ascii="Arial" w:eastAsia="Arial" w:hAnsi="Arial" w:cs="Arial"/>
          <w:color w:val="888888"/>
          <w:sz w:val="20"/>
          <w:szCs w:val="20"/>
        </w:rPr>
        <w:t xml:space="preserve">   [</w:t>
      </w:r>
      <w:r w:rsidR="009912AC">
        <w:rPr>
          <w:rFonts w:ascii="Arial" w:eastAsia="Arial" w:hAnsi="Arial" w:cs="Arial"/>
          <w:color w:val="888888"/>
          <w:sz w:val="20"/>
          <w:szCs w:val="20"/>
        </w:rPr>
        <w:t>5</w:t>
      </w:r>
      <w:r w:rsidR="00A74DFF">
        <w:rPr>
          <w:rFonts w:ascii="Arial" w:eastAsia="Arial" w:hAnsi="Arial" w:cs="Arial"/>
          <w:color w:val="888888"/>
          <w:sz w:val="20"/>
          <w:szCs w:val="20"/>
        </w:rPr>
        <w:t>9</w:t>
      </w:r>
      <w:r>
        <w:rPr>
          <w:rFonts w:ascii="Arial" w:eastAsia="Arial" w:hAnsi="Arial" w:cs="Arial"/>
          <w:color w:val="888888"/>
          <w:sz w:val="20"/>
          <w:szCs w:val="20"/>
        </w:rPr>
        <w:t>]</w:t>
      </w:r>
    </w:p>
    <w:p w14:paraId="6FC5E7C8" w14:textId="77777777" w:rsidR="00C661B8" w:rsidRDefault="00000000">
      <w:pPr>
        <w:spacing w:after="80" w:line="300" w:lineRule="auto"/>
        <w:ind w:left="720" w:right="360"/>
      </w:pPr>
      <w:r>
        <w:rPr>
          <w:color w:val="444444"/>
          <w:sz w:val="18"/>
          <w:szCs w:val="18"/>
        </w:rPr>
        <w:t xml:space="preserve">Anandamide peaks in the morning (magnesium-dependent; governs alertness and early </w:t>
      </w:r>
      <w:proofErr w:type="gramStart"/>
      <w:r>
        <w:rPr>
          <w:color w:val="444444"/>
          <w:sz w:val="18"/>
          <w:szCs w:val="18"/>
        </w:rPr>
        <w:t>stress response</w:t>
      </w:r>
      <w:proofErr w:type="gramEnd"/>
      <w:r>
        <w:rPr>
          <w:color w:val="444444"/>
          <w:sz w:val="18"/>
          <w:szCs w:val="18"/>
        </w:rPr>
        <w:t xml:space="preserve">). 2-AG peaks in the evening (zinc-dependent; governs the sleep-wake transition and repair signaling). When both peaks function correctly the circadian rhythm produces what a well-rested body </w:t>
      </w:r>
      <w:proofErr w:type="gramStart"/>
      <w:r>
        <w:rPr>
          <w:color w:val="444444"/>
          <w:sz w:val="18"/>
          <w:szCs w:val="18"/>
        </w:rPr>
        <w:t>actually feels</w:t>
      </w:r>
      <w:proofErr w:type="gramEnd"/>
      <w:r>
        <w:rPr>
          <w:color w:val="444444"/>
          <w:sz w:val="18"/>
          <w:szCs w:val="18"/>
        </w:rPr>
        <w:t xml:space="preserve"> like. When mineral deficiencies impair either peak, the entire daily cycle distorts.</w:t>
      </w:r>
    </w:p>
    <w:p w14:paraId="1659E2A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Valenti et al. (2004) FEBS Letters 577(3); Murillo-Rodriguez et al. (2006) Neuroscience 138(2)</w:t>
      </w:r>
    </w:p>
    <w:p w14:paraId="115942BE" w14:textId="73148AE2" w:rsidR="00C661B8" w:rsidRDefault="00000000">
      <w:pPr>
        <w:spacing w:before="200" w:after="40"/>
        <w:ind w:left="720"/>
      </w:pPr>
      <w:r>
        <w:rPr>
          <w:i/>
          <w:iCs/>
        </w:rPr>
        <w:t>Cortisol, CB1, and the Stress Response</w:t>
      </w:r>
      <w:r>
        <w:rPr>
          <w:rFonts w:ascii="Arial" w:eastAsia="Arial" w:hAnsi="Arial" w:cs="Arial"/>
          <w:color w:val="888888"/>
          <w:sz w:val="20"/>
          <w:szCs w:val="20"/>
        </w:rPr>
        <w:t xml:space="preserve">   [</w:t>
      </w:r>
      <w:r w:rsidR="00A74DFF">
        <w:rPr>
          <w:rFonts w:ascii="Arial" w:eastAsia="Arial" w:hAnsi="Arial" w:cs="Arial"/>
          <w:color w:val="888888"/>
          <w:sz w:val="20"/>
          <w:szCs w:val="20"/>
        </w:rPr>
        <w:t>60</w:t>
      </w:r>
      <w:r>
        <w:rPr>
          <w:rFonts w:ascii="Arial" w:eastAsia="Arial" w:hAnsi="Arial" w:cs="Arial"/>
          <w:color w:val="888888"/>
          <w:sz w:val="20"/>
          <w:szCs w:val="20"/>
        </w:rPr>
        <w:t>]</w:t>
      </w:r>
    </w:p>
    <w:p w14:paraId="2862223B" w14:textId="77777777" w:rsidR="00C661B8" w:rsidRDefault="00000000">
      <w:pPr>
        <w:spacing w:after="80" w:line="300" w:lineRule="auto"/>
        <w:ind w:left="720" w:right="360"/>
      </w:pPr>
      <w:r>
        <w:rPr>
          <w:color w:val="444444"/>
          <w:sz w:val="18"/>
          <w:szCs w:val="18"/>
        </w:rPr>
        <w:t>The ECS normally provides retrograde inhibitory signals that prevent the cortisol stress response from running beyond its required duration. Without adequate ECS tone, the HPA axis remains activated past the stressor. CBDA modulates FAAH to protect anandamide during high-stress periods. Magnesium stabilizes enzymatic machinery. Zinc maintains receptor signaling for the buffering work.</w:t>
      </w:r>
    </w:p>
    <w:p w14:paraId="57C7F58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Hill et al. (2010) Neuroscience &amp; Biobehavioral Reviews 35(2); Patel &amp; Hillard (2008) Journal of Pharmacology and Experimental Therapeutics 324(1)</w:t>
      </w:r>
    </w:p>
    <w:p w14:paraId="2D23B39C" w14:textId="188101D8" w:rsidR="00C661B8" w:rsidRDefault="00000000">
      <w:pPr>
        <w:spacing w:before="200" w:after="40"/>
        <w:ind w:left="720"/>
      </w:pPr>
      <w:r>
        <w:rPr>
          <w:i/>
          <w:iCs/>
        </w:rPr>
        <w:t>The Glymphatic Flush: What Actually Happens While You Sleep</w:t>
      </w:r>
      <w:r>
        <w:rPr>
          <w:rFonts w:ascii="Arial" w:eastAsia="Arial" w:hAnsi="Arial" w:cs="Arial"/>
          <w:color w:val="888888"/>
          <w:sz w:val="20"/>
          <w:szCs w:val="20"/>
        </w:rPr>
        <w:t xml:space="preserve">   [</w:t>
      </w:r>
      <w:r w:rsidR="00A74DFF">
        <w:rPr>
          <w:rFonts w:ascii="Arial" w:eastAsia="Arial" w:hAnsi="Arial" w:cs="Arial"/>
          <w:color w:val="888888"/>
          <w:sz w:val="20"/>
          <w:szCs w:val="20"/>
        </w:rPr>
        <w:t>60</w:t>
      </w:r>
      <w:r>
        <w:rPr>
          <w:rFonts w:ascii="Arial" w:eastAsia="Arial" w:hAnsi="Arial" w:cs="Arial"/>
          <w:color w:val="888888"/>
          <w:sz w:val="20"/>
          <w:szCs w:val="20"/>
        </w:rPr>
        <w:t>]</w:t>
      </w:r>
    </w:p>
    <w:p w14:paraId="4DAE208B" w14:textId="77777777" w:rsidR="00C661B8" w:rsidRDefault="00000000">
      <w:pPr>
        <w:spacing w:after="80" w:line="300" w:lineRule="auto"/>
        <w:ind w:left="720" w:right="360"/>
      </w:pPr>
      <w:r>
        <w:rPr>
          <w:color w:val="444444"/>
          <w:sz w:val="18"/>
          <w:szCs w:val="18"/>
        </w:rPr>
        <w:t>During slow-wave sleep, CB1 signaling facilitates expansion of the interstitial space between neurons, allowing cerebrospinal fluid to flush metabolic debris — including the proteins associated with neurodegenerative disease. Disrupted circadian ECS tone compresses or eliminates this flush. The resulting cognitive decline is not from insufficient sleep hours but from insufficient ECS tone to drive the repair process.</w:t>
      </w:r>
    </w:p>
    <w:p w14:paraId="2C23492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Jessen et al. (2015) Science Advances 1(6); Bosier et al. (2013) Glia 61(12)</w:t>
      </w:r>
    </w:p>
    <w:p w14:paraId="60BAB3D6" w14:textId="5EB14BCD" w:rsidR="00C661B8" w:rsidRDefault="00000000" w:rsidP="00C561CF">
      <w:pPr>
        <w:keepNext/>
        <w:spacing w:before="240" w:after="60"/>
        <w:ind w:left="360"/>
      </w:pPr>
      <w:r>
        <w:rPr>
          <w:rFonts w:ascii="Arial" w:eastAsia="Arial" w:hAnsi="Arial" w:cs="Arial"/>
          <w:b/>
          <w:bCs/>
        </w:rPr>
        <w:lastRenderedPageBreak/>
        <w:t>Chapter 10 — Sourcing and Selection</w:t>
      </w:r>
      <w:r>
        <w:rPr>
          <w:rFonts w:ascii="Arial" w:eastAsia="Arial" w:hAnsi="Arial" w:cs="Arial"/>
          <w:color w:val="888888"/>
          <w:sz w:val="20"/>
          <w:szCs w:val="20"/>
        </w:rPr>
        <w:t xml:space="preserve">   [</w:t>
      </w:r>
      <w:r w:rsidR="00A74DFF">
        <w:rPr>
          <w:rFonts w:ascii="Arial" w:eastAsia="Arial" w:hAnsi="Arial" w:cs="Arial"/>
          <w:color w:val="888888"/>
          <w:sz w:val="20"/>
          <w:szCs w:val="20"/>
        </w:rPr>
        <w:t>63</w:t>
      </w:r>
      <w:r>
        <w:rPr>
          <w:rFonts w:ascii="Arial" w:eastAsia="Arial" w:hAnsi="Arial" w:cs="Arial"/>
          <w:color w:val="888888"/>
          <w:sz w:val="20"/>
          <w:szCs w:val="20"/>
        </w:rPr>
        <w:t>]</w:t>
      </w:r>
    </w:p>
    <w:p w14:paraId="759201F0" w14:textId="77777777" w:rsidR="00C661B8" w:rsidRDefault="00000000">
      <w:pPr>
        <w:spacing w:after="160" w:line="320" w:lineRule="auto"/>
        <w:ind w:left="360" w:right="360"/>
      </w:pPr>
      <w:r>
        <w:rPr>
          <w:color w:val="333333"/>
          <w:sz w:val="20"/>
          <w:szCs w:val="20"/>
        </w:rPr>
        <w:t xml:space="preserve">This protocol requires two ingredients. Chapter 10 covers everything a reader needs to find both without overpaying, </w:t>
      </w:r>
      <w:proofErr w:type="gramStart"/>
      <w:r>
        <w:rPr>
          <w:color w:val="333333"/>
          <w:sz w:val="20"/>
          <w:szCs w:val="20"/>
        </w:rPr>
        <w:t>avoid</w:t>
      </w:r>
      <w:proofErr w:type="gramEnd"/>
      <w:r>
        <w:rPr>
          <w:color w:val="333333"/>
          <w:sz w:val="20"/>
          <w:szCs w:val="20"/>
        </w:rPr>
        <w:t xml:space="preserve"> the common substitution mistakes that undermine nutritional value, and understand what to look for and what to avoid at the point of purchase. The protocol is accessible regardless of legal jurisdiction and achievable at a cost comparable to a daily cup of coffee.</w:t>
      </w:r>
    </w:p>
    <w:p w14:paraId="7D615549" w14:textId="6B8B5C2E" w:rsidR="00C661B8" w:rsidRDefault="00000000" w:rsidP="003C2323">
      <w:pPr>
        <w:keepNext/>
        <w:spacing w:before="200" w:after="40"/>
        <w:ind w:left="720"/>
      </w:pPr>
      <w:r>
        <w:rPr>
          <w:i/>
          <w:iCs/>
        </w:rPr>
        <w:t>Hemp Hearts (Hulled Hemp Seeds)</w:t>
      </w:r>
      <w:r>
        <w:rPr>
          <w:rFonts w:ascii="Arial" w:eastAsia="Arial" w:hAnsi="Arial" w:cs="Arial"/>
          <w:color w:val="888888"/>
          <w:sz w:val="20"/>
          <w:szCs w:val="20"/>
        </w:rPr>
        <w:t xml:space="preserve">   [</w:t>
      </w:r>
      <w:r w:rsidR="00A74DFF">
        <w:rPr>
          <w:rFonts w:ascii="Arial" w:eastAsia="Arial" w:hAnsi="Arial" w:cs="Arial"/>
          <w:color w:val="888888"/>
          <w:sz w:val="20"/>
          <w:szCs w:val="20"/>
        </w:rPr>
        <w:t>63</w:t>
      </w:r>
      <w:r>
        <w:rPr>
          <w:rFonts w:ascii="Arial" w:eastAsia="Arial" w:hAnsi="Arial" w:cs="Arial"/>
          <w:color w:val="888888"/>
          <w:sz w:val="20"/>
          <w:szCs w:val="20"/>
        </w:rPr>
        <w:t>]</w:t>
      </w:r>
    </w:p>
    <w:p w14:paraId="1A11D087" w14:textId="77777777" w:rsidR="00C661B8" w:rsidRDefault="00000000">
      <w:pPr>
        <w:spacing w:after="80" w:line="300" w:lineRule="auto"/>
        <w:ind w:left="720" w:right="360"/>
      </w:pPr>
      <w:r>
        <w:rPr>
          <w:color w:val="444444"/>
          <w:sz w:val="18"/>
          <w:szCs w:val="18"/>
        </w:rPr>
        <w:t xml:space="preserve">Widely available in grocery stores, natural food retailers, and online. Equine-grade hulled hemp seed is nutritionally identical to human-grade at a fraction of the cost. Light green to </w:t>
      </w:r>
      <w:proofErr w:type="gramStart"/>
      <w:r>
        <w:rPr>
          <w:color w:val="444444"/>
          <w:sz w:val="18"/>
          <w:szCs w:val="18"/>
        </w:rPr>
        <w:t>tan color</w:t>
      </w:r>
      <w:proofErr w:type="gramEnd"/>
      <w:r>
        <w:rPr>
          <w:color w:val="444444"/>
          <w:sz w:val="18"/>
          <w:szCs w:val="18"/>
        </w:rPr>
        <w:t xml:space="preserve"> indicates freshness. Store refrigerated or frozen. Hemp seed oil is a usable second choice; the whole seed is the better option.</w:t>
      </w:r>
    </w:p>
    <w:p w14:paraId="38797A06" w14:textId="713B46D5" w:rsidR="00C661B8" w:rsidRDefault="00000000">
      <w:pPr>
        <w:spacing w:before="200" w:after="40"/>
        <w:ind w:left="720"/>
      </w:pPr>
      <w:r>
        <w:rPr>
          <w:i/>
          <w:iCs/>
        </w:rPr>
        <w:t>Raw Cannabis Leaf and Flower</w:t>
      </w:r>
      <w:r>
        <w:rPr>
          <w:rFonts w:ascii="Arial" w:eastAsia="Arial" w:hAnsi="Arial" w:cs="Arial"/>
          <w:color w:val="888888"/>
          <w:sz w:val="20"/>
          <w:szCs w:val="20"/>
        </w:rPr>
        <w:t xml:space="preserve">   [</w:t>
      </w:r>
      <w:r w:rsidR="00A74DFF">
        <w:rPr>
          <w:rFonts w:ascii="Arial" w:eastAsia="Arial" w:hAnsi="Arial" w:cs="Arial"/>
          <w:color w:val="888888"/>
          <w:sz w:val="20"/>
          <w:szCs w:val="20"/>
        </w:rPr>
        <w:t>64</w:t>
      </w:r>
      <w:r>
        <w:rPr>
          <w:rFonts w:ascii="Arial" w:eastAsia="Arial" w:hAnsi="Arial" w:cs="Arial"/>
          <w:color w:val="888888"/>
          <w:sz w:val="20"/>
          <w:szCs w:val="20"/>
        </w:rPr>
        <w:t>]</w:t>
      </w:r>
    </w:p>
    <w:p w14:paraId="274B0DC0" w14:textId="77777777" w:rsidR="00C661B8" w:rsidRDefault="00000000">
      <w:pPr>
        <w:spacing w:after="80" w:line="300" w:lineRule="auto"/>
        <w:ind w:left="720" w:right="360"/>
      </w:pPr>
      <w:r>
        <w:rPr>
          <w:color w:val="444444"/>
          <w:sz w:val="18"/>
          <w:szCs w:val="18"/>
        </w:rPr>
        <w:t>Dispensary-sourced raw or minimally cured flower in legal states; hemp flower (CBDA and CBGA, minimal THCA) as the federally legal alternative. Strain selection matters less than processing temperature. Untrimmed material and trim carry higher CBDA and CBGA content than clean-trimmed flower. It is worth asking dispensaries for this material.</w:t>
      </w:r>
    </w:p>
    <w:p w14:paraId="055B42DD" w14:textId="63B11092" w:rsidR="00C661B8" w:rsidRDefault="00000000" w:rsidP="002E3952">
      <w:pPr>
        <w:keepNext/>
        <w:spacing w:before="200" w:after="40"/>
        <w:ind w:left="720"/>
      </w:pPr>
      <w:r>
        <w:rPr>
          <w:i/>
          <w:iCs/>
        </w:rPr>
        <w:t>What to Avoid</w:t>
      </w:r>
      <w:r>
        <w:rPr>
          <w:rFonts w:ascii="Arial" w:eastAsia="Arial" w:hAnsi="Arial" w:cs="Arial"/>
          <w:color w:val="888888"/>
          <w:sz w:val="20"/>
          <w:szCs w:val="20"/>
        </w:rPr>
        <w:t xml:space="preserve">   [</w:t>
      </w:r>
      <w:r w:rsidR="00A74DFF">
        <w:rPr>
          <w:rFonts w:ascii="Arial" w:eastAsia="Arial" w:hAnsi="Arial" w:cs="Arial"/>
          <w:color w:val="888888"/>
          <w:sz w:val="20"/>
          <w:szCs w:val="20"/>
        </w:rPr>
        <w:t>65</w:t>
      </w:r>
      <w:r>
        <w:rPr>
          <w:rFonts w:ascii="Arial" w:eastAsia="Arial" w:hAnsi="Arial" w:cs="Arial"/>
          <w:color w:val="888888"/>
          <w:sz w:val="20"/>
          <w:szCs w:val="20"/>
        </w:rPr>
        <w:t>]</w:t>
      </w:r>
    </w:p>
    <w:p w14:paraId="1920D009" w14:textId="77777777" w:rsidR="00C661B8" w:rsidRDefault="00000000">
      <w:pPr>
        <w:spacing w:after="80" w:line="300" w:lineRule="auto"/>
        <w:ind w:left="720" w:right="360"/>
      </w:pPr>
      <w:r>
        <w:rPr>
          <w:color w:val="444444"/>
          <w:sz w:val="18"/>
          <w:szCs w:val="18"/>
        </w:rPr>
        <w:t>CBD isolates, broad-spectrum extracts, and heat-processed full-spectrum oils are not nutritional equivalents. Heat destroys the acidic vitamers. Minimally processed or cold-processed is what you want. The nutritional protocol requires the acidic forms, and heat eliminates them across the cooking spectrum.</w:t>
      </w:r>
    </w:p>
    <w:p w14:paraId="1AD9A225" w14:textId="0DBC25B9" w:rsidR="00C661B8" w:rsidRDefault="00000000">
      <w:pPr>
        <w:spacing w:before="200" w:after="40"/>
        <w:ind w:left="720"/>
      </w:pPr>
      <w:r>
        <w:rPr>
          <w:i/>
          <w:iCs/>
        </w:rPr>
        <w:t>What It Costs</w:t>
      </w:r>
      <w:r>
        <w:rPr>
          <w:rFonts w:ascii="Arial" w:eastAsia="Arial" w:hAnsi="Arial" w:cs="Arial"/>
          <w:color w:val="888888"/>
          <w:sz w:val="20"/>
          <w:szCs w:val="20"/>
        </w:rPr>
        <w:t xml:space="preserve">   [</w:t>
      </w:r>
      <w:r w:rsidR="00CD0A76">
        <w:rPr>
          <w:rFonts w:ascii="Arial" w:eastAsia="Arial" w:hAnsi="Arial" w:cs="Arial"/>
          <w:color w:val="888888"/>
          <w:sz w:val="20"/>
          <w:szCs w:val="20"/>
        </w:rPr>
        <w:t>6</w:t>
      </w:r>
      <w:r w:rsidR="00A74DFF">
        <w:rPr>
          <w:rFonts w:ascii="Arial" w:eastAsia="Arial" w:hAnsi="Arial" w:cs="Arial"/>
          <w:color w:val="888888"/>
          <w:sz w:val="20"/>
          <w:szCs w:val="20"/>
        </w:rPr>
        <w:t>5</w:t>
      </w:r>
      <w:r>
        <w:rPr>
          <w:rFonts w:ascii="Arial" w:eastAsia="Arial" w:hAnsi="Arial" w:cs="Arial"/>
          <w:color w:val="888888"/>
          <w:sz w:val="20"/>
          <w:szCs w:val="20"/>
        </w:rPr>
        <w:t>]</w:t>
      </w:r>
    </w:p>
    <w:p w14:paraId="2A2E13C0" w14:textId="77777777" w:rsidR="00C661B8" w:rsidRDefault="00000000">
      <w:pPr>
        <w:spacing w:after="80" w:line="300" w:lineRule="auto"/>
        <w:ind w:left="720" w:right="360"/>
      </w:pPr>
      <w:r>
        <w:rPr>
          <w:color w:val="444444"/>
          <w:sz w:val="18"/>
          <w:szCs w:val="18"/>
        </w:rPr>
        <w:t xml:space="preserve">Hemp seed as equine feed: approximately $35 per month. Dispensary flower: approximately $6 to $7 per day at the low end, less if grown personally. Range of $1.67 to $16 or more per day </w:t>
      </w:r>
      <w:proofErr w:type="gramStart"/>
      <w:r>
        <w:rPr>
          <w:color w:val="444444"/>
          <w:sz w:val="18"/>
          <w:szCs w:val="18"/>
        </w:rPr>
        <w:t>reflecting</w:t>
      </w:r>
      <w:proofErr w:type="gramEnd"/>
      <w:r>
        <w:rPr>
          <w:color w:val="444444"/>
          <w:sz w:val="18"/>
          <w:szCs w:val="18"/>
        </w:rPr>
        <w:t xml:space="preserve"> genuine market variation. The rest of the diet requires no special </w:t>
      </w:r>
      <w:proofErr w:type="gramStart"/>
      <w:r>
        <w:rPr>
          <w:color w:val="444444"/>
          <w:sz w:val="18"/>
          <w:szCs w:val="18"/>
        </w:rPr>
        <w:t>foods</w:t>
      </w:r>
      <w:proofErr w:type="gramEnd"/>
      <w:r>
        <w:rPr>
          <w:color w:val="444444"/>
          <w:sz w:val="18"/>
          <w:szCs w:val="18"/>
        </w:rPr>
        <w:t>. B12 is the one supplement needed separately.</w:t>
      </w:r>
    </w:p>
    <w:p w14:paraId="44B869F7" w14:textId="7BD03B9F" w:rsidR="00C661B8" w:rsidRDefault="00000000">
      <w:pPr>
        <w:spacing w:before="200" w:after="40"/>
        <w:ind w:left="720"/>
      </w:pPr>
      <w:r>
        <w:rPr>
          <w:i/>
          <w:iCs/>
        </w:rPr>
        <w:t>Growing Your Own</w:t>
      </w:r>
      <w:r>
        <w:rPr>
          <w:rFonts w:ascii="Arial" w:eastAsia="Arial" w:hAnsi="Arial" w:cs="Arial"/>
          <w:color w:val="888888"/>
          <w:sz w:val="20"/>
          <w:szCs w:val="20"/>
        </w:rPr>
        <w:t xml:space="preserve">   [</w:t>
      </w:r>
      <w:r w:rsidR="00A74DFF">
        <w:rPr>
          <w:rFonts w:ascii="Arial" w:eastAsia="Arial" w:hAnsi="Arial" w:cs="Arial"/>
          <w:color w:val="888888"/>
          <w:sz w:val="20"/>
          <w:szCs w:val="20"/>
        </w:rPr>
        <w:t>66</w:t>
      </w:r>
      <w:r>
        <w:rPr>
          <w:rFonts w:ascii="Arial" w:eastAsia="Arial" w:hAnsi="Arial" w:cs="Arial"/>
          <w:color w:val="888888"/>
          <w:sz w:val="20"/>
          <w:szCs w:val="20"/>
        </w:rPr>
        <w:t>]</w:t>
      </w:r>
    </w:p>
    <w:p w14:paraId="71C611ED" w14:textId="77777777" w:rsidR="00C661B8" w:rsidRDefault="00000000">
      <w:pPr>
        <w:spacing w:after="80" w:line="300" w:lineRule="auto"/>
        <w:ind w:left="720" w:right="360"/>
      </w:pPr>
      <w:r>
        <w:rPr>
          <w:color w:val="444444"/>
          <w:sz w:val="18"/>
          <w:szCs w:val="18"/>
        </w:rPr>
        <w:t>Cannabis sativa requires soil, water, and light. Three-to-</w:t>
      </w:r>
      <w:proofErr w:type="gramStart"/>
      <w:r>
        <w:rPr>
          <w:color w:val="444444"/>
          <w:sz w:val="18"/>
          <w:szCs w:val="18"/>
        </w:rPr>
        <w:t>five month</w:t>
      </w:r>
      <w:proofErr w:type="gramEnd"/>
      <w:r>
        <w:rPr>
          <w:color w:val="444444"/>
          <w:sz w:val="18"/>
          <w:szCs w:val="18"/>
        </w:rPr>
        <w:t xml:space="preserve"> seed-to-harvest window. Federally legal for hemp in most states; personal-use Cannabis legal and growing. Reintroducing this plant to a kitchen garden is not a radical act. It is a return to a practice that predates its prohibition by millennia.</w:t>
      </w:r>
    </w:p>
    <w:p w14:paraId="56AAB233" w14:textId="5387794B" w:rsidR="00C661B8" w:rsidRDefault="00000000">
      <w:pPr>
        <w:spacing w:before="240" w:after="60"/>
        <w:ind w:left="360"/>
      </w:pPr>
      <w:r>
        <w:rPr>
          <w:rFonts w:ascii="Arial" w:eastAsia="Arial" w:hAnsi="Arial" w:cs="Arial"/>
          <w:b/>
          <w:bCs/>
        </w:rPr>
        <w:t>Chapter 11 — The Kitchen Pharmacist</w:t>
      </w:r>
      <w:r>
        <w:rPr>
          <w:rFonts w:ascii="Arial" w:eastAsia="Arial" w:hAnsi="Arial" w:cs="Arial"/>
          <w:color w:val="888888"/>
          <w:sz w:val="20"/>
          <w:szCs w:val="20"/>
        </w:rPr>
        <w:t xml:space="preserve">   [</w:t>
      </w:r>
      <w:r w:rsidR="00A74DFF">
        <w:rPr>
          <w:rFonts w:ascii="Arial" w:eastAsia="Arial" w:hAnsi="Arial" w:cs="Arial"/>
          <w:color w:val="888888"/>
          <w:sz w:val="20"/>
          <w:szCs w:val="20"/>
        </w:rPr>
        <w:t>67</w:t>
      </w:r>
      <w:r>
        <w:rPr>
          <w:rFonts w:ascii="Arial" w:eastAsia="Arial" w:hAnsi="Arial" w:cs="Arial"/>
          <w:color w:val="888888"/>
          <w:sz w:val="20"/>
          <w:szCs w:val="20"/>
        </w:rPr>
        <w:t>]</w:t>
      </w:r>
    </w:p>
    <w:p w14:paraId="6D83272A" w14:textId="77777777" w:rsidR="00C661B8" w:rsidRDefault="00000000">
      <w:pPr>
        <w:spacing w:after="160" w:line="320" w:lineRule="auto"/>
        <w:ind w:left="360" w:right="360"/>
      </w:pPr>
      <w:r>
        <w:rPr>
          <w:color w:val="333333"/>
          <w:sz w:val="20"/>
          <w:szCs w:val="20"/>
        </w:rPr>
        <w:t>One rule governs everything: heat above 120°F converts nutritional acidic vitamers into psychoactive forms. Hemp seed is heat-stable and goes in at any cooking temperature. Raw Cannabis goes on after the food stops steaming — if the plate is too hot to eat, it is too hot for the plant material. Chapter 11 also addresses how ECS nutritional sufficiency changes the body's response to heated cannabis over time, provides the sex-stratified daily protocol, explains fat-soluble vitamer absorption, introduces terpenes as functionally relevant flavor guides, and illustrates the daily practice with real meal examples.</w:t>
      </w:r>
    </w:p>
    <w:p w14:paraId="5B8271E3" w14:textId="2E5AAEA7" w:rsidR="00C661B8" w:rsidRDefault="00000000" w:rsidP="00C561CF">
      <w:pPr>
        <w:keepNext/>
        <w:spacing w:before="200" w:after="40"/>
        <w:ind w:left="720"/>
      </w:pPr>
      <w:r>
        <w:rPr>
          <w:i/>
          <w:iCs/>
        </w:rPr>
        <w:lastRenderedPageBreak/>
        <w:t>The Heat Rule</w:t>
      </w:r>
      <w:r>
        <w:rPr>
          <w:rFonts w:ascii="Arial" w:eastAsia="Arial" w:hAnsi="Arial" w:cs="Arial"/>
          <w:color w:val="888888"/>
          <w:sz w:val="20"/>
          <w:szCs w:val="20"/>
        </w:rPr>
        <w:t xml:space="preserve">   [</w:t>
      </w:r>
      <w:r w:rsidR="00CD0A76">
        <w:rPr>
          <w:rFonts w:ascii="Arial" w:eastAsia="Arial" w:hAnsi="Arial" w:cs="Arial"/>
          <w:color w:val="888888"/>
          <w:sz w:val="20"/>
          <w:szCs w:val="20"/>
        </w:rPr>
        <w:t>6</w:t>
      </w:r>
      <w:r w:rsidR="00A74DFF">
        <w:rPr>
          <w:rFonts w:ascii="Arial" w:eastAsia="Arial" w:hAnsi="Arial" w:cs="Arial"/>
          <w:color w:val="888888"/>
          <w:sz w:val="20"/>
          <w:szCs w:val="20"/>
        </w:rPr>
        <w:t>7</w:t>
      </w:r>
      <w:r>
        <w:rPr>
          <w:rFonts w:ascii="Arial" w:eastAsia="Arial" w:hAnsi="Arial" w:cs="Arial"/>
          <w:color w:val="888888"/>
          <w:sz w:val="20"/>
          <w:szCs w:val="20"/>
        </w:rPr>
        <w:t>]</w:t>
      </w:r>
    </w:p>
    <w:p w14:paraId="36580694" w14:textId="77777777" w:rsidR="00C661B8" w:rsidRDefault="00000000">
      <w:pPr>
        <w:spacing w:after="80" w:line="300" w:lineRule="auto"/>
        <w:ind w:left="720" w:right="360"/>
      </w:pPr>
      <w:r>
        <w:rPr>
          <w:color w:val="444444"/>
          <w:sz w:val="18"/>
          <w:szCs w:val="18"/>
        </w:rPr>
        <w:t xml:space="preserve">Above approximately 120°F, THCA, CBDA, and CBGA convert to </w:t>
      </w:r>
      <w:proofErr w:type="gramStart"/>
      <w:r>
        <w:rPr>
          <w:color w:val="444444"/>
          <w:sz w:val="18"/>
          <w:szCs w:val="18"/>
        </w:rPr>
        <w:t>their</w:t>
      </w:r>
      <w:proofErr w:type="gramEnd"/>
      <w:r>
        <w:rPr>
          <w:color w:val="444444"/>
          <w:sz w:val="18"/>
          <w:szCs w:val="18"/>
        </w:rPr>
        <w:t xml:space="preserve"> decarboxylated psychoactive forms. Hemp seed is heat-stable throughout cooking. Raw Cannabis is added like fresh herbs — after the food stops steaming. As ECS nutritional sufficiency builds over weeks, the same quantity of heated cannabis produces progressively milder effects. This is the body working correctly.</w:t>
      </w:r>
    </w:p>
    <w:p w14:paraId="6A0131EE" w14:textId="2B061F56" w:rsidR="00C661B8" w:rsidRDefault="00000000" w:rsidP="00A267FD">
      <w:pPr>
        <w:keepNext/>
        <w:spacing w:before="200" w:after="40"/>
        <w:ind w:left="720"/>
      </w:pPr>
      <w:r>
        <w:rPr>
          <w:i/>
          <w:iCs/>
        </w:rPr>
        <w:t>The Daily Protocol</w:t>
      </w:r>
      <w:r>
        <w:rPr>
          <w:rFonts w:ascii="Arial" w:eastAsia="Arial" w:hAnsi="Arial" w:cs="Arial"/>
          <w:color w:val="888888"/>
          <w:sz w:val="20"/>
          <w:szCs w:val="20"/>
        </w:rPr>
        <w:t xml:space="preserve">   [</w:t>
      </w:r>
      <w:r w:rsidR="00A74DFF">
        <w:rPr>
          <w:rFonts w:ascii="Arial" w:eastAsia="Arial" w:hAnsi="Arial" w:cs="Arial"/>
          <w:color w:val="888888"/>
          <w:sz w:val="20"/>
          <w:szCs w:val="20"/>
        </w:rPr>
        <w:t>68</w:t>
      </w:r>
      <w:r>
        <w:rPr>
          <w:rFonts w:ascii="Arial" w:eastAsia="Arial" w:hAnsi="Arial" w:cs="Arial"/>
          <w:color w:val="888888"/>
          <w:sz w:val="20"/>
          <w:szCs w:val="20"/>
        </w:rPr>
        <w:t>]</w:t>
      </w:r>
    </w:p>
    <w:p w14:paraId="4AE57351" w14:textId="77777777" w:rsidR="00C661B8" w:rsidRDefault="00000000">
      <w:pPr>
        <w:spacing w:after="80" w:line="300" w:lineRule="auto"/>
        <w:ind w:left="720" w:right="360"/>
      </w:pPr>
      <w:r>
        <w:rPr>
          <w:color w:val="444444"/>
          <w:sz w:val="18"/>
          <w:szCs w:val="18"/>
        </w:rPr>
        <w:t>Two tablespoons of hulled hemp seed per meal for women, three for men. One eighth ounce of raw Cannabis per day, crushed and added to cooled food. Consistency matters more than precise timing. Both consumed with dietary fat — the acidic vitamers are fat-soluble and any meal containing fat works as a carrier.</w:t>
      </w:r>
    </w:p>
    <w:p w14:paraId="5F85CDEE" w14:textId="40978D3A" w:rsidR="00C661B8" w:rsidRDefault="00000000">
      <w:pPr>
        <w:spacing w:before="200" w:after="40"/>
        <w:ind w:left="720"/>
      </w:pPr>
      <w:r>
        <w:rPr>
          <w:i/>
          <w:iCs/>
        </w:rPr>
        <w:t>Terpenes for Taste</w:t>
      </w:r>
      <w:r>
        <w:rPr>
          <w:rFonts w:ascii="Arial" w:eastAsia="Arial" w:hAnsi="Arial" w:cs="Arial"/>
          <w:color w:val="888888"/>
          <w:sz w:val="20"/>
          <w:szCs w:val="20"/>
        </w:rPr>
        <w:t xml:space="preserve">   [</w:t>
      </w:r>
      <w:r w:rsidR="00CD0A76">
        <w:rPr>
          <w:rFonts w:ascii="Arial" w:eastAsia="Arial" w:hAnsi="Arial" w:cs="Arial"/>
          <w:color w:val="888888"/>
          <w:sz w:val="20"/>
          <w:szCs w:val="20"/>
        </w:rPr>
        <w:t>6</w:t>
      </w:r>
      <w:r w:rsidR="00A74DFF">
        <w:rPr>
          <w:rFonts w:ascii="Arial" w:eastAsia="Arial" w:hAnsi="Arial" w:cs="Arial"/>
          <w:color w:val="888888"/>
          <w:sz w:val="20"/>
          <w:szCs w:val="20"/>
        </w:rPr>
        <w:t>8</w:t>
      </w:r>
      <w:r>
        <w:rPr>
          <w:rFonts w:ascii="Arial" w:eastAsia="Arial" w:hAnsi="Arial" w:cs="Arial"/>
          <w:color w:val="888888"/>
          <w:sz w:val="20"/>
          <w:szCs w:val="20"/>
        </w:rPr>
        <w:t>]</w:t>
      </w:r>
    </w:p>
    <w:p w14:paraId="2B3A05B2" w14:textId="77777777" w:rsidR="00C661B8" w:rsidRDefault="00000000">
      <w:pPr>
        <w:spacing w:after="80" w:line="300" w:lineRule="auto"/>
        <w:ind w:left="720" w:right="360"/>
      </w:pPr>
      <w:r>
        <w:rPr>
          <w:color w:val="444444"/>
          <w:sz w:val="18"/>
          <w:szCs w:val="18"/>
        </w:rPr>
        <w:t xml:space="preserve">Cannabis terpenes are not only flavor compounds — beta-caryophyllene is a direct CB2 agonist. Indica-profile terpenes support evening wind-down; citrus profiles pair with morning meals. </w:t>
      </w:r>
      <w:proofErr w:type="gramStart"/>
      <w:r>
        <w:rPr>
          <w:color w:val="444444"/>
          <w:sz w:val="18"/>
          <w:szCs w:val="18"/>
        </w:rPr>
        <w:t>Variety selection</w:t>
      </w:r>
      <w:proofErr w:type="gramEnd"/>
      <w:r>
        <w:rPr>
          <w:color w:val="444444"/>
          <w:sz w:val="18"/>
          <w:szCs w:val="18"/>
        </w:rPr>
        <w:t xml:space="preserve"> by terpene profile is a real, functional choice. The terpene differences are real, and learning your own responses is part of developing a working relationship with the plant.</w:t>
      </w:r>
    </w:p>
    <w:p w14:paraId="6BF93628" w14:textId="7122987D" w:rsidR="00C661B8" w:rsidRDefault="00000000" w:rsidP="00A74DFF">
      <w:pPr>
        <w:keepNext/>
        <w:spacing w:before="200" w:after="40"/>
        <w:ind w:left="720"/>
      </w:pPr>
      <w:r>
        <w:rPr>
          <w:i/>
          <w:iCs/>
        </w:rPr>
        <w:t>A Day in the Kitchen</w:t>
      </w:r>
      <w:r>
        <w:rPr>
          <w:rFonts w:ascii="Arial" w:eastAsia="Arial" w:hAnsi="Arial" w:cs="Arial"/>
          <w:color w:val="888888"/>
          <w:sz w:val="20"/>
          <w:szCs w:val="20"/>
        </w:rPr>
        <w:t xml:space="preserve">   [</w:t>
      </w:r>
      <w:r w:rsidR="00CD0A76">
        <w:rPr>
          <w:rFonts w:ascii="Arial" w:eastAsia="Arial" w:hAnsi="Arial" w:cs="Arial"/>
          <w:color w:val="888888"/>
          <w:sz w:val="20"/>
          <w:szCs w:val="20"/>
        </w:rPr>
        <w:t>6</w:t>
      </w:r>
      <w:r w:rsidR="00A74DFF">
        <w:rPr>
          <w:rFonts w:ascii="Arial" w:eastAsia="Arial" w:hAnsi="Arial" w:cs="Arial"/>
          <w:color w:val="888888"/>
          <w:sz w:val="20"/>
          <w:szCs w:val="20"/>
        </w:rPr>
        <w:t>9</w:t>
      </w:r>
      <w:r>
        <w:rPr>
          <w:rFonts w:ascii="Arial" w:eastAsia="Arial" w:hAnsi="Arial" w:cs="Arial"/>
          <w:color w:val="888888"/>
          <w:sz w:val="20"/>
          <w:szCs w:val="20"/>
        </w:rPr>
        <w:t>]</w:t>
      </w:r>
    </w:p>
    <w:p w14:paraId="529F9B16" w14:textId="77777777" w:rsidR="00C661B8" w:rsidRDefault="00000000">
      <w:pPr>
        <w:spacing w:after="80" w:line="300" w:lineRule="auto"/>
        <w:ind w:left="720" w:right="360"/>
      </w:pPr>
      <w:r>
        <w:rPr>
          <w:color w:val="444444"/>
          <w:sz w:val="18"/>
          <w:szCs w:val="18"/>
        </w:rPr>
        <w:t xml:space="preserve">Two real meal examples from daily life on this mountain — not curated wellness examples. The point is that it is </w:t>
      </w:r>
      <w:proofErr w:type="gramStart"/>
      <w:r>
        <w:rPr>
          <w:color w:val="444444"/>
          <w:sz w:val="18"/>
          <w:szCs w:val="18"/>
        </w:rPr>
        <w:t>this simple</w:t>
      </w:r>
      <w:proofErr w:type="gramEnd"/>
      <w:r>
        <w:rPr>
          <w:color w:val="444444"/>
          <w:sz w:val="18"/>
          <w:szCs w:val="18"/>
        </w:rPr>
        <w:t>.</w:t>
      </w:r>
    </w:p>
    <w:p w14:paraId="500D6CE3" w14:textId="37435315" w:rsidR="00C661B8" w:rsidRDefault="00000000">
      <w:pPr>
        <w:spacing w:before="100" w:after="20"/>
        <w:ind w:left="1080"/>
      </w:pPr>
      <w:r>
        <w:rPr>
          <w:i/>
          <w:iCs/>
          <w:color w:val="555555"/>
          <w:sz w:val="20"/>
          <w:szCs w:val="20"/>
        </w:rPr>
        <w:t>Breakfast: Steel-cut oats and a fruit smoothie</w:t>
      </w:r>
      <w:r>
        <w:rPr>
          <w:rFonts w:ascii="Arial" w:eastAsia="Arial" w:hAnsi="Arial" w:cs="Arial"/>
          <w:color w:val="AAAAAA"/>
          <w:sz w:val="18"/>
          <w:szCs w:val="18"/>
        </w:rPr>
        <w:t xml:space="preserve">   [</w:t>
      </w:r>
      <w:r w:rsidR="00A74DFF">
        <w:rPr>
          <w:rFonts w:ascii="Arial" w:eastAsia="Arial" w:hAnsi="Arial" w:cs="Arial"/>
          <w:color w:val="AAAAAA"/>
          <w:sz w:val="18"/>
          <w:szCs w:val="18"/>
        </w:rPr>
        <w:t>69</w:t>
      </w:r>
      <w:r>
        <w:rPr>
          <w:rFonts w:ascii="Arial" w:eastAsia="Arial" w:hAnsi="Arial" w:cs="Arial"/>
          <w:color w:val="AAAAAA"/>
          <w:sz w:val="18"/>
          <w:szCs w:val="18"/>
        </w:rPr>
        <w:t>]</w:t>
      </w:r>
    </w:p>
    <w:p w14:paraId="2E172EC3" w14:textId="308A66B9" w:rsidR="00C661B8" w:rsidRDefault="00000000">
      <w:pPr>
        <w:spacing w:before="100" w:after="20"/>
        <w:ind w:left="1080"/>
      </w:pPr>
      <w:r>
        <w:rPr>
          <w:i/>
          <w:iCs/>
          <w:color w:val="555555"/>
          <w:sz w:val="20"/>
          <w:szCs w:val="20"/>
        </w:rPr>
        <w:t xml:space="preserve">Lunch or dinner: </w:t>
      </w:r>
      <w:r w:rsidR="003C2323">
        <w:rPr>
          <w:i/>
          <w:iCs/>
          <w:color w:val="555555"/>
          <w:sz w:val="20"/>
          <w:szCs w:val="20"/>
        </w:rPr>
        <w:t>Lemon-pepper cheesy chicken macaroni</w:t>
      </w:r>
      <w:r>
        <w:rPr>
          <w:rFonts w:ascii="Arial" w:eastAsia="Arial" w:hAnsi="Arial" w:cs="Arial"/>
          <w:color w:val="AAAAAA"/>
          <w:sz w:val="18"/>
          <w:szCs w:val="18"/>
        </w:rPr>
        <w:t xml:space="preserve">   [</w:t>
      </w:r>
      <w:r w:rsidR="00A74DFF">
        <w:rPr>
          <w:rFonts w:ascii="Arial" w:eastAsia="Arial" w:hAnsi="Arial" w:cs="Arial"/>
          <w:color w:val="AAAAAA"/>
          <w:sz w:val="18"/>
          <w:szCs w:val="18"/>
        </w:rPr>
        <w:t>69</w:t>
      </w:r>
      <w:r>
        <w:rPr>
          <w:rFonts w:ascii="Arial" w:eastAsia="Arial" w:hAnsi="Arial" w:cs="Arial"/>
          <w:color w:val="AAAAAA"/>
          <w:sz w:val="18"/>
          <w:szCs w:val="18"/>
        </w:rPr>
        <w:t>]</w:t>
      </w:r>
    </w:p>
    <w:p w14:paraId="4A69B0B4" w14:textId="3376D62B" w:rsidR="00C661B8" w:rsidRDefault="00000000">
      <w:pPr>
        <w:spacing w:before="240" w:after="60"/>
        <w:ind w:left="360"/>
      </w:pPr>
      <w:r>
        <w:rPr>
          <w:rFonts w:ascii="Arial" w:eastAsia="Arial" w:hAnsi="Arial" w:cs="Arial"/>
          <w:b/>
          <w:bCs/>
        </w:rPr>
        <w:t>Chapter 12 — The Troubleshooting Guide</w:t>
      </w:r>
      <w:r>
        <w:rPr>
          <w:rFonts w:ascii="Arial" w:eastAsia="Arial" w:hAnsi="Arial" w:cs="Arial"/>
          <w:color w:val="888888"/>
          <w:sz w:val="20"/>
          <w:szCs w:val="20"/>
        </w:rPr>
        <w:t xml:space="preserve">   [</w:t>
      </w:r>
      <w:r w:rsidR="00A74DFF">
        <w:rPr>
          <w:rFonts w:ascii="Arial" w:eastAsia="Arial" w:hAnsi="Arial" w:cs="Arial"/>
          <w:color w:val="888888"/>
          <w:sz w:val="20"/>
          <w:szCs w:val="20"/>
        </w:rPr>
        <w:t>71</w:t>
      </w:r>
      <w:r>
        <w:rPr>
          <w:rFonts w:ascii="Arial" w:eastAsia="Arial" w:hAnsi="Arial" w:cs="Arial"/>
          <w:color w:val="888888"/>
          <w:sz w:val="20"/>
          <w:szCs w:val="20"/>
        </w:rPr>
        <w:t>]</w:t>
      </w:r>
    </w:p>
    <w:p w14:paraId="53ACB644" w14:textId="77777777" w:rsidR="00C661B8" w:rsidRDefault="00000000">
      <w:pPr>
        <w:spacing w:after="160" w:line="320" w:lineRule="auto"/>
        <w:ind w:left="360" w:right="360"/>
      </w:pPr>
      <w:r>
        <w:rPr>
          <w:color w:val="333333"/>
          <w:sz w:val="20"/>
          <w:szCs w:val="20"/>
        </w:rPr>
        <w:t>The final chapter applies the ECS nutritional model to seven common presentations of ECS deficiency, organized across three explicit failure-mode categories: systemic low tone, domain-specific tissue failure, and sex-stratified axis disruption. For each condition: the specific ECS disruption, the nutritional correction, and the integrated outcome. This is a starting point, not a clinical protocol — sufficient to begin forming a mindset around how to leverage the Cannabis plant and a fueled ECS for control of one's health and wellness.</w:t>
      </w:r>
    </w:p>
    <w:p w14:paraId="23D9367B" w14:textId="432B5415" w:rsidR="00C661B8" w:rsidRDefault="00000000">
      <w:pPr>
        <w:spacing w:before="200" w:after="40"/>
        <w:ind w:left="720"/>
      </w:pPr>
      <w:r>
        <w:rPr>
          <w:i/>
          <w:iCs/>
        </w:rPr>
        <w:t>Chronic Pain and Inflammation</w:t>
      </w:r>
      <w:r>
        <w:rPr>
          <w:rFonts w:ascii="Arial" w:eastAsia="Arial" w:hAnsi="Arial" w:cs="Arial"/>
          <w:color w:val="888888"/>
          <w:sz w:val="20"/>
          <w:szCs w:val="20"/>
        </w:rPr>
        <w:t xml:space="preserve">   [</w:t>
      </w:r>
      <w:r w:rsidR="00A74DFF">
        <w:rPr>
          <w:rFonts w:ascii="Arial" w:eastAsia="Arial" w:hAnsi="Arial" w:cs="Arial"/>
          <w:color w:val="888888"/>
          <w:sz w:val="20"/>
          <w:szCs w:val="20"/>
        </w:rPr>
        <w:t>71</w:t>
      </w:r>
      <w:r>
        <w:rPr>
          <w:rFonts w:ascii="Arial" w:eastAsia="Arial" w:hAnsi="Arial" w:cs="Arial"/>
          <w:color w:val="888888"/>
          <w:sz w:val="20"/>
          <w:szCs w:val="20"/>
        </w:rPr>
        <w:t>]</w:t>
      </w:r>
    </w:p>
    <w:p w14:paraId="5F0BD61D" w14:textId="77777777" w:rsidR="00C661B8" w:rsidRDefault="00000000">
      <w:pPr>
        <w:spacing w:after="80" w:line="300" w:lineRule="auto"/>
        <w:ind w:left="720" w:right="360"/>
      </w:pPr>
      <w:r>
        <w:rPr>
          <w:color w:val="444444"/>
          <w:sz w:val="18"/>
          <w:szCs w:val="18"/>
        </w:rPr>
        <w:t>CB1 downregulation plus FAAH overactivity depletes anandamide. CBDA modulates FAAH; hemp seed's LA:ALA ratio rebuilds the membrane precursor pool; beta-caryophyllene engages CB2 in peripheral tissues to reduce the inflammatory signaling FAAH overactivity fails to suppress.</w:t>
      </w:r>
    </w:p>
    <w:p w14:paraId="6421F0A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Russo (2008) Therapeutics and Clinical Risk Management 4(1); Di Marzo et al. (2001) Nature 410(6830)</w:t>
      </w:r>
    </w:p>
    <w:p w14:paraId="051AE409" w14:textId="31E27E29" w:rsidR="00C661B8" w:rsidRDefault="00000000">
      <w:pPr>
        <w:spacing w:before="200" w:after="40"/>
        <w:ind w:left="720"/>
      </w:pPr>
      <w:r>
        <w:rPr>
          <w:i/>
          <w:iCs/>
        </w:rPr>
        <w:t>Migraines and Vascular Dysregulation</w:t>
      </w:r>
      <w:r>
        <w:rPr>
          <w:rFonts w:ascii="Arial" w:eastAsia="Arial" w:hAnsi="Arial" w:cs="Arial"/>
          <w:color w:val="888888"/>
          <w:sz w:val="20"/>
          <w:szCs w:val="20"/>
        </w:rPr>
        <w:t xml:space="preserve">   [</w:t>
      </w:r>
      <w:r w:rsidR="00A74DFF">
        <w:rPr>
          <w:rFonts w:ascii="Arial" w:eastAsia="Arial" w:hAnsi="Arial" w:cs="Arial"/>
          <w:color w:val="888888"/>
          <w:sz w:val="20"/>
          <w:szCs w:val="20"/>
        </w:rPr>
        <w:t>72</w:t>
      </w:r>
      <w:r>
        <w:rPr>
          <w:rFonts w:ascii="Arial" w:eastAsia="Arial" w:hAnsi="Arial" w:cs="Arial"/>
          <w:color w:val="888888"/>
          <w:sz w:val="20"/>
          <w:szCs w:val="20"/>
        </w:rPr>
        <w:t>]</w:t>
      </w:r>
    </w:p>
    <w:p w14:paraId="73AACFCF" w14:textId="77777777" w:rsidR="00C661B8" w:rsidRDefault="00000000">
      <w:pPr>
        <w:spacing w:after="80" w:line="300" w:lineRule="auto"/>
        <w:ind w:left="720" w:right="360"/>
      </w:pPr>
      <w:r>
        <w:rPr>
          <w:color w:val="444444"/>
          <w:sz w:val="18"/>
          <w:szCs w:val="18"/>
        </w:rPr>
        <w:t xml:space="preserve">Anandamide deficiency disrupts TRP channel regulation and nitric oxide signaling. THCA stabilizes TRP channel activity; </w:t>
      </w:r>
      <w:proofErr w:type="spellStart"/>
      <w:r>
        <w:rPr>
          <w:color w:val="444444"/>
          <w:sz w:val="18"/>
          <w:szCs w:val="18"/>
        </w:rPr>
        <w:t>edestin</w:t>
      </w:r>
      <w:proofErr w:type="spellEnd"/>
      <w:r>
        <w:rPr>
          <w:color w:val="444444"/>
          <w:sz w:val="18"/>
          <w:szCs w:val="18"/>
        </w:rPr>
        <w:t>-derived L-arginine supplies the nitric oxide substrate; magnesium stabilizes the vascular feedback loop and is independently associated with migraine frequency reduction.</w:t>
      </w:r>
    </w:p>
    <w:p w14:paraId="7AF32E48"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 xml:space="preserve">Russo (2016) Cannabis and Cannabinoid Research 1(1); </w:t>
      </w:r>
      <w:proofErr w:type="spellStart"/>
      <w:r>
        <w:rPr>
          <w:i/>
          <w:iCs/>
          <w:color w:val="888888"/>
          <w:sz w:val="18"/>
          <w:szCs w:val="18"/>
        </w:rPr>
        <w:t>Mauskop</w:t>
      </w:r>
      <w:proofErr w:type="spellEnd"/>
      <w:r>
        <w:rPr>
          <w:i/>
          <w:iCs/>
          <w:color w:val="888888"/>
          <w:sz w:val="18"/>
          <w:szCs w:val="18"/>
        </w:rPr>
        <w:t xml:space="preserve"> &amp; Altura (1998) Clinical Neuroscience Research</w:t>
      </w:r>
    </w:p>
    <w:p w14:paraId="5E438A8C" w14:textId="62B10AA4" w:rsidR="00C661B8" w:rsidRDefault="00000000" w:rsidP="00C561CF">
      <w:pPr>
        <w:keepNext/>
        <w:spacing w:before="200" w:after="40"/>
        <w:ind w:left="720"/>
      </w:pPr>
      <w:r>
        <w:rPr>
          <w:i/>
          <w:iCs/>
        </w:rPr>
        <w:lastRenderedPageBreak/>
        <w:t>Anxiety, Stress, and Sleep Disruption</w:t>
      </w:r>
      <w:r>
        <w:rPr>
          <w:rFonts w:ascii="Arial" w:eastAsia="Arial" w:hAnsi="Arial" w:cs="Arial"/>
          <w:color w:val="888888"/>
          <w:sz w:val="20"/>
          <w:szCs w:val="20"/>
        </w:rPr>
        <w:t xml:space="preserve">   [</w:t>
      </w:r>
      <w:r w:rsidR="00A74DFF">
        <w:rPr>
          <w:rFonts w:ascii="Arial" w:eastAsia="Arial" w:hAnsi="Arial" w:cs="Arial"/>
          <w:color w:val="888888"/>
          <w:sz w:val="20"/>
          <w:szCs w:val="20"/>
        </w:rPr>
        <w:t>72</w:t>
      </w:r>
      <w:r>
        <w:rPr>
          <w:rFonts w:ascii="Arial" w:eastAsia="Arial" w:hAnsi="Arial" w:cs="Arial"/>
          <w:color w:val="888888"/>
          <w:sz w:val="20"/>
          <w:szCs w:val="20"/>
        </w:rPr>
        <w:t>]</w:t>
      </w:r>
    </w:p>
    <w:p w14:paraId="60270994" w14:textId="77777777" w:rsidR="00C661B8" w:rsidRDefault="00000000">
      <w:pPr>
        <w:spacing w:after="80" w:line="300" w:lineRule="auto"/>
        <w:ind w:left="720" w:right="360"/>
      </w:pPr>
      <w:r>
        <w:rPr>
          <w:color w:val="444444"/>
          <w:sz w:val="18"/>
          <w:szCs w:val="18"/>
        </w:rPr>
        <w:t>CB1 downregulation plus excess MAGL activity clears 2-AG before it can buffer the cortisol response. The complete protocol addresses all failure points simultaneously: magnesium for morning anandamide synthesis, CBDA for FAAH modulation under stress, zinc for the evening 2-AG peak, hemp seed omega-3s for CB1 membrane fluidity.</w:t>
      </w:r>
    </w:p>
    <w:p w14:paraId="54A7621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Hill et al. (2010) Neuroscience &amp; Biobehavioral Reviews; Lutz et al. (2015) Nature Reviews Neuroscience 16(12)</w:t>
      </w:r>
    </w:p>
    <w:p w14:paraId="346BA2DD" w14:textId="7A7ECAAF" w:rsidR="00C661B8" w:rsidRDefault="00000000">
      <w:pPr>
        <w:spacing w:before="200" w:after="40"/>
        <w:ind w:left="720"/>
      </w:pPr>
      <w:r>
        <w:rPr>
          <w:i/>
          <w:iCs/>
        </w:rPr>
        <w:t>Gut Dysregulation</w:t>
      </w:r>
      <w:r>
        <w:rPr>
          <w:rFonts w:ascii="Arial" w:eastAsia="Arial" w:hAnsi="Arial" w:cs="Arial"/>
          <w:color w:val="888888"/>
          <w:sz w:val="20"/>
          <w:szCs w:val="20"/>
        </w:rPr>
        <w:t xml:space="preserve">   [</w:t>
      </w:r>
      <w:r w:rsidR="00A74DFF">
        <w:rPr>
          <w:rFonts w:ascii="Arial" w:eastAsia="Arial" w:hAnsi="Arial" w:cs="Arial"/>
          <w:color w:val="888888"/>
          <w:sz w:val="20"/>
          <w:szCs w:val="20"/>
        </w:rPr>
        <w:t>73</w:t>
      </w:r>
      <w:r>
        <w:rPr>
          <w:rFonts w:ascii="Arial" w:eastAsia="Arial" w:hAnsi="Arial" w:cs="Arial"/>
          <w:color w:val="888888"/>
          <w:sz w:val="20"/>
          <w:szCs w:val="20"/>
        </w:rPr>
        <w:t>]</w:t>
      </w:r>
    </w:p>
    <w:p w14:paraId="2053D832" w14:textId="77777777" w:rsidR="00C661B8" w:rsidRDefault="00000000">
      <w:pPr>
        <w:spacing w:after="80" w:line="300" w:lineRule="auto"/>
        <w:ind w:left="720" w:right="360"/>
      </w:pPr>
      <w:r>
        <w:rPr>
          <w:color w:val="444444"/>
          <w:sz w:val="18"/>
          <w:szCs w:val="18"/>
        </w:rPr>
        <w:t>Impaired CB1 and CB2 signaling in the gut lining loosens tight junctions and disrupts gut-brain communication. GLA from hemp seed bypasses delta-6-desaturase to deliver immediate anti-inflammatory support; enterohepatic recycling provides sustained CB1/CB2 signaling; hemp seed's prebiotic fiber supports the microbiome ecology required for that recycling.</w:t>
      </w:r>
    </w:p>
    <w:p w14:paraId="4B99BCD2"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 xml:space="preserve">Di Marzo &amp; Izzo (2006) Gut 55(8); Massa &amp; </w:t>
      </w:r>
      <w:proofErr w:type="spellStart"/>
      <w:r>
        <w:rPr>
          <w:i/>
          <w:iCs/>
          <w:color w:val="888888"/>
          <w:sz w:val="18"/>
          <w:szCs w:val="18"/>
        </w:rPr>
        <w:t>Monory</w:t>
      </w:r>
      <w:proofErr w:type="spellEnd"/>
      <w:r>
        <w:rPr>
          <w:i/>
          <w:iCs/>
          <w:color w:val="888888"/>
          <w:sz w:val="18"/>
          <w:szCs w:val="18"/>
        </w:rPr>
        <w:t xml:space="preserve"> (2006) Current Pharmaceutical Design 12(12)</w:t>
      </w:r>
    </w:p>
    <w:p w14:paraId="63EDA924" w14:textId="011C2B10" w:rsidR="00C661B8" w:rsidRDefault="00000000" w:rsidP="00A74DFF">
      <w:pPr>
        <w:keepNext/>
        <w:spacing w:before="200" w:after="40"/>
        <w:ind w:left="720"/>
      </w:pPr>
      <w:r>
        <w:rPr>
          <w:i/>
          <w:iCs/>
        </w:rPr>
        <w:t>Glaucoma and Ocular Pressure Dysregulation</w:t>
      </w:r>
      <w:r>
        <w:rPr>
          <w:rFonts w:ascii="Arial" w:eastAsia="Arial" w:hAnsi="Arial" w:cs="Arial"/>
          <w:color w:val="888888"/>
          <w:sz w:val="20"/>
          <w:szCs w:val="20"/>
        </w:rPr>
        <w:t xml:space="preserve">   [</w:t>
      </w:r>
      <w:r w:rsidR="00A74DFF">
        <w:rPr>
          <w:rFonts w:ascii="Arial" w:eastAsia="Arial" w:hAnsi="Arial" w:cs="Arial"/>
          <w:color w:val="888888"/>
          <w:sz w:val="20"/>
          <w:szCs w:val="20"/>
        </w:rPr>
        <w:t>73</w:t>
      </w:r>
      <w:r>
        <w:rPr>
          <w:rFonts w:ascii="Arial" w:eastAsia="Arial" w:hAnsi="Arial" w:cs="Arial"/>
          <w:color w:val="888888"/>
          <w:sz w:val="20"/>
          <w:szCs w:val="20"/>
        </w:rPr>
        <w:t>]</w:t>
      </w:r>
    </w:p>
    <w:p w14:paraId="2F7EB6A7" w14:textId="77777777" w:rsidR="00C661B8" w:rsidRDefault="00000000">
      <w:pPr>
        <w:spacing w:after="80" w:line="300" w:lineRule="auto"/>
        <w:ind w:left="720" w:right="360"/>
      </w:pPr>
      <w:r>
        <w:rPr>
          <w:color w:val="444444"/>
          <w:sz w:val="18"/>
          <w:szCs w:val="18"/>
        </w:rPr>
        <w:t>Domain-specific ECS failure: CB1 and CB2 receptors throughout the trabecular meshwork, ciliary body, and retinal ganglion cells govern intraocular pressure and neuroprotection. When local substrate pools are depleted, pressure builds unchecked and retinal ganglion cells lose excitotoxic protection. Hemp seed's LA:ALA ratio maintains membrane fluidity for peripheral receptor conformation; CBDA modulates FAAH in ocular tissue, preserving local anandamide tone. The two mechanisms address the two failure modes simultaneously — pressure regulation and neuroprotection.</w:t>
      </w:r>
    </w:p>
    <w:p w14:paraId="2B31DFB7" w14:textId="2D9DBB07" w:rsidR="00C661B8" w:rsidRDefault="00000000">
      <w:pPr>
        <w:spacing w:before="200" w:after="40"/>
        <w:ind w:left="720"/>
      </w:pPr>
      <w:r>
        <w:rPr>
          <w:i/>
          <w:iCs/>
        </w:rPr>
        <w:t>Dysmenorrhea and Uterine Smooth Muscle Dysregulation</w:t>
      </w:r>
      <w:r>
        <w:rPr>
          <w:rFonts w:ascii="Arial" w:eastAsia="Arial" w:hAnsi="Arial" w:cs="Arial"/>
          <w:color w:val="888888"/>
          <w:sz w:val="20"/>
          <w:szCs w:val="20"/>
        </w:rPr>
        <w:t xml:space="preserve">   [</w:t>
      </w:r>
      <w:r w:rsidR="00A74DFF">
        <w:rPr>
          <w:rFonts w:ascii="Arial" w:eastAsia="Arial" w:hAnsi="Arial" w:cs="Arial"/>
          <w:color w:val="888888"/>
          <w:sz w:val="20"/>
          <w:szCs w:val="20"/>
        </w:rPr>
        <w:t>74</w:t>
      </w:r>
      <w:r>
        <w:rPr>
          <w:rFonts w:ascii="Arial" w:eastAsia="Arial" w:hAnsi="Arial" w:cs="Arial"/>
          <w:color w:val="888888"/>
          <w:sz w:val="20"/>
          <w:szCs w:val="20"/>
        </w:rPr>
        <w:t>]</w:t>
      </w:r>
    </w:p>
    <w:p w14:paraId="3360280D" w14:textId="77777777" w:rsidR="00C661B8" w:rsidRDefault="00000000">
      <w:pPr>
        <w:spacing w:after="80" w:line="300" w:lineRule="auto"/>
        <w:ind w:left="720" w:right="360"/>
      </w:pPr>
      <w:r>
        <w:rPr>
          <w:color w:val="444444"/>
          <w:sz w:val="18"/>
          <w:szCs w:val="18"/>
        </w:rPr>
        <w:t>Sex-stratified axis disruption: estradiol amplifies ECS receptor density in uterine tissue. When baseline ECS tone is nutritionally deficient, the pathway shunts toward the arachidonic acid cascade rather than the PGE1 anti-inflammatory route, producing severe cramping. GLA from hemp seed bypasses delta-6-desaturase; magnesium and zinc restore enzymatic function; CBDA suppresses COX-2 activity. When all three inputs are present, the pathway shunts back toward PGE1 production and symptoms resolve at their biochemical source.</w:t>
      </w:r>
    </w:p>
    <w:p w14:paraId="0AED59E3"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 xml:space="preserve">Horrobin (1993) Progress in Lipid Research 32(3); </w:t>
      </w:r>
      <w:proofErr w:type="spellStart"/>
      <w:r>
        <w:rPr>
          <w:i/>
          <w:iCs/>
          <w:color w:val="888888"/>
          <w:sz w:val="18"/>
          <w:szCs w:val="18"/>
        </w:rPr>
        <w:t>Borgonetti</w:t>
      </w:r>
      <w:proofErr w:type="spellEnd"/>
      <w:r>
        <w:rPr>
          <w:i/>
          <w:iCs/>
          <w:color w:val="888888"/>
          <w:sz w:val="18"/>
          <w:szCs w:val="18"/>
        </w:rPr>
        <w:t xml:space="preserve"> et al. (2023) Neuropharmacology 225</w:t>
      </w:r>
    </w:p>
    <w:p w14:paraId="4E9E00CD" w14:textId="3249F966" w:rsidR="00C661B8" w:rsidRDefault="00000000">
      <w:pPr>
        <w:spacing w:before="200" w:after="40"/>
        <w:ind w:left="720"/>
      </w:pPr>
      <w:r>
        <w:rPr>
          <w:i/>
          <w:iCs/>
        </w:rPr>
        <w:t>Nerve Regeneration and Scar Tissue Suppression</w:t>
      </w:r>
      <w:r>
        <w:rPr>
          <w:rFonts w:ascii="Arial" w:eastAsia="Arial" w:hAnsi="Arial" w:cs="Arial"/>
          <w:color w:val="888888"/>
          <w:sz w:val="20"/>
          <w:szCs w:val="20"/>
        </w:rPr>
        <w:t xml:space="preserve">   [</w:t>
      </w:r>
      <w:r w:rsidR="00CD0A76">
        <w:rPr>
          <w:rFonts w:ascii="Arial" w:eastAsia="Arial" w:hAnsi="Arial" w:cs="Arial"/>
          <w:color w:val="888888"/>
          <w:sz w:val="20"/>
          <w:szCs w:val="20"/>
        </w:rPr>
        <w:t>7</w:t>
      </w:r>
      <w:r w:rsidR="00A74DFF">
        <w:rPr>
          <w:rFonts w:ascii="Arial" w:eastAsia="Arial" w:hAnsi="Arial" w:cs="Arial"/>
          <w:color w:val="888888"/>
          <w:sz w:val="20"/>
          <w:szCs w:val="20"/>
        </w:rPr>
        <w:t>5</w:t>
      </w:r>
      <w:r>
        <w:rPr>
          <w:rFonts w:ascii="Arial" w:eastAsia="Arial" w:hAnsi="Arial" w:cs="Arial"/>
          <w:color w:val="888888"/>
          <w:sz w:val="20"/>
          <w:szCs w:val="20"/>
        </w:rPr>
        <w:t>]</w:t>
      </w:r>
    </w:p>
    <w:p w14:paraId="1E91A02D" w14:textId="77777777" w:rsidR="00C661B8" w:rsidRDefault="00000000">
      <w:pPr>
        <w:spacing w:after="80" w:line="300" w:lineRule="auto"/>
        <w:ind w:left="720" w:right="360"/>
      </w:pPr>
      <w:r>
        <w:rPr>
          <w:color w:val="444444"/>
          <w:sz w:val="18"/>
          <w:szCs w:val="18"/>
        </w:rPr>
        <w:t>When CB2 tone is chronically insufficient, the nervous system loses remyelination capacity and defaults to fibrotic scar formation rather than functional tissue repair. Three mechanisms correct this: CBG from raw Cannabis activates CB2 to initiate Schwann cell recruitment for remyelination; CBDA and CBD upregulate BDNF and NGF for nerve repair and extension; hemp seed's LA:ALA ratio provides the lipid substrate for myelin sheath reconstruction. TGF-beta inhibition via restored CB2 and PPAR-gamma signaling actively suppresses the fibrotic response. This entry is not theoretical — it is the mechanism documented in the Prologue.</w:t>
      </w:r>
    </w:p>
    <w:p w14:paraId="53BAA0CF"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proofErr w:type="spellStart"/>
      <w:r>
        <w:rPr>
          <w:i/>
          <w:iCs/>
          <w:color w:val="888888"/>
          <w:sz w:val="18"/>
          <w:szCs w:val="18"/>
        </w:rPr>
        <w:t>Nachnani</w:t>
      </w:r>
      <w:proofErr w:type="spellEnd"/>
      <w:r>
        <w:rPr>
          <w:i/>
          <w:iCs/>
          <w:color w:val="888888"/>
          <w:sz w:val="18"/>
          <w:szCs w:val="18"/>
        </w:rPr>
        <w:t xml:space="preserve"> et al. (2021) Cannabis and Cannabinoid Research 6(5); </w:t>
      </w:r>
      <w:proofErr w:type="spellStart"/>
      <w:r>
        <w:rPr>
          <w:i/>
          <w:iCs/>
          <w:color w:val="888888"/>
          <w:sz w:val="18"/>
          <w:szCs w:val="18"/>
        </w:rPr>
        <w:t>Borgonetti</w:t>
      </w:r>
      <w:proofErr w:type="spellEnd"/>
      <w:r>
        <w:rPr>
          <w:i/>
          <w:iCs/>
          <w:color w:val="888888"/>
          <w:sz w:val="18"/>
          <w:szCs w:val="18"/>
        </w:rPr>
        <w:t xml:space="preserve"> et al. (2023) Neuropharmacology 225; Campos et al. (2016) Molecular Neurobiology 53(5); Kaikkonen et al. (2022) Journal of Neuroinflammation 19(1)</w:t>
      </w:r>
    </w:p>
    <w:p w14:paraId="39B80376" w14:textId="77777777" w:rsidR="00C661B8" w:rsidRDefault="00000000" w:rsidP="002D249E">
      <w:pPr>
        <w:spacing w:before="120" w:after="120"/>
        <w:jc w:val="center"/>
      </w:pPr>
      <w:r>
        <w:rPr>
          <w:color w:val="CCCCCC"/>
          <w:sz w:val="20"/>
          <w:szCs w:val="20"/>
        </w:rPr>
        <w:t>― ― ―</w:t>
      </w:r>
    </w:p>
    <w:p w14:paraId="63698CAC" w14:textId="6F5BDE46" w:rsidR="00C661B8" w:rsidRDefault="00000000" w:rsidP="008564A9">
      <w:pPr>
        <w:keepNext/>
        <w:spacing w:before="240" w:after="60"/>
      </w:pPr>
      <w:r>
        <w:rPr>
          <w:rFonts w:ascii="Arial" w:eastAsia="Arial" w:hAnsi="Arial" w:cs="Arial"/>
          <w:b/>
          <w:bCs/>
          <w:caps/>
          <w:color w:val="222222"/>
          <w:sz w:val="26"/>
          <w:szCs w:val="26"/>
        </w:rPr>
        <w:lastRenderedPageBreak/>
        <w:t>A Fourth Element</w:t>
      </w:r>
    </w:p>
    <w:p w14:paraId="63469546" w14:textId="781874BB" w:rsidR="00C661B8" w:rsidRDefault="00000000" w:rsidP="008564A9">
      <w:pPr>
        <w:keepNext/>
        <w:spacing w:before="240" w:after="60"/>
      </w:pPr>
      <w:r>
        <w:rPr>
          <w:rFonts w:ascii="Arial" w:eastAsia="Arial" w:hAnsi="Arial" w:cs="Arial"/>
          <w:b/>
          <w:bCs/>
        </w:rPr>
        <w:t>What Is Named, We Can Now Feed</w:t>
      </w:r>
      <w:r>
        <w:rPr>
          <w:rFonts w:ascii="Arial" w:eastAsia="Arial" w:hAnsi="Arial" w:cs="Arial"/>
          <w:color w:val="888888"/>
          <w:sz w:val="20"/>
          <w:szCs w:val="20"/>
        </w:rPr>
        <w:t xml:space="preserve">   [</w:t>
      </w:r>
      <w:r w:rsidR="00CD0A76">
        <w:rPr>
          <w:rFonts w:ascii="Arial" w:eastAsia="Arial" w:hAnsi="Arial" w:cs="Arial"/>
          <w:color w:val="888888"/>
          <w:sz w:val="20"/>
          <w:szCs w:val="20"/>
        </w:rPr>
        <w:t>7</w:t>
      </w:r>
      <w:r w:rsidR="009C1A86">
        <w:rPr>
          <w:rFonts w:ascii="Arial" w:eastAsia="Arial" w:hAnsi="Arial" w:cs="Arial"/>
          <w:color w:val="888888"/>
          <w:sz w:val="20"/>
          <w:szCs w:val="20"/>
        </w:rPr>
        <w:t>9</w:t>
      </w:r>
      <w:r>
        <w:rPr>
          <w:rFonts w:ascii="Arial" w:eastAsia="Arial" w:hAnsi="Arial" w:cs="Arial"/>
          <w:color w:val="888888"/>
          <w:sz w:val="20"/>
          <w:szCs w:val="20"/>
        </w:rPr>
        <w:t>]</w:t>
      </w:r>
    </w:p>
    <w:p w14:paraId="25D982C3" w14:textId="77777777" w:rsidR="00C661B8" w:rsidRDefault="00000000">
      <w:pPr>
        <w:spacing w:after="160" w:line="320" w:lineRule="auto"/>
        <w:ind w:left="360" w:right="360"/>
      </w:pPr>
      <w:r>
        <w:rPr>
          <w:color w:val="333333"/>
          <w:sz w:val="20"/>
          <w:szCs w:val="20"/>
        </w:rPr>
        <w:t xml:space="preserve">The closing essay resolves the book's central arc. Clinical Endocannabinoid Deficiency named </w:t>
      </w:r>
      <w:proofErr w:type="gramStart"/>
      <w:r>
        <w:rPr>
          <w:color w:val="333333"/>
          <w:sz w:val="20"/>
          <w:szCs w:val="20"/>
        </w:rPr>
        <w:t>the suffering</w:t>
      </w:r>
      <w:proofErr w:type="gramEnd"/>
      <w:r>
        <w:rPr>
          <w:color w:val="333333"/>
          <w:sz w:val="20"/>
          <w:szCs w:val="20"/>
        </w:rPr>
        <w:t>; the Floyd-Benjamin research provides the cause and the cure. CECD is the most visible edge of a broader picture: a century of generational deficiency in a system that governs not just the absence of illness but the presence of biological coherence — the ordinary experience of a body that sleeps well, thinks clearly, and recovers proportionally. The disguise of deficiency as normalcy now has a name, a mechanism, and a fix. Three researchers built the map. One named the suffering. Two found the food.</w:t>
      </w:r>
    </w:p>
    <w:p w14:paraId="247A2EA2" w14:textId="77777777" w:rsidR="00C661B8" w:rsidRDefault="00000000">
      <w:pPr>
        <w:spacing w:before="240" w:after="240"/>
        <w:jc w:val="center"/>
      </w:pPr>
      <w:r>
        <w:rPr>
          <w:color w:val="CCCCCC"/>
          <w:sz w:val="20"/>
          <w:szCs w:val="20"/>
        </w:rPr>
        <w:t>― ― ―</w:t>
      </w:r>
    </w:p>
    <w:p w14:paraId="7E5BD4BD" w14:textId="0FA4AEA7" w:rsidR="00C661B8" w:rsidRDefault="00000000" w:rsidP="002D249E">
      <w:pPr>
        <w:keepNext/>
        <w:spacing w:before="240" w:after="60"/>
      </w:pPr>
      <w:r>
        <w:rPr>
          <w:rFonts w:ascii="Arial" w:eastAsia="Arial" w:hAnsi="Arial" w:cs="Arial"/>
          <w:b/>
          <w:bCs/>
          <w:caps/>
          <w:color w:val="222222"/>
          <w:sz w:val="26"/>
          <w:szCs w:val="26"/>
        </w:rPr>
        <w:t>Appendix A</w:t>
      </w:r>
    </w:p>
    <w:p w14:paraId="23FD5956" w14:textId="0F67501A" w:rsidR="00C661B8" w:rsidRDefault="00000000">
      <w:pPr>
        <w:spacing w:before="240" w:after="60"/>
        <w:ind w:left="360"/>
      </w:pPr>
      <w:r>
        <w:rPr>
          <w:rFonts w:ascii="Arial" w:eastAsia="Arial" w:hAnsi="Arial" w:cs="Arial"/>
          <w:b/>
          <w:bCs/>
        </w:rPr>
        <w:t>ECS Role in Physiological Systems</w:t>
      </w:r>
      <w:r>
        <w:rPr>
          <w:rFonts w:ascii="Arial" w:eastAsia="Arial" w:hAnsi="Arial" w:cs="Arial"/>
          <w:color w:val="888888"/>
          <w:sz w:val="20"/>
          <w:szCs w:val="20"/>
        </w:rPr>
        <w:t xml:space="preserve">   [</w:t>
      </w:r>
      <w:r w:rsidR="009C1A86">
        <w:rPr>
          <w:rFonts w:ascii="Arial" w:eastAsia="Arial" w:hAnsi="Arial" w:cs="Arial"/>
          <w:color w:val="888888"/>
          <w:sz w:val="20"/>
          <w:szCs w:val="20"/>
        </w:rPr>
        <w:t>81</w:t>
      </w:r>
      <w:r>
        <w:rPr>
          <w:rFonts w:ascii="Arial" w:eastAsia="Arial" w:hAnsi="Arial" w:cs="Arial"/>
          <w:color w:val="888888"/>
          <w:sz w:val="20"/>
          <w:szCs w:val="20"/>
        </w:rPr>
        <w:t>]</w:t>
      </w:r>
    </w:p>
    <w:p w14:paraId="495909B0" w14:textId="77777777" w:rsidR="00C661B8" w:rsidRDefault="00000000">
      <w:pPr>
        <w:spacing w:after="160" w:line="320" w:lineRule="auto"/>
        <w:ind w:left="360" w:right="360"/>
      </w:pPr>
      <w:r>
        <w:rPr>
          <w:color w:val="333333"/>
          <w:sz w:val="20"/>
          <w:szCs w:val="20"/>
        </w:rPr>
        <w:t>A reference table mapping the ECS's primary functions across nine organ systems — cardiovascular, nervous, metabolic/endocrine, immune/inflammatory, musculoskeletal, gastrointestinal, skin/barrier, neural repair, and aging/systemic — with key nutritional inputs and functional context for each. Appendix A is a quick-reference companion to the chapters, not a clinical guide. The nine rows form three triads of three, with neural repair completing the second triad.</w:t>
      </w:r>
    </w:p>
    <w:p w14:paraId="77D58FC8" w14:textId="3504BE14" w:rsidR="00C661B8" w:rsidRDefault="00000000" w:rsidP="002D249E">
      <w:pPr>
        <w:keepNext/>
        <w:spacing w:before="240" w:after="60"/>
      </w:pPr>
      <w:r>
        <w:rPr>
          <w:rFonts w:ascii="Arial" w:eastAsia="Arial" w:hAnsi="Arial" w:cs="Arial"/>
          <w:b/>
          <w:bCs/>
          <w:caps/>
          <w:color w:val="222222"/>
          <w:sz w:val="26"/>
          <w:szCs w:val="26"/>
        </w:rPr>
        <w:t>Appendix B</w:t>
      </w:r>
    </w:p>
    <w:p w14:paraId="56F9EC9B" w14:textId="256D9C31" w:rsidR="00C661B8" w:rsidRDefault="00000000">
      <w:pPr>
        <w:spacing w:before="240" w:after="60"/>
        <w:ind w:left="360"/>
      </w:pPr>
      <w:r>
        <w:rPr>
          <w:rFonts w:ascii="Arial" w:eastAsia="Arial" w:hAnsi="Arial" w:cs="Arial"/>
          <w:b/>
          <w:bCs/>
        </w:rPr>
        <w:t>Fueled vs. Deficient ECS</w:t>
      </w:r>
      <w:r>
        <w:rPr>
          <w:rFonts w:ascii="Arial" w:eastAsia="Arial" w:hAnsi="Arial" w:cs="Arial"/>
          <w:color w:val="888888"/>
          <w:sz w:val="20"/>
          <w:szCs w:val="20"/>
        </w:rPr>
        <w:t xml:space="preserve">   [</w:t>
      </w:r>
      <w:r w:rsidR="009C1A86">
        <w:rPr>
          <w:rFonts w:ascii="Arial" w:eastAsia="Arial" w:hAnsi="Arial" w:cs="Arial"/>
          <w:color w:val="888888"/>
          <w:sz w:val="20"/>
          <w:szCs w:val="20"/>
        </w:rPr>
        <w:t>82</w:t>
      </w:r>
      <w:r>
        <w:rPr>
          <w:rFonts w:ascii="Arial" w:eastAsia="Arial" w:hAnsi="Arial" w:cs="Arial"/>
          <w:color w:val="888888"/>
          <w:sz w:val="20"/>
          <w:szCs w:val="20"/>
        </w:rPr>
        <w:t>]</w:t>
      </w:r>
    </w:p>
    <w:p w14:paraId="4CF6E760" w14:textId="77777777" w:rsidR="00C661B8" w:rsidRDefault="00000000">
      <w:pPr>
        <w:spacing w:after="160" w:line="320" w:lineRule="auto"/>
        <w:ind w:left="360" w:right="360"/>
      </w:pPr>
      <w:r>
        <w:rPr>
          <w:color w:val="333333"/>
          <w:sz w:val="20"/>
          <w:szCs w:val="20"/>
        </w:rPr>
        <w:t>A side-by-side comparison of a well-fueled versus deficient ECS across four domains: stress response, inflammation, sleep/wake cycle, and cellular repair. Includes a brief note on the enzymatic conversion process — fueling the ECS requires not just raw lipid materials but the globular proteins necessary to build the conversion enzymes.</w:t>
      </w:r>
    </w:p>
    <w:p w14:paraId="37172B63" w14:textId="1538D3CD" w:rsidR="00C661B8" w:rsidRDefault="00000000" w:rsidP="002D249E">
      <w:pPr>
        <w:keepNext/>
        <w:spacing w:before="240" w:after="60"/>
      </w:pPr>
      <w:r>
        <w:rPr>
          <w:rFonts w:ascii="Arial" w:eastAsia="Arial" w:hAnsi="Arial" w:cs="Arial"/>
          <w:b/>
          <w:bCs/>
          <w:caps/>
          <w:color w:val="222222"/>
          <w:sz w:val="26"/>
          <w:szCs w:val="26"/>
        </w:rPr>
        <w:t>Appendix C</w:t>
      </w:r>
    </w:p>
    <w:p w14:paraId="0EE842D2" w14:textId="04EE504D" w:rsidR="00C661B8" w:rsidRDefault="00000000">
      <w:pPr>
        <w:spacing w:before="240" w:after="60"/>
        <w:ind w:left="360"/>
      </w:pPr>
      <w:r>
        <w:rPr>
          <w:rFonts w:ascii="Arial" w:eastAsia="Arial" w:hAnsi="Arial" w:cs="Arial"/>
          <w:b/>
          <w:bCs/>
        </w:rPr>
        <w:t>Glossary</w:t>
      </w:r>
      <w:r>
        <w:rPr>
          <w:rFonts w:ascii="Arial" w:eastAsia="Arial" w:hAnsi="Arial" w:cs="Arial"/>
          <w:color w:val="888888"/>
          <w:sz w:val="20"/>
          <w:szCs w:val="20"/>
        </w:rPr>
        <w:t xml:space="preserve">   [</w:t>
      </w:r>
      <w:r w:rsidR="009C1A86">
        <w:rPr>
          <w:rFonts w:ascii="Arial" w:eastAsia="Arial" w:hAnsi="Arial" w:cs="Arial"/>
          <w:color w:val="888888"/>
          <w:sz w:val="20"/>
          <w:szCs w:val="20"/>
        </w:rPr>
        <w:t>83</w:t>
      </w:r>
      <w:r w:rsidR="00CD0A76">
        <w:rPr>
          <w:rFonts w:ascii="Arial" w:eastAsia="Arial" w:hAnsi="Arial" w:cs="Arial"/>
          <w:color w:val="888888"/>
          <w:sz w:val="20"/>
          <w:szCs w:val="20"/>
        </w:rPr>
        <w:t>-9</w:t>
      </w:r>
      <w:r w:rsidR="009C1A86">
        <w:rPr>
          <w:rFonts w:ascii="Arial" w:eastAsia="Arial" w:hAnsi="Arial" w:cs="Arial"/>
          <w:color w:val="888888"/>
          <w:sz w:val="20"/>
          <w:szCs w:val="20"/>
        </w:rPr>
        <w:t>9</w:t>
      </w:r>
      <w:r>
        <w:rPr>
          <w:rFonts w:ascii="Arial" w:eastAsia="Arial" w:hAnsi="Arial" w:cs="Arial"/>
          <w:color w:val="888888"/>
          <w:sz w:val="20"/>
          <w:szCs w:val="20"/>
        </w:rPr>
        <w:t>]</w:t>
      </w:r>
    </w:p>
    <w:p w14:paraId="7F581B32" w14:textId="77777777" w:rsidR="00C661B8" w:rsidRDefault="00000000">
      <w:pPr>
        <w:spacing w:after="160" w:line="320" w:lineRule="auto"/>
        <w:ind w:left="360" w:right="360"/>
      </w:pPr>
      <w:r>
        <w:rPr>
          <w:color w:val="333333"/>
          <w:sz w:val="20"/>
          <w:szCs w:val="20"/>
        </w:rPr>
        <w:t xml:space="preserve">Terms used in this book </w:t>
      </w:r>
      <w:proofErr w:type="gramStart"/>
      <w:r>
        <w:rPr>
          <w:color w:val="333333"/>
          <w:sz w:val="20"/>
          <w:szCs w:val="20"/>
        </w:rPr>
        <w:t>defined</w:t>
      </w:r>
      <w:proofErr w:type="gramEnd"/>
      <w:r>
        <w:rPr>
          <w:color w:val="333333"/>
          <w:sz w:val="20"/>
          <w:szCs w:val="20"/>
        </w:rPr>
        <w:t xml:space="preserve"> in a dual-register format: a plain summary for the general reader followed by a precise scientific classification and technical definition. Twenty-two entries covering endocannabinoids, receptors, enzymes, nutritional concepts, and the key vocabulary of ECS biology — each grounded in its relevance to the nutritional framework.</w:t>
      </w:r>
    </w:p>
    <w:p w14:paraId="7218541B" w14:textId="04BF87B5" w:rsidR="00C661B8" w:rsidRDefault="00000000" w:rsidP="002D249E">
      <w:pPr>
        <w:keepNext/>
        <w:spacing w:before="240" w:after="60"/>
      </w:pPr>
      <w:r>
        <w:rPr>
          <w:rFonts w:ascii="Arial" w:eastAsia="Arial" w:hAnsi="Arial" w:cs="Arial"/>
          <w:b/>
          <w:bCs/>
          <w:caps/>
          <w:color w:val="222222"/>
          <w:sz w:val="26"/>
          <w:szCs w:val="26"/>
        </w:rPr>
        <w:t>Appendix D</w:t>
      </w:r>
    </w:p>
    <w:p w14:paraId="2A5F9542" w14:textId="03C33497" w:rsidR="00C661B8" w:rsidRDefault="00000000">
      <w:pPr>
        <w:spacing w:before="240" w:after="60"/>
        <w:ind w:left="360"/>
      </w:pPr>
      <w:r>
        <w:rPr>
          <w:rFonts w:ascii="Arial" w:eastAsia="Arial" w:hAnsi="Arial" w:cs="Arial"/>
          <w:b/>
          <w:bCs/>
        </w:rPr>
        <w:t>The Research Stack</w:t>
      </w:r>
      <w:r>
        <w:rPr>
          <w:rFonts w:ascii="Arial" w:eastAsia="Arial" w:hAnsi="Arial" w:cs="Arial"/>
          <w:color w:val="888888"/>
          <w:sz w:val="20"/>
          <w:szCs w:val="20"/>
        </w:rPr>
        <w:t xml:space="preserve">   [</w:t>
      </w:r>
      <w:r w:rsidR="009C1A86">
        <w:rPr>
          <w:rFonts w:ascii="Arial" w:eastAsia="Arial" w:hAnsi="Arial" w:cs="Arial"/>
          <w:color w:val="888888"/>
          <w:sz w:val="20"/>
          <w:szCs w:val="20"/>
        </w:rPr>
        <w:t>100-101</w:t>
      </w:r>
      <w:r>
        <w:rPr>
          <w:rFonts w:ascii="Arial" w:eastAsia="Arial" w:hAnsi="Arial" w:cs="Arial"/>
          <w:color w:val="888888"/>
          <w:sz w:val="20"/>
          <w:szCs w:val="20"/>
        </w:rPr>
        <w:t>]</w:t>
      </w:r>
    </w:p>
    <w:p w14:paraId="2FEDCBC9" w14:textId="77777777" w:rsidR="00C661B8" w:rsidRDefault="00000000">
      <w:pPr>
        <w:spacing w:after="160" w:line="320" w:lineRule="auto"/>
        <w:ind w:left="360" w:right="360"/>
      </w:pPr>
      <w:r>
        <w:rPr>
          <w:color w:val="333333"/>
          <w:sz w:val="20"/>
          <w:szCs w:val="20"/>
        </w:rPr>
        <w:t xml:space="preserve">The eight Floyd-Benjamin preprints underpinning this book, publicly accessible, listed in publication order across two research groupings: December 2025 (Cannabis as dietary input — </w:t>
      </w:r>
      <w:r>
        <w:rPr>
          <w:color w:val="333333"/>
          <w:sz w:val="20"/>
          <w:szCs w:val="20"/>
        </w:rPr>
        <w:lastRenderedPageBreak/>
        <w:t xml:space="preserve">three papers, one complete triad) and 2026 (the nutritional structure of the ECS — four papers plus the Nutritional Gold Standard conclusions paper). All available through the </w:t>
      </w:r>
      <w:proofErr w:type="spellStart"/>
      <w:r>
        <w:rPr>
          <w:color w:val="333333"/>
          <w:sz w:val="20"/>
          <w:szCs w:val="20"/>
        </w:rPr>
        <w:t>Zenodo</w:t>
      </w:r>
      <w:proofErr w:type="spellEnd"/>
      <w:r>
        <w:rPr>
          <w:color w:val="333333"/>
          <w:sz w:val="20"/>
          <w:szCs w:val="20"/>
        </w:rPr>
        <w:t xml:space="preserve"> community for Endocannabinoid Nutritional Biology.</w:t>
      </w:r>
    </w:p>
    <w:p w14:paraId="3D427E97" w14:textId="681B91F5" w:rsidR="00AB5E86" w:rsidRPr="00AB5E86" w:rsidRDefault="00000000" w:rsidP="00AB5E86">
      <w:pPr>
        <w:spacing w:after="160" w:line="280" w:lineRule="auto"/>
        <w:ind w:left="720" w:right="360"/>
        <w:rPr>
          <w:i/>
          <w:iCs/>
          <w:color w:val="888888"/>
          <w:sz w:val="18"/>
          <w:szCs w:val="18"/>
        </w:rPr>
      </w:pPr>
      <w:r>
        <w:rPr>
          <w:rFonts w:ascii="Arial" w:eastAsia="Arial" w:hAnsi="Arial" w:cs="Arial"/>
          <w:b/>
          <w:bCs/>
          <w:color w:val="888888"/>
          <w:sz w:val="18"/>
          <w:szCs w:val="18"/>
        </w:rPr>
        <w:t xml:space="preserve">Breadcrumbs: </w:t>
      </w:r>
      <w:r>
        <w:rPr>
          <w:i/>
          <w:iCs/>
          <w:color w:val="888888"/>
          <w:sz w:val="18"/>
          <w:szCs w:val="18"/>
        </w:rPr>
        <w:t>zenodo.org/communities/nutritional-</w:t>
      </w:r>
      <w:proofErr w:type="spellStart"/>
      <w:r>
        <w:rPr>
          <w:i/>
          <w:iCs/>
          <w:color w:val="888888"/>
          <w:sz w:val="18"/>
          <w:szCs w:val="18"/>
        </w:rPr>
        <w:t>ecs</w:t>
      </w:r>
      <w:proofErr w:type="spellEnd"/>
    </w:p>
    <w:p w14:paraId="05B84ADC" w14:textId="77777777" w:rsidR="00AB5E86" w:rsidRDefault="00AB5E86" w:rsidP="00AB5E86">
      <w:pPr>
        <w:spacing w:before="480"/>
        <w:jc w:val="center"/>
      </w:pPr>
      <w:r>
        <w:rPr>
          <w:i/>
          <w:iCs/>
          <w:color w:val="999999"/>
          <w:sz w:val="20"/>
          <w:szCs w:val="20"/>
        </w:rPr>
        <w:t>— end —</w:t>
      </w:r>
    </w:p>
    <w:p w14:paraId="69DE06D0" w14:textId="77777777" w:rsidR="00AB5E86" w:rsidRDefault="00AB5E86">
      <w:pPr>
        <w:spacing w:after="160" w:line="280" w:lineRule="auto"/>
        <w:ind w:left="720" w:right="360"/>
      </w:pPr>
    </w:p>
    <w:sectPr w:rsidR="00AB5E86">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ABC34" w14:textId="77777777" w:rsidR="0088047C" w:rsidRDefault="0088047C" w:rsidP="008C48D4">
      <w:r>
        <w:separator/>
      </w:r>
    </w:p>
  </w:endnote>
  <w:endnote w:type="continuationSeparator" w:id="0">
    <w:p w14:paraId="7DBEC86F" w14:textId="77777777" w:rsidR="0088047C" w:rsidRDefault="0088047C" w:rsidP="008C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rlito">
    <w:altName w:val="Calibri"/>
    <w:charset w:val="01"/>
    <w:family w:val="roman"/>
    <w:pitch w:val="variable"/>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70EA" w14:textId="2FA227CB" w:rsidR="008C48D4" w:rsidRDefault="008C48D4" w:rsidP="008C48D4">
    <w:pPr>
      <w:pBdr>
        <w:top w:val="single" w:sz="2" w:space="4" w:color="CCCCCC"/>
      </w:pBdr>
      <w:tabs>
        <w:tab w:val="center" w:pos="4680"/>
        <w:tab w:val="right" w:pos="9302"/>
      </w:tabs>
      <w:ind w:right="89"/>
      <w:rPr>
        <w:rFonts w:ascii="Carlito" w:hAnsi="Carlito"/>
        <w:sz w:val="18"/>
        <w:szCs w:val="18"/>
      </w:rPr>
    </w:pPr>
    <w:r w:rsidRPr="00EE176E">
      <w:rPr>
        <w:rFonts w:eastAsia="Calibri" w:cs="Calibri"/>
        <w:color w:val="888888"/>
        <w:sz w:val="18"/>
        <w:szCs w:val="18"/>
      </w:rPr>
      <w:t xml:space="preserve">Copyright © 2026 </w:t>
    </w:r>
    <w:r>
      <w:rPr>
        <w:rFonts w:eastAsia="Calibri" w:cs="Calibri"/>
        <w:color w:val="888888"/>
        <w:sz w:val="18"/>
        <w:szCs w:val="18"/>
      </w:rPr>
      <w:t>Jeffrey Benjamin</w:t>
    </w:r>
    <w:r w:rsidRPr="00EE176E">
      <w:rPr>
        <w:rFonts w:eastAsia="Calibri" w:cs="Calibri"/>
        <w:color w:val="888888"/>
        <w:sz w:val="18"/>
        <w:szCs w:val="18"/>
      </w:rPr>
      <w:t xml:space="preserve">. </w:t>
    </w:r>
    <w:r>
      <w:rPr>
        <w:rFonts w:eastAsia="Calibri" w:cs="Calibri"/>
        <w:color w:val="888888"/>
        <w:sz w:val="18"/>
        <w:szCs w:val="18"/>
      </w:rPr>
      <w:t>CC BY 4.0</w:t>
    </w:r>
    <w:r>
      <w:rPr>
        <w:rFonts w:eastAsia="Calibri" w:cs="Calibri"/>
        <w:color w:val="888888"/>
        <w:sz w:val="18"/>
        <w:szCs w:val="18"/>
      </w:rPr>
      <w:tab/>
    </w:r>
    <w:r w:rsidRPr="00EE176E">
      <w:rPr>
        <w:rFonts w:eastAsia="Calibri" w:cs="Calibri"/>
        <w:color w:val="888888"/>
        <w:sz w:val="18"/>
        <w:szCs w:val="18"/>
      </w:rPr>
      <w:tab/>
    </w:r>
    <w:r w:rsidRPr="00675A2B">
      <w:rPr>
        <w:rFonts w:eastAsia="Calibri" w:cs="Calibri"/>
        <w:i/>
        <w:iCs/>
        <w:color w:val="888888"/>
        <w:sz w:val="20"/>
        <w:szCs w:val="20"/>
      </w:rPr>
      <w:fldChar w:fldCharType="begin"/>
    </w:r>
    <w:r w:rsidRPr="00675A2B">
      <w:rPr>
        <w:rFonts w:eastAsia="Calibri" w:cs="Calibri"/>
        <w:i/>
        <w:iCs/>
        <w:color w:val="888888"/>
        <w:sz w:val="20"/>
        <w:szCs w:val="20"/>
      </w:rPr>
      <w:instrText>PAGE</w:instrText>
    </w:r>
    <w:r w:rsidRPr="00675A2B">
      <w:rPr>
        <w:rFonts w:eastAsia="Calibri" w:cs="Calibri"/>
        <w:i/>
        <w:iCs/>
        <w:color w:val="888888"/>
        <w:sz w:val="20"/>
        <w:szCs w:val="20"/>
      </w:rPr>
      <w:fldChar w:fldCharType="separate"/>
    </w:r>
    <w:r>
      <w:rPr>
        <w:rFonts w:eastAsia="Calibri" w:cs="Calibri"/>
        <w:i/>
        <w:iCs/>
        <w:color w:val="888888"/>
        <w:sz w:val="20"/>
        <w:szCs w:val="20"/>
      </w:rPr>
      <w:t>5</w:t>
    </w:r>
    <w:r w:rsidRPr="00675A2B">
      <w:rPr>
        <w:rFonts w:eastAsia="Calibri" w:cs="Calibri"/>
        <w:i/>
        <w:iCs/>
        <w:color w:val="888888"/>
        <w:sz w:val="20"/>
        <w:szCs w:val="20"/>
      </w:rPr>
      <w:fldChar w:fldCharType="end"/>
    </w:r>
    <w:r w:rsidRPr="00675A2B">
      <w:rPr>
        <w:rFonts w:eastAsia="Calibri" w:cs="Calibri"/>
        <w:i/>
        <w:iCs/>
        <w:color w:val="888888"/>
        <w:sz w:val="20"/>
        <w:szCs w:val="20"/>
      </w:rPr>
      <w:br/>
    </w:r>
    <w:r w:rsidRPr="003D6685">
      <w:rPr>
        <w:rFonts w:eastAsia="Arial" w:cs="Arial"/>
        <w:color w:val="888888"/>
        <w:sz w:val="18"/>
        <w:szCs w:val="18"/>
      </w:rPr>
      <w:t xml:space="preserve">DOI: </w:t>
    </w:r>
    <w:r w:rsidRPr="008C48D4">
      <w:rPr>
        <w:rFonts w:eastAsia="Arial" w:cs="Arial"/>
        <w:color w:val="888888"/>
        <w:sz w:val="18"/>
        <w:szCs w:val="18"/>
      </w:rPr>
      <w:t>10.5281/zenodo.20501206</w:t>
    </w:r>
  </w:p>
  <w:p w14:paraId="5077DE1F" w14:textId="77777777" w:rsidR="008C48D4" w:rsidRDefault="008C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0C10" w14:textId="77777777" w:rsidR="0088047C" w:rsidRDefault="0088047C" w:rsidP="008C48D4">
      <w:r>
        <w:separator/>
      </w:r>
    </w:p>
  </w:footnote>
  <w:footnote w:type="continuationSeparator" w:id="0">
    <w:p w14:paraId="0331FCD0" w14:textId="77777777" w:rsidR="0088047C" w:rsidRDefault="0088047C" w:rsidP="008C4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429CD"/>
    <w:multiLevelType w:val="hybridMultilevel"/>
    <w:tmpl w:val="C3A4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5B60E3"/>
    <w:multiLevelType w:val="hybridMultilevel"/>
    <w:tmpl w:val="152ED966"/>
    <w:lvl w:ilvl="0" w:tplc="4CB2DC5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B491C"/>
    <w:multiLevelType w:val="hybridMultilevel"/>
    <w:tmpl w:val="DF6240EC"/>
    <w:lvl w:ilvl="0" w:tplc="4CB2DC54">
      <w:numFmt w:val="bullet"/>
      <w:lvlText w:val=""/>
      <w:lvlJc w:val="left"/>
      <w:pPr>
        <w:ind w:left="1080" w:hanging="360"/>
      </w:pPr>
      <w:rPr>
        <w:rFonts w:ascii="Symbol" w:eastAsia="Arial"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B2D6F92"/>
    <w:multiLevelType w:val="hybridMultilevel"/>
    <w:tmpl w:val="167045AA"/>
    <w:lvl w:ilvl="0" w:tplc="4CB2DC5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7A4BD5"/>
    <w:multiLevelType w:val="hybridMultilevel"/>
    <w:tmpl w:val="7C207BA4"/>
    <w:lvl w:ilvl="0" w:tplc="C1F45B86">
      <w:start w:val="1"/>
      <w:numFmt w:val="bullet"/>
      <w:lvlText w:val="●"/>
      <w:lvlJc w:val="left"/>
      <w:pPr>
        <w:ind w:left="720" w:hanging="360"/>
      </w:pPr>
    </w:lvl>
    <w:lvl w:ilvl="1" w:tplc="849A8FB2">
      <w:start w:val="1"/>
      <w:numFmt w:val="bullet"/>
      <w:lvlText w:val="○"/>
      <w:lvlJc w:val="left"/>
      <w:pPr>
        <w:ind w:left="1440" w:hanging="360"/>
      </w:pPr>
    </w:lvl>
    <w:lvl w:ilvl="2" w:tplc="29D40428">
      <w:start w:val="1"/>
      <w:numFmt w:val="bullet"/>
      <w:lvlText w:val="■"/>
      <w:lvlJc w:val="left"/>
      <w:pPr>
        <w:ind w:left="2160" w:hanging="360"/>
      </w:pPr>
    </w:lvl>
    <w:lvl w:ilvl="3" w:tplc="C2E8B7EA">
      <w:start w:val="1"/>
      <w:numFmt w:val="bullet"/>
      <w:lvlText w:val="●"/>
      <w:lvlJc w:val="left"/>
      <w:pPr>
        <w:ind w:left="2880" w:hanging="360"/>
      </w:pPr>
    </w:lvl>
    <w:lvl w:ilvl="4" w:tplc="3AA8CA78">
      <w:start w:val="1"/>
      <w:numFmt w:val="bullet"/>
      <w:lvlText w:val="○"/>
      <w:lvlJc w:val="left"/>
      <w:pPr>
        <w:ind w:left="3600" w:hanging="360"/>
      </w:pPr>
    </w:lvl>
    <w:lvl w:ilvl="5" w:tplc="DD5E0152">
      <w:start w:val="1"/>
      <w:numFmt w:val="bullet"/>
      <w:lvlText w:val="■"/>
      <w:lvlJc w:val="left"/>
      <w:pPr>
        <w:ind w:left="4320" w:hanging="360"/>
      </w:pPr>
    </w:lvl>
    <w:lvl w:ilvl="6" w:tplc="E9FE7B3A">
      <w:start w:val="1"/>
      <w:numFmt w:val="bullet"/>
      <w:lvlText w:val="●"/>
      <w:lvlJc w:val="left"/>
      <w:pPr>
        <w:ind w:left="5040" w:hanging="360"/>
      </w:pPr>
    </w:lvl>
    <w:lvl w:ilvl="7" w:tplc="C6B478BC">
      <w:start w:val="1"/>
      <w:numFmt w:val="bullet"/>
      <w:lvlText w:val="●"/>
      <w:lvlJc w:val="left"/>
      <w:pPr>
        <w:ind w:left="5760" w:hanging="360"/>
      </w:pPr>
    </w:lvl>
    <w:lvl w:ilvl="8" w:tplc="418ACD0A">
      <w:start w:val="1"/>
      <w:numFmt w:val="bullet"/>
      <w:lvlText w:val="●"/>
      <w:lvlJc w:val="left"/>
      <w:pPr>
        <w:ind w:left="6480" w:hanging="360"/>
      </w:pPr>
    </w:lvl>
  </w:abstractNum>
  <w:num w:numId="1" w16cid:durableId="1268847607">
    <w:abstractNumId w:val="4"/>
    <w:lvlOverride w:ilvl="0">
      <w:startOverride w:val="1"/>
    </w:lvlOverride>
  </w:num>
  <w:num w:numId="2" w16cid:durableId="949437687">
    <w:abstractNumId w:val="0"/>
  </w:num>
  <w:num w:numId="3" w16cid:durableId="456264911">
    <w:abstractNumId w:val="1"/>
  </w:num>
  <w:num w:numId="4" w16cid:durableId="1422026082">
    <w:abstractNumId w:val="2"/>
  </w:num>
  <w:num w:numId="5" w16cid:durableId="370307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1B8"/>
    <w:rsid w:val="00032463"/>
    <w:rsid w:val="00066C0D"/>
    <w:rsid w:val="00091DE4"/>
    <w:rsid w:val="000A0B67"/>
    <w:rsid w:val="000C6147"/>
    <w:rsid w:val="000D0498"/>
    <w:rsid w:val="001373AF"/>
    <w:rsid w:val="00153C7D"/>
    <w:rsid w:val="001913B7"/>
    <w:rsid w:val="001B6722"/>
    <w:rsid w:val="002053D1"/>
    <w:rsid w:val="00243DA5"/>
    <w:rsid w:val="0025498D"/>
    <w:rsid w:val="00262946"/>
    <w:rsid w:val="002D249E"/>
    <w:rsid w:val="002E3952"/>
    <w:rsid w:val="0034699A"/>
    <w:rsid w:val="003C2323"/>
    <w:rsid w:val="00434F35"/>
    <w:rsid w:val="00507A9E"/>
    <w:rsid w:val="005608D1"/>
    <w:rsid w:val="00702EDC"/>
    <w:rsid w:val="007B204F"/>
    <w:rsid w:val="007D0F3B"/>
    <w:rsid w:val="007F1567"/>
    <w:rsid w:val="008564A9"/>
    <w:rsid w:val="0088047C"/>
    <w:rsid w:val="00887FC4"/>
    <w:rsid w:val="008C48D4"/>
    <w:rsid w:val="00962572"/>
    <w:rsid w:val="009749C7"/>
    <w:rsid w:val="009912AC"/>
    <w:rsid w:val="009C1A86"/>
    <w:rsid w:val="00A267FD"/>
    <w:rsid w:val="00A42A45"/>
    <w:rsid w:val="00A74DFF"/>
    <w:rsid w:val="00A91063"/>
    <w:rsid w:val="00AB5E86"/>
    <w:rsid w:val="00B37DC0"/>
    <w:rsid w:val="00C46D62"/>
    <w:rsid w:val="00C561CF"/>
    <w:rsid w:val="00C661B8"/>
    <w:rsid w:val="00C83E45"/>
    <w:rsid w:val="00CB1CD6"/>
    <w:rsid w:val="00CD0A76"/>
    <w:rsid w:val="00D04D1B"/>
    <w:rsid w:val="00D8354B"/>
    <w:rsid w:val="00E37CD2"/>
    <w:rsid w:val="00EA17B7"/>
    <w:rsid w:val="00EE5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21600"/>
  <w15:docId w15:val="{25EF53AC-99D9-42C0-91AE-C5DD7F85C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80" w:after="240"/>
      <w:outlineLvl w:val="0"/>
    </w:pPr>
    <w:rPr>
      <w:rFonts w:ascii="Arial" w:eastAsia="Arial" w:hAnsi="Arial" w:cs="Arial"/>
      <w:b/>
      <w:bCs/>
      <w:sz w:val="36"/>
      <w:szCs w:val="36"/>
    </w:rPr>
  </w:style>
  <w:style w:type="paragraph" w:styleId="Heading2">
    <w:name w:val="heading 2"/>
    <w:uiPriority w:val="9"/>
    <w:semiHidden/>
    <w:unhideWhenUsed/>
    <w:qFormat/>
    <w:pPr>
      <w:spacing w:before="360" w:after="160"/>
      <w:outlineLvl w:val="1"/>
    </w:pPr>
    <w:rPr>
      <w:rFonts w:ascii="Arial" w:eastAsia="Arial" w:hAnsi="Arial" w:cs="Arial"/>
      <w:b/>
      <w:bCs/>
      <w:sz w:val="28"/>
      <w:szCs w:val="28"/>
    </w:rPr>
  </w:style>
  <w:style w:type="paragraph" w:styleId="Heading3">
    <w:name w:val="heading 3"/>
    <w:uiPriority w:val="9"/>
    <w:semiHidden/>
    <w:unhideWhenUsed/>
    <w:qFormat/>
    <w:pPr>
      <w:spacing w:before="280" w:after="120"/>
      <w:outlineLvl w:val="2"/>
    </w:pPr>
    <w:rPr>
      <w:rFonts w:ascii="Arial" w:eastAsia="Arial" w:hAnsi="Arial" w:cs="Arial"/>
      <w:b/>
      <w:b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8C48D4"/>
    <w:pPr>
      <w:tabs>
        <w:tab w:val="center" w:pos="4680"/>
        <w:tab w:val="right" w:pos="9360"/>
      </w:tabs>
    </w:pPr>
  </w:style>
  <w:style w:type="character" w:customStyle="1" w:styleId="HeaderChar">
    <w:name w:val="Header Char"/>
    <w:basedOn w:val="DefaultParagraphFont"/>
    <w:link w:val="Header"/>
    <w:uiPriority w:val="99"/>
    <w:rsid w:val="008C48D4"/>
  </w:style>
  <w:style w:type="paragraph" w:styleId="Footer">
    <w:name w:val="footer"/>
    <w:basedOn w:val="Normal"/>
    <w:link w:val="FooterChar"/>
    <w:uiPriority w:val="99"/>
    <w:unhideWhenUsed/>
    <w:rsid w:val="008C48D4"/>
    <w:pPr>
      <w:tabs>
        <w:tab w:val="center" w:pos="4680"/>
        <w:tab w:val="right" w:pos="9360"/>
      </w:tabs>
    </w:pPr>
  </w:style>
  <w:style w:type="character" w:customStyle="1" w:styleId="FooterChar">
    <w:name w:val="Footer Char"/>
    <w:basedOn w:val="DefaultParagraphFont"/>
    <w:link w:val="Footer"/>
    <w:uiPriority w:val="99"/>
    <w:rsid w:val="008C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65BB4-0418-4D6F-B5EF-EF1BCB14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Pages>
  <Words>7205</Words>
  <Characters>41075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Benjamin</dc:creator>
  <cp:lastModifiedBy>Jefferson Winter</cp:lastModifiedBy>
  <cp:revision>28</cp:revision>
  <cp:lastPrinted>2026-06-02T06:18:00Z</cp:lastPrinted>
  <dcterms:created xsi:type="dcterms:W3CDTF">2026-06-01T00:30:00Z</dcterms:created>
  <dcterms:modified xsi:type="dcterms:W3CDTF">2026-06-02T06:22:00Z</dcterms:modified>
</cp:coreProperties>
</file>