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spacing w:before="0" w:after="60"/>
        <w:keepNext/>
        <w:jc w:val="start"/>
        <w:pStyle w:val="caption"/>
      </w:pPr>
      <w:r>
        <w:rPr>
          <w:rFonts w:ascii="Calibri" w:hAnsi="Calibri"/>
          <w:sz w:val="24"/>
        </w:rPr>
        <w:t xml:space="preserve">Table </w:t>
      </w:r>
      <w:r>
        <w:fldChar w:fldCharType="begin" w:dirty="true"/>
      </w:r>
      <w:r>
        <w:instrText xml:space="preserve" w:dirty="true"> SEQ Table \* ARABIC </w:instrText>
      </w:r>
      <w:r>
        <w:fldChar w:fldCharType="separate" w:dirty="true"/>
      </w:r>
      <w:r>
        <w:rPr>
          <w:noProof/>
          <w:rFonts w:ascii="Calibri" w:hAnsi="Calibri"/>
          <w:sz w:val="24"/>
        </w:rPr>
        <w:t xml:space="default">1</w:t>
      </w:r>
      <w:r>
        <w:fldChar w:fldCharType="end" w:dirty="true"/>
      </w:r>
      <w:r>
        <w:rPr>
          <w:rFonts w:ascii="Calibri" w:hAnsi="Calibri"/>
          <w:sz w:val="24"/>
        </w:rPr>
        <w:t xml:space="preserve">: </w:t>
      </w:r>
      <w:r>
        <w:rPr>
          <w:rFonts w:ascii="Calibri" w:hAnsi="Calibri"/>
          <w:sz w:val="24"/>
          <w:color w:val="333333"/>
        </w:rPr>
        <w:t xml:space="default">Summary table</w:t>
      </w:r>
    </w:p>
    <w:p>
      <w:pPr>
        <w:spacing w:before="0" w:after="60"/>
        <w:keepNext/>
        <w:jc w:val="start"/>
        <w:pStyle w:val="caption"/>
      </w:pPr>
      <w:r>
        <w:rPr>
          <w:rFonts w:ascii="Calibri" w:hAnsi="Calibri"/>
          <w:sz w:val="20"/>
          <w:color w:val="333333"/>
        </w:rPr>
        <w:t xml:space="default">Tübingen, Germany, 48.5°N, 9.1°E, TZ: Europe/Berlin</w:t>
      </w:r>
    </w:p>
    <w:tbl xmlns:w="http://schemas.openxmlformats.org/wordprocessingml/2006/main" xmlns:wp="http://schemas.openxmlformats.org/drawingml/2006/wordprocessingDrawing" xmlns:r="http://schemas.openxmlformats.org/officeDocument/2006/relationships" xmlns:w14="http://schemas.microsoft.com/office/word/2010/wordml">
      <w:tblPr>
        <w:tblCellMar>
          <w:top w:w="0" w:type="dxa"/>
          <w:bottom w:w="0" w:type="dxa"/>
          <w:start w:w="60" w:type="dxa"/>
          <w:end w:w="60" w:type="dxa"/>
        </w:tblCellMar>
        <w:tblW w:type="auto" w:w="0"/>
        <w:tblLook w:firstRow="0" w:lastRow="0" w:firstColumn="0" w:lastColumn="0" w:noHBand="0" w:noVBand="0"/>
        <w:jc w:val="center"/>
      </w:tblPr>
      <w:tr>
        <w:trPr>
          <w:cantSplit/>
        </w:trPr>
        <w:tc>
          <w:tcPr>
            <w:tcBorders>
              <w:top w:val="single" w:sz="16" w:space="0" w:color="D3D3D3"/>
              <w:bottom w:val="single" w:sz="16" w:space="0" w:color="D3D3D3"/>
              <w:start w:val="single" w:space="0" w:color="D3D3D3"/>
              <w:end w:val="single" w:space="0" w:color="D3D3D3"/>
            </w:tcBorders>
            <w:tcMar>
              <w:top w:w="25" w:type="dxa"/>
            </w:tcMar>
            <w:gridSpan w:val="4"/>
          </w:tcPr>
          <w:p>
            <w:pPr>
              <w:spacing w:before="0" w:after="60"/>
              <w:keepNext/>
            </w:pPr>
            <w:r>
              <w:rPr>
                <w:rFonts w:ascii="Calibri" w:hAnsi="Calibri"/>
                <w:sz w:val="20"/>
                <w:b w:val="true"/>
              </w:rPr>
              <w:t xml:space="default">Overview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Participants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preserve">Participants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&lt;strong&gt;26&lt;/strong&gt; 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 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Participant-days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preserve">Participant-days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&lt;strong&gt;208&lt;/strong&gt; (8 - 8)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 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Days ≥80% complete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preserve">Days ≥80% complete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&lt;strong&gt;156&lt;/strong&gt; (6 - 6)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 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Missing/irregular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preserve">Missing/Irregular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&lt;strong&gt;15.0%&lt;/strong&gt; (12.0% - 17.0%)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 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Photoperiod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preserve">Photoperiod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&lt;strong&gt;12h 32m&lt;/strong&gt; (10h 27m - 15h 35m)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vertAlign w:val="superscript"/>
                <w:i/>
                <w:rFonts w:ascii="Calibri" w:hAnsi="Calibri"/>
                <w:sz w:val="20"/>
              </w:rPr>
              <w:t xml:space="default">1</w:t>
            </w:r>
            <w:r>
              <w:rPr>
                <w:rFonts w:ascii="Calibri" w:hAnsi="Calibri"/>
                <w:sz w:val="20"/>
              </w:rPr>
              <w:t xml:space="default"> </w:t>
            </w:r>
          </w:p>
        </w:tc>
      </w:tr>
      <w:tr>
        <w:trPr>
          <w:cantSplit/>
        </w:trPr>
        <w:tc>
          <w:tcPr>
            <w:tcBorders>
              <w:top w:val="single" w:sz="16" w:space="0" w:color="D3D3D3"/>
              <w:bottom w:val="single" w:sz="16" w:space="0" w:color="D3D3D3"/>
              <w:start w:val="single" w:space="0" w:color="D3D3D3"/>
              <w:end w:val="single" w:space="0" w:color="D3D3D3"/>
            </w:tcBorders>
            <w:tcMar>
              <w:top w:w="25" w:type="dxa"/>
            </w:tcMar>
            <w:gridSpan w:val="4"/>
          </w:tcPr>
          <w:p>
            <w:pPr>
              <w:spacing w:before="0" w:after="60"/>
              <w:keepNext/>
            </w:pPr>
            <w:r>
              <w:rPr>
                <w:rFonts w:ascii="Calibri" w:hAnsi="Calibri"/>
                <w:sz w:val="20"/>
                <w:b w:val="true"/>
              </w:rPr>
              <w:t xml:space="default">Metrics</w:t>
            </w:r>
            <w:r>
              <w:rPr>
                <w:vertAlign w:val="superscript"/>
                <w:i/>
                <w:rFonts w:ascii="Calibri" w:hAnsi="Calibri"/>
                <w:sz w:val="20"/>
                <w:b w:val="true"/>
              </w:rPr>
              <w:t xml:space="default">2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Dose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preserve">D (lx·h)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&lt;strong&gt;7,475&lt;/strong&gt; ±9,743 (173 - 68,218)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 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Duration above 250 lx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preserve">TAT</w:t>
            </w:r>
            {\sub 
            <w:r>
              <w:rPr>
                <w:rFonts w:ascii="Calibri" w:hAnsi="Calibri"/>
                <w:sz w:val="20"/>
              </w:rPr>
              <w:t xml:space="preserve">250</w:t>
            </w:r>
            }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&lt;strong&gt;2h 44m&lt;/strong&gt; ±2h 32m (0s - 10h 38m)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 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Duration within 1-10 lx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preserve">TWT</w:t>
            </w:r>
            {\sub 
            <w:r>
              <w:rPr>
                <w:rFonts w:ascii="Calibri" w:hAnsi="Calibri"/>
                <w:sz w:val="20"/>
              </w:rPr>
              <w:t xml:space="preserve">1-10</w:t>
            </w:r>
            }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&lt;strong&gt;3h 45m&lt;/strong&gt; ±2h 31m (33m - 16h)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 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Duration below 1 lx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preserve">TBT</w:t>
            </w:r>
            {\sub 
            <w:r>
              <w:rPr>
                <w:rFonts w:ascii="Calibri" w:hAnsi="Calibri"/>
                <w:sz w:val="20"/>
              </w:rPr>
              <w:t xml:space="preserve">1</w:t>
            </w:r>
            }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&lt;strong&gt;9h 17m&lt;/strong&gt; ±2h 24m (12m 50s - 17h 46m)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 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Period above 250 lx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preserve">PAT</w:t>
            </w:r>
            {\sub 
            <w:r>
              <w:rPr>
                <w:rFonts w:ascii="Calibri" w:hAnsi="Calibri"/>
                <w:sz w:val="20"/>
              </w:rPr>
              <w:t xml:space="preserve">250</w:t>
            </w:r>
            }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&lt;strong&gt;35m 19s&lt;/strong&gt; ±40m 46s (0s - 4h 14m)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 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Duration above 1000 lx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preserve">TAT</w:t>
            </w:r>
            {\sub 
            <w:r>
              <w:rPr>
                <w:rFonts w:ascii="Calibri" w:hAnsi="Calibri"/>
                <w:sz w:val="20"/>
              </w:rPr>
              <w:t xml:space="preserve">1000</w:t>
            </w:r>
            }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&lt;strong&gt;1h 3m&lt;/strong&gt; ±1h 18m (0s - 6h 52m)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 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First timing above 250 lx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preserve">FLiT</w:t>
            </w:r>
            {\sub 
            <w:r>
              <w:rPr>
                <w:rFonts w:ascii="Calibri" w:hAnsi="Calibri"/>
                <w:sz w:val="20"/>
              </w:rPr>
              <w:t xml:space="preserve">250</w:t>
            </w:r>
            }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&lt;strong&gt;09:09&lt;/strong&gt; ±02:34 (00:07 - 15:01)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vertAlign w:val="superscript"/>
                <w:i/>
                <w:rFonts w:ascii="Calibri" w:hAnsi="Calibri"/>
                <w:sz w:val="20"/>
              </w:rPr>
              <w:t xml:space="default">1</w:t>
            </w:r>
            <w:r>
              <w:rPr>
                <w:rFonts w:ascii="Calibri" w:hAnsi="Calibri"/>
                <w:sz w:val="20"/>
              </w:rPr>
              <w:t xml:space="default"> 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Mean timing above 250 lx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preserve">MLiT</w:t>
            </w:r>
            {\sub 
            <w:r>
              <w:rPr>
                <w:rFonts w:ascii="Calibri" w:hAnsi="Calibri"/>
                <w:sz w:val="20"/>
              </w:rPr>
              <w:t xml:space="preserve">250</w:t>
            </w:r>
            }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&lt;strong&gt;13:27&lt;/strong&gt; ±01:41 (08:03 - 17:48)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vertAlign w:val="superscript"/>
                <w:i/>
                <w:rFonts w:ascii="Calibri" w:hAnsi="Calibri"/>
                <w:sz w:val="20"/>
              </w:rPr>
              <w:t xml:space="default">1</w:t>
            </w:r>
            <w:r>
              <w:rPr>
                <w:rFonts w:ascii="Calibri" w:hAnsi="Calibri"/>
                <w:sz w:val="20"/>
              </w:rPr>
              <w:t xml:space="default"> 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Last timing above 250 lx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preserve">LLiT</w:t>
            </w:r>
            {\sub 
            <w:r>
              <w:rPr>
                <w:rFonts w:ascii="Calibri" w:hAnsi="Calibri"/>
                <w:sz w:val="20"/>
              </w:rPr>
              <w:t xml:space="preserve">250</w:t>
            </w:r>
            }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&lt;strong&gt;18:31&lt;/strong&gt; ±02:42 (11:09 - 23:59)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vertAlign w:val="superscript"/>
                <w:i/>
                <w:rFonts w:ascii="Calibri" w:hAnsi="Calibri"/>
                <w:sz w:val="20"/>
              </w:rPr>
              <w:t xml:space="default">1</w:t>
            </w:r>
            <w:r>
              <w:rPr>
                <w:rFonts w:ascii="Calibri" w:hAnsi="Calibri"/>
                <w:sz w:val="20"/>
              </w:rPr>
              <w:t xml:space="default"> 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Brightest 10h midpoint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preserve">M10</w:t>
            </w:r>
            {\sub 
            <w:r>
              <w:rPr>
                <w:rFonts w:ascii="Calibri" w:hAnsi="Calibri"/>
                <w:sz w:val="20"/>
              </w:rPr>
              <w:t xml:space="preserve">midpoint</w:t>
            </w:r>
            }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&lt;strong&gt;13:50&lt;/strong&gt; ±01:34 (09:32 - 18:59)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vertAlign w:val="superscript"/>
                <w:i/>
                <w:rFonts w:ascii="Calibri" w:hAnsi="Calibri"/>
                <w:sz w:val="20"/>
              </w:rPr>
              <w:t xml:space="default">1</w:t>
            </w:r>
            <w:r>
              <w:rPr>
                <w:rFonts w:ascii="Calibri" w:hAnsi="Calibri"/>
                <w:sz w:val="20"/>
              </w:rPr>
              <w:t xml:space="default"> 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Darkest 5h midpoint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preserve">L5</w:t>
            </w:r>
            {\sub 
            <w:r>
              <w:rPr>
                <w:rFonts w:ascii="Calibri" w:hAnsi="Calibri"/>
                <w:sz w:val="20"/>
              </w:rPr>
              <w:t xml:space="preserve">midpoint</w:t>
            </w:r>
            }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&lt;strong&gt;03:21&lt;/strong&gt; ±01:42 (02:00 - 20:54)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vertAlign w:val="superscript"/>
                <w:i/>
                <w:rFonts w:ascii="Calibri" w:hAnsi="Calibri"/>
                <w:sz w:val="20"/>
              </w:rPr>
              <w:t xml:space="default">1</w:t>
            </w:r>
            <w:r>
              <w:rPr>
                <w:rFonts w:ascii="Calibri" w:hAnsi="Calibri"/>
                <w:sz w:val="20"/>
              </w:rPr>
              <w:t xml:space="default"> 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Brightest 10h mean</w:t>
            </w:r>
            <w:r>
              <w:rPr>
                <w:vertAlign w:val="superscript"/>
                <w:i/>
                <w:rFonts w:ascii="Calibri" w:hAnsi="Calibri"/>
                <w:sz w:val="20"/>
              </w:rPr>
              <w:t xml:space="default">3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preserve">M10</w:t>
            </w:r>
            {\sub 
            <w:r>
              <w:rPr>
                <w:rFonts w:ascii="Calibri" w:hAnsi="Calibri"/>
                <w:sz w:val="20"/>
              </w:rPr>
              <w:t xml:space="preserve">mean</w:t>
            </w:r>
            }
            <w:r>
              <w:rPr>
                <w:rFonts w:ascii="Calibri" w:hAnsi="Calibri"/>
                <w:sz w:val="20"/>
              </w:rPr>
              <w:t xml:space="preserve"> (lx)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&lt;strong&gt;149.7&lt;/strong&gt; ±208.2 (2.1 - 1,161.4)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 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Darkest 5h mean</w:t>
            </w:r>
            <w:r>
              <w:rPr>
                <w:vertAlign w:val="superscript"/>
                <w:i/>
                <w:rFonts w:ascii="Calibri" w:hAnsi="Calibri"/>
                <w:sz w:val="20"/>
              </w:rPr>
              <w:t xml:space="default">3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preserve">L5</w:t>
            </w:r>
            {\sub 
            <w:r>
              <w:rPr>
                <w:rFonts w:ascii="Calibri" w:hAnsi="Calibri"/>
                <w:sz w:val="20"/>
              </w:rPr>
              <w:t xml:space="preserve">mean</w:t>
            </w:r>
            }
            <w:r>
              <w:rPr>
                <w:rFonts w:ascii="Calibri" w:hAnsi="Calibri"/>
                <w:sz w:val="20"/>
              </w:rPr>
              <w:t xml:space="preserve"> (lx)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&lt;strong&gt;0.0&lt;/strong&gt; ±0.2 (0.0 - 2.1)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 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Interdaily stability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preserve">IS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&lt;strong&gt;0.330&lt;/strong&gt; ±0.100 (0.170 - 0.508)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 </w:t>
            </w:r>
          </w:p>
        </w:tc>
      </w:tr>
      <w:tr>
        <w:trPr>
          <w:cantSplit/>
        </w:trPr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Intradaily variability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preserve">IV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start"/>
            </w:pPr>
            <w:r>
              <w:rPr>
                <w:rFonts w:ascii="Calibri" w:hAnsi="Calibri"/>
                <w:sz w:val="20"/>
              </w:rPr>
              <w:t xml:space="default">&lt;strong&gt;1.159&lt;/strong&gt; ±0.377 (0.518 - 1.871)</w:t>
            </w:r>
          </w:p>
        </w:tc>
        <w:tc>
          <w:tcPr>
            <w:tcBorders>
              <w:top w:val="single" w:space="0" w:color="D3D3D3"/>
              <w:bottom w:val="single" w:space="0" w:color="D3D3D3"/>
              <w:start w:val="single" w:space="0" w:color="D3D3D3"/>
              <w:end w:val="single" w:space="0" w:color="D3D3D3"/>
            </w:tcBorders>
          </w:tcPr>
          <w:p>
            <w:pPr>
              <w:spacing w:before="0" w:after="60"/>
              <w:keepNext/>
              <w:jc w:val="end"/>
            </w:pPr>
            <w:r>
              <w:rPr>
                <w:rFonts w:ascii="Calibri" w:hAnsi="Calibri"/>
                <w:sz w:val="20"/>
              </w:rPr>
              <w:t xml:space="default"> </w:t>
            </w:r>
          </w:p>
        </w:tc>
      </w:tr>
      <w:tr>
        <w:trPr>
          <w:cantSplit/>
        </w:trPr>
        <w:tc>
          <w:tcPr>
            <w:gridSpan w:val="4"/>
          </w:tcPr>
          <w:p>
            <w:pPr>
              <w:spacing w:before="0" w:after="60"/>
              <w:keepNext/>
            </w:pPr>
            <w:r>
              <w:rPr>
                <w:rFonts w:ascii="Calibri" w:hAnsi="Calibri"/>
                <w:sz w:val="20"/>
              </w:rPr>
              <w:t xml:space="default">values show: **mean** ±sd (min - max) and are all based on measurements of melanopic EDI (lx)</w:t>
            </w:r>
          </w:p>
        </w:tc>
      </w:tr>
      <w:tr>
        <w:trPr>
          <w:cantSplit/>
        </w:trPr>
        <w:tc>
          <w:tcPr>
            <w:gridSpan w:val="4"/>
          </w:tcPr>
          <w:p>
            <w:pPr>
              <w:spacing w:before="0" w:after="60"/>
              <w:keepNext/>
            </w:pPr>
            <w:r>
              <w:rPr>
                <w:vertAlign w:val="superscript"/>
                <w:i/>
                <w:rFonts w:ascii="Calibri" w:hAnsi="Calibri"/>
                <w:sz w:val="20"/>
              </w:rPr>
              <w:t xml:space="default">1</w:t>
            </w:r>
            <w:r>
              <w:rPr>
                <w:rFonts w:ascii="Calibri" w:hAnsi="Calibri"/>
                <w:sz w:val="20"/>
              </w:rPr>
              <w:t xml:space="default">Histogram limits are set from 00:00 to 24:00</w:t>
            </w:r>
          </w:p>
        </w:tc>
      </w:tr>
      <w:tr>
        <w:trPr>
          <w:cantSplit/>
        </w:trPr>
        <w:tc>
          <w:tcPr>
            <w:gridSpan w:val="4"/>
          </w:tcPr>
          <w:p>
            <w:pPr>
              <w:spacing w:before="0" w:after="60"/>
              <w:keepNext/>
            </w:pPr>
            <w:r>
              <w:rPr>
                <w:vertAlign w:val="superscript"/>
                <w:i/>
                <w:rFonts w:ascii="Calibri" w:hAnsi="Calibri"/>
                <w:sz w:val="20"/>
              </w:rPr>
              <w:t xml:space="default">2</w:t>
            </w:r>
            <w:r>
              <w:rPr>
                <w:rFonts w:ascii="Calibri" w:hAnsi="Calibri"/>
                <w:sz w:val="20"/>
              </w:rPr>
              <w:t xml:space="default">Metrics are calculated on a by-participant-day basis (n=156) with the exception of IV and IS, which are calculated on a by-participant basis (n=26).</w:t>
            </w:r>
          </w:p>
        </w:tc>
      </w:tr>
      <w:tr>
        <w:trPr>
          <w:cantSplit/>
        </w:trPr>
        <w:tc>
          <w:tcPr>
            <w:gridSpan w:val="4"/>
          </w:tcPr>
          <w:p>
            <w:pPr>
              <w:spacing w:before="0" w:after="60"/>
              <w:keepNext/>
            </w:pPr>
            <w:r>
              <w:rPr>
                <w:vertAlign w:val="superscript"/>
                <w:i/>
                <w:rFonts w:ascii="Calibri" w:hAnsi="Calibri"/>
                <w:sz w:val="20"/>
              </w:rPr>
              <w:t xml:space="default">3</w:t>
            </w:r>
            <w:r>
              <w:rPr>
                <w:rFonts w:ascii="Calibri" w:hAnsi="Calibri"/>
                <w:sz w:val="20"/>
              </w:rPr>
              <w:t xml:space="default">Values were log 10 transformed prior to averaging, with an offset of 0.1, and backtransformed afterwards</w:t>
            </w:r>
          </w:p>
        </w:tc>
      </w:tr>
    </w:tbl>
    <w:p>
      <w:pPr>
        <w:pStyle w:val="FirstParagraph"/>
      </w:pPr>
    </w:p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2026-03-17T11:25:24Z</dcterms:created>
  <dcterms:modified xsi:type="dcterms:W3CDTF">2026-03-17T11:25:24Z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