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1D9E75" w:sz="12" w:space="4"/>
        </w:pBdr>
        <w:spacing w:after="0" w:before="0"/>
      </w:pPr>
      <w:r>
        <w:rPr>
          <w:rFonts w:ascii="Arial" w:cs="Arial" w:eastAsia="Arial" w:hAnsi="Arial"/>
          <w:b/>
          <w:bCs/>
          <w:color w:val="0A2540"/>
          <w:sz w:val="32"/>
          <w:szCs w:val="32"/>
        </w:rPr>
        <w:t xml:space="preserve">QUANTUM CLARITY LLC</w:t>
      </w:r>
    </w:p>
    <w:p>
      <w:pPr>
        <w:spacing w:after="60" w:before="40"/>
      </w:pPr>
      <w:r>
        <w:rPr>
          <w:rFonts w:ascii="Arial" w:cs="Arial" w:eastAsia="Arial" w:hAnsi="Arial"/>
          <w:i/>
          <w:iCs/>
          <w:color w:val="1D9E75"/>
          <w:sz w:val="17"/>
          <w:szCs w:val="17"/>
        </w:rPr>
        <w:t xml:space="preserve">ELSD Platform  ·  Helios  ·  Energy Materials Electronic Landscape Diagnostics</w:t>
      </w:r>
    </w:p>
    <w:p>
      <w:pPr>
        <w:spacing w:after="40" w:before="120"/>
      </w:pPr>
      <w:r>
        <w:rPr>
          <w:rFonts w:ascii="Arial" w:cs="Arial" w:eastAsia="Arial" w:hAnsi="Arial"/>
          <w:b/>
          <w:bCs/>
          <w:color w:val="0A2540"/>
          <w:sz w:val="30"/>
          <w:szCs w:val="30"/>
        </w:rPr>
        <w:t xml:space="preserve">LLZO Solid-State Electrolyte Pressure Sweep</w:t>
      </w:r>
    </w:p>
    <w:p>
      <w:pPr>
        <w:spacing w:after="40" w:before="0"/>
      </w:pPr>
      <w:r>
        <w:rPr>
          <w:rFonts w:ascii="Arial" w:cs="Arial" w:eastAsia="Arial" w:hAnsi="Arial"/>
          <w:color w:val="1D9E75"/>
          <w:sz w:val="22"/>
          <w:szCs w:val="22"/>
        </w:rPr>
        <w:t xml:space="preserve">VQE Ensemble Electronic Landscape Diagnostics: Pressure-Induced Stabilization, Vacancy-Driven Roughening, and Unexpected d⁰ Bifurcation in Li₇La₃Zr₂O₁₂</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Platform:</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ELSD / Helios — Energy Materials Electronic Landscape Diagnostics</w:t>
            </w:r>
          </w:p>
        </w:tc>
      </w:tr>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Authors:</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Amit Brahmbhatt, Quantum Clarity LLC</w:t>
            </w:r>
          </w:p>
        </w:tc>
      </w:tr>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Date:</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March 2026</w:t>
            </w:r>
          </w:p>
        </w:tc>
      </w:tr>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Material:</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Li₇La₃Zr₂O₁₂ (LLZO) — solid-state electrolyte, Zr–O₄–Li cluster model</w:t>
            </w:r>
          </w:p>
        </w:tc>
      </w:tr>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Active Space:</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10e/10o, 20 qubits, UCCSD, LANL2DZ/6-31G mixed basis</w:t>
            </w:r>
          </w:p>
        </w:tc>
      </w:tr>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Hardware:</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NVIDIA L40S GPU</w:t>
            </w:r>
          </w:p>
        </w:tc>
      </w:tr>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Seeds:</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150 total (15 per arm × 10 arms: 5 compression levels × 2 Li states)</w:t>
            </w:r>
          </w:p>
        </w:tc>
      </w:tr>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Drift:</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0.00 (single Hamiltonian per condition)</w:t>
            </w:r>
          </w:p>
        </w:tc>
      </w:tr>
      <w:tr>
        <w:tc>
          <w:tcPr>
            <w:tcW w:type="dxa" w:w="200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b/>
                <w:bCs/>
                <w:color w:val="0A2540"/>
                <w:sz w:val="18"/>
                <w:szCs w:val="18"/>
              </w:rPr>
              <w:t xml:space="preserve">License:</w:t>
            </w:r>
          </w:p>
        </w:tc>
        <w:tc>
          <w:tcPr>
            <w:tcW w:type="dxa" w:w="7360"/>
            <w:tcBorders>
              <w:top w:val="none"/>
              <w:left w:val="none"/>
              <w:bottom w:val="none"/>
              <w:right w:val="none"/>
            </w:tcBorders>
            <w:shd w:fill="F1EFE8" w:val="clear"/>
            <w:tcMar>
              <w:top w:type="dxa" w:w="50"/>
              <w:left w:type="dxa" w:w="100"/>
              <w:bottom w:type="dxa" w:w="50"/>
              <w:right w:type="dxa" w:w="80"/>
            </w:tcMar>
          </w:tcPr>
          <w:p>
            <w:r>
              <w:rPr>
                <w:rFonts w:ascii="Arial" w:cs="Arial" w:eastAsia="Arial" w:hAnsi="Arial"/>
                <w:color w:val="2C2C2A"/>
                <w:sz w:val="18"/>
                <w:szCs w:val="18"/>
              </w:rPr>
              <w:t xml:space="preserve">CC BY 4.0</w:t>
            </w:r>
          </w:p>
        </w:tc>
      </w:tr>
    </w:tbl>
    <w:p>
      <w:pPr>
        <w:spacing w:after="0" w:before="0"/>
      </w:pPr>
      <w:r>
        <w:t xml:space="preserve"/>
      </w:r>
    </w:p>
    <w:p>
      <w:pPr>
        <w:pBdr>
          <w:bottom w:val="single" w:color="1D9E75" w:sz="8" w:space="2"/>
        </w:pBdr>
        <w:spacing w:after="80" w:before="280"/>
      </w:pPr>
      <w:r>
        <w:rPr>
          <w:rFonts w:ascii="Arial" w:cs="Arial" w:eastAsia="Arial" w:hAnsi="Arial"/>
          <w:b/>
          <w:bCs/>
          <w:color w:val="0A2540"/>
          <w:sz w:val="26"/>
          <w:szCs w:val="26"/>
        </w:rPr>
        <w:t xml:space="preserve">Abstract</w:t>
      </w:r>
    </w:p>
    <w:p>
      <w:pPr>
        <w:spacing w:after="60" w:before="40"/>
      </w:pPr>
      <w:r>
        <w:rPr>
          <w:rFonts w:ascii="Arial" w:cs="Arial" w:eastAsia="Arial" w:hAnsi="Arial"/>
          <w:color w:val="2C2C2A"/>
          <w:sz w:val="20"/>
          <w:szCs w:val="20"/>
        </w:rPr>
        <w:t xml:space="preserve">We report VQE ensemble electronic landscape diagnostics on a minimal cluster model of LLZO (Li₇La₃Zr₂O₁₂) solid-state electrolyte under isotropic Zr–O bond compression representing battery stack pressure conditions. Using the ELSD Helios platform (15 seeds per arm, 150 seeds total across 5 compression levels × 2 lithiation states), we characterise the electronic landscape ruggedness (σ), trapped fraction, and basin structure of the Zr–O₄–Li coordination cluster as a function of mechanical loading.</w:t>
      </w:r>
    </w:p>
    <w:p>
      <w:pPr>
        <w:spacing w:after="60" w:before="40"/>
      </w:pPr>
      <w:r>
        <w:rPr>
          <w:rFonts w:ascii="Arial" w:cs="Arial" w:eastAsia="Arial" w:hAnsi="Arial"/>
          <w:color w:val="2C2C2A"/>
          <w:sz w:val="20"/>
          <w:szCs w:val="20"/>
        </w:rPr>
        <w:t xml:space="preserve">Two unexpected and scientifically significant findings emerge. First, the Li-present (Li1) series exhibits clear pressure stabilisation: σ decreases monotonically from 34.25 kcal/mol at baseline to 3.94 kcal/mol at maximum compression (P4, Zr–O = 1.890 Å), a 0.115× ratio. Second, and in direct contrast, the Li-absent vacancy (Li0) series exhibits pressure-driven roughening: σ increases from 2.57 kcal/mol to 6.23 kcal/mol (2.421× ratio at P4). A crossover occurs at P4 — the first compression level where Li0 σ exceeds Li1 σ — indicating that the combination of lithium vacancy and mechanical compression creates a synergistic electronic roughening effect at the Zr site.</w:t>
      </w:r>
    </w:p>
    <w:p>
      <w:pPr>
        <w:spacing w:after="60" w:before="40"/>
      </w:pPr>
      <w:r>
        <w:rPr>
          <w:rFonts w:ascii="Arial" w:cs="Arial" w:eastAsia="Arial" w:hAnsi="Arial"/>
          <w:color w:val="2C2C2A"/>
          <w:sz w:val="20"/>
          <w:szCs w:val="20"/>
        </w:rPr>
        <w:t xml:space="preserve">A third finding, unexpected for a formal d⁰ system (Zr⁴⁺), is the detection of multi-basin structure (basins = 2–3) in several arms of the Li1 series at low-to-moderate compression, with inter-basin gaps (IBG) up to 47.7 kcal/mol. This is not predicted by the d⁰ rigidity framework and warrants N=35 confirmation. If confirmed, it represents the first computational evidence of pressure-driven electronic reorganisation in a formally empty d-manifold garnet oxide.</w:t>
      </w:r>
    </w:p>
    <w:p>
      <w:pPr>
        <w:spacing w:after="60" w:before="40"/>
      </w:pPr>
      <w:r>
        <w:rPr>
          <w:rFonts w:ascii="Arial" w:cs="Arial" w:eastAsia="Arial" w:hAnsi="Arial"/>
          <w:color w:val="2C2C2A"/>
          <w:sz w:val="20"/>
          <w:szCs w:val="20"/>
        </w:rPr>
        <w:t xml:space="preserve">We additionally report the pre-run experimental design and falsifiable predictions for a subsequent dopant screening run (Al³⁺, Ga³⁺, Ta⁵⁺, Nb⁵⁺ at the Zr site) to determine whether supervalent dopants suppress the charge-transfer resonance identified in the P4_Li0 arm. Results from the dopant screening run will be reported in a companion dataset.</w:t>
      </w:r>
    </w:p>
    <w:p>
      <w:pPr>
        <w:spacing w:after="0" w:before="0"/>
      </w:pPr>
      <w:r>
        <w:t xml:space="preserve"/>
      </w:r>
    </w:p>
    <w:p>
      <w:pPr>
        <w:pBdr>
          <w:bottom w:val="single" w:color="1D9E75" w:sz="8" w:space="2"/>
        </w:pBdr>
        <w:spacing w:after="80" w:before="280"/>
      </w:pPr>
      <w:r>
        <w:rPr>
          <w:rFonts w:ascii="Arial" w:cs="Arial" w:eastAsia="Arial" w:hAnsi="Arial"/>
          <w:b/>
          <w:bCs/>
          <w:color w:val="0A2540"/>
          <w:sz w:val="26"/>
          <w:szCs w:val="26"/>
        </w:rPr>
        <w:t xml:space="preserve">Scientific Context and Motivation</w:t>
      </w:r>
    </w:p>
    <w:p>
      <w:pPr>
        <w:spacing w:after="60" w:before="40"/>
      </w:pPr>
      <w:r>
        <w:rPr>
          <w:rFonts w:ascii="Arial" w:cs="Arial" w:eastAsia="Arial" w:hAnsi="Arial"/>
          <w:color w:val="2C2C2A"/>
          <w:sz w:val="20"/>
          <w:szCs w:val="20"/>
        </w:rPr>
        <w:t xml:space="preserve">LLZO is the leading ceramic solid-state electrolyte candidate for next-generation solid-state batteries, offering a wide electrochemical window, high theoretical Li-ion conductivity, and mechanical stability. In practical cell configurations (wound pouch, stacked coin), LLZO operates under continuous mechanical stack pressure ranging from tens to hundreds of MPa, applied to maintain interfacial contact and reduce void formation at the electrode-electrolyte interface.</w:t>
      </w:r>
    </w:p>
    <w:p>
      <w:pPr>
        <w:spacing w:after="60" w:before="40"/>
      </w:pPr>
      <w:r>
        <w:rPr>
          <w:rFonts w:ascii="Arial" w:cs="Arial" w:eastAsia="Arial" w:hAnsi="Arial"/>
          <w:color w:val="2C2C2A"/>
          <w:sz w:val="20"/>
          <w:szCs w:val="20"/>
        </w:rPr>
        <w:t xml:space="preserve">Prior computational work on LLZO has focused primarily on bulk DFT for ionic conductivity and mechanical moduli, with some attention to dopant effects on phase stability (cubic vs. tetragonal) and activation energy for Li hopping. Electronic structure at the Zr site under compression has not been characterised at the multi-seed VQE ensemble level. In particular, the question of whether the Zr–O₄ coordination shell exhibits electronic landscape roughening — the same diagnostic used to identify bifurcation risk in Ni-rich NMC cathodes — has not been addressed.</w:t>
      </w:r>
    </w:p>
    <w:p>
      <w:pPr>
        <w:spacing w:after="60" w:before="40"/>
      </w:pPr>
      <w:r>
        <w:rPr>
          <w:rFonts w:ascii="Arial" w:cs="Arial" w:eastAsia="Arial" w:hAnsi="Arial"/>
          <w:color w:val="2C2C2A"/>
          <w:sz w:val="20"/>
          <w:szCs w:val="20"/>
        </w:rPr>
        <w:t xml:space="preserve">This dataset extends the ELSD Helios platform from cathode materials (NMC811 series) to electrolyte materials, testing whether the electronic landscape diagnostic is cross-system: applicable to both JT-active cathode systems (where the perturbation is angular distortion) and pressure-driven electrolyte systems (where the perturbation is isotropic bond compression). The framework for this extension was developed following the NMC811 canonical results, which identified four electronic regimes correlated with dopant identity and d-electron configuration.</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Experimental Design</w:t>
      </w:r>
    </w:p>
    <w:p>
      <w:pPr>
        <w:spacing w:after="60" w:before="180"/>
      </w:pPr>
      <w:r>
        <w:rPr>
          <w:rFonts w:ascii="Arial" w:cs="Arial" w:eastAsia="Arial" w:hAnsi="Arial"/>
          <w:b/>
          <w:bCs/>
          <w:color w:val="1D9E75"/>
          <w:sz w:val="22"/>
          <w:szCs w:val="22"/>
        </w:rPr>
        <w:t xml:space="preserve">Cluster Model</w:t>
      </w:r>
    </w:p>
    <w:p>
      <w:pPr>
        <w:spacing w:after="60" w:before="40"/>
      </w:pPr>
      <w:r>
        <w:rPr>
          <w:rFonts w:ascii="Arial" w:cs="Arial" w:eastAsia="Arial" w:hAnsi="Arial"/>
          <w:color w:val="2C2C2A"/>
          <w:sz w:val="20"/>
          <w:szCs w:val="20"/>
        </w:rPr>
        <w:t xml:space="preserve">The cluster is a Zr–O₄–Li fragment (Li1 series) or Zr–O₄ fragment (Li0 series) — the local coordination shell around the Zr site in the LLZO garnet structure. This captures the electrochemically active environment where Li ions hop between adjacent sites. The model follows the minimal fragment approach used throughout the ELSD platform: sufficient to capture the relevant electronic physics while remaining computationally tractable at the VQE ensemble level.</w:t>
      </w:r>
    </w:p>
    <w:p>
      <w:pPr>
        <w:spacing w:after="60" w:before="180"/>
      </w:pPr>
      <w:r>
        <w:rPr>
          <w:rFonts w:ascii="Arial" w:cs="Arial" w:eastAsia="Arial" w:hAnsi="Arial"/>
          <w:b/>
          <w:bCs/>
          <w:color w:val="1D9E75"/>
          <w:sz w:val="22"/>
          <w:szCs w:val="22"/>
        </w:rPr>
        <w:t xml:space="preserve">Perturbation: Isotropic Zr–O Bond Compression</w:t>
      </w:r>
    </w:p>
    <w:p>
      <w:pPr>
        <w:spacing w:after="60" w:before="40"/>
      </w:pPr>
      <w:r>
        <w:rPr>
          <w:rFonts w:ascii="Arial" w:cs="Arial" w:eastAsia="Arial" w:hAnsi="Arial"/>
          <w:color w:val="2C2C2A"/>
          <w:sz w:val="20"/>
          <w:szCs w:val="20"/>
        </w:rPr>
        <w:t xml:space="preserve">Five compression amplitudes were applied as scale factors on the equilibrium Zr–O bond length (2.100 Å):</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200"/>
        <w:gridCol w:w="1600"/>
        <w:gridCol w:w="5360"/>
      </w:tblGrid>
      <w:tr>
        <w:tc>
          <w:tcPr>
            <w:tcW w:type="dxa" w:w="12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Arm</w:t>
            </w:r>
          </w:p>
        </w:tc>
        <w:tc>
          <w:tcPr>
            <w:tcW w:type="dxa" w:w="12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Scale</w:t>
            </w:r>
          </w:p>
        </w:tc>
        <w:tc>
          <w:tcPr>
            <w:tcW w:type="dxa" w:w="16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Zr–O (Å)</w:t>
            </w:r>
          </w:p>
        </w:tc>
        <w:tc>
          <w:tcPr>
            <w:tcW w:type="dxa" w:w="536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Physical analog</w:t>
            </w:r>
          </w:p>
        </w:tc>
      </w:tr>
      <w:tr>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Courier New" w:cs="Courier New" w:eastAsia="Courier New" w:hAnsi="Courier New"/>
                <w:b/>
                <w:bCs/>
                <w:color w:val="0A2540"/>
                <w:sz w:val="17"/>
                <w:szCs w:val="17"/>
              </w:rPr>
              <w:t xml:space="preserve">B0</w:t>
            </w:r>
          </w:p>
        </w:tc>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1.000×</w:t>
            </w:r>
          </w:p>
        </w:tc>
        <w:tc>
          <w:tcPr>
            <w:tcW w:type="dxa" w:w="16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2.100 Å</w:t>
            </w:r>
          </w:p>
        </w:tc>
        <w:tc>
          <w:tcPr>
            <w:tcW w:type="dxa" w:w="53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Equilibrium / no stack pressure</w:t>
            </w:r>
          </w:p>
        </w:tc>
      </w:tr>
      <w:tr>
        <w:tc>
          <w:tcPr>
            <w:tcW w:type="dxa" w:w="1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Courier New" w:cs="Courier New" w:eastAsia="Courier New" w:hAnsi="Courier New"/>
                <w:b/>
                <w:bCs/>
                <w:color w:val="0A2540"/>
                <w:sz w:val="17"/>
                <w:szCs w:val="17"/>
              </w:rPr>
              <w:t xml:space="preserve">P1</w:t>
            </w:r>
          </w:p>
        </w:tc>
        <w:tc>
          <w:tcPr>
            <w:tcW w:type="dxa" w:w="1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0.980×</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2.058 Å</w:t>
            </w:r>
          </w:p>
        </w:tc>
        <w:tc>
          <w:tcPr>
            <w:tcW w:type="dxa" w:w="53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Arial" w:cs="Arial" w:eastAsia="Arial" w:hAnsi="Arial"/>
                <w:i/>
                <w:iCs/>
                <w:color w:val="5F5E5A"/>
                <w:sz w:val="17"/>
                <w:szCs w:val="17"/>
              </w:rPr>
              <w:t xml:space="preserve">Mild compression (~20–50 MPa analog)</w:t>
            </w:r>
          </w:p>
        </w:tc>
      </w:tr>
      <w:tr>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Courier New" w:cs="Courier New" w:eastAsia="Courier New" w:hAnsi="Courier New"/>
                <w:b/>
                <w:bCs/>
                <w:color w:val="0A2540"/>
                <w:sz w:val="17"/>
                <w:szCs w:val="17"/>
              </w:rPr>
              <w:t xml:space="preserve">P2</w:t>
            </w:r>
          </w:p>
        </w:tc>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0.950×</w:t>
            </w:r>
          </w:p>
        </w:tc>
        <w:tc>
          <w:tcPr>
            <w:tcW w:type="dxa" w:w="16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1.995 Å</w:t>
            </w:r>
          </w:p>
        </w:tc>
        <w:tc>
          <w:tcPr>
            <w:tcW w:type="dxa" w:w="53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Moderate compression</w:t>
            </w:r>
          </w:p>
        </w:tc>
      </w:tr>
      <w:tr>
        <w:tc>
          <w:tcPr>
            <w:tcW w:type="dxa" w:w="1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Courier New" w:cs="Courier New" w:eastAsia="Courier New" w:hAnsi="Courier New"/>
                <w:b/>
                <w:bCs/>
                <w:color w:val="0A2540"/>
                <w:sz w:val="17"/>
                <w:szCs w:val="17"/>
              </w:rPr>
              <w:t xml:space="preserve">P3</w:t>
            </w:r>
          </w:p>
        </w:tc>
        <w:tc>
          <w:tcPr>
            <w:tcW w:type="dxa" w:w="1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0.920×</w:t>
            </w:r>
          </w:p>
        </w:tc>
        <w:tc>
          <w:tcPr>
            <w:tcW w:type="dxa" w:w="16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1.932 Å</w:t>
            </w:r>
          </w:p>
        </w:tc>
        <w:tc>
          <w:tcPr>
            <w:tcW w:type="dxa" w:w="53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Arial" w:cs="Arial" w:eastAsia="Arial" w:hAnsi="Arial"/>
                <w:i/>
                <w:iCs/>
                <w:color w:val="5F5E5A"/>
                <w:sz w:val="17"/>
                <w:szCs w:val="17"/>
              </w:rPr>
              <w:t xml:space="preserve">High compression</w:t>
            </w:r>
          </w:p>
        </w:tc>
      </w:tr>
      <w:tr>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Courier New" w:cs="Courier New" w:eastAsia="Courier New" w:hAnsi="Courier New"/>
                <w:b/>
                <w:bCs/>
                <w:color w:val="0A2540"/>
                <w:sz w:val="17"/>
                <w:szCs w:val="17"/>
              </w:rPr>
              <w:t xml:space="preserve">P4</w:t>
            </w:r>
          </w:p>
        </w:tc>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0.900×</w:t>
            </w:r>
          </w:p>
        </w:tc>
        <w:tc>
          <w:tcPr>
            <w:tcW w:type="dxa" w:w="16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1.890 Å</w:t>
            </w:r>
          </w:p>
        </w:tc>
        <w:tc>
          <w:tcPr>
            <w:tcW w:type="dxa" w:w="53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Maximum compression (~stack pressure limit)</w:t>
            </w:r>
          </w:p>
        </w:tc>
      </w:tr>
    </w:tbl>
    <w:p>
      <w:pPr>
        <w:spacing w:after="0" w:before="0"/>
      </w:pPr>
      <w:r>
        <w:t xml:space="preserve"/>
      </w:r>
    </w:p>
    <w:p>
      <w:pPr>
        <w:spacing w:after="60" w:before="180"/>
      </w:pPr>
      <w:r>
        <w:rPr>
          <w:rFonts w:ascii="Arial" w:cs="Arial" w:eastAsia="Arial" w:hAnsi="Arial"/>
          <w:b/>
          <w:bCs/>
          <w:color w:val="1D9E75"/>
          <w:sz w:val="22"/>
          <w:szCs w:val="22"/>
        </w:rPr>
        <w:t xml:space="preserve">Lithiation States</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Li1 (Li-present, singlet): Zr–O₄–Li cluster. Models the bulk-like Li-occupied site.</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Li0 (Li-absent vacancy, doublet): Zr–O₄ cluster, charge +1. Models the Li-vacancy state arising during delithiation or under high ionic current.</w:t>
      </w:r>
    </w:p>
    <w:p>
      <w:pPr>
        <w:spacing w:after="60" w:before="180"/>
      </w:pPr>
      <w:r>
        <w:rPr>
          <w:rFonts w:ascii="Arial" w:cs="Arial" w:eastAsia="Arial" w:hAnsi="Arial"/>
          <w:b/>
          <w:bCs/>
          <w:color w:val="1D9E75"/>
          <w:sz w:val="22"/>
          <w:szCs w:val="22"/>
        </w:rPr>
        <w:t xml:space="preserve">Computational Parameters</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Active space: 10 electrons / 10 orbitals (10e/10o)</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Qubits: 20</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Ansatz: UCCSD, depth 6</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Basis: LANL2DZ (Zr, ECP) / 6-31G (O, Li)</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Seeds: 15 per arm (150 total), independent random initialisation</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Optimizer: COBYLA</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Platform: NVIDIA L40S GPU</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Drift: 0.00 (single Hamiltonian per condition — no inter-seed Hamiltonian variation)</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Run date: March 2026</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Frozen Core Reference Ladder</w:t>
      </w:r>
    </w:p>
    <w:p>
      <w:pPr>
        <w:spacing w:after="60" w:before="40"/>
      </w:pPr>
      <w:r>
        <w:rPr>
          <w:rFonts w:ascii="Arial" w:cs="Arial" w:eastAsia="Arial" w:hAnsi="Arial"/>
          <w:color w:val="2C2C2A"/>
          <w:sz w:val="20"/>
          <w:szCs w:val="20"/>
        </w:rPr>
        <w:t xml:space="preserve">Classical frozen-core reference energies (Hartree) for all 10 arms, confirming correct Hamiltonian construction and monotonic energy response to compression:</w:t>
      </w:r>
    </w:p>
    <w:p>
      <w:pPr>
        <w:spacing w:after="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200"/>
        <w:gridCol w:w="5760"/>
      </w:tblGrid>
      <w:tr>
        <w:tc>
          <w:tcPr>
            <w:tcW w:type="dxa" w:w="14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Arm</w:t>
            </w:r>
          </w:p>
        </w:tc>
        <w:tc>
          <w:tcPr>
            <w:tcW w:type="dxa" w:w="22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pPr>
              <w:jc w:val="center"/>
            </w:pPr>
            <w:r>
              <w:rPr>
                <w:rFonts w:ascii="Arial" w:cs="Arial" w:eastAsia="Arial" w:hAnsi="Arial"/>
                <w:b/>
                <w:bCs/>
                <w:color w:val="FFFFFF"/>
                <w:sz w:val="18"/>
                <w:szCs w:val="18"/>
              </w:rPr>
              <w:t xml:space="preserve">FC Reference (Ha)</w:t>
            </w:r>
          </w:p>
        </w:tc>
        <w:tc>
          <w:tcPr>
            <w:tcW w:type="dxa" w:w="576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Notes</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Courier New" w:cs="Courier New" w:eastAsia="Courier New" w:hAnsi="Courier New"/>
                <w:color w:val="3C3489"/>
                <w:sz w:val="17"/>
                <w:szCs w:val="17"/>
              </w:rPr>
              <w:t xml:space="preserve">B0_Li1</w:t>
            </w:r>
          </w:p>
        </w:tc>
        <w:tc>
          <w:tcPr>
            <w:tcW w:type="dxa" w:w="2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-331.614900</w:t>
            </w:r>
          </w:p>
        </w:tc>
        <w:tc>
          <w:tcPr>
            <w:tcW w:type="dxa" w:w="57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Zr–O = 2.100 Å  |  Equilibrium, Li-present</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Courier New" w:cs="Courier New" w:eastAsia="Courier New" w:hAnsi="Courier New"/>
                <w:color w:val="3C3489"/>
                <w:sz w:val="17"/>
                <w:szCs w:val="17"/>
              </w:rPr>
              <w:t xml:space="preserve">B0_Li0</w:t>
            </w:r>
          </w:p>
        </w:tc>
        <w:tc>
          <w:tcPr>
            <w:tcW w:type="dxa" w:w="2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-320.226500</w:t>
            </w:r>
          </w:p>
        </w:tc>
        <w:tc>
          <w:tcPr>
            <w:tcW w:type="dxa" w:w="57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Arial" w:cs="Arial" w:eastAsia="Arial" w:hAnsi="Arial"/>
                <w:i/>
                <w:iCs/>
                <w:color w:val="5F5E5A"/>
                <w:sz w:val="17"/>
                <w:szCs w:val="17"/>
              </w:rPr>
              <w:t xml:space="preserve">Zr–O = 2.100 Å  |  Equilibrium, Li-vacancy</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Courier New" w:cs="Courier New" w:eastAsia="Courier New" w:hAnsi="Courier New"/>
                <w:color w:val="3C3489"/>
                <w:sz w:val="17"/>
                <w:szCs w:val="17"/>
              </w:rPr>
              <w:t xml:space="preserve">P1_Li1</w:t>
            </w:r>
          </w:p>
        </w:tc>
        <w:tc>
          <w:tcPr>
            <w:tcW w:type="dxa" w:w="2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-331.109700</w:t>
            </w:r>
          </w:p>
        </w:tc>
        <w:tc>
          <w:tcPr>
            <w:tcW w:type="dxa" w:w="57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Zr–O = 2.058 Å  |  P1 compression, Li-present</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Courier New" w:cs="Courier New" w:eastAsia="Courier New" w:hAnsi="Courier New"/>
                <w:color w:val="3C3489"/>
                <w:sz w:val="17"/>
                <w:szCs w:val="17"/>
              </w:rPr>
              <w:t xml:space="preserve">P1_Li0</w:t>
            </w:r>
          </w:p>
        </w:tc>
        <w:tc>
          <w:tcPr>
            <w:tcW w:type="dxa" w:w="2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-320.135300</w:t>
            </w:r>
          </w:p>
        </w:tc>
        <w:tc>
          <w:tcPr>
            <w:tcW w:type="dxa" w:w="57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Arial" w:cs="Arial" w:eastAsia="Arial" w:hAnsi="Arial"/>
                <w:i/>
                <w:iCs/>
                <w:color w:val="5F5E5A"/>
                <w:sz w:val="17"/>
                <w:szCs w:val="17"/>
              </w:rPr>
              <w:t xml:space="preserve">Zr–O = 2.058 Å  |  P1 compression, Li-vacancy</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Courier New" w:cs="Courier New" w:eastAsia="Courier New" w:hAnsi="Courier New"/>
                <w:color w:val="3C3489"/>
                <w:sz w:val="17"/>
                <w:szCs w:val="17"/>
              </w:rPr>
              <w:t xml:space="preserve">P2_Li1</w:t>
            </w:r>
          </w:p>
        </w:tc>
        <w:tc>
          <w:tcPr>
            <w:tcW w:type="dxa" w:w="2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-330.738900</w:t>
            </w:r>
          </w:p>
        </w:tc>
        <w:tc>
          <w:tcPr>
            <w:tcW w:type="dxa" w:w="57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Zr–O = 1.995 Å  |  P2 compression, Li-present</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Courier New" w:cs="Courier New" w:eastAsia="Courier New" w:hAnsi="Courier New"/>
                <w:color w:val="3C3489"/>
                <w:sz w:val="17"/>
                <w:szCs w:val="17"/>
              </w:rPr>
              <w:t xml:space="preserve">P2_Li0</w:t>
            </w:r>
          </w:p>
        </w:tc>
        <w:tc>
          <w:tcPr>
            <w:tcW w:type="dxa" w:w="2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-319.465400</w:t>
            </w:r>
          </w:p>
        </w:tc>
        <w:tc>
          <w:tcPr>
            <w:tcW w:type="dxa" w:w="57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Arial" w:cs="Arial" w:eastAsia="Arial" w:hAnsi="Arial"/>
                <w:i/>
                <w:iCs/>
                <w:color w:val="5F5E5A"/>
                <w:sz w:val="17"/>
                <w:szCs w:val="17"/>
              </w:rPr>
              <w:t xml:space="preserve">Zr–O = 1.995 Å  |  P2 compression, Li-vacancy</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Courier New" w:cs="Courier New" w:eastAsia="Courier New" w:hAnsi="Courier New"/>
                <w:color w:val="3C3489"/>
                <w:sz w:val="17"/>
                <w:szCs w:val="17"/>
              </w:rPr>
              <w:t xml:space="preserve">P3_Li1</w:t>
            </w:r>
          </w:p>
        </w:tc>
        <w:tc>
          <w:tcPr>
            <w:tcW w:type="dxa" w:w="2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-330.578000</w:t>
            </w:r>
          </w:p>
        </w:tc>
        <w:tc>
          <w:tcPr>
            <w:tcW w:type="dxa" w:w="57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Zr–O = 1.932 Å  |  P3 compression, Li-present</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Courier New" w:cs="Courier New" w:eastAsia="Courier New" w:hAnsi="Courier New"/>
                <w:color w:val="3C3489"/>
                <w:sz w:val="17"/>
                <w:szCs w:val="17"/>
              </w:rPr>
              <w:t xml:space="preserve">P3_Li0</w:t>
            </w:r>
          </w:p>
        </w:tc>
        <w:tc>
          <w:tcPr>
            <w:tcW w:type="dxa" w:w="2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-319.085100</w:t>
            </w:r>
          </w:p>
        </w:tc>
        <w:tc>
          <w:tcPr>
            <w:tcW w:type="dxa" w:w="57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Arial" w:cs="Arial" w:eastAsia="Arial" w:hAnsi="Arial"/>
                <w:i/>
                <w:iCs/>
                <w:color w:val="5F5E5A"/>
                <w:sz w:val="17"/>
                <w:szCs w:val="17"/>
              </w:rPr>
              <w:t xml:space="preserve">Zr–O = 1.932 Å  |  P3 compression, Li-vacancy</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Courier New" w:cs="Courier New" w:eastAsia="Courier New" w:hAnsi="Courier New"/>
                <w:color w:val="3C3489"/>
                <w:sz w:val="17"/>
                <w:szCs w:val="17"/>
              </w:rPr>
              <w:t xml:space="preserve">P4_Li1</w:t>
            </w:r>
          </w:p>
        </w:tc>
        <w:tc>
          <w:tcPr>
            <w:tcW w:type="dxa" w:w="2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-329.796900</w:t>
            </w:r>
          </w:p>
        </w:tc>
        <w:tc>
          <w:tcPr>
            <w:tcW w:type="dxa" w:w="57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Zr–O = 1.890 Å  |  Maximum compression, Li-present</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Courier New" w:cs="Courier New" w:eastAsia="Courier New" w:hAnsi="Courier New"/>
                <w:color w:val="3C3489"/>
                <w:sz w:val="17"/>
                <w:szCs w:val="17"/>
              </w:rPr>
              <w:t xml:space="preserve">P4_Li0</w:t>
            </w:r>
          </w:p>
        </w:tc>
        <w:tc>
          <w:tcPr>
            <w:tcW w:type="dxa" w:w="2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-319.318000</w:t>
            </w:r>
          </w:p>
        </w:tc>
        <w:tc>
          <w:tcPr>
            <w:tcW w:type="dxa" w:w="57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r>
              <w:rPr>
                <w:rFonts w:ascii="Arial" w:cs="Arial" w:eastAsia="Arial" w:hAnsi="Arial"/>
                <w:i/>
                <w:iCs/>
                <w:color w:val="5F5E5A"/>
                <w:sz w:val="17"/>
                <w:szCs w:val="17"/>
              </w:rPr>
              <w:t xml:space="preserve">Zr–O = 1.890 Å  |  Maximum compression, Li-vacancy</w:t>
            </w:r>
          </w:p>
        </w:tc>
      </w:tr>
    </w:tbl>
    <w:p>
      <w:pPr>
        <w:spacing w:after="0" w:before="0"/>
      </w:pPr>
      <w:r>
        <w:t xml:space="preserve"/>
      </w:r>
    </w:p>
    <w:p>
      <w:pPr>
        <w:spacing w:after="60" w:before="40"/>
      </w:pPr>
      <w:r>
        <w:rPr>
          <w:rFonts w:ascii="Arial" w:cs="Arial" w:eastAsia="Arial" w:hAnsi="Arial"/>
          <w:i/>
          <w:iCs/>
          <w:color w:val="5F5E5A"/>
          <w:sz w:val="20"/>
          <w:szCs w:val="20"/>
        </w:rPr>
        <w:t xml:space="preserve">Li1 FC shift B0→P4: +1.818 Ha (compression strongly affects Zr–O–Li coordination).</w:t>
      </w:r>
    </w:p>
    <w:p>
      <w:pPr>
        <w:spacing w:after="60" w:before="40"/>
      </w:pPr>
      <w:r>
        <w:rPr>
          <w:rFonts w:ascii="Arial" w:cs="Arial" w:eastAsia="Arial" w:hAnsi="Arial"/>
          <w:i/>
          <w:iCs/>
          <w:color w:val="5F5E5A"/>
          <w:sz w:val="20"/>
          <w:szCs w:val="20"/>
        </w:rPr>
        <w:t xml:space="preserve">Li0 FC shift B0→P4: +0.909 Ha (Li1 shifts ~2× more, consistent with Li modulating the Zr electronic environment).</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Main Results: Full 10-Arm Ensemble</w:t>
      </w:r>
    </w:p>
    <w:p>
      <w:pPr>
        <w:spacing w:after="60" w:before="40"/>
      </w:pPr>
      <w:r>
        <w:rPr>
          <w:rFonts w:ascii="Arial" w:cs="Arial" w:eastAsia="Arial" w:hAnsi="Arial"/>
          <w:color w:val="2C2C2A"/>
          <w:sz w:val="20"/>
          <w:szCs w:val="20"/>
        </w:rPr>
        <w:t xml:space="preserve">Primary metrics: σ = inter-seed energy variance (kcal/mol, population standard deviation); Trapped = fraction of seeds &gt; 1 kcal/mol above global minimum; Basins = number of distinct energy clusters detected; IBG = inter-basin gap (kcal/mol); Px/B0 = σ ratio relative to baseline.</w:t>
      </w:r>
    </w:p>
    <w:p>
      <w:pPr>
        <w:spacing w:after="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500"/>
        <w:gridCol w:w="1000"/>
        <w:gridCol w:w="900"/>
        <w:gridCol w:w="900"/>
        <w:gridCol w:w="1200"/>
        <w:gridCol w:w="1460"/>
      </w:tblGrid>
      <w:tr>
        <w:tc>
          <w:tcPr>
            <w:tcW w:type="dxa" w:w="14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pPr>
              <w:jc w:val="left"/>
            </w:pPr>
            <w:r>
              <w:rPr>
                <w:rFonts w:ascii="Arial" w:cs="Arial" w:eastAsia="Arial" w:hAnsi="Arial"/>
                <w:b/>
                <w:bCs/>
                <w:color w:val="FFFFFF"/>
                <w:sz w:val="17"/>
                <w:szCs w:val="17"/>
              </w:rPr>
              <w:t xml:space="preserve">Arm</w:t>
            </w:r>
          </w:p>
        </w:tc>
        <w:tc>
          <w:tcPr>
            <w:tcW w:type="dxa" w:w="5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pPr>
              <w:jc w:val="center"/>
            </w:pPr>
            <w:r>
              <w:rPr>
                <w:rFonts w:ascii="Arial" w:cs="Arial" w:eastAsia="Arial" w:hAnsi="Arial"/>
                <w:b/>
                <w:bCs/>
                <w:color w:val="FFFFFF"/>
                <w:sz w:val="17"/>
                <w:szCs w:val="17"/>
              </w:rPr>
              <w:t xml:space="preserve">N</w:t>
            </w:r>
          </w:p>
        </w:tc>
        <w:tc>
          <w:tcPr>
            <w:tcW w:type="dxa" w:w="10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pPr>
              <w:jc w:val="center"/>
            </w:pPr>
            <w:r>
              <w:rPr>
                <w:rFonts w:ascii="Arial" w:cs="Arial" w:eastAsia="Arial" w:hAnsi="Arial"/>
                <w:b/>
                <w:bCs/>
                <w:color w:val="FFFFFF"/>
                <w:sz w:val="17"/>
                <w:szCs w:val="17"/>
              </w:rPr>
              <w:t xml:space="preserve">σ (kcal/mol)</w:t>
            </w:r>
          </w:p>
        </w:tc>
        <w:tc>
          <w:tcPr>
            <w:tcW w:type="dxa" w:w="9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pPr>
              <w:jc w:val="center"/>
            </w:pPr>
            <w:r>
              <w:rPr>
                <w:rFonts w:ascii="Arial" w:cs="Arial" w:eastAsia="Arial" w:hAnsi="Arial"/>
                <w:b/>
                <w:bCs/>
                <w:color w:val="FFFFFF"/>
                <w:sz w:val="17"/>
                <w:szCs w:val="17"/>
              </w:rPr>
              <w:t xml:space="preserve">Trapped</w:t>
            </w:r>
          </w:p>
        </w:tc>
        <w:tc>
          <w:tcPr>
            <w:tcW w:type="dxa" w:w="9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pPr>
              <w:jc w:val="center"/>
            </w:pPr>
            <w:r>
              <w:rPr>
                <w:rFonts w:ascii="Arial" w:cs="Arial" w:eastAsia="Arial" w:hAnsi="Arial"/>
                <w:b/>
                <w:bCs/>
                <w:color w:val="FFFFFF"/>
                <w:sz w:val="17"/>
                <w:szCs w:val="17"/>
              </w:rPr>
              <w:t xml:space="preserve">Basins</w:t>
            </w:r>
          </w:p>
        </w:tc>
        <w:tc>
          <w:tcPr>
            <w:tcW w:type="dxa" w:w="12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pPr>
              <w:jc w:val="center"/>
            </w:pPr>
            <w:r>
              <w:rPr>
                <w:rFonts w:ascii="Arial" w:cs="Arial" w:eastAsia="Arial" w:hAnsi="Arial"/>
                <w:b/>
                <w:bCs/>
                <w:color w:val="FFFFFF"/>
                <w:sz w:val="17"/>
                <w:szCs w:val="17"/>
              </w:rPr>
              <w:t xml:space="preserve">IBG (kcal/mol)</w:t>
            </w:r>
          </w:p>
        </w:tc>
        <w:tc>
          <w:tcPr>
            <w:tcW w:type="dxa" w:w="146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pPr>
              <w:jc w:val="center"/>
            </w:pPr>
            <w:r>
              <w:rPr>
                <w:rFonts w:ascii="Arial" w:cs="Arial" w:eastAsia="Arial" w:hAnsi="Arial"/>
                <w:b/>
                <w:bCs/>
                <w:color w:val="FFFFFF"/>
                <w:sz w:val="17"/>
                <w:szCs w:val="17"/>
              </w:rPr>
              <w:t xml:space="preserve">Px/B0 Ratio</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left"/>
            </w:pPr>
            <w:r>
              <w:rPr>
                <w:rFonts w:ascii="Arial" w:cs="Arial" w:eastAsia="Arial" w:hAnsi="Arial"/>
                <w:b w:val="false"/>
                <w:bCs w:val="false"/>
                <w:color w:val="2C2C2A"/>
                <w:sz w:val="17"/>
                <w:szCs w:val="17"/>
              </w:rPr>
              <w:t xml:space="preserve">B0_Li1  (baseline)</w:t>
            </w:r>
          </w:p>
        </w:tc>
        <w:tc>
          <w:tcPr>
            <w:tcW w:type="dxa" w:w="5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15</w:t>
            </w:r>
          </w:p>
        </w:tc>
        <w:tc>
          <w:tcPr>
            <w:tcW w:type="dxa" w:w="10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34.2502</w:t>
            </w:r>
          </w:p>
        </w:tc>
        <w:tc>
          <w:tcPr>
            <w:tcW w:type="dxa" w:w="9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0.933</w:t>
            </w:r>
          </w:p>
        </w:tc>
        <w:tc>
          <w:tcPr>
            <w:tcW w:type="dxa" w:w="9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3</w:t>
            </w:r>
          </w:p>
        </w:tc>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47.703</w:t>
            </w:r>
          </w:p>
        </w:tc>
        <w:tc>
          <w:tcPr>
            <w:tcW w:type="dxa" w:w="14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1.000×</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left"/>
            </w:pPr>
            <w:r>
              <w:rPr>
                <w:rFonts w:ascii="Arial" w:cs="Arial" w:eastAsia="Arial" w:hAnsi="Arial"/>
                <w:b w:val="false"/>
                <w:bCs w:val="false"/>
                <w:color w:val="2C2C2A"/>
                <w:sz w:val="17"/>
                <w:szCs w:val="17"/>
              </w:rPr>
              <w:t xml:space="preserve">P1_Li1</w:t>
            </w:r>
          </w:p>
        </w:tc>
        <w:tc>
          <w:tcPr>
            <w:tcW w:type="dxa" w:w="5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15</w:t>
            </w:r>
          </w:p>
        </w:tc>
        <w:tc>
          <w:tcPr>
            <w:tcW w:type="dxa" w:w="10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30.6218</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0.867</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3</w:t>
            </w:r>
          </w:p>
        </w:tc>
        <w:tc>
          <w:tcPr>
            <w:tcW w:type="dxa" w:w="1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38.875</w:t>
            </w:r>
          </w:p>
        </w:tc>
        <w:tc>
          <w:tcPr>
            <w:tcW w:type="dxa" w:w="14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0.894×</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left"/>
            </w:pPr>
            <w:r>
              <w:rPr>
                <w:rFonts w:ascii="Arial" w:cs="Arial" w:eastAsia="Arial" w:hAnsi="Arial"/>
                <w:b w:val="false"/>
                <w:bCs w:val="false"/>
                <w:color w:val="2C2C2A"/>
                <w:sz w:val="17"/>
                <w:szCs w:val="17"/>
              </w:rPr>
              <w:t xml:space="preserve">P2_Li1</w:t>
            </w:r>
          </w:p>
        </w:tc>
        <w:tc>
          <w:tcPr>
            <w:tcW w:type="dxa" w:w="5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15</w:t>
            </w:r>
          </w:p>
        </w:tc>
        <w:tc>
          <w:tcPr>
            <w:tcW w:type="dxa" w:w="10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27.7462</w:t>
            </w:r>
          </w:p>
        </w:tc>
        <w:tc>
          <w:tcPr>
            <w:tcW w:type="dxa" w:w="9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0.667</w:t>
            </w:r>
          </w:p>
        </w:tc>
        <w:tc>
          <w:tcPr>
            <w:tcW w:type="dxa" w:w="9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3</w:t>
            </w:r>
          </w:p>
        </w:tc>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17.771</w:t>
            </w:r>
          </w:p>
        </w:tc>
        <w:tc>
          <w:tcPr>
            <w:tcW w:type="dxa" w:w="14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0.810×</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left"/>
            </w:pPr>
            <w:r>
              <w:rPr>
                <w:rFonts w:ascii="Arial" w:cs="Arial" w:eastAsia="Arial" w:hAnsi="Arial"/>
                <w:b w:val="false"/>
                <w:bCs w:val="false"/>
                <w:color w:val="2C2C2A"/>
                <w:sz w:val="17"/>
                <w:szCs w:val="17"/>
              </w:rPr>
              <w:t xml:space="preserve">P3_Li1</w:t>
            </w:r>
          </w:p>
        </w:tc>
        <w:tc>
          <w:tcPr>
            <w:tcW w:type="dxa" w:w="5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15</w:t>
            </w:r>
          </w:p>
        </w:tc>
        <w:tc>
          <w:tcPr>
            <w:tcW w:type="dxa" w:w="10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14.1436</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0.800</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2</w:t>
            </w:r>
          </w:p>
        </w:tc>
        <w:tc>
          <w:tcPr>
            <w:tcW w:type="dxa" w:w="1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31.042</w:t>
            </w:r>
          </w:p>
        </w:tc>
        <w:tc>
          <w:tcPr>
            <w:tcW w:type="dxa" w:w="14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0.413×</w:t>
            </w:r>
          </w:p>
        </w:tc>
      </w:tr>
      <w:tr>
        <w:tc>
          <w:tcPr>
            <w:tcW w:type="dxa" w:w="1400"/>
            <w:tcBorders>
              <w:top w:val="single" w:color="CCCCCC" w:sz="1"/>
              <w:left w:val="single" w:color="CCCCCC" w:sz="1"/>
              <w:bottom w:val="single" w:color="CCCCCC" w:sz="1"/>
              <w:right w:val="single" w:color="CCCCCC" w:sz="1"/>
            </w:tcBorders>
            <w:shd w:fill="FFF8E1" w:val="clear"/>
            <w:tcMar>
              <w:top w:type="dxa" w:w="50"/>
              <w:left w:type="dxa" w:w="80"/>
              <w:bottom w:type="dxa" w:w="50"/>
              <w:right w:type="dxa" w:w="60"/>
            </w:tcMar>
          </w:tcPr>
          <w:p>
            <w:pPr>
              <w:jc w:val="left"/>
            </w:pPr>
            <w:r>
              <w:rPr>
                <w:rFonts w:ascii="Arial" w:cs="Arial" w:eastAsia="Arial" w:hAnsi="Arial"/>
                <w:b/>
                <w:bCs/>
                <w:color w:val="0A2540"/>
                <w:sz w:val="17"/>
                <w:szCs w:val="17"/>
              </w:rPr>
              <w:t xml:space="preserve">P4_Li1  ▼ stabilised</w:t>
            </w:r>
          </w:p>
        </w:tc>
        <w:tc>
          <w:tcPr>
            <w:tcW w:type="dxa" w:w="500"/>
            <w:tcBorders>
              <w:top w:val="single" w:color="CCCCCC" w:sz="1"/>
              <w:left w:val="single" w:color="CCCCCC" w:sz="1"/>
              <w:bottom w:val="single" w:color="CCCCCC" w:sz="1"/>
              <w:right w:val="single" w:color="CCCCCC" w:sz="1"/>
            </w:tcBorders>
            <w:shd w:fill="FFF8E1"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15</w:t>
            </w:r>
          </w:p>
        </w:tc>
        <w:tc>
          <w:tcPr>
            <w:tcW w:type="dxa" w:w="1000"/>
            <w:tcBorders>
              <w:top w:val="single" w:color="CCCCCC" w:sz="1"/>
              <w:left w:val="single" w:color="CCCCCC" w:sz="1"/>
              <w:bottom w:val="single" w:color="CCCCCC" w:sz="1"/>
              <w:right w:val="single" w:color="CCCCCC" w:sz="1"/>
            </w:tcBorders>
            <w:shd w:fill="FFF8E1"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3.9372</w:t>
            </w:r>
          </w:p>
        </w:tc>
        <w:tc>
          <w:tcPr>
            <w:tcW w:type="dxa" w:w="900"/>
            <w:tcBorders>
              <w:top w:val="single" w:color="CCCCCC" w:sz="1"/>
              <w:left w:val="single" w:color="CCCCCC" w:sz="1"/>
              <w:bottom w:val="single" w:color="CCCCCC" w:sz="1"/>
              <w:right w:val="single" w:color="CCCCCC" w:sz="1"/>
            </w:tcBorders>
            <w:shd w:fill="FFF8E1"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0.533</w:t>
            </w:r>
          </w:p>
        </w:tc>
        <w:tc>
          <w:tcPr>
            <w:tcW w:type="dxa" w:w="900"/>
            <w:tcBorders>
              <w:top w:val="single" w:color="CCCCCC" w:sz="1"/>
              <w:left w:val="single" w:color="CCCCCC" w:sz="1"/>
              <w:bottom w:val="single" w:color="CCCCCC" w:sz="1"/>
              <w:right w:val="single" w:color="CCCCCC" w:sz="1"/>
            </w:tcBorders>
            <w:shd w:fill="FFF8E1"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2</w:t>
            </w:r>
          </w:p>
        </w:tc>
        <w:tc>
          <w:tcPr>
            <w:tcW w:type="dxa" w:w="1200"/>
            <w:tcBorders>
              <w:top w:val="single" w:color="CCCCCC" w:sz="1"/>
              <w:left w:val="single" w:color="CCCCCC" w:sz="1"/>
              <w:bottom w:val="single" w:color="CCCCCC" w:sz="1"/>
              <w:right w:val="single" w:color="CCCCCC" w:sz="1"/>
            </w:tcBorders>
            <w:shd w:fill="FFF8E1"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12.562</w:t>
            </w:r>
          </w:p>
        </w:tc>
        <w:tc>
          <w:tcPr>
            <w:tcW w:type="dxa" w:w="1460"/>
            <w:tcBorders>
              <w:top w:val="single" w:color="CCCCCC" w:sz="1"/>
              <w:left w:val="single" w:color="CCCCCC" w:sz="1"/>
              <w:bottom w:val="single" w:color="CCCCCC" w:sz="1"/>
              <w:right w:val="single" w:color="CCCCCC" w:sz="1"/>
            </w:tcBorders>
            <w:shd w:fill="FFF8E1"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0.115×</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left"/>
            </w:pPr>
            <w:r>
              <w:rPr>
                <w:rFonts w:ascii="Arial" w:cs="Arial" w:eastAsia="Arial" w:hAnsi="Arial"/>
                <w:b w:val="false"/>
                <w:bCs w:val="false"/>
                <w:color w:val="2C2C2A"/>
                <w:sz w:val="17"/>
                <w:szCs w:val="17"/>
              </w:rPr>
              <w:t xml:space="preserve">B0_Li0  (baseline)</w:t>
            </w:r>
          </w:p>
        </w:tc>
        <w:tc>
          <w:tcPr>
            <w:tcW w:type="dxa" w:w="5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15</w:t>
            </w:r>
          </w:p>
        </w:tc>
        <w:tc>
          <w:tcPr>
            <w:tcW w:type="dxa" w:w="10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2.5720</w:t>
            </w:r>
          </w:p>
        </w:tc>
        <w:tc>
          <w:tcPr>
            <w:tcW w:type="dxa" w:w="9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0.733</w:t>
            </w:r>
          </w:p>
        </w:tc>
        <w:tc>
          <w:tcPr>
            <w:tcW w:type="dxa" w:w="9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2</w:t>
            </w:r>
          </w:p>
        </w:tc>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7.756</w:t>
            </w:r>
          </w:p>
        </w:tc>
        <w:tc>
          <w:tcPr>
            <w:tcW w:type="dxa" w:w="14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1.000×</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left"/>
            </w:pPr>
            <w:r>
              <w:rPr>
                <w:rFonts w:ascii="Arial" w:cs="Arial" w:eastAsia="Arial" w:hAnsi="Arial"/>
                <w:b w:val="false"/>
                <w:bCs w:val="false"/>
                <w:color w:val="2C2C2A"/>
                <w:sz w:val="17"/>
                <w:szCs w:val="17"/>
              </w:rPr>
              <w:t xml:space="preserve">P1_Li0</w:t>
            </w:r>
          </w:p>
        </w:tc>
        <w:tc>
          <w:tcPr>
            <w:tcW w:type="dxa" w:w="5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15</w:t>
            </w:r>
          </w:p>
        </w:tc>
        <w:tc>
          <w:tcPr>
            <w:tcW w:type="dxa" w:w="10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1.1859</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0.600</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w:t>
            </w:r>
          </w:p>
        </w:tc>
        <w:tc>
          <w:tcPr>
            <w:tcW w:type="dxa" w:w="1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0.000</w:t>
            </w:r>
          </w:p>
        </w:tc>
        <w:tc>
          <w:tcPr>
            <w:tcW w:type="dxa" w:w="14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0.461×</w:t>
            </w:r>
          </w:p>
        </w:tc>
      </w:tr>
      <w:tr>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left"/>
            </w:pPr>
            <w:r>
              <w:rPr>
                <w:rFonts w:ascii="Arial" w:cs="Arial" w:eastAsia="Arial" w:hAnsi="Arial"/>
                <w:b w:val="false"/>
                <w:bCs w:val="false"/>
                <w:color w:val="2C2C2A"/>
                <w:sz w:val="17"/>
                <w:szCs w:val="17"/>
              </w:rPr>
              <w:t xml:space="preserve">P2_Li0</w:t>
            </w:r>
          </w:p>
        </w:tc>
        <w:tc>
          <w:tcPr>
            <w:tcW w:type="dxa" w:w="5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15</w:t>
            </w:r>
          </w:p>
        </w:tc>
        <w:tc>
          <w:tcPr>
            <w:tcW w:type="dxa" w:w="10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3.6284</w:t>
            </w:r>
          </w:p>
        </w:tc>
        <w:tc>
          <w:tcPr>
            <w:tcW w:type="dxa" w:w="9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0.733</w:t>
            </w:r>
          </w:p>
        </w:tc>
        <w:tc>
          <w:tcPr>
            <w:tcW w:type="dxa" w:w="9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2</w:t>
            </w:r>
          </w:p>
        </w:tc>
        <w:tc>
          <w:tcPr>
            <w:tcW w:type="dxa" w:w="1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11.490</w:t>
            </w:r>
          </w:p>
        </w:tc>
        <w:tc>
          <w:tcPr>
            <w:tcW w:type="dxa" w:w="14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1.411×</w:t>
            </w:r>
          </w:p>
        </w:tc>
      </w:tr>
      <w:tr>
        <w:tc>
          <w:tcPr>
            <w:tcW w:type="dxa" w:w="14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left"/>
            </w:pPr>
            <w:r>
              <w:rPr>
                <w:rFonts w:ascii="Arial" w:cs="Arial" w:eastAsia="Arial" w:hAnsi="Arial"/>
                <w:b w:val="false"/>
                <w:bCs w:val="false"/>
                <w:color w:val="2C2C2A"/>
                <w:sz w:val="17"/>
                <w:szCs w:val="17"/>
              </w:rPr>
              <w:t xml:space="preserve">P3_Li0</w:t>
            </w:r>
          </w:p>
        </w:tc>
        <w:tc>
          <w:tcPr>
            <w:tcW w:type="dxa" w:w="5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15</w:t>
            </w:r>
          </w:p>
        </w:tc>
        <w:tc>
          <w:tcPr>
            <w:tcW w:type="dxa" w:w="10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5.4240</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0.333</w:t>
            </w:r>
          </w:p>
        </w:tc>
        <w:tc>
          <w:tcPr>
            <w:tcW w:type="dxa" w:w="9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2</w:t>
            </w:r>
          </w:p>
        </w:tc>
        <w:tc>
          <w:tcPr>
            <w:tcW w:type="dxa" w:w="120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11.796</w:t>
            </w:r>
          </w:p>
        </w:tc>
        <w:tc>
          <w:tcPr>
            <w:tcW w:type="dxa" w:w="1460"/>
            <w:tcBorders>
              <w:top w:val="single" w:color="CCCCCC" w:sz="1"/>
              <w:left w:val="single" w:color="CCCCCC" w:sz="1"/>
              <w:bottom w:val="single" w:color="CCCCCC" w:sz="1"/>
              <w:right w:val="single" w:color="CCCCCC" w:sz="1"/>
            </w:tcBorders>
            <w:shd w:fill="FFFFFF" w:val="clear"/>
            <w:tcMar>
              <w:top w:type="dxa" w:w="50"/>
              <w:left w:type="dxa" w:w="80"/>
              <w:bottom w:type="dxa" w:w="50"/>
              <w:right w:type="dxa" w:w="60"/>
            </w:tcMar>
          </w:tcPr>
          <w:p>
            <w:pPr>
              <w:jc w:val="center"/>
            </w:pPr>
            <w:r>
              <w:rPr>
                <w:rFonts w:ascii="Courier New" w:cs="Courier New" w:eastAsia="Courier New" w:hAnsi="Courier New"/>
                <w:b w:val="false"/>
                <w:bCs w:val="false"/>
                <w:color w:val="2C2C2A"/>
                <w:sz w:val="17"/>
                <w:szCs w:val="17"/>
              </w:rPr>
              <w:t xml:space="preserve">2.109×</w:t>
            </w:r>
          </w:p>
        </w:tc>
      </w:tr>
      <w:tr>
        <w:tc>
          <w:tcPr>
            <w:tcW w:type="dxa" w:w="1400"/>
            <w:tcBorders>
              <w:top w:val="single" w:color="CCCCCC" w:sz="1"/>
              <w:left w:val="single" w:color="CCCCCC" w:sz="1"/>
              <w:bottom w:val="single" w:color="CCCCCC" w:sz="1"/>
              <w:right w:val="single" w:color="CCCCCC" w:sz="1"/>
            </w:tcBorders>
            <w:shd w:fill="E8F5E9" w:val="clear"/>
            <w:tcMar>
              <w:top w:type="dxa" w:w="50"/>
              <w:left w:type="dxa" w:w="80"/>
              <w:bottom w:type="dxa" w:w="50"/>
              <w:right w:type="dxa" w:w="60"/>
            </w:tcMar>
          </w:tcPr>
          <w:p>
            <w:pPr>
              <w:jc w:val="left"/>
            </w:pPr>
            <w:r>
              <w:rPr>
                <w:rFonts w:ascii="Arial" w:cs="Arial" w:eastAsia="Arial" w:hAnsi="Arial"/>
                <w:b/>
                <w:bCs/>
                <w:color w:val="0A2540"/>
                <w:sz w:val="17"/>
                <w:szCs w:val="17"/>
              </w:rPr>
              <w:t xml:space="preserve">P4_Li0  ▲ roughened</w:t>
            </w:r>
          </w:p>
        </w:tc>
        <w:tc>
          <w:tcPr>
            <w:tcW w:type="dxa" w:w="500"/>
            <w:tcBorders>
              <w:top w:val="single" w:color="CCCCCC" w:sz="1"/>
              <w:left w:val="single" w:color="CCCCCC" w:sz="1"/>
              <w:bottom w:val="single" w:color="CCCCCC" w:sz="1"/>
              <w:right w:val="single" w:color="CCCCCC" w:sz="1"/>
            </w:tcBorders>
            <w:shd w:fill="E8F5E9"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15</w:t>
            </w:r>
          </w:p>
        </w:tc>
        <w:tc>
          <w:tcPr>
            <w:tcW w:type="dxa" w:w="1000"/>
            <w:tcBorders>
              <w:top w:val="single" w:color="CCCCCC" w:sz="1"/>
              <w:left w:val="single" w:color="CCCCCC" w:sz="1"/>
              <w:bottom w:val="single" w:color="CCCCCC" w:sz="1"/>
              <w:right w:val="single" w:color="CCCCCC" w:sz="1"/>
            </w:tcBorders>
            <w:shd w:fill="E8F5E9"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6.2270</w:t>
            </w:r>
          </w:p>
        </w:tc>
        <w:tc>
          <w:tcPr>
            <w:tcW w:type="dxa" w:w="900"/>
            <w:tcBorders>
              <w:top w:val="single" w:color="CCCCCC" w:sz="1"/>
              <w:left w:val="single" w:color="CCCCCC" w:sz="1"/>
              <w:bottom w:val="single" w:color="CCCCCC" w:sz="1"/>
              <w:right w:val="single" w:color="CCCCCC" w:sz="1"/>
            </w:tcBorders>
            <w:shd w:fill="E8F5E9"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0.467</w:t>
            </w:r>
          </w:p>
        </w:tc>
        <w:tc>
          <w:tcPr>
            <w:tcW w:type="dxa" w:w="900"/>
            <w:tcBorders>
              <w:top w:val="single" w:color="CCCCCC" w:sz="1"/>
              <w:left w:val="single" w:color="CCCCCC" w:sz="1"/>
              <w:bottom w:val="single" w:color="CCCCCC" w:sz="1"/>
              <w:right w:val="single" w:color="CCCCCC" w:sz="1"/>
            </w:tcBorders>
            <w:shd w:fill="E8F5E9"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2</w:t>
            </w:r>
          </w:p>
        </w:tc>
        <w:tc>
          <w:tcPr>
            <w:tcW w:type="dxa" w:w="1200"/>
            <w:tcBorders>
              <w:top w:val="single" w:color="CCCCCC" w:sz="1"/>
              <w:left w:val="single" w:color="CCCCCC" w:sz="1"/>
              <w:bottom w:val="single" w:color="CCCCCC" w:sz="1"/>
              <w:right w:val="single" w:color="CCCCCC" w:sz="1"/>
            </w:tcBorders>
            <w:shd w:fill="E8F5E9"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13.539</w:t>
            </w:r>
          </w:p>
        </w:tc>
        <w:tc>
          <w:tcPr>
            <w:tcW w:type="dxa" w:w="1460"/>
            <w:tcBorders>
              <w:top w:val="single" w:color="CCCCCC" w:sz="1"/>
              <w:left w:val="single" w:color="CCCCCC" w:sz="1"/>
              <w:bottom w:val="single" w:color="CCCCCC" w:sz="1"/>
              <w:right w:val="single" w:color="CCCCCC" w:sz="1"/>
            </w:tcBorders>
            <w:shd w:fill="E8F5E9" w:val="clear"/>
            <w:tcMar>
              <w:top w:type="dxa" w:w="50"/>
              <w:left w:type="dxa" w:w="80"/>
              <w:bottom w:type="dxa" w:w="50"/>
              <w:right w:type="dxa" w:w="60"/>
            </w:tcMar>
          </w:tcPr>
          <w:p>
            <w:pPr>
              <w:jc w:val="center"/>
            </w:pPr>
            <w:r>
              <w:rPr>
                <w:rFonts w:ascii="Courier New" w:cs="Courier New" w:eastAsia="Courier New" w:hAnsi="Courier New"/>
                <w:b/>
                <w:bCs/>
                <w:color w:val="0A2540"/>
                <w:sz w:val="17"/>
                <w:szCs w:val="17"/>
              </w:rPr>
              <w:t xml:space="preserve">2.421×</w:t>
            </w:r>
          </w:p>
        </w:tc>
      </w:tr>
    </w:tbl>
    <w:p>
      <w:pPr>
        <w:spacing w:after="0" w:before="0"/>
      </w:pPr>
      <w:r>
        <w:t xml:space="preserve"/>
      </w:r>
    </w:p>
    <w:p>
      <w:pPr>
        <w:spacing w:after="60" w:before="180"/>
      </w:pPr>
      <w:r>
        <w:rPr>
          <w:rFonts w:ascii="Arial" w:cs="Arial" w:eastAsia="Arial" w:hAnsi="Arial"/>
          <w:b/>
          <w:bCs/>
          <w:color w:val="1D9E75"/>
          <w:sz w:val="22"/>
          <w:szCs w:val="22"/>
        </w:rPr>
        <w:t xml:space="preserve">Pressure Gradient Summary — Li1 (Li-present)</w:t>
      </w:r>
    </w:p>
    <w:p>
      <w:pPr>
        <w:pBdr>
          <w:left w:val="single" w:color="854F0B" w:sz="12" w:space="6"/>
        </w:pBdr>
        <w:spacing w:after="60" w:before="40"/>
        <w:ind w:left="180"/>
      </w:pPr>
      <w:r>
        <w:rPr>
          <w:rFonts w:ascii="Arial" w:cs="Arial" w:eastAsia="Arial" w:hAnsi="Arial"/>
          <w:color w:val="2C2C2A"/>
          <w:sz w:val="19"/>
          <w:szCs w:val="19"/>
        </w:rPr>
        <w:t xml:space="preserve">OUTCOME: PRESSURE STABILISATION. σ decreases monotonically 34.25 → 3.94 kcal/mol (0.115× at P4). Compression orders the electronic landscape when Li is present. Unexpected for a d⁰ system — Li modulates the Zr electronic environment such that physical compression reduces landscape ruggedness.</w:t>
      </w:r>
    </w:p>
    <w:p>
      <w:pPr>
        <w:spacing w:after="0" w:before="0"/>
      </w:pPr>
      <w:r>
        <w:t xml:space="preserve"/>
      </w:r>
    </w:p>
    <w:p>
      <w:pPr>
        <w:spacing w:after="60" w:before="180"/>
      </w:pPr>
      <w:r>
        <w:rPr>
          <w:rFonts w:ascii="Arial" w:cs="Arial" w:eastAsia="Arial" w:hAnsi="Arial"/>
          <w:b/>
          <w:bCs/>
          <w:color w:val="1D9E75"/>
          <w:sz w:val="22"/>
          <w:szCs w:val="22"/>
        </w:rPr>
        <w:t xml:space="preserve">Pressure Gradient Summary — Li0 (Li-absent vacancy)</w:t>
      </w:r>
    </w:p>
    <w:p>
      <w:pPr>
        <w:pBdr>
          <w:left w:val="single" w:color="0F6E56" w:sz="12" w:space="6"/>
        </w:pBdr>
        <w:spacing w:after="60" w:before="40"/>
        <w:ind w:left="180"/>
      </w:pPr>
      <w:r>
        <w:rPr>
          <w:rFonts w:ascii="Arial" w:cs="Arial" w:eastAsia="Arial" w:hAnsi="Arial"/>
          <w:color w:val="2C2C2A"/>
          <w:sz w:val="19"/>
          <w:szCs w:val="19"/>
        </w:rPr>
        <w:t xml:space="preserve">OUTCOME: PRESSURE SENSITIVITY DETECTED. σ increases overall 2.57 → 6.23 kcal/mol (2.421× at P4). Vacancy state roughens under compression. At P4, Li0 σ &gt; Li1 σ for the first time (+2.29 kcal/mol differential) — the crossover point demonstrating vacancy + pressure synergy in electronic roughening at the Zr site.</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Key Findings</w:t>
      </w:r>
    </w:p>
    <w:p>
      <w:pPr>
        <w:spacing w:after="60" w:before="180"/>
      </w:pPr>
      <w:r>
        <w:rPr>
          <w:rFonts w:ascii="Arial" w:cs="Arial" w:eastAsia="Arial" w:hAnsi="Arial"/>
          <w:b/>
          <w:bCs/>
          <w:color w:val="1D9E75"/>
          <w:sz w:val="22"/>
          <w:szCs w:val="22"/>
        </w:rPr>
        <w:t xml:space="preserve">Finding 1: Pressure-Inversion — Opposite Electronic Responses by Lithiation State</w:t>
      </w:r>
    </w:p>
    <w:p>
      <w:pPr>
        <w:spacing w:after="60" w:before="40"/>
      </w:pPr>
      <w:r>
        <w:rPr>
          <w:rFonts w:ascii="Arial" w:cs="Arial" w:eastAsia="Arial" w:hAnsi="Arial"/>
          <w:color w:val="2C2C2A"/>
          <w:sz w:val="20"/>
          <w:szCs w:val="20"/>
        </w:rPr>
        <w:t xml:space="preserve">The most significant result is the divergence between Li1 and Li0 series under the same compression stimulus. Compression stabilises the Li-present landscape while roughening the Li-absent landscape. At P4 (maximum compression), the crossover is complete: Li0 σ (6.23 kcal/mol) exceeds Li1 σ (3.94 kcal/mol) for the first time, reversing the baseline relationship where Li1 σ was 13× higher than Li0.</w:t>
      </w:r>
    </w:p>
    <w:p>
      <w:pPr>
        <w:spacing w:after="60" w:before="40"/>
      </w:pPr>
      <w:r>
        <w:rPr>
          <w:rFonts w:ascii="Arial" w:cs="Arial" w:eastAsia="Arial" w:hAnsi="Arial"/>
          <w:color w:val="2C2C2A"/>
          <w:sz w:val="20"/>
          <w:szCs w:val="20"/>
        </w:rPr>
        <w:t xml:space="preserve">This inversion has a direct physical interpretation: under operational stack pressure in a solid-state cell, Li-occupied sites become electronically more ordered while Li-vacancy sites (created by delithiation) become electronically more disordered. The electronic instability is localised to vacancy sites under pressure — exactly the condition that arises at high discharge rates or in degraded cells.</w:t>
      </w:r>
    </w:p>
    <w:p>
      <w:pPr>
        <w:spacing w:after="60" w:before="180"/>
      </w:pPr>
      <w:r>
        <w:rPr>
          <w:rFonts w:ascii="Arial" w:cs="Arial" w:eastAsia="Arial" w:hAnsi="Arial"/>
          <w:b/>
          <w:bCs/>
          <w:color w:val="1D9E75"/>
          <w:sz w:val="22"/>
          <w:szCs w:val="22"/>
        </w:rPr>
        <w:t xml:space="preserve">Finding 2: Unexpected d⁰ Bifurcation in Li1 Series</w:t>
      </w:r>
    </w:p>
    <w:p>
      <w:pPr>
        <w:spacing w:after="60" w:before="40"/>
      </w:pPr>
      <w:r>
        <w:rPr>
          <w:rFonts w:ascii="Arial" w:cs="Arial" w:eastAsia="Arial" w:hAnsi="Arial"/>
          <w:color w:val="2C2C2A"/>
          <w:sz w:val="20"/>
          <w:szCs w:val="20"/>
        </w:rPr>
        <w:t xml:space="preserve">The Li1 series shows basin counts of 2–3 with inter-basin gaps up to 47.7 kcal/mol (B0_Li1). This is unexpected for Zr⁴⁺ (d⁰, formally no partially-filled d-manifold). In the NMC811 framework, bifurcation was attributed to Jahn-Teller active eg¹ splitting in Ni³⁺. The absence of d-electrons in Zr⁴⁺ means the multi-basin structure, if confirmed at N=35, represents a different mechanism — possibly Zr–O covalency shifts, charge redistribution under Li-field effects, or effective orbital mixing induced by the Li electrostatic environment. The Li-present series baseline σ of 34.25 kcal/mol is the highest value recorded in the ELSD platform to date.</w:t>
      </w:r>
    </w:p>
    <w:p>
      <w:pPr>
        <w:spacing w:after="60" w:before="40"/>
      </w:pPr>
      <w:r>
        <w:rPr>
          <w:rFonts w:ascii="Arial" w:cs="Arial" w:eastAsia="Arial" w:hAnsi="Arial"/>
          <w:color w:val="2C2C2A"/>
          <w:sz w:val="20"/>
          <w:szCs w:val="20"/>
        </w:rPr>
        <w:t xml:space="preserve">Note: All basin counts reported here are at N=15 screening level. Confirmation requires N=35 ensemble runs on the high-trapped-fraction arms (B0_Li1, P1_Li1, P2_Li1).</w:t>
      </w:r>
    </w:p>
    <w:p>
      <w:pPr>
        <w:spacing w:after="60" w:before="180"/>
      </w:pPr>
      <w:r>
        <w:rPr>
          <w:rFonts w:ascii="Arial" w:cs="Arial" w:eastAsia="Arial" w:hAnsi="Arial"/>
          <w:b/>
          <w:bCs/>
          <w:color w:val="1D9E75"/>
          <w:sz w:val="22"/>
          <w:szCs w:val="22"/>
        </w:rPr>
        <w:t xml:space="preserve">Finding 3: Cross-System Platform Validation</w:t>
      </w:r>
    </w:p>
    <w:p>
      <w:pPr>
        <w:spacing w:after="60" w:before="40"/>
      </w:pPr>
      <w:r>
        <w:rPr>
          <w:rFonts w:ascii="Arial" w:cs="Arial" w:eastAsia="Arial" w:hAnsi="Arial"/>
          <w:color w:val="2C2C2A"/>
          <w:sz w:val="20"/>
          <w:szCs w:val="20"/>
        </w:rPr>
        <w:t xml:space="preserve">This dataset confirms that the ELSD landscape diagnostic is cross-system: it detects electronic sensitivity in a d⁰ electrolyte material under pressure perturbation, using the same metric framework (σ, trapped fraction, basin count, IBG) previously applied to JT-active d⁷ cathode materials under angular distortion. The perturbation type differs (isotropic compression vs. angular distortion) but the diagnostic framework transfers without modification.</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Companion Study: Dopant Screening Protocol</w:t>
      </w:r>
    </w:p>
    <w:p>
      <w:pPr>
        <w:spacing w:after="60" w:before="40"/>
      </w:pPr>
      <w:r>
        <w:rPr>
          <w:rFonts w:ascii="Arial" w:cs="Arial" w:eastAsia="Arial" w:hAnsi="Arial"/>
          <w:color w:val="2C2C2A"/>
          <w:sz w:val="20"/>
          <w:szCs w:val="20"/>
        </w:rPr>
        <w:t xml:space="preserve">The following pre-run experimental design documents predictions for a subsequent dopant screening run at P4 compression (the regime of maximum Li0 roughening), testing whether Zr-site dopants suppress or amplify the charge-transfer resonance identified in the P4_Li0 arm.</w:t>
      </w:r>
    </w:p>
    <w:p>
      <w:pPr>
        <w:spacing w:after="60" w:before="180"/>
      </w:pPr>
      <w:r>
        <w:rPr>
          <w:rFonts w:ascii="Arial" w:cs="Arial" w:eastAsia="Arial" w:hAnsi="Arial"/>
          <w:b/>
          <w:bCs/>
          <w:color w:val="1D9E75"/>
          <w:sz w:val="22"/>
          <w:szCs w:val="22"/>
        </w:rPr>
        <w:t xml:space="preserve">Experimental Design</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Fixed condition: P4 compression (Zr–O = 1.890 Å), Li-absent (vacancy) state throughout</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5 arms: undoped baseline (15 seeds) + Al³⁺, Ga³⁺, Ta⁵⁺, Nb⁵⁺ at Zr site (25 seeds each)</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Total: 115 seeds, ~12–14 hours on L40S</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Primary readout: σ, basin count, trapped fraction</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Secondary readout: orbital-7 occupancy (CT resonance indicator)</w:t>
      </w:r>
    </w:p>
    <w:p>
      <w:pPr>
        <w:spacing w:after="0" w:before="0"/>
      </w:pPr>
      <w:r>
        <w:t xml:space="preserve"/>
      </w:r>
    </w:p>
    <w:p>
      <w:pPr>
        <w:spacing w:after="60" w:before="180"/>
      </w:pPr>
      <w:r>
        <w:rPr>
          <w:rFonts w:ascii="Arial" w:cs="Arial" w:eastAsia="Arial" w:hAnsi="Arial"/>
          <w:b/>
          <w:bCs/>
          <w:color w:val="1D9E75"/>
          <w:sz w:val="22"/>
          <w:szCs w:val="22"/>
        </w:rPr>
        <w:t xml:space="preserve">Pre-Run Predictions (falsifiable)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900"/>
        <w:gridCol w:w="2800"/>
        <w:gridCol w:w="4460"/>
      </w:tblGrid>
      <w:tr>
        <w:tc>
          <w:tcPr>
            <w:tcW w:type="dxa" w:w="12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Dopant</w:t>
            </w:r>
          </w:p>
        </w:tc>
        <w:tc>
          <w:tcPr>
            <w:tcW w:type="dxa" w:w="9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d-config</w:t>
            </w:r>
          </w:p>
        </w:tc>
        <w:tc>
          <w:tcPr>
            <w:tcW w:type="dxa" w:w="28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Prediction</w:t>
            </w:r>
          </w:p>
        </w:tc>
        <w:tc>
          <w:tcPr>
            <w:tcW w:type="dxa" w:w="446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8"/>
                <w:szCs w:val="18"/>
              </w:rPr>
              <w:t xml:space="preserve">Mechanism</w:t>
            </w:r>
          </w:p>
        </w:tc>
      </w:tr>
      <w:tr>
        <w:tc>
          <w:tcPr>
            <w:tcW w:type="dxa" w:w="1200"/>
            <w:tcBorders>
              <w:top w:val="single" w:color="CCCCCC" w:sz="1"/>
              <w:left w:val="single" w:color="CCCCCC" w:sz="1"/>
              <w:bottom w:val="single" w:color="CCCCCC" w:sz="1"/>
              <w:right w:val="single" w:color="CCCCCC" w:sz="1"/>
            </w:tcBorders>
            <w:shd w:fill="F1EFE8" w:val="clear"/>
            <w:tcMar>
              <w:top w:type="dxa" w:w="60"/>
              <w:left w:type="dxa" w:w="80"/>
              <w:bottom w:type="dxa" w:w="60"/>
              <w:right w:type="dxa" w:w="60"/>
            </w:tcMar>
          </w:tcPr>
          <w:p>
            <w:r>
              <w:rPr>
                <w:rFonts w:ascii="Arial" w:cs="Arial" w:eastAsia="Arial" w:hAnsi="Arial"/>
                <w:b/>
                <w:bCs/>
                <w:color w:val="0A2540"/>
                <w:sz w:val="18"/>
                <w:szCs w:val="18"/>
              </w:rPr>
              <w:t xml:space="preserve">Ta⁵⁺</w:t>
            </w:r>
          </w:p>
        </w:tc>
        <w:tc>
          <w:tcPr>
            <w:tcW w:type="dxa" w:w="900"/>
            <w:tcBorders>
              <w:top w:val="single" w:color="CCCCCC" w:sz="1"/>
              <w:left w:val="single" w:color="CCCCCC" w:sz="1"/>
              <w:bottom w:val="single" w:color="CCCCCC" w:sz="1"/>
              <w:right w:val="single" w:color="CCCCCC" w:sz="1"/>
            </w:tcBorders>
            <w:shd w:fill="F1EFE8" w:val="clear"/>
            <w:tcMar>
              <w:top w:type="dxa" w:w="60"/>
              <w:left w:type="dxa" w:w="80"/>
              <w:bottom w:type="dxa" w:w="60"/>
              <w:right w:type="dxa" w:w="60"/>
            </w:tcMar>
          </w:tcPr>
          <w:p>
            <w:pPr>
              <w:jc w:val="center"/>
            </w:pPr>
            <w:r>
              <w:rPr>
                <w:rFonts w:ascii="Courier New" w:cs="Courier New" w:eastAsia="Courier New" w:hAnsi="Courier New"/>
                <w:color w:val="3C3489"/>
                <w:sz w:val="17"/>
                <w:szCs w:val="17"/>
              </w:rPr>
              <w:t xml:space="preserve">d⁰, +5</w:t>
            </w:r>
          </w:p>
        </w:tc>
        <w:tc>
          <w:tcPr>
            <w:tcW w:type="dxa" w:w="2800"/>
            <w:tcBorders>
              <w:top w:val="single" w:color="CCCCCC" w:sz="1"/>
              <w:left w:val="single" w:color="CCCCCC" w:sz="1"/>
              <w:bottom w:val="single" w:color="CCCCCC" w:sz="1"/>
              <w:right w:val="single" w:color="CCCCCC" w:sz="1"/>
            </w:tcBorders>
            <w:shd w:fill="F1EFE8" w:val="clear"/>
            <w:tcMar>
              <w:top w:type="dxa" w:w="60"/>
              <w:left w:type="dxa" w:w="80"/>
              <w:bottom w:type="dxa" w:w="60"/>
              <w:right w:type="dxa" w:w="60"/>
            </w:tcMar>
          </w:tcPr>
          <w:p>
            <w:r>
              <w:rPr>
                <w:rFonts w:ascii="Arial" w:cs="Arial" w:eastAsia="Arial" w:hAnsi="Arial"/>
                <w:color w:val="2C2C2A"/>
                <w:sz w:val="17"/>
                <w:szCs w:val="17"/>
              </w:rPr>
              <w:t xml:space="preserve">Basin collapse to 1; σ &lt; 2 kcal/mol; orbital-7 → 0</w:t>
            </w:r>
          </w:p>
        </w:tc>
        <w:tc>
          <w:tcPr>
            <w:tcW w:type="dxa" w:w="4460"/>
            <w:tcBorders>
              <w:top w:val="single" w:color="CCCCCC" w:sz="1"/>
              <w:left w:val="single" w:color="CCCCCC" w:sz="1"/>
              <w:bottom w:val="single" w:color="CCCCCC" w:sz="1"/>
              <w:right w:val="single" w:color="CCCCCC" w:sz="1"/>
            </w:tcBorders>
            <w:shd w:fill="F1EFE8" w:val="clear"/>
            <w:tcMar>
              <w:top w:type="dxa" w:w="60"/>
              <w:left w:type="dxa" w:w="80"/>
              <w:bottom w:type="dxa" w:w="60"/>
              <w:right w:type="dxa" w:w="60"/>
            </w:tcMar>
          </w:tcPr>
          <w:p>
            <w:r>
              <w:rPr>
                <w:rFonts w:ascii="Arial" w:cs="Arial" w:eastAsia="Arial" w:hAnsi="Arial"/>
                <w:i/>
                <w:iCs/>
                <w:color w:val="5F5E5A"/>
                <w:sz w:val="17"/>
                <w:szCs w:val="17"/>
              </w:rPr>
              <w:t xml:space="preserve">Supervalent charge compensation removes CT driving force entirely</w:t>
            </w:r>
          </w:p>
        </w:tc>
      </w:tr>
      <w:tr>
        <w:tc>
          <w:tcPr>
            <w:tcW w:type="dxa" w:w="12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b/>
                <w:bCs/>
                <w:color w:val="0A2540"/>
                <w:sz w:val="18"/>
                <w:szCs w:val="18"/>
              </w:rPr>
              <w:t xml:space="preserve">Nb⁵⁺</w:t>
            </w:r>
          </w:p>
        </w:tc>
        <w:tc>
          <w:tcPr>
            <w:tcW w:type="dxa"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pPr>
              <w:jc w:val="center"/>
            </w:pPr>
            <w:r>
              <w:rPr>
                <w:rFonts w:ascii="Courier New" w:cs="Courier New" w:eastAsia="Courier New" w:hAnsi="Courier New"/>
                <w:color w:val="3C3489"/>
                <w:sz w:val="17"/>
                <w:szCs w:val="17"/>
              </w:rPr>
              <w:t xml:space="preserve">d⁰, +5</w:t>
            </w:r>
          </w:p>
        </w:tc>
        <w:tc>
          <w:tcPr>
            <w:tcW w:type="dxa" w:w="28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color w:val="2C2C2A"/>
                <w:sz w:val="17"/>
                <w:szCs w:val="17"/>
              </w:rPr>
              <w:t xml:space="preserve">Basin collapse to 1; σ &lt; 2 kcal/mol; orbital-7 → 0</w:t>
            </w:r>
          </w:p>
        </w:tc>
        <w:tc>
          <w:tcPr>
            <w:tcW w:type="dxa" w:w="44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i/>
                <w:iCs/>
                <w:color w:val="5F5E5A"/>
                <w:sz w:val="17"/>
                <w:szCs w:val="17"/>
              </w:rPr>
              <w:t xml:space="preserve">Isoelectronic to Ta⁵⁺; same compensation mechanism predicted</w:t>
            </w:r>
          </w:p>
        </w:tc>
      </w:tr>
      <w:tr>
        <w:tc>
          <w:tcPr>
            <w:tcW w:type="dxa" w:w="1200"/>
            <w:tcBorders>
              <w:top w:val="single" w:color="CCCCCC" w:sz="1"/>
              <w:left w:val="single" w:color="CCCCCC" w:sz="1"/>
              <w:bottom w:val="single" w:color="CCCCCC" w:sz="1"/>
              <w:right w:val="single" w:color="CCCCCC" w:sz="1"/>
            </w:tcBorders>
            <w:shd w:fill="F1EFE8" w:val="clear"/>
            <w:tcMar>
              <w:top w:type="dxa" w:w="60"/>
              <w:left w:type="dxa" w:w="80"/>
              <w:bottom w:type="dxa" w:w="60"/>
              <w:right w:type="dxa" w:w="60"/>
            </w:tcMar>
          </w:tcPr>
          <w:p>
            <w:r>
              <w:rPr>
                <w:rFonts w:ascii="Arial" w:cs="Arial" w:eastAsia="Arial" w:hAnsi="Arial"/>
                <w:b/>
                <w:bCs/>
                <w:color w:val="0A2540"/>
                <w:sz w:val="18"/>
                <w:szCs w:val="18"/>
              </w:rPr>
              <w:t xml:space="preserve">Al³⁺</w:t>
            </w:r>
          </w:p>
        </w:tc>
        <w:tc>
          <w:tcPr>
            <w:tcW w:type="dxa" w:w="900"/>
            <w:tcBorders>
              <w:top w:val="single" w:color="CCCCCC" w:sz="1"/>
              <w:left w:val="single" w:color="CCCCCC" w:sz="1"/>
              <w:bottom w:val="single" w:color="CCCCCC" w:sz="1"/>
              <w:right w:val="single" w:color="CCCCCC" w:sz="1"/>
            </w:tcBorders>
            <w:shd w:fill="F1EFE8" w:val="clear"/>
            <w:tcMar>
              <w:top w:type="dxa" w:w="60"/>
              <w:left w:type="dxa" w:w="80"/>
              <w:bottom w:type="dxa" w:w="60"/>
              <w:right w:type="dxa" w:w="60"/>
            </w:tcMar>
          </w:tcPr>
          <w:p>
            <w:pPr>
              <w:jc w:val="center"/>
            </w:pPr>
            <w:r>
              <w:rPr>
                <w:rFonts w:ascii="Courier New" w:cs="Courier New" w:eastAsia="Courier New" w:hAnsi="Courier New"/>
                <w:color w:val="3C3489"/>
                <w:sz w:val="17"/>
                <w:szCs w:val="17"/>
              </w:rPr>
              <w:t xml:space="preserve">d⁰, +3</w:t>
            </w:r>
          </w:p>
        </w:tc>
        <w:tc>
          <w:tcPr>
            <w:tcW w:type="dxa" w:w="2800"/>
            <w:tcBorders>
              <w:top w:val="single" w:color="CCCCCC" w:sz="1"/>
              <w:left w:val="single" w:color="CCCCCC" w:sz="1"/>
              <w:bottom w:val="single" w:color="CCCCCC" w:sz="1"/>
              <w:right w:val="single" w:color="CCCCCC" w:sz="1"/>
            </w:tcBorders>
            <w:shd w:fill="F1EFE8" w:val="clear"/>
            <w:tcMar>
              <w:top w:type="dxa" w:w="60"/>
              <w:left w:type="dxa" w:w="80"/>
              <w:bottom w:type="dxa" w:w="60"/>
              <w:right w:type="dxa" w:w="60"/>
            </w:tcMar>
          </w:tcPr>
          <w:p>
            <w:r>
              <w:rPr>
                <w:rFonts w:ascii="Arial" w:cs="Arial" w:eastAsia="Arial" w:hAnsi="Arial"/>
                <w:color w:val="2C2C2A"/>
                <w:sz w:val="17"/>
                <w:szCs w:val="17"/>
              </w:rPr>
              <w:t xml:space="preserve">σ roughening &gt; 2× baseline; single basin</w:t>
            </w:r>
          </w:p>
        </w:tc>
        <w:tc>
          <w:tcPr>
            <w:tcW w:type="dxa" w:w="4460"/>
            <w:tcBorders>
              <w:top w:val="single" w:color="CCCCCC" w:sz="1"/>
              <w:left w:val="single" w:color="CCCCCC" w:sz="1"/>
              <w:bottom w:val="single" w:color="CCCCCC" w:sz="1"/>
              <w:right w:val="single" w:color="CCCCCC" w:sz="1"/>
            </w:tcBorders>
            <w:shd w:fill="F1EFE8" w:val="clear"/>
            <w:tcMar>
              <w:top w:type="dxa" w:w="60"/>
              <w:left w:type="dxa" w:w="80"/>
              <w:bottom w:type="dxa" w:w="60"/>
              <w:right w:type="dxa" w:w="60"/>
            </w:tcMar>
          </w:tcPr>
          <w:p>
            <w:r>
              <w:rPr>
                <w:rFonts w:ascii="Arial" w:cs="Arial" w:eastAsia="Arial" w:hAnsi="Arial"/>
                <w:i/>
                <w:iCs/>
                <w:color w:val="5F5E5A"/>
                <w:sz w:val="17"/>
                <w:szCs w:val="17"/>
              </w:rPr>
              <w:t xml:space="preserve">Charge-deficient vs. Zr⁴⁺; NMC precedent: Al@Ni0 = 2.375× roughening</w:t>
            </w:r>
          </w:p>
        </w:tc>
      </w:tr>
      <w:tr>
        <w:tc>
          <w:tcPr>
            <w:tcW w:type="dxa" w:w="12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b/>
                <w:bCs/>
                <w:color w:val="0A2540"/>
                <w:sz w:val="18"/>
                <w:szCs w:val="18"/>
              </w:rPr>
              <w:t xml:space="preserve">Ga³⁺</w:t>
            </w:r>
          </w:p>
        </w:tc>
        <w:tc>
          <w:tcPr>
            <w:tcW w:type="dxa"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pPr>
              <w:jc w:val="center"/>
            </w:pPr>
            <w:r>
              <w:rPr>
                <w:rFonts w:ascii="Courier New" w:cs="Courier New" w:eastAsia="Courier New" w:hAnsi="Courier New"/>
                <w:color w:val="3C3489"/>
                <w:sz w:val="17"/>
                <w:szCs w:val="17"/>
              </w:rPr>
              <w:t xml:space="preserve">d¹⁰, +3</w:t>
            </w:r>
          </w:p>
        </w:tc>
        <w:tc>
          <w:tcPr>
            <w:tcW w:type="dxa" w:w="28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color w:val="2C2C2A"/>
                <w:sz w:val="17"/>
                <w:szCs w:val="17"/>
              </w:rPr>
              <w:t xml:space="preserve">Unknown; d¹⁰ may close or open CT channel</w:t>
            </w:r>
          </w:p>
        </w:tc>
        <w:tc>
          <w:tcPr>
            <w:tcW w:type="dxa" w:w="44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i/>
                <w:iCs/>
                <w:color w:val="5F5E5A"/>
                <w:sz w:val="17"/>
                <w:szCs w:val="17"/>
              </w:rPr>
              <w:t xml:space="preserve">Filled d-manifold — no framework prediction; genuine unknown</w:t>
            </w:r>
          </w:p>
        </w:tc>
      </w:tr>
      <w:tr>
        <w:tc>
          <w:tcPr>
            <w:tcW w:type="dxa" w:w="12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b/>
                <w:bCs/>
                <w:color w:val="0A2540"/>
                <w:sz w:val="18"/>
                <w:szCs w:val="18"/>
              </w:rPr>
              <w:t xml:space="preserve">Undoped</w:t>
            </w:r>
          </w:p>
        </w:tc>
        <w:tc>
          <w:tcPr>
            <w:tcW w:type="dxa" w:w="9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pPr>
              <w:jc w:val="center"/>
            </w:pPr>
            <w:r>
              <w:rPr>
                <w:rFonts w:ascii="Courier New" w:cs="Courier New" w:eastAsia="Courier New" w:hAnsi="Courier New"/>
                <w:color w:val="3C3489"/>
                <w:sz w:val="17"/>
                <w:szCs w:val="17"/>
              </w:rPr>
              <w:t xml:space="preserve">d⁰, +4</w:t>
            </w:r>
          </w:p>
        </w:tc>
        <w:tc>
          <w:tcPr>
            <w:tcW w:type="dxa" w:w="280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color w:val="2C2C2A"/>
                <w:sz w:val="17"/>
                <w:szCs w:val="17"/>
              </w:rPr>
              <w:t xml:space="preserve">Re-confirms locked N=35 result: σ ≈ 6.23, basins ≈ 2</w:t>
            </w:r>
          </w:p>
        </w:tc>
        <w:tc>
          <w:tcPr>
            <w:tcW w:type="dxa" w:w="4460"/>
            <w:tcBorders>
              <w:top w:val="single" w:color="CCCCCC" w:sz="1"/>
              <w:left w:val="single" w:color="CCCCCC" w:sz="1"/>
              <w:bottom w:val="single" w:color="CCCCCC" w:sz="1"/>
              <w:right w:val="single" w:color="CCCCCC" w:sz="1"/>
            </w:tcBorders>
            <w:shd w:fill="FFFFFF" w:val="clear"/>
            <w:tcMar>
              <w:top w:type="dxa" w:w="60"/>
              <w:left w:type="dxa" w:w="80"/>
              <w:bottom w:type="dxa" w:w="60"/>
              <w:right w:type="dxa" w:w="60"/>
            </w:tcMar>
          </w:tcPr>
          <w:p>
            <w:r>
              <w:rPr>
                <w:rFonts w:ascii="Arial" w:cs="Arial" w:eastAsia="Arial" w:hAnsi="Arial"/>
                <w:i/>
                <w:iCs/>
                <w:color w:val="5F5E5A"/>
                <w:sz w:val="17"/>
                <w:szCs w:val="17"/>
              </w:rPr>
              <w:t xml:space="preserve">Baseline re-confirmation at N=15</w:t>
            </w:r>
          </w:p>
        </w:tc>
      </w:tr>
    </w:tbl>
    <w:p>
      <w:pPr>
        <w:spacing w:after="0" w:before="0"/>
      </w:pPr>
      <w:r>
        <w:t xml:space="preserve"/>
      </w:r>
    </w:p>
    <w:p>
      <w:pPr>
        <w:spacing w:after="60" w:before="40"/>
      </w:pPr>
      <w:r>
        <w:rPr>
          <w:rFonts w:ascii="Arial" w:cs="Arial" w:eastAsia="Arial" w:hAnsi="Arial"/>
          <w:i/>
          <w:iCs/>
          <w:color w:val="5F5E5A"/>
          <w:sz w:val="20"/>
          <w:szCs w:val="20"/>
        </w:rPr>
        <w:t xml:space="preserve">Results from the dopant screening run will be reported in a companion Zenodo dataset. The key test: if Ta⁵⁺ produces basin collapse as predicted, and Al³⁺ produces roughening as predicted, the charge-mismatch mechanism is confirmed as cross-material (cathode + electrolyte). If confirmed, the ELSD regime classification becomes predictive rather than purely diagnostic.</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Scientific and Strategic Significance</w:t>
      </w:r>
    </w:p>
    <w:p>
      <w:pPr>
        <w:spacing w:after="60" w:before="180"/>
      </w:pPr>
      <w:r>
        <w:rPr>
          <w:rFonts w:ascii="Arial" w:cs="Arial" w:eastAsia="Arial" w:hAnsi="Arial"/>
          <w:b/>
          <w:bCs/>
          <w:color w:val="1D9E75"/>
          <w:sz w:val="22"/>
          <w:szCs w:val="22"/>
        </w:rPr>
        <w:t xml:space="preserve">Solid-State Battery Design</w:t>
      </w:r>
    </w:p>
    <w:p>
      <w:pPr>
        <w:spacing w:after="60" w:before="40"/>
      </w:pPr>
      <w:r>
        <w:rPr>
          <w:rFonts w:ascii="Arial" w:cs="Arial" w:eastAsia="Arial" w:hAnsi="Arial"/>
          <w:color w:val="2C2C2A"/>
          <w:sz w:val="20"/>
          <w:szCs w:val="20"/>
        </w:rPr>
        <w:t xml:space="preserve">The stack-pressure window in solid-state cells is an active design parameter. The finding that Li-occupied sites stabilise under compression while vacancy sites roughen provides an atomic-scale rationale for empirically observed pressure optimisation windows (e.g., ~3 MPa for Ta-doped LLZO/Li interfaces). Too high a pressure roughens vacancy-rich regions created by discharge, potentially driving local instability, mixed conduction, or accelerated fade. This quantitative electronic landscape characterisation complements bulk DFT conductivity calculations with a site-specific instability metric.</w:t>
      </w:r>
    </w:p>
    <w:p>
      <w:pPr>
        <w:spacing w:after="60" w:before="180"/>
      </w:pPr>
      <w:r>
        <w:rPr>
          <w:rFonts w:ascii="Arial" w:cs="Arial" w:eastAsia="Arial" w:hAnsi="Arial"/>
          <w:b/>
          <w:bCs/>
          <w:color w:val="1D9E75"/>
          <w:sz w:val="22"/>
          <w:szCs w:val="22"/>
        </w:rPr>
        <w:t xml:space="preserve">Platform Cross-System Validation</w:t>
      </w:r>
    </w:p>
    <w:p>
      <w:pPr>
        <w:spacing w:after="60" w:before="40"/>
      </w:pPr>
      <w:r>
        <w:rPr>
          <w:rFonts w:ascii="Arial" w:cs="Arial" w:eastAsia="Arial" w:hAnsi="Arial"/>
          <w:color w:val="2C2C2A"/>
          <w:sz w:val="20"/>
          <w:szCs w:val="20"/>
        </w:rPr>
        <w:t xml:space="preserve">This dataset, combined with the NMC811 canonical results, establishes that the ELSD Helios platform characterises both sides of the solid-state battery interface with the same diagnostic framework. The two-sentence platform pitch becomes: “We have characterised the electronic landscape of both cathode and electrolyte in a solid-state cell. The cathode bifurcates under distortion; the electrolyte roughens under pressure at vacancy sites. Now both sides of the interface can be screened computationally before synthesis.”</w:t>
      </w:r>
    </w:p>
    <w:p>
      <w:pPr>
        <w:spacing w:after="60" w:before="180"/>
      </w:pPr>
      <w:r>
        <w:rPr>
          <w:rFonts w:ascii="Arial" w:cs="Arial" w:eastAsia="Arial" w:hAnsi="Arial"/>
          <w:b/>
          <w:bCs/>
          <w:color w:val="1D9E75"/>
          <w:sz w:val="22"/>
          <w:szCs w:val="22"/>
        </w:rPr>
        <w:t xml:space="preserve">Pre-Synthesis Dopant Screening</w:t>
      </w:r>
    </w:p>
    <w:p>
      <w:pPr>
        <w:spacing w:after="60" w:before="40"/>
      </w:pPr>
      <w:r>
        <w:rPr>
          <w:rFonts w:ascii="Arial" w:cs="Arial" w:eastAsia="Arial" w:hAnsi="Arial"/>
          <w:color w:val="2C2C2A"/>
          <w:sz w:val="20"/>
          <w:szCs w:val="20"/>
        </w:rPr>
        <w:t xml:space="preserve">The companion dopant screening run tests whether the ELSD platform transitions from diagnostic to predictive: generating falsifiable rankings of dopant candidates before synthesis and cycling tests. A confirmed Ta⁵⁺ basin-collapse prediction would provide a quantum-mechanical explanation for the empirically known conductivity advantage of Ta-doped over undoped LLZO, and a ranked pre-synthesis filter for novel dopant candidates.</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Comparison to NMC811 d⁰ Analog (Al@Ni0)</w:t>
      </w:r>
    </w:p>
    <w:p>
      <w:pPr>
        <w:spacing w:after="60" w:before="40"/>
      </w:pPr>
      <w:r>
        <w:rPr>
          <w:rFonts w:ascii="Arial" w:cs="Arial" w:eastAsia="Arial" w:hAnsi="Arial"/>
          <w:color w:val="2C2C2A"/>
          <w:sz w:val="20"/>
          <w:szCs w:val="20"/>
        </w:rPr>
        <w:t xml:space="preserve">The closest NMC811 analog to LLZO Zr⁴⁺ (d⁰) is Al³⁺@Ni0 (also d⁰, no d-manifold). Key comparison: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400"/>
        <w:gridCol w:w="1400"/>
        <w:gridCol w:w="1100"/>
        <w:gridCol w:w="1100"/>
        <w:gridCol w:w="2160"/>
      </w:tblGrid>
      <w:tr>
        <w:tc>
          <w:tcPr>
            <w:tcW w:type="dxa" w:w="22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7"/>
                <w:szCs w:val="17"/>
              </w:rPr>
              <w:t xml:space="preserve">System</w:t>
            </w:r>
          </w:p>
        </w:tc>
        <w:tc>
          <w:tcPr>
            <w:tcW w:type="dxa" w:w="14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7"/>
                <w:szCs w:val="17"/>
              </w:rPr>
              <w:t xml:space="preserve">σ Baseline</w:t>
            </w:r>
          </w:p>
        </w:tc>
        <w:tc>
          <w:tcPr>
            <w:tcW w:type="dxa" w:w="14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7"/>
                <w:szCs w:val="17"/>
              </w:rPr>
              <w:t xml:space="preserve">σ Perturbed</w:t>
            </w:r>
          </w:p>
        </w:tc>
        <w:tc>
          <w:tcPr>
            <w:tcW w:type="dxa" w:w="11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7"/>
                <w:szCs w:val="17"/>
              </w:rPr>
              <w:t xml:space="preserve">Px/B0</w:t>
            </w:r>
          </w:p>
        </w:tc>
        <w:tc>
          <w:tcPr>
            <w:tcW w:type="dxa" w:w="110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7"/>
                <w:szCs w:val="17"/>
              </w:rPr>
              <w:t xml:space="preserve">Basins</w:t>
            </w:r>
          </w:p>
        </w:tc>
        <w:tc>
          <w:tcPr>
            <w:tcW w:type="dxa" w:w="2160"/>
            <w:tcBorders>
              <w:top w:val="single" w:color="CCCCCC" w:sz="1"/>
              <w:left w:val="single" w:color="CCCCCC" w:sz="1"/>
              <w:bottom w:val="single" w:color="CCCCCC" w:sz="1"/>
              <w:right w:val="single" w:color="CCCCCC" w:sz="1"/>
            </w:tcBorders>
            <w:shd w:fill="0A2540" w:val="clear"/>
            <w:tcMar>
              <w:top w:type="dxa" w:w="60"/>
              <w:left w:type="dxa" w:w="80"/>
              <w:bottom w:type="dxa" w:w="60"/>
              <w:right w:type="dxa" w:w="60"/>
            </w:tcMar>
          </w:tcPr>
          <w:p>
            <w:r>
              <w:rPr>
                <w:rFonts w:ascii="Arial" w:cs="Arial" w:eastAsia="Arial" w:hAnsi="Arial"/>
                <w:b/>
                <w:bCs/>
                <w:color w:val="FFFFFF"/>
                <w:sz w:val="17"/>
                <w:szCs w:val="17"/>
              </w:rPr>
              <w:t xml:space="preserve">Mechanism</w:t>
            </w:r>
          </w:p>
        </w:tc>
      </w:tr>
      <w:tr>
        <w:tc>
          <w:tcPr>
            <w:tcW w:type="dxa" w:w="22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color w:val="2C2C2A"/>
                <w:sz w:val="17"/>
                <w:szCs w:val="17"/>
              </w:rPr>
              <w:t xml:space="preserve">Al³⁺@Ni0 / NMC811 (B3 distortion)</w:t>
            </w:r>
          </w:p>
        </w:tc>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0.2624</w:t>
            </w:r>
          </w:p>
        </w:tc>
        <w:tc>
          <w:tcPr>
            <w:tcW w:type="dxa" w:w="14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0.6232</w:t>
            </w:r>
          </w:p>
        </w:tc>
        <w:tc>
          <w:tcPr>
            <w:tcW w:type="dxa" w:w="11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854F0B"/>
                <w:sz w:val="17"/>
                <w:szCs w:val="17"/>
              </w:rPr>
              <w:t xml:space="preserve">2.375×</w:t>
            </w:r>
          </w:p>
        </w:tc>
        <w:tc>
          <w:tcPr>
            <w:tcW w:type="dxa" w:w="110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1</w:t>
            </w:r>
          </w:p>
        </w:tc>
        <w:tc>
          <w:tcPr>
            <w:tcW w:type="dxa" w:w="2160"/>
            <w:tcBorders>
              <w:top w:val="single" w:color="CCCCCC" w:sz="1"/>
              <w:left w:val="single" w:color="CCCCCC" w:sz="1"/>
              <w:bottom w:val="single" w:color="CCCCCC" w:sz="1"/>
              <w:right w:val="single" w:color="CCCCCC" w:sz="1"/>
            </w:tcBorders>
            <w:shd w:fill="F1EFE8" w:val="clear"/>
            <w:tcMar>
              <w:top w:type="dxa" w:w="50"/>
              <w:left w:type="dxa" w:w="80"/>
              <w:bottom w:type="dxa" w:w="50"/>
              <w:right w:type="dxa" w:w="60"/>
            </w:tcMar>
          </w:tcPr>
          <w:p>
            <w:r>
              <w:rPr>
                <w:rFonts w:ascii="Arial" w:cs="Arial" w:eastAsia="Arial" w:hAnsi="Arial"/>
                <w:i/>
                <w:iCs/>
                <w:color w:val="5F5E5A"/>
                <w:sz w:val="17"/>
                <w:szCs w:val="17"/>
              </w:rPr>
              <w:t xml:space="preserve">Angular distortion, no d-target, within-basin roughening only</w:t>
            </w:r>
          </w:p>
        </w:tc>
      </w:tr>
      <w:tr>
        <w:tc>
          <w:tcPr>
            <w:tcW w:type="dxa" w:w="2200"/>
            <w:tcBorders>
              <w:top w:val="single" w:color="CCCCCC" w:sz="1"/>
              <w:left w:val="single" w:color="CCCCCC" w:sz="1"/>
              <w:bottom w:val="single" w:color="CCCCCC" w:sz="1"/>
              <w:right w:val="single" w:color="CCCCCC" w:sz="1"/>
            </w:tcBorders>
            <w:tcMar>
              <w:top w:type="dxa" w:w="50"/>
              <w:left w:type="dxa" w:w="80"/>
              <w:bottom w:type="dxa" w:w="50"/>
              <w:right w:type="dxa" w:w="60"/>
            </w:tcMar>
          </w:tcPr>
          <w:p>
            <w:r>
              <w:rPr>
                <w:rFonts w:ascii="Arial" w:cs="Arial" w:eastAsia="Arial" w:hAnsi="Arial"/>
                <w:color w:val="2C2C2A"/>
                <w:sz w:val="17"/>
                <w:szCs w:val="17"/>
              </w:rPr>
              <w:t xml:space="preserve">LLZO Zr⁴⁺ Li0 (isotropic compression)</w:t>
            </w:r>
          </w:p>
        </w:tc>
        <w:tc>
          <w:tcPr>
            <w:tcW w:type="dxa" w:w="1400"/>
            <w:tcBorders>
              <w:top w:val="single" w:color="CCCCCC" w:sz="1"/>
              <w:left w:val="single" w:color="CCCCCC" w:sz="1"/>
              <w:bottom w:val="single" w:color="CCCCCC" w:sz="1"/>
              <w:right w:val="single" w:color="CCCCCC" w:sz="1"/>
            </w:tcBorders>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2.5720</w:t>
            </w:r>
          </w:p>
        </w:tc>
        <w:tc>
          <w:tcPr>
            <w:tcW w:type="dxa" w:w="1400"/>
            <w:tcBorders>
              <w:top w:val="single" w:color="CCCCCC" w:sz="1"/>
              <w:left w:val="single" w:color="CCCCCC" w:sz="1"/>
              <w:bottom w:val="single" w:color="CCCCCC" w:sz="1"/>
              <w:right w:val="single" w:color="CCCCCC" w:sz="1"/>
            </w:tcBorders>
            <w:tcMar>
              <w:top w:type="dxa" w:w="50"/>
              <w:left w:type="dxa" w:w="80"/>
              <w:bottom w:type="dxa" w:w="50"/>
              <w:right w:type="dxa" w:w="60"/>
            </w:tcMar>
          </w:tcPr>
          <w:p>
            <w:pPr>
              <w:jc w:val="center"/>
            </w:pPr>
            <w:r>
              <w:rPr>
                <w:rFonts w:ascii="Courier New" w:cs="Courier New" w:eastAsia="Courier New" w:hAnsi="Courier New"/>
                <w:color w:val="3C3489"/>
                <w:sz w:val="17"/>
                <w:szCs w:val="17"/>
              </w:rPr>
              <w:t xml:space="preserve">6.2270</w:t>
            </w:r>
          </w:p>
        </w:tc>
        <w:tc>
          <w:tcPr>
            <w:tcW w:type="dxa" w:w="1100"/>
            <w:tcBorders>
              <w:top w:val="single" w:color="CCCCCC" w:sz="1"/>
              <w:left w:val="single" w:color="CCCCCC" w:sz="1"/>
              <w:bottom w:val="single" w:color="CCCCCC" w:sz="1"/>
              <w:right w:val="single" w:color="CCCCCC" w:sz="1"/>
            </w:tcBorders>
            <w:tcMar>
              <w:top w:type="dxa" w:w="50"/>
              <w:left w:type="dxa" w:w="80"/>
              <w:bottom w:type="dxa" w:w="50"/>
              <w:right w:type="dxa" w:w="60"/>
            </w:tcMar>
          </w:tcPr>
          <w:p>
            <w:pPr>
              <w:jc w:val="center"/>
            </w:pPr>
            <w:r>
              <w:rPr>
                <w:rFonts w:ascii="Courier New" w:cs="Courier New" w:eastAsia="Courier New" w:hAnsi="Courier New"/>
                <w:color w:val="0F6E56"/>
                <w:sz w:val="17"/>
                <w:szCs w:val="17"/>
              </w:rPr>
              <w:t xml:space="preserve">2.421×</w:t>
            </w:r>
          </w:p>
        </w:tc>
        <w:tc>
          <w:tcPr>
            <w:tcW w:type="dxa" w:w="1100"/>
            <w:tcBorders>
              <w:top w:val="single" w:color="CCCCCC" w:sz="1"/>
              <w:left w:val="single" w:color="CCCCCC" w:sz="1"/>
              <w:bottom w:val="single" w:color="CCCCCC" w:sz="1"/>
              <w:right w:val="single" w:color="CCCCCC" w:sz="1"/>
            </w:tcBorders>
            <w:tcMar>
              <w:top w:type="dxa" w:w="50"/>
              <w:left w:type="dxa" w:w="80"/>
              <w:bottom w:type="dxa" w:w="50"/>
              <w:right w:type="dxa" w:w="60"/>
            </w:tcMar>
          </w:tcPr>
          <w:p>
            <w:pPr>
              <w:jc w:val="center"/>
            </w:pPr>
            <w:r>
              <w:rPr>
                <w:rFonts w:ascii="Courier New" w:cs="Courier New" w:eastAsia="Courier New" w:hAnsi="Courier New"/>
                <w:color w:val="2C2C2A"/>
                <w:sz w:val="17"/>
                <w:szCs w:val="17"/>
              </w:rPr>
              <w:t xml:space="preserve">2</w:t>
            </w:r>
          </w:p>
        </w:tc>
        <w:tc>
          <w:tcPr>
            <w:tcW w:type="dxa" w:w="2160"/>
            <w:tcBorders>
              <w:top w:val="single" w:color="CCCCCC" w:sz="1"/>
              <w:left w:val="single" w:color="CCCCCC" w:sz="1"/>
              <w:bottom w:val="single" w:color="CCCCCC" w:sz="1"/>
              <w:right w:val="single" w:color="CCCCCC" w:sz="1"/>
            </w:tcBorders>
            <w:tcMar>
              <w:top w:type="dxa" w:w="50"/>
              <w:left w:type="dxa" w:w="80"/>
              <w:bottom w:type="dxa" w:w="50"/>
              <w:right w:type="dxa" w:w="60"/>
            </w:tcMar>
          </w:tcPr>
          <w:p>
            <w:r>
              <w:rPr>
                <w:rFonts w:ascii="Arial" w:cs="Arial" w:eastAsia="Arial" w:hAnsi="Arial"/>
                <w:i/>
                <w:iCs/>
                <w:color w:val="5F5E5A"/>
                <w:sz w:val="17"/>
                <w:szCs w:val="17"/>
              </w:rPr>
              <w:t xml:space="preserve">Isotropic compression, Li-vacancy driven roughening, basin count &gt; 1</w:t>
            </w:r>
          </w:p>
        </w:tc>
      </w:tr>
    </w:tbl>
    <w:p>
      <w:pPr>
        <w:spacing w:after="0" w:before="0"/>
      </w:pPr>
      <w:r>
        <w:t xml:space="preserve"/>
      </w:r>
    </w:p>
    <w:p>
      <w:pPr>
        <w:spacing w:after="60" w:before="40"/>
      </w:pPr>
      <w:r>
        <w:rPr>
          <w:rFonts w:ascii="Arial" w:cs="Arial" w:eastAsia="Arial" w:hAnsi="Arial"/>
          <w:i/>
          <w:iCs/>
          <w:color w:val="5F5E5A"/>
          <w:sz w:val="20"/>
          <w:szCs w:val="20"/>
        </w:rPr>
        <w:t xml:space="preserve">Key distinction: perturbation types are not directly comparable (angular distortion vs. isotropic compression). However, both probe d⁰ electronic response and both detect landscape roughening. The difference in mechanism (within-basin only for Al@Ni0 vs. multi-basin for LLZO Zr) suggests the Zr d⁰ response under compression is qualitatively different from Al d⁰ response under angular distortion — reinforcing that LLZO Zr warrants N=35 follow-up.</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Platform and Reproducibility Notes</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All 150/150 seeds completed successfully (100% valid runs)</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Drift = 0.00 throughout — single Hamiltonian per arm, no inter-seed Hamiltonian variation</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Basin detection at N=15 screening level — confirmation requires N=35 for arms with basin_count &gt; 1</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σ computed as population standard deviation across all seeds per arm</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Trapped fraction = fraction of seeds with E &gt; E_global_min + 1.0 kcal/mol</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IBG (inter-basin gap) = energy separation between lowest and second-lowest basin in kcal/mol; IBG = 0 when basin_count = 1</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FC reference energies verified monotonically increasing with compression for both Li states</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Results are reproducible: same Hamiltonian, different random seed initialisation, same dominant basin structure</w:t>
      </w:r>
    </w:p>
    <w:p>
      <w:pPr>
        <w:spacing w:after="30" w:before="30"/>
        <w:ind w:left="360" w:hanging="240"/>
      </w:pPr>
      <w:r>
        <w:rPr>
          <w:rFonts w:ascii="Arial" w:cs="Arial" w:eastAsia="Arial" w:hAnsi="Arial"/>
          <w:sz w:val="20"/>
          <w:szCs w:val="20"/>
        </w:rPr>
        <w:t xml:space="preserve">•  </w:t>
      </w:r>
      <w:r>
        <w:rPr>
          <w:rFonts w:ascii="Arial" w:cs="Arial" w:eastAsia="Arial" w:hAnsi="Arial"/>
          <w:color w:val="2C2C2A"/>
          <w:sz w:val="20"/>
          <w:szCs w:val="20"/>
        </w:rPr>
        <w:t xml:space="preserve">Platform: NVIDIA L40S GPU | Conda environment: llm_clean | Run host: ganymede</w:t>
      </w:r>
    </w:p>
    <w:p>
      <w:pPr>
        <w:pBdr>
          <w:bottom w:val="single" w:color="D3D1C7" w:sz="4" w:space="1"/>
        </w:pBdr>
        <w:spacing w:after="120" w:before="120"/>
      </w:pPr>
      <w:r>
        <w:t xml:space="preserve"/>
      </w:r>
    </w:p>
    <w:p>
      <w:pPr>
        <w:pBdr>
          <w:bottom w:val="single" w:color="1D9E75" w:sz="8" w:space="2"/>
        </w:pBdr>
        <w:spacing w:after="80" w:before="280"/>
      </w:pPr>
      <w:r>
        <w:rPr>
          <w:rFonts w:ascii="Arial" w:cs="Arial" w:eastAsia="Arial" w:hAnsi="Arial"/>
          <w:b/>
          <w:bCs/>
          <w:color w:val="0A2540"/>
          <w:sz w:val="26"/>
          <w:szCs w:val="26"/>
        </w:rPr>
        <w:t xml:space="preserve">Citation</w:t>
      </w:r>
    </w:p>
    <w:p>
      <w:pPr>
        <w:spacing w:after="60" w:before="40"/>
      </w:pPr>
      <w:r>
        <w:rPr>
          <w:rFonts w:ascii="Arial" w:cs="Arial" w:eastAsia="Arial" w:hAnsi="Arial"/>
          <w:color w:val="2C2C2A"/>
          <w:sz w:val="20"/>
          <w:szCs w:val="20"/>
        </w:rPr>
        <w:t xml:space="preserve">Brahmbhatt, A. (2026). LLZO Solid-State Electrolyte Pressure Sweep — VQE Ensemble Electronic Landscape Diagnostics: Pressure-Induced Stabilization, Vacancy-Driven Roughening, and Unexpected d⁰ Bifurcation. ELSD Helios Platform. Quantum Clarity LLC. Zenodo.</w:t>
      </w:r>
    </w:p>
    <w:p>
      <w:pPr>
        <w:spacing w:after="60" w:before="40"/>
      </w:pPr>
      <w:r>
        <w:rPr>
          <w:rFonts w:ascii="Arial" w:cs="Arial" w:eastAsia="Arial" w:hAnsi="Arial"/>
          <w:i/>
          <w:iCs/>
          <w:color w:val="5F5E5A"/>
          <w:sz w:val="20"/>
          <w:szCs w:val="20"/>
        </w:rPr>
        <w:t xml:space="preserve">DOI: [assigned on publication]</w:t>
      </w:r>
    </w:p>
    <w:p>
      <w:pPr>
        <w:spacing w:after="0" w:before="0"/>
      </w:pPr>
      <w:r>
        <w:t xml:space="preserve"/>
      </w:r>
    </w:p>
    <w:p>
      <w:pPr>
        <w:pBdr>
          <w:top w:val="single" w:color="1D9E75" w:sz="4" w:space="2"/>
        </w:pBdr>
        <w:spacing w:after="0" w:before="80"/>
      </w:pPr>
      <w:r>
        <w:rPr>
          <w:rFonts w:ascii="Arial" w:cs="Arial" w:eastAsia="Arial" w:hAnsi="Arial"/>
          <w:i/>
          <w:iCs/>
          <w:color w:val="5F5E5A"/>
          <w:sz w:val="16"/>
          <w:szCs w:val="16"/>
        </w:rPr>
        <w:t xml:space="preserve">© 2026 Quantum Clarity LLC  ·  ELSD Platform  ·  Helios  ·  CC BY 4.0  ·  amitb@quantum-clarity.com</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2026-05-09T01:53:39.256Z</dcterms:created>
  <dcterms:modified xsi:type="dcterms:W3CDTF">2026-05-09T01:53:39.271Z</dcterms:modified>
</cp:coreProperties>
</file>

<file path=docProps/custom.xml><?xml version="1.0" encoding="utf-8"?>
<Properties xmlns="http://schemas.openxmlformats.org/officeDocument/2006/custom-properties" xmlns:vt="http://schemas.openxmlformats.org/officeDocument/2006/docPropsVTypes"/>
</file>