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B6D80">
      <w:pPr>
        <w:pStyle w:val="2"/>
      </w:pPr>
      <w:bookmarkStart w:id="0" w:name="附录材料说明"/>
      <w:r>
        <w:t>附录材料说明</w:t>
      </w:r>
    </w:p>
    <w:p w14:paraId="7B4EB57D">
      <w:pPr>
        <w:pStyle w:val="4"/>
      </w:pPr>
      <w:bookmarkStart w:id="1" w:name="论文信息"/>
      <w:r>
        <w:t>论文信息</w:t>
      </w:r>
    </w:p>
    <w:p w14:paraId="51D8308F">
      <w:pPr>
        <w:pStyle w:val="26"/>
      </w:pPr>
      <w:r>
        <w:rPr>
          <w:b/>
          <w:bCs/>
        </w:rPr>
        <w:t>标题</w:t>
      </w:r>
      <w:r>
        <w:t>：五维系统论驱动的轴承跨域统一健康评估——西安交大/美国/法国异构数据的全局理想体验证</w:t>
      </w:r>
      <w:r>
        <w:br w:type="textWrapping"/>
      </w:r>
      <w:r>
        <w:rPr>
          <w:b/>
          <w:bCs/>
        </w:rPr>
        <w:t>作者</w:t>
      </w:r>
      <w:r>
        <w:t>：赵桂儒（北京市地震局）</w:t>
      </w:r>
      <w:r>
        <w:br w:type="textWrapping"/>
      </w:r>
      <w:r>
        <w:rPr>
          <w:b/>
          <w:bCs/>
        </w:rPr>
        <w:t>日期</w:t>
      </w:r>
      <w:r>
        <w:t>：2026年5月</w:t>
      </w:r>
    </w:p>
    <w:p w14:paraId="64A4CE75">
      <w:pPr>
        <w:pStyle w:val="3"/>
      </w:pPr>
      <w:r>
        <w:t xml:space="preserve">本文共包含 </w:t>
      </w:r>
      <w:r>
        <w:rPr>
          <w:b/>
          <w:bCs/>
        </w:rPr>
        <w:t>5个附录（A–E）</w:t>
      </w:r>
      <w:r>
        <w:t>，涵盖西安交大（XJTU-SY）、美国NASA（1st/2nd/3th test）及法国FEMTO三组异构数据集共48组轴承的完整五维分析结果。以下按附录分类说明文件结构与命名规则。</w:t>
      </w:r>
    </w:p>
    <w:p w14:paraId="130C7E2B">
      <w:r>
        <w:pict>
          <v:rect id="_x0000_i1025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"/>
    <w:p w14:paraId="20E3A91E">
      <w:pPr>
        <w:pStyle w:val="4"/>
      </w:pPr>
      <w:bookmarkStart w:id="2" w:name="附录axjtu-sy数据集单轴承完整图谱"/>
      <w:r>
        <w:t>附录A：XJTU-SY数据集单轴承完整图谱</w:t>
      </w:r>
    </w:p>
    <w:p w14:paraId="15443A71">
      <w:pPr>
        <w:pStyle w:val="26"/>
      </w:pPr>
      <w:r>
        <w:rPr>
          <w:b/>
          <w:bCs/>
        </w:rPr>
        <w:t>数据集来源</w:t>
      </w:r>
      <w:r>
        <w:t>：西安交大XJTU-SY滚动轴承加速寿命试验数据集</w:t>
      </w:r>
      <w:r>
        <w:br w:type="textWrapping"/>
      </w:r>
      <w:r>
        <w:rPr>
          <w:b/>
          <w:bCs/>
        </w:rPr>
        <w:t>轴承数量</w:t>
      </w:r>
      <w:r>
        <w:t>：15组（Bearing1 ~ Bearing15）</w:t>
      </w:r>
      <w:r>
        <w:br w:type="textWrapping"/>
      </w:r>
      <w:r>
        <w:rPr>
          <w:b/>
          <w:bCs/>
        </w:rPr>
        <w:t>传感器配置</w:t>
      </w:r>
      <w:r>
        <w:t>：单传感器</w:t>
      </w:r>
      <w:r>
        <w:br w:type="textWrapping"/>
      </w:r>
      <w:r>
        <w:rPr>
          <w:b/>
          <w:bCs/>
        </w:rPr>
        <w:t>采样率</w:t>
      </w:r>
      <w:r>
        <w:t>：25,600 Hz</w:t>
      </w:r>
    </w:p>
    <w:p w14:paraId="725F82CD">
      <w:pPr>
        <w:pStyle w:val="5"/>
      </w:pPr>
      <w:bookmarkStart w:id="3" w:name="文件命名规则"/>
      <w:r>
        <w:t>文件命名规则</w:t>
      </w:r>
    </w:p>
    <w:tbl>
      <w:tblPr>
        <w:tblStyle w:val="4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1"/>
        <w:gridCol w:w="3985"/>
      </w:tblGrid>
      <w:tr w14:paraId="67DA6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5BEC3E6F">
            <w:pPr>
              <w:pStyle w:val="27"/>
              <w:jc w:val="left"/>
            </w:pPr>
            <w:r>
              <w:t>文件名模式</w:t>
            </w:r>
          </w:p>
        </w:tc>
        <w:tc>
          <w:p w14:paraId="0808D90A">
            <w:pPr>
              <w:pStyle w:val="27"/>
              <w:jc w:val="left"/>
            </w:pPr>
            <w:r>
              <w:t>内容说明</w:t>
            </w:r>
          </w:p>
        </w:tc>
      </w:tr>
      <w:tr w14:paraId="2FC56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3D107D3">
            <w:pPr>
              <w:pStyle w:val="27"/>
              <w:jc w:val="left"/>
            </w:pPr>
            <w:r>
              <w:rPr>
                <w:rStyle w:val="51"/>
              </w:rPr>
              <w:t>XJTU_SY_bearing{N}_combined.png</w:t>
            </w:r>
          </w:p>
        </w:tc>
        <w:tc>
          <w:p w14:paraId="10B87A06">
            <w:pPr>
              <w:pStyle w:val="27"/>
              <w:jc w:val="left"/>
            </w:pPr>
            <w:r>
              <w:t>协同系数κ与五维匹配度（B/S/R/D/I）时序演化曲线</w:t>
            </w:r>
          </w:p>
        </w:tc>
      </w:tr>
      <w:tr w14:paraId="41F3C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45030ED">
            <w:pPr>
              <w:pStyle w:val="27"/>
              <w:jc w:val="left"/>
            </w:pPr>
            <w:r>
              <w:rPr>
                <w:rStyle w:val="51"/>
              </w:rPr>
              <w:t>XJTU_SY_bearing{N}_scatter_matrix.png</w:t>
            </w:r>
          </w:p>
        </w:tc>
        <w:tc>
          <w:p w14:paraId="058E351B">
            <w:pPr>
              <w:pStyle w:val="27"/>
              <w:jc w:val="left"/>
            </w:pPr>
            <w:r>
              <w:t>单维度匹配度γ vs κ散点矩阵 + 乘积结构检验（ln κ vs Σ ln γ）</w:t>
            </w:r>
          </w:p>
        </w:tc>
      </w:tr>
      <w:tr w14:paraId="1A5054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0E56F91">
            <w:pPr>
              <w:pStyle w:val="27"/>
              <w:jc w:val="left"/>
            </w:pPr>
            <w:r>
              <w:rPr>
                <w:rStyle w:val="51"/>
              </w:rPr>
              <w:t>XJTU_SY_bearing{N}_corr_heatmap.png</w:t>
            </w:r>
          </w:p>
        </w:tc>
        <w:tc>
          <w:p w14:paraId="3C029665">
            <w:pPr>
              <w:pStyle w:val="27"/>
              <w:jc w:val="left"/>
            </w:pPr>
            <w:r>
              <w:t>各维度/维度对与κ的Pearson/Spearman相关性热力图</w:t>
            </w:r>
          </w:p>
        </w:tc>
      </w:tr>
      <w:tr w14:paraId="01E75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5CAA6DB">
            <w:pPr>
              <w:pStyle w:val="27"/>
              <w:jc w:val="left"/>
            </w:pPr>
            <w:r>
              <w:rPr>
                <w:rStyle w:val="51"/>
              </w:rPr>
              <w:t>XJTU_SY_bearing{N}_feature_importance.png</w:t>
            </w:r>
          </w:p>
        </w:tc>
        <w:tc>
          <w:p w14:paraId="70205885">
            <w:pPr>
              <w:pStyle w:val="27"/>
              <w:jc w:val="left"/>
            </w:pPr>
            <w:r>
              <w:t>随机森林特征重要性、对数弹性系数、线性相关强度三指标对比</w:t>
            </w:r>
          </w:p>
        </w:tc>
      </w:tr>
      <w:tr w14:paraId="0F026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C18A920">
            <w:pPr>
              <w:pStyle w:val="27"/>
              <w:jc w:val="left"/>
            </w:pPr>
            <w:r>
              <w:rPr>
                <w:rStyle w:val="51"/>
              </w:rPr>
              <w:t>XJTU_SY_bearing{N}_lag_analysis.png</w:t>
            </w:r>
          </w:p>
        </w:tc>
        <w:tc>
          <w:p w14:paraId="47A18EC0">
            <w:pPr>
              <w:pStyle w:val="27"/>
              <w:jc w:val="left"/>
            </w:pPr>
            <w:r>
              <w:t>维度领先指示能力分析（滞后相关性）</w:t>
            </w:r>
          </w:p>
        </w:tc>
      </w:tr>
      <w:tr w14:paraId="02B64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84D892F">
            <w:pPr>
              <w:pStyle w:val="27"/>
              <w:jc w:val="left"/>
            </w:pPr>
            <w:r>
              <w:rPr>
                <w:rStyle w:val="51"/>
              </w:rPr>
              <w:t>XJTU_SY_bearing{N}_inter_curve.png</w:t>
            </w:r>
          </w:p>
        </w:tc>
        <w:tc>
          <w:p w14:paraId="3320BBB7">
            <w:pPr>
              <w:pStyle w:val="27"/>
              <w:jc w:val="left"/>
            </w:pPr>
            <w:r>
              <w:t>10个维度间匹配度（B-S, B-R, …, D-I）时序曲线</w:t>
            </w:r>
          </w:p>
        </w:tc>
      </w:tr>
      <w:tr w14:paraId="6ADBA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F419F73">
            <w:pPr>
              <w:pStyle w:val="27"/>
              <w:jc w:val="left"/>
            </w:pPr>
            <w:r>
              <w:rPr>
                <w:rStyle w:val="51"/>
              </w:rPr>
              <w:t>XJTU_SY_bearing{N}_inter_heatmap.png</w:t>
            </w:r>
          </w:p>
        </w:tc>
        <w:tc>
          <w:p w14:paraId="2DB9920C">
            <w:pPr>
              <w:pStyle w:val="27"/>
              <w:jc w:val="left"/>
            </w:pPr>
            <w:r>
              <w:t>维度间匹配度时序热力图</w:t>
            </w:r>
          </w:p>
        </w:tc>
      </w:tr>
      <w:tr w14:paraId="5F619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FCED1BE">
            <w:pPr>
              <w:pStyle w:val="27"/>
              <w:jc w:val="left"/>
            </w:pPr>
            <w:r>
              <w:rPr>
                <w:rStyle w:val="51"/>
              </w:rPr>
              <w:t>XJTU_SY_bearing{N}_stats.json</w:t>
            </w:r>
          </w:p>
        </w:tc>
        <w:tc>
          <w:p w14:paraId="54188EE1">
            <w:pPr>
              <w:pStyle w:val="27"/>
              <w:jc w:val="left"/>
            </w:pPr>
            <w:r>
              <w:t>该轴承的完整统计诊断报告（JSON格式）</w:t>
            </w:r>
          </w:p>
        </w:tc>
      </w:tr>
      <w:bookmarkEnd w:id="3"/>
    </w:tbl>
    <w:p w14:paraId="598CB594">
      <w:pPr>
        <w:pStyle w:val="5"/>
      </w:pPr>
      <w:bookmarkStart w:id="4" w:name="汇总文件"/>
      <w:r>
        <w:t>汇总文件</w:t>
      </w:r>
    </w:p>
    <w:p w14:paraId="7BBE5ABF">
      <w:pPr>
        <w:pStyle w:val="27"/>
        <w:numPr>
          <w:ilvl w:val="0"/>
          <w:numId w:val="1"/>
        </w:numPr>
      </w:pPr>
      <w:r>
        <w:rPr>
          <w:rStyle w:val="51"/>
        </w:rPr>
        <w:t>XJTU_SY_all_kappa.png</w:t>
      </w:r>
      <w:r>
        <w:t>：15组轴承协同系数总图</w:t>
      </w:r>
    </w:p>
    <w:p w14:paraId="3376D4BA">
      <w:pPr>
        <w:pStyle w:val="27"/>
        <w:numPr>
          <w:ilvl w:val="0"/>
          <w:numId w:val="1"/>
        </w:numPr>
      </w:pPr>
      <w:r>
        <w:rPr>
          <w:rStyle w:val="51"/>
        </w:rPr>
        <w:t>XJTU_SY_summary_statistics.csv</w:t>
      </w:r>
      <w:r>
        <w:t>：组级统计汇总表（跨轴承平均相关性、特征重要性）</w:t>
      </w:r>
    </w:p>
    <w:p w14:paraId="3AC96F74">
      <w:pPr>
        <w:pStyle w:val="27"/>
        <w:numPr>
          <w:ilvl w:val="0"/>
          <w:numId w:val="1"/>
        </w:numPr>
      </w:pPr>
      <w:r>
        <w:rPr>
          <w:rStyle w:val="51"/>
        </w:rPr>
        <w:t>XJTU_SY_summary_stats.png</w:t>
      </w:r>
      <w:r>
        <w:t>：组级统计汇总可视化</w:t>
      </w:r>
    </w:p>
    <w:p w14:paraId="1D1D9C3B">
      <w:r>
        <w:pict>
          <v:rect id="_x0000_i1026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"/>
    <w:bookmarkEnd w:id="4"/>
    <w:p w14:paraId="6FB7B6B8">
      <w:pPr>
        <w:pStyle w:val="4"/>
      </w:pPr>
      <w:bookmarkStart w:id="5" w:name="附录bnasa-1st-test单轴承完整图谱"/>
      <w:r>
        <w:t>附录B：NASA 1st test单轴承完整图谱</w:t>
      </w:r>
    </w:p>
    <w:p w14:paraId="256F0A7F">
      <w:pPr>
        <w:pStyle w:val="26"/>
      </w:pPr>
      <w:r>
        <w:rPr>
          <w:b/>
          <w:bCs/>
        </w:rPr>
        <w:t>数据集来源</w:t>
      </w:r>
      <w:r>
        <w:t>：NASA Prognostics Center of Excellence, Bearing Data Set</w:t>
      </w:r>
      <w:r>
        <w:br w:type="textWrapping"/>
      </w:r>
      <w:r>
        <w:rPr>
          <w:b/>
          <w:bCs/>
        </w:rPr>
        <w:t>轴承数量</w:t>
      </w:r>
      <w:r>
        <w:t>：4组（B1 ~ B4）</w:t>
      </w:r>
      <w:r>
        <w:br w:type="textWrapping"/>
      </w:r>
      <w:r>
        <w:rPr>
          <w:b/>
          <w:bCs/>
        </w:rPr>
        <w:t>传感器配置</w:t>
      </w:r>
      <w:r>
        <w:t>：双传感器（列[0,1], [2,3], [4,5], [6,7]）</w:t>
      </w:r>
      <w:r>
        <w:br w:type="textWrapping"/>
      </w:r>
      <w:r>
        <w:rPr>
          <w:b/>
          <w:bCs/>
        </w:rPr>
        <w:t>采样率</w:t>
      </w:r>
      <w:r>
        <w:t>：20,000 Hz</w:t>
      </w:r>
    </w:p>
    <w:p w14:paraId="3AA29EC3">
      <w:pPr>
        <w:pStyle w:val="5"/>
      </w:pPr>
      <w:bookmarkStart w:id="6" w:name="文件命名规则-1"/>
      <w:r>
        <w:t>文件命名规则</w:t>
      </w:r>
    </w:p>
    <w:tbl>
      <w:tblPr>
        <w:tblStyle w:val="4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1"/>
        <w:gridCol w:w="3985"/>
      </w:tblGrid>
      <w:tr w14:paraId="488B2F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72534AA4">
            <w:pPr>
              <w:pStyle w:val="27"/>
              <w:jc w:val="left"/>
            </w:pPr>
            <w:r>
              <w:t>文件名模式</w:t>
            </w:r>
          </w:p>
        </w:tc>
        <w:tc>
          <w:p w14:paraId="5407096F">
            <w:pPr>
              <w:pStyle w:val="27"/>
              <w:jc w:val="left"/>
            </w:pPr>
            <w:r>
              <w:t>内容说明</w:t>
            </w:r>
          </w:p>
        </w:tc>
      </w:tr>
      <w:tr w14:paraId="15F570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8A527B5">
            <w:pPr>
              <w:pStyle w:val="27"/>
              <w:jc w:val="left"/>
            </w:pPr>
            <w:r>
              <w:rPr>
                <w:rStyle w:val="51"/>
              </w:rPr>
              <w:t>NASA_1st_1st_test_B{N}_combined.png</w:t>
            </w:r>
          </w:p>
        </w:tc>
        <w:tc>
          <w:p w14:paraId="307B7985">
            <w:pPr>
              <w:pStyle w:val="27"/>
              <w:jc w:val="left"/>
            </w:pPr>
            <w:r>
              <w:t>协同系数与五维匹配度时序演化</w:t>
            </w:r>
          </w:p>
        </w:tc>
      </w:tr>
      <w:tr w14:paraId="2F632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D12840D">
            <w:pPr>
              <w:pStyle w:val="27"/>
              <w:jc w:val="left"/>
            </w:pPr>
            <w:r>
              <w:rPr>
                <w:rStyle w:val="51"/>
              </w:rPr>
              <w:t>NASA_1st_1st_test_B{N}_scatter_matrix.png</w:t>
            </w:r>
          </w:p>
        </w:tc>
        <w:tc>
          <w:p w14:paraId="6DA97EDD">
            <w:pPr>
              <w:pStyle w:val="27"/>
              <w:jc w:val="left"/>
            </w:pPr>
            <w:r>
              <w:t>散点矩阵 + 乘积结构检验</w:t>
            </w:r>
          </w:p>
        </w:tc>
      </w:tr>
      <w:tr w14:paraId="74591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E1541F6">
            <w:pPr>
              <w:pStyle w:val="27"/>
              <w:jc w:val="left"/>
            </w:pPr>
            <w:r>
              <w:rPr>
                <w:rStyle w:val="51"/>
              </w:rPr>
              <w:t>NASA_1st_1st_test_B{N}_corr_heatmap.png</w:t>
            </w:r>
          </w:p>
        </w:tc>
        <w:tc>
          <w:p w14:paraId="489C23F3">
            <w:pPr>
              <w:pStyle w:val="27"/>
              <w:jc w:val="left"/>
            </w:pPr>
            <w:r>
              <w:t>相关性热力图</w:t>
            </w:r>
          </w:p>
        </w:tc>
      </w:tr>
      <w:tr w14:paraId="396E8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36EF2C0">
            <w:pPr>
              <w:pStyle w:val="27"/>
              <w:jc w:val="left"/>
            </w:pPr>
            <w:r>
              <w:rPr>
                <w:rStyle w:val="51"/>
              </w:rPr>
              <w:t>NASA_1st_1st_test_B{N}_feature_importance.png</w:t>
            </w:r>
          </w:p>
        </w:tc>
        <w:tc>
          <w:p w14:paraId="0BD5E17E">
            <w:pPr>
              <w:pStyle w:val="27"/>
              <w:jc w:val="left"/>
            </w:pPr>
            <w:r>
              <w:t>特征重要性三指标对比</w:t>
            </w:r>
          </w:p>
        </w:tc>
      </w:tr>
      <w:tr w14:paraId="4A6CC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A4521D3">
            <w:pPr>
              <w:pStyle w:val="27"/>
              <w:jc w:val="left"/>
            </w:pPr>
            <w:r>
              <w:rPr>
                <w:rStyle w:val="51"/>
              </w:rPr>
              <w:t>NASA_1st_1st_test_B{N}_lag_analysis.png</w:t>
            </w:r>
          </w:p>
        </w:tc>
        <w:tc>
          <w:p w14:paraId="1923A9E6">
            <w:pPr>
              <w:pStyle w:val="27"/>
              <w:jc w:val="left"/>
            </w:pPr>
            <w:r>
              <w:t>滞后领先指示分析</w:t>
            </w:r>
          </w:p>
        </w:tc>
      </w:tr>
      <w:tr w14:paraId="74DFC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D21C5C0">
            <w:pPr>
              <w:pStyle w:val="27"/>
              <w:jc w:val="left"/>
            </w:pPr>
            <w:r>
              <w:rPr>
                <w:rStyle w:val="51"/>
              </w:rPr>
              <w:t>NASA_1st_1st_test_B{N}_inter_curve.png</w:t>
            </w:r>
          </w:p>
        </w:tc>
        <w:tc>
          <w:p w14:paraId="48E6BB07">
            <w:pPr>
              <w:pStyle w:val="27"/>
              <w:jc w:val="left"/>
            </w:pPr>
            <w:r>
              <w:t>维度间匹配度曲线</w:t>
            </w:r>
          </w:p>
        </w:tc>
      </w:tr>
      <w:tr w14:paraId="638E8F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BC4D32C">
            <w:pPr>
              <w:pStyle w:val="27"/>
              <w:jc w:val="left"/>
            </w:pPr>
            <w:r>
              <w:rPr>
                <w:rStyle w:val="51"/>
              </w:rPr>
              <w:t>NASA_1st_1st_test_B{N}_inter_heatmap.png</w:t>
            </w:r>
          </w:p>
        </w:tc>
        <w:tc>
          <w:p w14:paraId="728C8B8B">
            <w:pPr>
              <w:pStyle w:val="27"/>
              <w:jc w:val="left"/>
            </w:pPr>
            <w:r>
              <w:t>维度间匹配度热力图</w:t>
            </w:r>
          </w:p>
        </w:tc>
      </w:tr>
      <w:tr w14:paraId="3805A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BD2661E">
            <w:pPr>
              <w:pStyle w:val="27"/>
              <w:jc w:val="left"/>
            </w:pPr>
            <w:r>
              <w:rPr>
                <w:rStyle w:val="51"/>
              </w:rPr>
              <w:t>NASA_1st_1st_test_B{N}_stats.json</w:t>
            </w:r>
          </w:p>
        </w:tc>
        <w:tc>
          <w:p w14:paraId="60BCDB23">
            <w:pPr>
              <w:pStyle w:val="27"/>
              <w:jc w:val="left"/>
            </w:pPr>
            <w:r>
              <w:t>统计诊断报告</w:t>
            </w:r>
          </w:p>
        </w:tc>
      </w:tr>
    </w:tbl>
    <w:p w14:paraId="7872B529">
      <w:r>
        <w:pict>
          <v:rect id="_x0000_i1027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5"/>
    <w:bookmarkEnd w:id="6"/>
    <w:p w14:paraId="3B0F133C">
      <w:pPr>
        <w:pStyle w:val="4"/>
      </w:pPr>
      <w:bookmarkStart w:id="7" w:name="附录cnasa-2nd-and-3th-test单轴承完整图谱"/>
      <w:r>
        <w:t>附录C：NASA 2nd and 3th test单轴承完整图谱</w:t>
      </w:r>
    </w:p>
    <w:p w14:paraId="1300A347">
      <w:pPr>
        <w:pStyle w:val="26"/>
      </w:pPr>
      <w:r>
        <w:rPr>
          <w:b/>
          <w:bCs/>
        </w:rPr>
        <w:t>数据集来源</w:t>
      </w:r>
      <w:r>
        <w:t>：NASA Bearing Data Set</w:t>
      </w:r>
      <w:r>
        <w:br w:type="textWrapping"/>
      </w:r>
      <w:r>
        <w:rPr>
          <w:b/>
          <w:bCs/>
        </w:rPr>
        <w:t>轴承数量</w:t>
      </w:r>
      <w:r>
        <w:t>：8组（2nd test B1~B4，3th test B1~B4）</w:t>
      </w:r>
      <w:r>
        <w:br w:type="textWrapping"/>
      </w:r>
      <w:r>
        <w:rPr>
          <w:b/>
          <w:bCs/>
        </w:rPr>
        <w:t>传感器配置</w:t>
      </w:r>
      <w:r>
        <w:t>：单传感器（列[0], [1], [2], [3]）</w:t>
      </w:r>
      <w:r>
        <w:br w:type="textWrapping"/>
      </w:r>
      <w:r>
        <w:rPr>
          <w:b/>
          <w:bCs/>
        </w:rPr>
        <w:t>采样率</w:t>
      </w:r>
      <w:r>
        <w:t>：20,000 Hz</w:t>
      </w:r>
      <w:r>
        <w:br w:type="textWrapping"/>
      </w:r>
      <w:r>
        <w:rPr>
          <w:b/>
          <w:bCs/>
        </w:rPr>
        <w:t>工况特点</w:t>
      </w:r>
      <w:r>
        <w:t>：2nd test为高载荷加速退化；3th test为低载荷超长寿命</w:t>
      </w:r>
    </w:p>
    <w:p w14:paraId="7FAE3ED7">
      <w:pPr>
        <w:pStyle w:val="5"/>
      </w:pPr>
      <w:bookmarkStart w:id="8" w:name="文件命名规则-2"/>
      <w:r>
        <w:t>文件命名规则</w:t>
      </w:r>
    </w:p>
    <w:tbl>
      <w:tblPr>
        <w:tblStyle w:val="4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1"/>
        <w:gridCol w:w="3985"/>
      </w:tblGrid>
      <w:tr w14:paraId="2DF03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5BA04BC7">
            <w:pPr>
              <w:pStyle w:val="27"/>
              <w:jc w:val="left"/>
            </w:pPr>
            <w:r>
              <w:t>文件名模式</w:t>
            </w:r>
          </w:p>
        </w:tc>
        <w:tc>
          <w:p w14:paraId="211ABD78">
            <w:pPr>
              <w:pStyle w:val="27"/>
              <w:jc w:val="left"/>
            </w:pPr>
            <w:r>
              <w:t>内容说明</w:t>
            </w:r>
          </w:p>
        </w:tc>
      </w:tr>
      <w:tr w14:paraId="43214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E4671BE">
            <w:pPr>
              <w:pStyle w:val="27"/>
              <w:jc w:val="left"/>
            </w:pPr>
            <w:r>
              <w:rPr>
                <w:rStyle w:val="51"/>
              </w:rPr>
              <w:t>NASA_23_2nd_test_B{N}_*.png</w:t>
            </w:r>
            <w:r>
              <w:t xml:space="preserve"> / </w:t>
            </w:r>
            <w:r>
              <w:rPr>
                <w:rStyle w:val="51"/>
              </w:rPr>
              <w:t>.json</w:t>
            </w:r>
          </w:p>
        </w:tc>
        <w:tc>
          <w:p w14:paraId="488A37ED">
            <w:pPr>
              <w:pStyle w:val="27"/>
              <w:jc w:val="left"/>
            </w:pPr>
            <w:r>
              <w:t>NASA 2nd test（高载荷）各轴承分析结果</w:t>
            </w:r>
          </w:p>
        </w:tc>
      </w:tr>
      <w:tr w14:paraId="24EA2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88D231F">
            <w:pPr>
              <w:pStyle w:val="27"/>
              <w:jc w:val="left"/>
            </w:pPr>
            <w:r>
              <w:rPr>
                <w:rStyle w:val="51"/>
              </w:rPr>
              <w:t>NASA_23_3th_test_B{N}_*.png</w:t>
            </w:r>
            <w:r>
              <w:t xml:space="preserve"> / </w:t>
            </w:r>
            <w:r>
              <w:rPr>
                <w:rStyle w:val="51"/>
              </w:rPr>
              <w:t>.json</w:t>
            </w:r>
          </w:p>
        </w:tc>
        <w:tc>
          <w:p w14:paraId="39FE6E03">
            <w:pPr>
              <w:pStyle w:val="27"/>
              <w:jc w:val="left"/>
            </w:pPr>
            <w:r>
              <w:t>NASA 3th test（超长寿命）各轴承分析结果</w:t>
            </w:r>
          </w:p>
        </w:tc>
      </w:tr>
    </w:tbl>
    <w:p w14:paraId="711C0E76">
      <w:pPr>
        <w:pStyle w:val="3"/>
      </w:pPr>
      <w:r>
        <w:t>文件类型与附录A/B一致（combined / scatter_matrix / corr_heatmap / feature_importance / lag_analysis / inter_curve / inter_heatmap / stats.json）。</w:t>
      </w:r>
    </w:p>
    <w:p w14:paraId="73889D75">
      <w:r>
        <w:pict>
          <v:rect id="_x0000_i1028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7"/>
    <w:bookmarkEnd w:id="8"/>
    <w:p w14:paraId="0B31FA6D">
      <w:pPr>
        <w:pStyle w:val="4"/>
      </w:pPr>
      <w:bookmarkStart w:id="9" w:name="附录dfemto完整图谱"/>
      <w:r>
        <w:t>附录D：FEMTO完整图谱</w:t>
      </w:r>
    </w:p>
    <w:p w14:paraId="5B45FE7E">
      <w:pPr>
        <w:pStyle w:val="26"/>
      </w:pPr>
      <w:r>
        <w:rPr>
          <w:b/>
          <w:bCs/>
        </w:rPr>
        <w:t>数据集来源</w:t>
      </w:r>
      <w:r>
        <w:t>：FEMTO-ST Institute, PRONOSTIA Bearing Dataset (IEEE PHM 2012 Challenge)</w:t>
      </w:r>
      <w:r>
        <w:br w:type="textWrapping"/>
      </w:r>
      <w:r>
        <w:rPr>
          <w:b/>
          <w:bCs/>
        </w:rPr>
        <w:t>轴承数量</w:t>
      </w:r>
      <w:r>
        <w:t>：17组</w:t>
      </w:r>
      <w:r>
        <w:br w:type="textWrapping"/>
      </w:r>
      <w:r>
        <w:rPr>
          <w:b/>
          <w:bCs/>
        </w:rPr>
        <w:t>传感器配置</w:t>
      </w:r>
      <w:r>
        <w:t>：双传感器</w:t>
      </w:r>
      <w:r>
        <w:br w:type="textWrapping"/>
      </w:r>
      <w:r>
        <w:rPr>
          <w:b/>
          <w:bCs/>
        </w:rPr>
        <w:t>采样率</w:t>
      </w:r>
      <w:r>
        <w:t>：25,600 Hz</w:t>
      </w:r>
      <w:r>
        <w:br w:type="textWrapping"/>
      </w:r>
      <w:r>
        <w:rPr>
          <w:b/>
          <w:bCs/>
        </w:rPr>
        <w:t>工况分层</w:t>
      </w:r>
      <w:r>
        <w:t>： - Condition 1：Bearing1_1 ~ 1_7（低载荷，寿命较长） - Condition 2：Bearing2_1 ~ 2_7（中等载荷，阶梯劣化） - Condition 3：Bearing3_1 ~ 3_3（高载荷，剧烈波动）</w:t>
      </w:r>
    </w:p>
    <w:p w14:paraId="22728DDD">
      <w:pPr>
        <w:pStyle w:val="5"/>
      </w:pPr>
      <w:bookmarkStart w:id="10" w:name="文件命名规则-3"/>
      <w:r>
        <w:t>文件命名规则</w:t>
      </w:r>
    </w:p>
    <w:tbl>
      <w:tblPr>
        <w:tblStyle w:val="4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1"/>
        <w:gridCol w:w="3985"/>
      </w:tblGrid>
      <w:tr w14:paraId="53239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23955D9D">
            <w:pPr>
              <w:pStyle w:val="27"/>
              <w:jc w:val="left"/>
            </w:pPr>
            <w:r>
              <w:t>文件名模式</w:t>
            </w:r>
          </w:p>
        </w:tc>
        <w:tc>
          <w:p w14:paraId="6E4A1D90">
            <w:pPr>
              <w:pStyle w:val="27"/>
              <w:jc w:val="left"/>
            </w:pPr>
            <w:r>
              <w:t>内容说明</w:t>
            </w:r>
          </w:p>
        </w:tc>
      </w:tr>
      <w:tr w14:paraId="7B0CB4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B0D2700">
            <w:pPr>
              <w:pStyle w:val="27"/>
              <w:jc w:val="left"/>
            </w:pPr>
            <w:r>
              <w:rPr>
                <w:rStyle w:val="51"/>
              </w:rPr>
              <w:t>FEM_Bearing{C}_{N}_combined.png</w:t>
            </w:r>
          </w:p>
        </w:tc>
        <w:tc>
          <w:p w14:paraId="144511D6">
            <w:pPr>
              <w:pStyle w:val="27"/>
              <w:jc w:val="left"/>
            </w:pPr>
            <w:r>
              <w:t>FEMTO Condition C, Bearing N 的协同系数与五维匹配度时序演化</w:t>
            </w:r>
          </w:p>
        </w:tc>
      </w:tr>
      <w:tr w14:paraId="6A3B5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742298B">
            <w:pPr>
              <w:pStyle w:val="27"/>
              <w:jc w:val="left"/>
            </w:pPr>
            <w:r>
              <w:rPr>
                <w:rStyle w:val="51"/>
              </w:rPr>
              <w:t>FEM_Bearing{C}_{N}_scatter_matrix.png</w:t>
            </w:r>
          </w:p>
        </w:tc>
        <w:tc>
          <w:p w14:paraId="4A7C286F">
            <w:pPr>
              <w:pStyle w:val="27"/>
              <w:jc w:val="left"/>
            </w:pPr>
            <w:r>
              <w:t>散点矩阵 + 乘积结构检验</w:t>
            </w:r>
          </w:p>
        </w:tc>
      </w:tr>
      <w:tr w14:paraId="30A1D4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03D466D">
            <w:pPr>
              <w:pStyle w:val="27"/>
              <w:jc w:val="left"/>
            </w:pPr>
            <w:r>
              <w:rPr>
                <w:rStyle w:val="51"/>
              </w:rPr>
              <w:t>FEM_Bearing{C}_{N}_corr_heatmap.png</w:t>
            </w:r>
          </w:p>
        </w:tc>
        <w:tc>
          <w:p w14:paraId="38BBE911">
            <w:pPr>
              <w:pStyle w:val="27"/>
              <w:jc w:val="left"/>
            </w:pPr>
            <w:r>
              <w:t>相关性热力图</w:t>
            </w:r>
          </w:p>
        </w:tc>
      </w:tr>
      <w:tr w14:paraId="6769C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974EE2E">
            <w:pPr>
              <w:pStyle w:val="27"/>
              <w:jc w:val="left"/>
            </w:pPr>
            <w:r>
              <w:rPr>
                <w:rStyle w:val="51"/>
              </w:rPr>
              <w:t>FEM_Bearing{C}_{N}_feature_importance.png</w:t>
            </w:r>
          </w:p>
        </w:tc>
        <w:tc>
          <w:p w14:paraId="43B4E9F2">
            <w:pPr>
              <w:pStyle w:val="27"/>
              <w:jc w:val="left"/>
            </w:pPr>
            <w:r>
              <w:t>特征重要性三指标对比</w:t>
            </w:r>
          </w:p>
        </w:tc>
      </w:tr>
      <w:tr w14:paraId="545FF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1C05D81">
            <w:pPr>
              <w:pStyle w:val="27"/>
              <w:jc w:val="left"/>
            </w:pPr>
            <w:r>
              <w:rPr>
                <w:rStyle w:val="51"/>
              </w:rPr>
              <w:t>FEM_Bearing{C}_{N}_lag_analysis.png</w:t>
            </w:r>
          </w:p>
        </w:tc>
        <w:tc>
          <w:p w14:paraId="4DCE726A">
            <w:pPr>
              <w:pStyle w:val="27"/>
              <w:jc w:val="left"/>
            </w:pPr>
            <w:r>
              <w:t>滞后领先指示分析</w:t>
            </w:r>
          </w:p>
        </w:tc>
      </w:tr>
      <w:tr w14:paraId="7386A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EBEA22C">
            <w:pPr>
              <w:pStyle w:val="27"/>
              <w:jc w:val="left"/>
            </w:pPr>
            <w:r>
              <w:rPr>
                <w:rStyle w:val="51"/>
              </w:rPr>
              <w:t>FEM_Bearing{C}_{N}_inter_curve.png</w:t>
            </w:r>
          </w:p>
        </w:tc>
        <w:tc>
          <w:p w14:paraId="6669E716">
            <w:pPr>
              <w:pStyle w:val="27"/>
              <w:jc w:val="left"/>
            </w:pPr>
            <w:r>
              <w:t>维度间匹配度曲线</w:t>
            </w:r>
          </w:p>
        </w:tc>
      </w:tr>
      <w:tr w14:paraId="58654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91A8382">
            <w:pPr>
              <w:pStyle w:val="27"/>
              <w:jc w:val="left"/>
            </w:pPr>
            <w:r>
              <w:rPr>
                <w:rStyle w:val="51"/>
              </w:rPr>
              <w:t>FEM_Bearing{C}_{N}_inter_heatmap.png</w:t>
            </w:r>
          </w:p>
        </w:tc>
        <w:tc>
          <w:p w14:paraId="71EC4206">
            <w:pPr>
              <w:pStyle w:val="27"/>
              <w:jc w:val="left"/>
            </w:pPr>
            <w:r>
              <w:t>维度间匹配度热力图</w:t>
            </w:r>
          </w:p>
        </w:tc>
      </w:tr>
      <w:tr w14:paraId="6D705C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AE75F94">
            <w:pPr>
              <w:pStyle w:val="27"/>
              <w:jc w:val="left"/>
            </w:pPr>
            <w:r>
              <w:rPr>
                <w:rStyle w:val="51"/>
              </w:rPr>
              <w:t>FEM_Bearing{C}_{N}_stats.json</w:t>
            </w:r>
          </w:p>
        </w:tc>
        <w:tc>
          <w:p w14:paraId="2C036618">
            <w:pPr>
              <w:pStyle w:val="27"/>
              <w:jc w:val="left"/>
            </w:pPr>
            <w:r>
              <w:t>统计诊断报告</w:t>
            </w:r>
          </w:p>
        </w:tc>
      </w:tr>
    </w:tbl>
    <w:p w14:paraId="6B21AC17">
      <w:r>
        <w:pict>
          <v:rect id="_x0000_i1029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9"/>
    <w:bookmarkEnd w:id="10"/>
    <w:p w14:paraId="20DC119C">
      <w:pPr>
        <w:pStyle w:val="4"/>
      </w:pPr>
      <w:bookmarkStart w:id="11" w:name="附录e全局统一理想体下典型轴承协同系数演化图谱"/>
      <w:r>
        <w:t>附录E：全局统一理想体下典型轴承协同系数演化图谱</w:t>
      </w:r>
    </w:p>
    <w:p w14:paraId="3489A7FE">
      <w:pPr>
        <w:pStyle w:val="26"/>
      </w:pPr>
      <w:r>
        <w:rPr>
          <w:b/>
          <w:bCs/>
        </w:rPr>
        <w:t>分析方式</w:t>
      </w:r>
      <w:r>
        <w:t>：取全部48组轴承健康期数据的五维统计中心（中位数+稳健标准差）构建</w:t>
      </w:r>
      <w:r>
        <w:rPr>
          <w:b/>
          <w:bCs/>
        </w:rPr>
        <w:t>全局统一理想体</w:t>
      </w:r>
      <w:r>
        <w:t xml:space="preserve"> </w:t>
      </w:r>
      <m:oMath>
        <m:sSub>
          <m:sSubPr/>
          <m:e>
            <m:r>
              <m:rPr/>
              <m:t>E</m:t>
            </m: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global</m:t>
            </m:r>
          </m:sub>
        </m:sSub>
      </m:oMath>
      <w:r>
        <w:t>，对所有轴承统一计算匹配度。</w:t>
      </w:r>
      <w:r>
        <w:br w:type="textWrapping"/>
      </w:r>
      <w:r>
        <w:rPr>
          <w:b/>
          <w:bCs/>
        </w:rPr>
        <w:t>目的</w:t>
      </w:r>
      <w:r>
        <w:t>：验证五维系统论的跨域普适性——即使脱离本地理想体迭代，协同系数κ的退化规律仍保持清晰。</w:t>
      </w:r>
    </w:p>
    <w:p w14:paraId="7F5FBB9A">
      <w:pPr>
        <w:pStyle w:val="5"/>
      </w:pPr>
      <w:bookmarkStart w:id="12" w:name="文件命名规则-4"/>
      <w:r>
        <w:t>文件命名规则</w:t>
      </w:r>
    </w:p>
    <w:tbl>
      <w:tblPr>
        <w:tblStyle w:val="4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1"/>
        <w:gridCol w:w="3985"/>
      </w:tblGrid>
      <w:tr w14:paraId="68C51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1874C811">
            <w:pPr>
              <w:pStyle w:val="27"/>
              <w:jc w:val="left"/>
            </w:pPr>
            <w:r>
              <w:t>文件名模式</w:t>
            </w:r>
          </w:p>
        </w:tc>
        <w:tc>
          <w:p w14:paraId="6FE655DD">
            <w:pPr>
              <w:pStyle w:val="27"/>
              <w:jc w:val="left"/>
            </w:pPr>
            <w:r>
              <w:t>内容说明</w:t>
            </w:r>
          </w:p>
        </w:tc>
      </w:tr>
      <w:tr w14:paraId="1460C7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D3C4067">
            <w:pPr>
              <w:pStyle w:val="27"/>
              <w:jc w:val="left"/>
            </w:pPr>
            <w:r>
              <w:rPr>
                <w:rStyle w:val="51"/>
              </w:rPr>
              <w:t>GLOBAL_bearing{N}_combined.png</w:t>
            </w:r>
          </w:p>
        </w:tc>
        <w:tc>
          <w:p w14:paraId="60918F10">
            <w:pPr>
              <w:pStyle w:val="27"/>
              <w:jc w:val="left"/>
            </w:pPr>
            <w:r>
              <w:t>XJTU-SY Bearing N 在全局理想体下的协同系数与五维匹配度</w:t>
            </w:r>
          </w:p>
        </w:tc>
      </w:tr>
      <w:tr w14:paraId="147B8A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E18EF85">
            <w:pPr>
              <w:pStyle w:val="27"/>
              <w:jc w:val="left"/>
            </w:pPr>
            <w:r>
              <w:rPr>
                <w:rStyle w:val="51"/>
              </w:rPr>
              <w:t>GLOBAL_1st_test_B{N}_combined.png</w:t>
            </w:r>
          </w:p>
        </w:tc>
        <w:tc>
          <w:p w14:paraId="26118BCB">
            <w:pPr>
              <w:pStyle w:val="27"/>
              <w:jc w:val="left"/>
            </w:pPr>
            <w:r>
              <w:t>NASA 1st test B N 在全局理想体下的结果</w:t>
            </w:r>
          </w:p>
        </w:tc>
      </w:tr>
      <w:tr w14:paraId="06524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BF68FC0">
            <w:pPr>
              <w:pStyle w:val="27"/>
              <w:jc w:val="left"/>
            </w:pPr>
            <w:r>
              <w:rPr>
                <w:rStyle w:val="51"/>
              </w:rPr>
              <w:t>GLOBAL_2nd_test_B{N}_combined.png</w:t>
            </w:r>
          </w:p>
        </w:tc>
        <w:tc>
          <w:p w14:paraId="405B8E07">
            <w:pPr>
              <w:pStyle w:val="27"/>
              <w:jc w:val="left"/>
            </w:pPr>
            <w:r>
              <w:t>NASA 2nd test B N 在全局理想体下的结果</w:t>
            </w:r>
          </w:p>
        </w:tc>
      </w:tr>
      <w:tr w14:paraId="42EA8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3611C72">
            <w:pPr>
              <w:pStyle w:val="27"/>
              <w:jc w:val="left"/>
            </w:pPr>
            <w:r>
              <w:rPr>
                <w:rStyle w:val="51"/>
              </w:rPr>
              <w:t>GLOBAL_3th_test_B{N}_combined.png</w:t>
            </w:r>
          </w:p>
        </w:tc>
        <w:tc>
          <w:p w14:paraId="25A6CA07">
            <w:pPr>
              <w:pStyle w:val="27"/>
              <w:jc w:val="left"/>
            </w:pPr>
            <w:r>
              <w:t>NASA 3th test B N 在全局理想体下的结果</w:t>
            </w:r>
          </w:p>
        </w:tc>
      </w:tr>
      <w:tr w14:paraId="35D0A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99A3593">
            <w:pPr>
              <w:pStyle w:val="27"/>
              <w:jc w:val="left"/>
            </w:pPr>
            <w:r>
              <w:rPr>
                <w:rStyle w:val="51"/>
              </w:rPr>
              <w:t>GLOBAL_Bearing{C}_{N}_combined.png</w:t>
            </w:r>
          </w:p>
        </w:tc>
        <w:tc>
          <w:p w14:paraId="44DD4770">
            <w:pPr>
              <w:pStyle w:val="27"/>
              <w:jc w:val="left"/>
            </w:pPr>
            <w:r>
              <w:t>FEMTO Bearing C_N 在全局理想体下的结果</w:t>
            </w:r>
          </w:p>
        </w:tc>
      </w:tr>
      <w:tr w14:paraId="7A08A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46264EB">
            <w:pPr>
              <w:pStyle w:val="27"/>
              <w:jc w:val="left"/>
            </w:pPr>
            <w:r>
              <w:rPr>
                <w:rStyle w:val="51"/>
              </w:rPr>
              <w:t>GLOBAL_*_inter_curve.png</w:t>
            </w:r>
          </w:p>
        </w:tc>
        <w:tc>
          <w:p w14:paraId="3DF3E864">
            <w:pPr>
              <w:pStyle w:val="27"/>
              <w:jc w:val="left"/>
            </w:pPr>
            <w:r>
              <w:t>对应轴承的维度间匹配度曲线</w:t>
            </w:r>
          </w:p>
        </w:tc>
      </w:tr>
      <w:tr w14:paraId="104A3B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68856C4">
            <w:pPr>
              <w:pStyle w:val="27"/>
              <w:jc w:val="left"/>
            </w:pPr>
            <w:r>
              <w:rPr>
                <w:rStyle w:val="51"/>
              </w:rPr>
              <w:t>GLOBAL_*_inter_heatmap.png</w:t>
            </w:r>
          </w:p>
        </w:tc>
        <w:tc>
          <w:p w14:paraId="4FDB8501">
            <w:pPr>
              <w:pStyle w:val="27"/>
              <w:jc w:val="left"/>
            </w:pPr>
            <w:r>
              <w:t>对应轴承的维度间匹配度热力图</w:t>
            </w:r>
          </w:p>
        </w:tc>
      </w:tr>
      <w:tr w14:paraId="7ECBE8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16FB45B">
            <w:pPr>
              <w:pStyle w:val="27"/>
              <w:jc w:val="left"/>
            </w:pPr>
            <w:r>
              <w:rPr>
                <w:rStyle w:val="51"/>
              </w:rPr>
              <w:t>GLOBAL_UNIFIED_all_kappa.png</w:t>
            </w:r>
          </w:p>
        </w:tc>
        <w:tc>
          <w:p w14:paraId="544D8AAE">
            <w:pPr>
              <w:pStyle w:val="27"/>
              <w:jc w:val="left"/>
            </w:pPr>
            <w:r>
              <w:t>48组轴承全局协同系数总图（按数据集分组着色）</w:t>
            </w:r>
          </w:p>
        </w:tc>
      </w:tr>
    </w:tbl>
    <w:p w14:paraId="330EA1DA">
      <w:r>
        <w:pict>
          <v:rect id="_x0000_i1030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1"/>
    <w:bookmarkEnd w:id="12"/>
    <w:p w14:paraId="1D62D4DC">
      <w:pPr>
        <w:pStyle w:val="4"/>
      </w:pPr>
      <w:bookmarkStart w:id="13" w:name="json统计报告文件说明"/>
      <w:r>
        <w:t>JSON统计报告文件说明</w:t>
      </w:r>
    </w:p>
    <w:p w14:paraId="1D4C3603">
      <w:pPr>
        <w:pStyle w:val="26"/>
      </w:pPr>
      <w:r>
        <w:t xml:space="preserve">每个轴承均附带一个 </w:t>
      </w:r>
      <w:r>
        <w:rPr>
          <w:rStyle w:val="51"/>
        </w:rPr>
        <w:t>_stats.json</w:t>
      </w:r>
      <w:r>
        <w:t xml:space="preserve"> 文件，包含该轴承五维协同的完整定量诊断。以下以 </w:t>
      </w:r>
      <w:r>
        <w:rPr>
          <w:b/>
          <w:bCs/>
        </w:rPr>
        <w:t>XJTU-SY Bearing3</w:t>
      </w:r>
      <w:r>
        <w:t xml:space="preserve"> 为例，逐项说明各字段的物理意义与审稿价值。</w:t>
      </w:r>
    </w:p>
    <w:p w14:paraId="7E875C04">
      <w:pPr>
        <w:pStyle w:val="5"/>
      </w:pPr>
      <w:bookmarkStart w:id="14" w:name="示例片段bearing3_stats.json"/>
      <w:r>
        <w:t>示例片段（bearing3_stats.json）</w:t>
      </w:r>
    </w:p>
    <w:p w14:paraId="4B872605">
      <w:pPr>
        <w:pStyle w:val="52"/>
      </w:pPr>
      <w:r>
        <w:rPr>
          <w:rStyle w:val="75"/>
        </w:rPr>
        <w:t>{</w:t>
      </w:r>
      <w:r>
        <w:br w:type="textWrapping"/>
      </w:r>
      <w:r>
        <w:rPr>
          <w:rStyle w:val="88"/>
        </w:rPr>
        <w:t xml:space="preserve">  </w:t>
      </w:r>
      <w:r>
        <w:rPr>
          <w:rStyle w:val="59"/>
        </w:rPr>
        <w:t>"bearing"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66"/>
        </w:rPr>
        <w:t>"bearing3"</w:t>
      </w:r>
      <w:r>
        <w:rPr>
          <w:rStyle w:val="75"/>
        </w:rPr>
        <w:t>,</w:t>
      </w:r>
      <w:r>
        <w:br w:type="textWrapping"/>
      </w:r>
      <w:r>
        <w:rPr>
          <w:rStyle w:val="88"/>
        </w:rPr>
        <w:t xml:space="preserve">  </w:t>
      </w:r>
      <w:r>
        <w:rPr>
          <w:rStyle w:val="59"/>
        </w:rPr>
        <w:t>"n_segments"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60"/>
        </w:rPr>
        <w:t>1896</w:t>
      </w:r>
      <w:r>
        <w:rPr>
          <w:rStyle w:val="75"/>
        </w:rPr>
        <w:t>,</w:t>
      </w:r>
      <w:r>
        <w:br w:type="textWrapping"/>
      </w:r>
      <w:r>
        <w:rPr>
          <w:rStyle w:val="88"/>
        </w:rPr>
        <w:t xml:space="preserve">  </w:t>
      </w:r>
      <w:r>
        <w:rPr>
          <w:rStyle w:val="59"/>
        </w:rPr>
        <w:t>"theory_model"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75"/>
        </w:rPr>
        <w:t>{</w:t>
      </w:r>
      <w:r>
        <w:br w:type="textWrapping"/>
      </w:r>
      <w:r>
        <w:rPr>
          <w:rStyle w:val="88"/>
        </w:rPr>
        <w:t xml:space="preserve">    </w:t>
      </w:r>
      <w:r>
        <w:rPr>
          <w:rStyle w:val="59"/>
        </w:rPr>
        <w:t>"r2"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62"/>
        </w:rPr>
        <w:t>1.0</w:t>
      </w:r>
      <w:r>
        <w:rPr>
          <w:rStyle w:val="75"/>
        </w:rPr>
        <w:t>,</w:t>
      </w:r>
      <w:r>
        <w:br w:type="textWrapping"/>
      </w:r>
      <w:r>
        <w:rPr>
          <w:rStyle w:val="88"/>
        </w:rPr>
        <w:t xml:space="preserve">    </w:t>
      </w:r>
      <w:r>
        <w:rPr>
          <w:rStyle w:val="59"/>
        </w:rPr>
        <w:t>"coefficients"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75"/>
        </w:rPr>
        <w:t>{</w:t>
      </w:r>
      <w:r>
        <w:br w:type="textWrapping"/>
      </w:r>
      <w:r>
        <w:rPr>
          <w:rStyle w:val="88"/>
        </w:rPr>
        <w:t xml:space="preserve">      </w:t>
      </w:r>
      <w:r>
        <w:rPr>
          <w:rStyle w:val="59"/>
        </w:rPr>
        <w:t>"B-边界"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62"/>
        </w:rPr>
        <w:t>1.0000000000000013</w:t>
      </w:r>
      <w:r>
        <w:rPr>
          <w:rStyle w:val="75"/>
        </w:rPr>
        <w:t>,</w:t>
      </w:r>
      <w:r>
        <w:br w:type="textWrapping"/>
      </w:r>
      <w:r>
        <w:rPr>
          <w:rStyle w:val="88"/>
        </w:rPr>
        <w:t xml:space="preserve">      </w:t>
      </w:r>
      <w:r>
        <w:rPr>
          <w:rStyle w:val="59"/>
        </w:rPr>
        <w:t>"S-结构"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62"/>
        </w:rPr>
        <w:t>1.0000000000000002</w:t>
      </w:r>
      <w:r>
        <w:rPr>
          <w:rStyle w:val="75"/>
        </w:rPr>
        <w:t>,</w:t>
      </w:r>
      <w:r>
        <w:br w:type="textWrapping"/>
      </w:r>
      <w:r>
        <w:rPr>
          <w:rStyle w:val="88"/>
        </w:rPr>
        <w:t xml:space="preserve">      </w:t>
      </w:r>
      <w:r>
        <w:rPr>
          <w:rStyle w:val="59"/>
        </w:rPr>
        <w:t>"R-储备"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62"/>
        </w:rPr>
        <w:t>1.0000000000000004</w:t>
      </w:r>
      <w:r>
        <w:rPr>
          <w:rStyle w:val="75"/>
        </w:rPr>
        <w:t>,</w:t>
      </w:r>
      <w:r>
        <w:br w:type="textWrapping"/>
      </w:r>
      <w:r>
        <w:rPr>
          <w:rStyle w:val="88"/>
        </w:rPr>
        <w:t xml:space="preserve">      </w:t>
      </w:r>
      <w:r>
        <w:rPr>
          <w:rStyle w:val="59"/>
        </w:rPr>
        <w:t>"D-方向"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62"/>
        </w:rPr>
        <w:t>1.0000000000000004</w:t>
      </w:r>
      <w:r>
        <w:rPr>
          <w:rStyle w:val="75"/>
        </w:rPr>
        <w:t>,</w:t>
      </w:r>
      <w:r>
        <w:br w:type="textWrapping"/>
      </w:r>
      <w:r>
        <w:rPr>
          <w:rStyle w:val="88"/>
        </w:rPr>
        <w:t xml:space="preserve">      </w:t>
      </w:r>
      <w:r>
        <w:rPr>
          <w:rStyle w:val="59"/>
        </w:rPr>
        <w:t>"I-强度"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62"/>
        </w:rPr>
        <w:t>1.0000000000000007</w:t>
      </w:r>
      <w:r>
        <w:br w:type="textWrapping"/>
      </w:r>
      <w:r>
        <w:rPr>
          <w:rStyle w:val="88"/>
        </w:rPr>
        <w:t xml:space="preserve">    </w:t>
      </w:r>
      <w:r>
        <w:rPr>
          <w:rStyle w:val="75"/>
        </w:rPr>
        <w:t>}</w:t>
      </w:r>
      <w:r>
        <w:br w:type="textWrapping"/>
      </w:r>
      <w:r>
        <w:rPr>
          <w:rStyle w:val="88"/>
        </w:rPr>
        <w:t xml:space="preserve">  </w:t>
      </w:r>
      <w:r>
        <w:rPr>
          <w:rStyle w:val="75"/>
        </w:rPr>
        <w:t>},</w:t>
      </w:r>
      <w:r>
        <w:br w:type="textWrapping"/>
      </w:r>
      <w:r>
        <w:rPr>
          <w:rStyle w:val="88"/>
        </w:rPr>
        <w:t xml:space="preserve">  </w:t>
      </w:r>
      <w:r>
        <w:rPr>
          <w:rStyle w:val="59"/>
        </w:rPr>
        <w:t>"full_model_r2"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62"/>
        </w:rPr>
        <w:t>1.0</w:t>
      </w:r>
      <w:r>
        <w:rPr>
          <w:rStyle w:val="75"/>
        </w:rPr>
        <w:t>,</w:t>
      </w:r>
      <w:r>
        <w:br w:type="textWrapping"/>
      </w:r>
      <w:r>
        <w:rPr>
          <w:rStyle w:val="88"/>
        </w:rPr>
        <w:t xml:space="preserve">  </w:t>
      </w:r>
      <w:r>
        <w:rPr>
          <w:rStyle w:val="59"/>
        </w:rPr>
        <w:t>"top_pearson"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74"/>
        </w:rPr>
        <w:t>[</w:t>
      </w:r>
      <w:r>
        <w:rPr>
          <w:rStyle w:val="87"/>
        </w:rPr>
        <w:t>...</w:t>
      </w:r>
      <w:r>
        <w:rPr>
          <w:rStyle w:val="74"/>
        </w:rPr>
        <w:t>]</w:t>
      </w:r>
      <w:r>
        <w:rPr>
          <w:rStyle w:val="75"/>
        </w:rPr>
        <w:t>,</w:t>
      </w:r>
      <w:r>
        <w:br w:type="textWrapping"/>
      </w:r>
      <w:r>
        <w:rPr>
          <w:rStyle w:val="88"/>
        </w:rPr>
        <w:t xml:space="preserve">  </w:t>
      </w:r>
      <w:r>
        <w:rPr>
          <w:rStyle w:val="59"/>
        </w:rPr>
        <w:t>"top_importance"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74"/>
        </w:rPr>
        <w:t>[</w:t>
      </w:r>
      <w:r>
        <w:rPr>
          <w:rStyle w:val="87"/>
        </w:rPr>
        <w:t>...</w:t>
      </w:r>
      <w:r>
        <w:rPr>
          <w:rStyle w:val="74"/>
        </w:rPr>
        <w:t>]</w:t>
      </w:r>
      <w:r>
        <w:rPr>
          <w:rStyle w:val="75"/>
        </w:rPr>
        <w:t>,</w:t>
      </w:r>
      <w:r>
        <w:br w:type="textWrapping"/>
      </w:r>
      <w:r>
        <w:rPr>
          <w:rStyle w:val="88"/>
        </w:rPr>
        <w:t xml:space="preserve">  </w:t>
      </w:r>
      <w:r>
        <w:rPr>
          <w:rStyle w:val="59"/>
        </w:rPr>
        <w:t>"lag_leading_indicators"</w:t>
      </w:r>
      <w:r>
        <w:rPr>
          <w:rStyle w:val="75"/>
        </w:rPr>
        <w:t>:</w:t>
      </w:r>
      <w:r>
        <w:rPr>
          <w:rStyle w:val="88"/>
        </w:rPr>
        <w:t xml:space="preserve"> </w:t>
      </w:r>
      <w:r>
        <w:rPr>
          <w:rStyle w:val="74"/>
        </w:rPr>
        <w:t>[</w:t>
      </w:r>
      <w:r>
        <w:rPr>
          <w:rStyle w:val="87"/>
        </w:rPr>
        <w:t>...</w:t>
      </w:r>
      <w:r>
        <w:rPr>
          <w:rStyle w:val="74"/>
        </w:rPr>
        <w:t>]</w:t>
      </w:r>
      <w:r>
        <w:br w:type="textWrapping"/>
      </w:r>
      <w:r>
        <w:rPr>
          <w:rStyle w:val="75"/>
        </w:rPr>
        <w:t>}</w:t>
      </w:r>
    </w:p>
    <w:bookmarkEnd w:id="14"/>
    <w:p w14:paraId="11AC5DD9">
      <w:pPr>
        <w:pStyle w:val="5"/>
      </w:pPr>
      <w:bookmarkStart w:id="15" w:name="字段逐项解释"/>
      <w:r>
        <w:t>字段逐项解释</w:t>
      </w:r>
    </w:p>
    <w:tbl>
      <w:tblPr>
        <w:tblStyle w:val="4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2415"/>
        <w:gridCol w:w="2415"/>
        <w:gridCol w:w="2415"/>
      </w:tblGrid>
      <w:tr w14:paraId="5C0FB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1BC9EA6B">
            <w:pPr>
              <w:pStyle w:val="27"/>
              <w:jc w:val="left"/>
            </w:pPr>
            <w:r>
              <w:t>字段</w:t>
            </w:r>
          </w:p>
        </w:tc>
        <w:tc>
          <w:p w14:paraId="7C67AE28">
            <w:pPr>
              <w:pStyle w:val="27"/>
              <w:jc w:val="left"/>
            </w:pPr>
            <w:r>
              <w:t>数学定义</w:t>
            </w:r>
          </w:p>
        </w:tc>
        <w:tc>
          <w:p w14:paraId="2717DC3E">
            <w:pPr>
              <w:pStyle w:val="27"/>
              <w:jc w:val="left"/>
            </w:pPr>
            <w:r>
              <w:t>物理意义</w:t>
            </w:r>
          </w:p>
        </w:tc>
        <w:tc>
          <w:p w14:paraId="16E7C453">
            <w:pPr>
              <w:pStyle w:val="27"/>
              <w:jc w:val="left"/>
            </w:pPr>
            <w:r>
              <w:t>审稿价值</w:t>
            </w:r>
          </w:p>
        </w:tc>
      </w:tr>
      <w:tr w14:paraId="21DAD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4368FC4">
            <w:pPr>
              <w:pStyle w:val="27"/>
              <w:jc w:val="left"/>
            </w:pPr>
            <w:r>
              <w:rPr>
                <w:rStyle w:val="51"/>
              </w:rPr>
              <w:t>bearing</w:t>
            </w:r>
          </w:p>
        </w:tc>
        <w:tc>
          <w:p w14:paraId="0B714165">
            <w:pPr>
              <w:pStyle w:val="27"/>
              <w:jc w:val="left"/>
            </w:pPr>
            <w:r>
              <w:t>—</w:t>
            </w:r>
          </w:p>
        </w:tc>
        <w:tc>
          <w:p w14:paraId="4FF7BC29">
            <w:pPr>
              <w:pStyle w:val="27"/>
              <w:jc w:val="left"/>
            </w:pPr>
            <w:r>
              <w:t>轴承标识</w:t>
            </w:r>
          </w:p>
        </w:tc>
        <w:tc>
          <w:p w14:paraId="6654CDA4">
            <w:pPr>
              <w:pStyle w:val="27"/>
              <w:jc w:val="left"/>
            </w:pPr>
            <w:r>
              <w:t>确保结果可追溯至特定样本</w:t>
            </w:r>
          </w:p>
        </w:tc>
      </w:tr>
      <w:tr w14:paraId="46E3C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443DD5E">
            <w:pPr>
              <w:pStyle w:val="27"/>
              <w:jc w:val="left"/>
            </w:pPr>
            <w:r>
              <w:rPr>
                <w:rStyle w:val="51"/>
              </w:rPr>
              <w:t>n_segments</w:t>
            </w:r>
          </w:p>
        </w:tc>
        <w:tc>
          <w:p w14:paraId="78A0DB36">
            <w:pPr>
              <w:pStyle w:val="27"/>
              <w:jc w:val="left"/>
            </w:pPr>
            <w:r>
              <w:t>—</w:t>
            </w:r>
          </w:p>
        </w:tc>
        <w:tc>
          <w:p w14:paraId="01E35FA4">
            <w:pPr>
              <w:pStyle w:val="27"/>
              <w:jc w:val="left"/>
            </w:pPr>
            <w:r>
              <w:t>该轴承经0.1秒分段后的总段数</w:t>
            </w:r>
          </w:p>
        </w:tc>
        <w:tc>
          <w:p w14:paraId="70E872AC">
            <w:pPr>
              <w:pStyle w:val="27"/>
              <w:jc w:val="left"/>
            </w:pPr>
            <w:r>
              <w:t>反映数据长度与寿命规模</w:t>
            </w:r>
          </w:p>
        </w:tc>
      </w:tr>
      <w:tr w14:paraId="6EF3C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F4331CF">
            <w:pPr>
              <w:pStyle w:val="27"/>
              <w:jc w:val="left"/>
            </w:pPr>
            <w:r>
              <w:rPr>
                <w:rStyle w:val="51"/>
              </w:rPr>
              <w:t>theory_model.r2</w:t>
            </w:r>
          </w:p>
        </w:tc>
        <w:tc>
          <w:p w14:paraId="1ECB0556">
            <w:pPr>
              <w:pStyle w:val="27"/>
              <w:jc w:val="left"/>
            </w:pPr>
            <m:oMath>
              <m:sSup>
                <m:sSupPr/>
                <m:e>
                  <m:r>
                    <m:rPr/>
                    <m:t>R</m:t>
                  </m:r>
                </m:e>
                <m:sup>
                  <m:r>
                    <m:rPr/>
                    <m:t>2</m:t>
                  </m:r>
                </m:sup>
              </m:sSup>
            </m:oMath>
            <w:r>
              <w:t xml:space="preserve"> of </w:t>
            </w:r>
            <m:oMath>
              <m:r>
                <m:rPr>
                  <m:sty m:val="p"/>
                </m:rPr>
                <m:t>ln</m:t>
              </m:r>
              <m:r>
                <m:rPr/>
                <m:t>κ</m:t>
              </m:r>
              <m:r>
                <m:rPr>
                  <m:sty m:val="p"/>
                </m:rPr>
                <m:t>∼</m:t>
              </m:r>
              <m:nary>
                <m:naryPr>
                  <m:chr m:val="∑"/>
                  <m:limLoc m:val="undOvr"/>
                </m:naryPr>
                <m:sub>
                  <m:r>
                    <m:rPr/>
                    <m:t>i</m:t>
                  </m:r>
                  <m:r>
                    <m:rPr>
                      <m:sty m:val="p"/>
                    </m:rPr>
                    <m:t>=</m:t>
                  </m:r>
                  <m:r>
                    <m:rPr/>
                    <m:t>1</m:t>
                  </m:r>
                </m:sub>
                <m:sup>
                  <m:r>
                    <m:rPr/>
                    <m:t>5</m:t>
                  </m:r>
                </m:sup>
                <m:e>
                  <m:r>
                    <m:rPr>
                      <m:sty m:val="p"/>
                    </m:rPr>
                    <m:t>ln</m:t>
                  </m:r>
                </m:e>
              </m:nary>
              <m:sSub>
                <m:sSubPr/>
                <m:e>
                  <m:r>
                    <m:rPr/>
                    <m:t>γ</m:t>
                  </m:r>
                </m:e>
                <m:sub>
                  <m:r>
                    <m:rPr/>
                    <m:t>i</m:t>
                  </m:r>
                </m:sub>
              </m:sSub>
            </m:oMath>
          </w:p>
        </w:tc>
        <w:tc>
          <w:p w14:paraId="4B9A979F">
            <w:pPr>
              <w:pStyle w:val="27"/>
              <w:jc w:val="left"/>
            </w:pPr>
            <w:r>
              <w:t>五维乘积结构的拟合优度</w:t>
            </w:r>
          </w:p>
        </w:tc>
        <w:tc>
          <w:p w14:paraId="133F2803">
            <w:pPr>
              <w:pStyle w:val="27"/>
              <w:jc w:val="left"/>
            </w:pPr>
            <w:r>
              <w:rPr>
                <w:b/>
                <w:bCs/>
              </w:rPr>
              <w:t>核心证据</w:t>
            </w:r>
            <w:r>
              <w:t>：</w:t>
            </w:r>
            <m:oMath>
              <m:sSup>
                <m:sSupPr/>
                <m:e>
                  <m:r>
                    <m:rPr/>
                    <m:t>R</m:t>
                  </m:r>
                </m:e>
                <m:sup>
                  <m:r>
                    <m:rPr/>
                    <m:t>2</m:t>
                  </m:r>
                </m:sup>
              </m:sSup>
              <m:r>
                <m:rPr>
                  <m:sty m:val="p"/>
                </m:rPr>
                <m:t>=</m:t>
              </m:r>
              <m:r>
                <m:rPr/>
                <m:t>1.000</m:t>
              </m:r>
            </m:oMath>
            <w:r>
              <w:t xml:space="preserve"> 证明 </w:t>
            </w:r>
            <m:oMath>
              <m:r>
                <m:rPr/>
                <m:t>κ</m:t>
              </m:r>
              <m:r>
                <m:rPr>
                  <m:sty m:val="p"/>
                </m:rPr>
                <m:t>=∏</m:t>
              </m:r>
              <m:sSub>
                <m:sSubPr/>
                <m:e>
                  <m:r>
                    <m:rPr/>
                    <m:t>γ</m:t>
                  </m:r>
                </m:e>
                <m:sub>
                  <m:r>
                    <m:rPr/>
                    <m:t>i</m:t>
                  </m:r>
                </m:sub>
              </m:sSub>
            </m:oMath>
            <w:r>
              <w:t xml:space="preserve"> 在统计上严格成立，非近似公式</w:t>
            </w:r>
          </w:p>
        </w:tc>
      </w:tr>
      <w:tr w14:paraId="100B2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33F625B2">
            <w:pPr>
              <w:pStyle w:val="27"/>
              <w:jc w:val="left"/>
            </w:pPr>
            <w:r>
              <w:rPr>
                <w:rStyle w:val="51"/>
              </w:rPr>
              <w:t>theory_model.coefficients</w:t>
            </w:r>
          </w:p>
        </w:tc>
        <w:tc>
          <w:p w14:paraId="76794A4D">
            <w:pPr>
              <w:pStyle w:val="27"/>
              <w:jc w:val="left"/>
            </w:pPr>
            <w:r>
              <w:t>各维度对数回归系数</w:t>
            </w:r>
          </w:p>
        </w:tc>
        <w:tc>
          <w:p w14:paraId="52F9AE2A">
            <w:pPr>
              <w:pStyle w:val="27"/>
              <w:jc w:val="left"/>
            </w:pPr>
            <w:r>
              <w:t>理论上应均为1.0</w:t>
            </w:r>
          </w:p>
        </w:tc>
        <w:tc>
          <w:p w14:paraId="712489C4">
            <w:pPr>
              <w:pStyle w:val="27"/>
              <w:jc w:val="left"/>
            </w:pPr>
            <w:r>
              <w:t>系数偏离1.0的程度度量数值噪声；本例中所有系数≈1.0，验证乘积协同的精确性</w:t>
            </w:r>
          </w:p>
        </w:tc>
      </w:tr>
      <w:tr w14:paraId="612B8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51F79B66">
            <w:pPr>
              <w:pStyle w:val="27"/>
              <w:jc w:val="left"/>
            </w:pPr>
            <w:r>
              <w:rPr>
                <w:rStyle w:val="51"/>
              </w:rPr>
              <w:t>full_model_r2</w:t>
            </w:r>
          </w:p>
        </w:tc>
        <w:tc>
          <w:p w14:paraId="756CE366">
            <w:pPr>
              <w:pStyle w:val="27"/>
              <w:jc w:val="left"/>
            </w:pPr>
            <m:oMath>
              <m:sSup>
                <m:sSupPr/>
                <m:e>
                  <m:r>
                    <m:rPr/>
                    <m:t>R</m:t>
                  </m:r>
                </m:e>
                <m:sup>
                  <m:r>
                    <m:rPr/>
                    <m:t>2</m:t>
                  </m:r>
                </m:sup>
              </m:sSup>
            </m:oMath>
            <w:r>
              <w:t xml:space="preserve"> of </w:t>
            </w:r>
            <m:oMath>
              <m:r>
                <m:rPr>
                  <m:sty m:val="p"/>
                </m:rPr>
                <m:t>ln</m:t>
              </m:r>
              <m:r>
                <m:rPr/>
                <m:t>κ</m:t>
              </m:r>
              <m:r>
                <m:rPr>
                  <m:sty m:val="p"/>
                </m:rPr>
                <m:t>∼</m:t>
              </m:r>
              <m:nary>
                <m:naryPr>
                  <m:chr m:val="∑"/>
                  <m:limLoc m:val="undOvr"/>
                </m:naryPr>
                <m:sub>
                  <m:r>
                    <m:rPr/>
                    <m:t>i</m:t>
                  </m:r>
                  <m:r>
                    <m:rPr>
                      <m:sty m:val="p"/>
                    </m:rPr>
                    <m:t>=</m:t>
                  </m:r>
                  <m:r>
                    <m:rPr/>
                    <m:t>1</m:t>
                  </m:r>
                </m:sub>
                <m:sup>
                  <m:r>
                    <m:rPr/>
                    <m:t>15</m:t>
                  </m:r>
                </m:sup>
                <m:e>
                  <m:r>
                    <m:rPr>
                      <m:sty m:val="p"/>
                    </m:rPr>
                    <m:t>ln</m:t>
                  </m:r>
                </m:e>
              </m:nary>
              <m:sSub>
                <m:sSubPr/>
                <m:e>
                  <m:r>
                    <m:rPr/>
                    <m:t>γ</m:t>
                  </m:r>
                </m:e>
                <m:sub>
                  <m:r>
                    <m:rPr/>
                    <m:t>i</m:t>
                  </m:r>
                </m:sub>
              </m:sSub>
            </m:oMath>
            <w:r>
              <w:t>（含维度间耦合）</w:t>
            </w:r>
          </w:p>
        </w:tc>
        <w:tc>
          <w:p w14:paraId="083563B1">
            <w:pPr>
              <w:pStyle w:val="27"/>
              <w:jc w:val="left"/>
            </w:pPr>
            <w:r>
              <w:t>全特征模型的解释力</w:t>
            </w:r>
          </w:p>
        </w:tc>
        <w:tc>
          <w:p w14:paraId="63F90711">
            <w:pPr>
              <w:pStyle w:val="27"/>
              <w:jc w:val="left"/>
            </w:pPr>
            <w:r>
              <w:t>若显著高于</w:t>
            </w:r>
            <w:r>
              <w:rPr>
                <w:rStyle w:val="51"/>
              </w:rPr>
              <w:t>theory_model.r2</w:t>
            </w:r>
            <w:r>
              <w:t>，说明维度间耦合不可忽略；本例中两者均为1.0，表明单维度已充分解释κ</w:t>
            </w:r>
          </w:p>
        </w:tc>
      </w:tr>
      <w:tr w14:paraId="7167D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6A09B623">
            <w:pPr>
              <w:pStyle w:val="27"/>
              <w:jc w:val="left"/>
            </w:pPr>
            <w:r>
              <w:rPr>
                <w:rStyle w:val="51"/>
              </w:rPr>
              <w:t>top_pearson</w:t>
            </w:r>
          </w:p>
        </w:tc>
        <w:tc>
          <w:p w14:paraId="6719F401">
            <w:pPr>
              <w:pStyle w:val="27"/>
              <w:jc w:val="left"/>
            </w:pPr>
            <w:r>
              <w:t>$ ext{corr}(_j, )$</w:t>
            </w:r>
          </w:p>
        </w:tc>
        <w:tc>
          <w:p w14:paraId="71D3726E">
            <w:pPr>
              <w:pStyle w:val="27"/>
              <w:jc w:val="left"/>
            </w:pPr>
            <w:r>
              <w:t>各维度/维度对与κ的线性相关强度</w:t>
            </w:r>
          </w:p>
        </w:tc>
        <w:tc>
          <w:p w14:paraId="2589FEB6">
            <w:pPr>
              <w:pStyle w:val="27"/>
              <w:jc w:val="left"/>
            </w:pPr>
            <w:r>
              <w:rPr>
                <w:b/>
                <w:bCs/>
              </w:rPr>
              <w:t>识别”先知维度”</w:t>
            </w:r>
            <w:r>
              <w:t>：本例中D-方向以</w:t>
            </w:r>
            <m:oMath>
              <m:r>
                <m:rPr/>
                <m:t>r</m:t>
              </m:r>
              <m:r>
                <m:rPr>
                  <m:sty m:val="p"/>
                </m:rPr>
                <m:t>=</m:t>
              </m:r>
              <m:r>
                <m:rPr/>
                <m:t>0.822</m:t>
              </m:r>
            </m:oMath>
            <w:r>
              <w:t>居首，证明早期退化由趋势领航</w:t>
            </w:r>
          </w:p>
        </w:tc>
      </w:tr>
      <w:tr w14:paraId="474A5C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D16923A">
            <w:pPr>
              <w:pStyle w:val="27"/>
              <w:jc w:val="left"/>
            </w:pPr>
            <w:r>
              <w:rPr>
                <w:rStyle w:val="51"/>
              </w:rPr>
              <w:t>top_importance</w:t>
            </w:r>
          </w:p>
        </w:tc>
        <w:tc>
          <w:p w14:paraId="3BC2D4F4">
            <w:pPr>
              <w:pStyle w:val="27"/>
              <w:jc w:val="left"/>
            </w:pPr>
            <w:r>
              <w:t>随机森林特征重要性 + 对数弹性</w:t>
            </w:r>
          </w:p>
        </w:tc>
        <w:tc>
          <w:p w14:paraId="062597AF">
            <w:pPr>
              <w:pStyle w:val="27"/>
              <w:jc w:val="left"/>
            </w:pPr>
            <w:r>
              <w:t>非线性视角下的维度贡献排序</w:t>
            </w:r>
          </w:p>
        </w:tc>
        <w:tc>
          <w:p w14:paraId="6C30D756">
            <w:pPr>
              <w:pStyle w:val="27"/>
              <w:jc w:val="left"/>
            </w:pPr>
            <w:r>
              <w:t>验证Pearson结论的稳健性；本例中D-方向RF重要性达65.6%，与Pearson排序一致</w:t>
            </w:r>
          </w:p>
        </w:tc>
      </w:tr>
      <w:tr w14:paraId="370AF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FBC2DBA">
            <w:pPr>
              <w:pStyle w:val="27"/>
              <w:jc w:val="left"/>
            </w:pPr>
            <w:r>
              <w:rPr>
                <w:rStyle w:val="51"/>
              </w:rPr>
              <w:t>lag_leading_indicators</w:t>
            </w:r>
          </w:p>
        </w:tc>
        <w:tc>
          <w:p w14:paraId="3071FA40">
            <w:pPr>
              <w:pStyle w:val="27"/>
              <w:jc w:val="left"/>
            </w:pPr>
            <m:oMathPara>
              <m:oMath>
                <m:sSub>
                  <m:sSubPr/>
                  <m:e>
                    <m:r>
                      <m:rPr>
                        <m:sty m:val="p"/>
                      </m:rPr>
                      <m:t>max</m:t>
                    </m:r>
                  </m:e>
                  <m:sub>
                    <m:r>
                      <m:rPr/>
                      <m:t>l</m:t>
                    </m:r>
                  </m:sub>
                </m:sSub>
                <m:r>
                  <m:rPr/>
                  <m:t> extcorr</m:t>
                </m:r>
                <m:d>
                  <m:dPr>
                    <m:sepChr m:val=""/>
                  </m:dPr>
                  <m:e>
                    <m:sSub>
                      <m:sSubPr/>
                      <m:e>
                        <m:r>
                          <m:rPr/>
                          <m:t>γ</m:t>
                        </m:r>
                      </m:e>
                      <m:sub>
                        <m:r>
                          <m:rPr/>
                          <m:t>j</m:t>
                        </m:r>
                      </m:sub>
                    </m:sSub>
                    <m:d>
                      <m:dPr>
                        <m:sepChr m:val=""/>
                      </m:dPr>
                      <m:e>
                        <m:r>
                          <m:rPr/>
                          <m:t>t</m:t>
                        </m:r>
                      </m:e>
                    </m:d>
                    <m:r>
                      <m:rPr>
                        <m:sty m:val="p"/>
                      </m:rPr>
                      <m:t>,</m:t>
                    </m:r>
                    <m:r>
                      <m:rPr/>
                      <m:t>κ</m:t>
                    </m:r>
                    <m:d>
                      <m:dPr>
                        <m:sepChr m:val=""/>
                      </m:dPr>
                      <m:e>
                        <m:r>
                          <m:rPr/>
                          <m:t>t</m:t>
                        </m:r>
                        <m:r>
                          <m:rPr>
                            <m:sty m:val="p"/>
                          </m:rPr>
                          <m:t>+</m:t>
                        </m:r>
                        <m:r>
                          <m:rPr/>
                          <m:t>l</m:t>
                        </m:r>
                      </m:e>
                    </m:d>
                  </m:e>
                </m:d>
              </m:oMath>
            </m:oMathPara>
          </w:p>
        </w:tc>
        <w:tc>
          <w:p w14:paraId="66EEAC14">
            <w:pPr>
              <w:pStyle w:val="27"/>
              <w:jc w:val="left"/>
            </w:pPr>
            <w:r>
              <w:t>维度j提前</w:t>
            </w:r>
            <m:oMath>
              <m:r>
                <m:rPr/>
                <m:t>l</m:t>
              </m:r>
            </m:oMath>
            <w:r>
              <w:t>段预示κ变化的能力</w:t>
            </w:r>
          </w:p>
        </w:tc>
        <w:tc>
          <w:p w14:paraId="4CF6AAE7">
            <w:pPr>
              <w:pStyle w:val="27"/>
              <w:jc w:val="left"/>
            </w:pPr>
            <w:r>
              <w:rPr>
                <w:b/>
                <w:bCs/>
              </w:rPr>
              <w:t>预警时效证据</w:t>
            </w:r>
            <w:r>
              <w:t>：lag&gt;0表示该维度具有领先指示作用；本例中B-S在lag=48时达到</w:t>
            </w:r>
            <m:oMath>
              <m:r>
                <m:rPr/>
                <m:t>r</m:t>
              </m:r>
              <m:r>
                <m:rPr>
                  <m:sty m:val="p"/>
                </m:rPr>
                <m:t>=−</m:t>
              </m:r>
              <m:r>
                <m:rPr/>
                <m:t>0.461</m:t>
              </m:r>
            </m:oMath>
            <w:r>
              <w:t>，提示边界-结构耦合在约4800段（48×0.1秒×100）前即发出预警信号</w:t>
            </w:r>
          </w:p>
        </w:tc>
      </w:tr>
      <w:bookmarkEnd w:id="15"/>
    </w:tbl>
    <w:p w14:paraId="6F096635">
      <w:pPr>
        <w:pStyle w:val="5"/>
      </w:pPr>
      <w:bookmarkStart w:id="16" w:name="关键发现速读指南"/>
      <w:r>
        <w:t>关键发现速读指南</w:t>
      </w:r>
    </w:p>
    <w:p w14:paraId="4084A472">
      <w:pPr>
        <w:pStyle w:val="27"/>
        <w:numPr>
          <w:ilvl w:val="0"/>
          <w:numId w:val="2"/>
        </w:numPr>
      </w:pPr>
      <w:r>
        <w:rPr>
          <w:b/>
          <w:bCs/>
        </w:rPr>
        <w:t>乘积结构是否严格成立？</w:t>
      </w:r>
      <w:r>
        <w:t xml:space="preserve"> → 查看 </w:t>
      </w:r>
      <w:r>
        <w:rPr>
          <w:rStyle w:val="51"/>
        </w:rPr>
        <w:t>theory_model.r2</w:t>
      </w:r>
      <w:r>
        <w:t xml:space="preserve"> 是否≈1.000 且所有系数≈1.0</w:t>
      </w:r>
    </w:p>
    <w:p w14:paraId="1BCED695">
      <w:pPr>
        <w:pStyle w:val="27"/>
        <w:numPr>
          <w:ilvl w:val="0"/>
          <w:numId w:val="2"/>
        </w:numPr>
      </w:pPr>
      <w:r>
        <w:rPr>
          <w:b/>
          <w:bCs/>
        </w:rPr>
        <w:t>哪个维度是”先知维度”？</w:t>
      </w:r>
      <w:r>
        <w:t xml:space="preserve"> → 查看 </w:t>
      </w:r>
      <w:r>
        <w:rPr>
          <w:rStyle w:val="51"/>
        </w:rPr>
        <w:t>top_pearson[0].Feature</w:t>
      </w:r>
      <w:r>
        <w:t xml:space="preserve"> 和 </w:t>
      </w:r>
      <w:r>
        <w:rPr>
          <w:rStyle w:val="51"/>
        </w:rPr>
        <w:t>top_importance[0].Feature</w:t>
      </w:r>
    </w:p>
    <w:p w14:paraId="3DA70A4B">
      <w:pPr>
        <w:pStyle w:val="27"/>
        <w:numPr>
          <w:ilvl w:val="0"/>
          <w:numId w:val="2"/>
        </w:numPr>
      </w:pPr>
      <w:r>
        <w:rPr>
          <w:b/>
          <w:bCs/>
        </w:rPr>
        <w:t>是否存在维度主导权转移？</w:t>
      </w:r>
      <w:r>
        <w:t xml:space="preserve"> → 对比不同轴承的 </w:t>
      </w:r>
      <w:r>
        <w:rPr>
          <w:rStyle w:val="51"/>
        </w:rPr>
        <w:t>top_pearson</w:t>
      </w:r>
      <w:r>
        <w:t xml:space="preserve"> 排序（早期D主导 vs 晚期S主导）</w:t>
      </w:r>
    </w:p>
    <w:p w14:paraId="3F684486">
      <w:pPr>
        <w:pStyle w:val="27"/>
        <w:numPr>
          <w:ilvl w:val="0"/>
          <w:numId w:val="2"/>
        </w:numPr>
      </w:pPr>
      <w:r>
        <w:rPr>
          <w:b/>
          <w:bCs/>
        </w:rPr>
        <w:t>预警提前量有多少？</w:t>
      </w:r>
      <w:r>
        <w:t xml:space="preserve"> → 查看 </w:t>
      </w:r>
      <w:r>
        <w:rPr>
          <w:rStyle w:val="51"/>
        </w:rPr>
        <w:t>lag_leading_indicators</w:t>
      </w:r>
      <w:r>
        <w:t xml:space="preserve"> 中 </w:t>
      </w:r>
      <w:r>
        <w:rPr>
          <w:rStyle w:val="51"/>
        </w:rPr>
        <w:t>lag</w:t>
      </w:r>
      <w:r>
        <w:t xml:space="preserve"> 最大且 </w:t>
      </w:r>
      <w:r>
        <w:rPr>
          <w:rStyle w:val="51"/>
        </w:rPr>
        <w:t>corr</w:t>
      </w:r>
      <w:r>
        <w:t xml:space="preserve"> 绝对值最高的条目</w:t>
      </w:r>
    </w:p>
    <w:p w14:paraId="1AEA441C">
      <w:pPr>
        <w:pStyle w:val="27"/>
        <w:numPr>
          <w:ilvl w:val="0"/>
          <w:numId w:val="2"/>
        </w:numPr>
      </w:pPr>
      <w:r>
        <w:rPr>
          <w:b/>
          <w:bCs/>
        </w:rPr>
        <w:t>维度间耦合是否显著？</w:t>
      </w:r>
      <w:r>
        <w:t xml:space="preserve"> → 查看 </w:t>
      </w:r>
      <w:r>
        <w:rPr>
          <w:rStyle w:val="51"/>
        </w:rPr>
        <w:t>top_pearson</w:t>
      </w:r>
      <w:r>
        <w:t xml:space="preserve"> 中是否出现 </w:t>
      </w:r>
      <w:r>
        <w:rPr>
          <w:rStyle w:val="51"/>
        </w:rPr>
        <w:t>B-S</w:t>
      </w:r>
      <w:r>
        <w:t>、</w:t>
      </w:r>
      <w:r>
        <w:rPr>
          <w:rStyle w:val="51"/>
        </w:rPr>
        <w:t>S-R</w:t>
      </w:r>
      <w:r>
        <w:t xml:space="preserve"> 等交互项进入前五</w:t>
      </w:r>
    </w:p>
    <w:bookmarkEnd w:id="16"/>
    <w:p w14:paraId="7BF7AE04">
      <w:pPr>
        <w:pStyle w:val="5"/>
      </w:pPr>
      <w:bookmarkStart w:id="17" w:name="跨轴承批量分析建议"/>
      <w:r>
        <w:t>跨轴承批量分析建议</w:t>
      </w:r>
    </w:p>
    <w:p w14:paraId="7DE1584D">
      <w:pPr>
        <w:pStyle w:val="26"/>
      </w:pPr>
      <w:r>
        <w:t>审稿人或复现者可使用以下Python代码批量提取48组轴承的关键指标：</w:t>
      </w:r>
    </w:p>
    <w:p w14:paraId="4EC4CCFA">
      <w:pPr>
        <w:pStyle w:val="52"/>
      </w:pPr>
      <w:r>
        <w:rPr>
          <w:rStyle w:val="69"/>
        </w:rPr>
        <w:t>import</w:t>
      </w:r>
      <w:r>
        <w:rPr>
          <w:rStyle w:val="88"/>
        </w:rPr>
        <w:t xml:space="preserve"> json, glob, pandas </w:t>
      </w:r>
      <w:r>
        <w:rPr>
          <w:rStyle w:val="69"/>
        </w:rPr>
        <w:t>as</w:t>
      </w:r>
      <w:r>
        <w:rPr>
          <w:rStyle w:val="88"/>
        </w:rPr>
        <w:t xml:space="preserve"> pd</w:t>
      </w:r>
      <w:r>
        <w:br w:type="textWrapping"/>
      </w:r>
      <w:r>
        <w:br w:type="textWrapping"/>
      </w:r>
      <w:r>
        <w:rPr>
          <w:rStyle w:val="88"/>
        </w:rPr>
        <w:t xml:space="preserve">rows </w:t>
      </w:r>
      <w:r>
        <w:rPr>
          <w:rStyle w:val="78"/>
        </w:rPr>
        <w:t>=</w:t>
      </w:r>
      <w:r>
        <w:rPr>
          <w:rStyle w:val="88"/>
        </w:rPr>
        <w:t xml:space="preserve"> []</w:t>
      </w:r>
      <w:r>
        <w:br w:type="textWrapping"/>
      </w:r>
      <w:r>
        <w:rPr>
          <w:rStyle w:val="77"/>
        </w:rPr>
        <w:t>for</w:t>
      </w:r>
      <w:r>
        <w:rPr>
          <w:rStyle w:val="88"/>
        </w:rPr>
        <w:t xml:space="preserve"> fp </w:t>
      </w:r>
      <w:r>
        <w:rPr>
          <w:rStyle w:val="58"/>
        </w:rPr>
        <w:t>in</w:t>
      </w:r>
      <w:r>
        <w:rPr>
          <w:rStyle w:val="88"/>
        </w:rPr>
        <w:t xml:space="preserve"> glob.glob(</w:t>
      </w:r>
      <w:r>
        <w:rPr>
          <w:rStyle w:val="66"/>
        </w:rPr>
        <w:t>"*/XJTU_SY_*_stats.json"</w:t>
      </w:r>
      <w:r>
        <w:rPr>
          <w:rStyle w:val="88"/>
        </w:rPr>
        <w:t xml:space="preserve">) </w:t>
      </w:r>
      <w:r>
        <w:rPr>
          <w:rStyle w:val="78"/>
        </w:rPr>
        <w:t>+</w:t>
      </w:r>
      <w:r>
        <w:rPr>
          <w:rStyle w:val="88"/>
        </w:rPr>
        <w:t xml:space="preserve"> glob.glob(</w:t>
      </w:r>
      <w:r>
        <w:rPr>
          <w:rStyle w:val="66"/>
        </w:rPr>
        <w:t>"*/NASA_*_stats.json"</w:t>
      </w:r>
      <w:r>
        <w:rPr>
          <w:rStyle w:val="88"/>
        </w:rPr>
        <w:t xml:space="preserve">) </w:t>
      </w:r>
      <w:r>
        <w:rPr>
          <w:rStyle w:val="78"/>
        </w:rPr>
        <w:t>+</w:t>
      </w:r>
      <w:r>
        <w:rPr>
          <w:rStyle w:val="88"/>
        </w:rPr>
        <w:t xml:space="preserve"> glob.glob(</w:t>
      </w:r>
      <w:r>
        <w:rPr>
          <w:rStyle w:val="66"/>
        </w:rPr>
        <w:t>"*/FEM_*_stats.json"</w:t>
      </w:r>
      <w:r>
        <w:rPr>
          <w:rStyle w:val="88"/>
        </w:rPr>
        <w:t>):</w:t>
      </w:r>
      <w:r>
        <w:br w:type="textWrapping"/>
      </w:r>
      <w:r>
        <w:rPr>
          <w:rStyle w:val="88"/>
        </w:rPr>
        <w:t xml:space="preserve">    </w:t>
      </w:r>
      <w:r>
        <w:rPr>
          <w:rStyle w:val="77"/>
        </w:rPr>
        <w:t>with</w:t>
      </w:r>
      <w:r>
        <w:rPr>
          <w:rStyle w:val="88"/>
        </w:rPr>
        <w:t xml:space="preserve"> </w:t>
      </w:r>
      <w:r>
        <w:rPr>
          <w:rStyle w:val="79"/>
        </w:rPr>
        <w:t>open</w:t>
      </w:r>
      <w:r>
        <w:rPr>
          <w:rStyle w:val="88"/>
        </w:rPr>
        <w:t xml:space="preserve">(fp) </w:t>
      </w:r>
      <w:r>
        <w:rPr>
          <w:rStyle w:val="69"/>
        </w:rPr>
        <w:t>as</w:t>
      </w:r>
      <w:r>
        <w:rPr>
          <w:rStyle w:val="88"/>
        </w:rPr>
        <w:t xml:space="preserve"> f:</w:t>
      </w:r>
      <w:r>
        <w:br w:type="textWrapping"/>
      </w:r>
      <w:r>
        <w:rPr>
          <w:rStyle w:val="88"/>
        </w:rPr>
        <w:t xml:space="preserve">        d </w:t>
      </w:r>
      <w:r>
        <w:rPr>
          <w:rStyle w:val="78"/>
        </w:rPr>
        <w:t>=</w:t>
      </w:r>
      <w:r>
        <w:rPr>
          <w:rStyle w:val="88"/>
        </w:rPr>
        <w:t xml:space="preserve"> json.load(f)</w:t>
      </w:r>
      <w:r>
        <w:br w:type="textWrapping"/>
      </w:r>
      <w:r>
        <w:rPr>
          <w:rStyle w:val="88"/>
        </w:rPr>
        <w:t xml:space="preserve">    rows.append({</w:t>
      </w:r>
      <w:r>
        <w:br w:type="textWrapping"/>
      </w:r>
      <w:r>
        <w:rPr>
          <w:rStyle w:val="88"/>
        </w:rPr>
        <w:t xml:space="preserve">        </w:t>
      </w:r>
      <w:r>
        <w:rPr>
          <w:rStyle w:val="66"/>
        </w:rPr>
        <w:t>'bearing'</w:t>
      </w:r>
      <w:r>
        <w:rPr>
          <w:rStyle w:val="88"/>
        </w:rPr>
        <w:t>: d[</w:t>
      </w:r>
      <w:r>
        <w:rPr>
          <w:rStyle w:val="66"/>
        </w:rPr>
        <w:t>'bearing'</w:t>
      </w:r>
      <w:r>
        <w:rPr>
          <w:rStyle w:val="88"/>
        </w:rPr>
        <w:t>],</w:t>
      </w:r>
      <w:r>
        <w:br w:type="textWrapping"/>
      </w:r>
      <w:r>
        <w:rPr>
          <w:rStyle w:val="88"/>
        </w:rPr>
        <w:t xml:space="preserve">        </w:t>
      </w:r>
      <w:r>
        <w:rPr>
          <w:rStyle w:val="66"/>
        </w:rPr>
        <w:t>'n_segments'</w:t>
      </w:r>
      <w:r>
        <w:rPr>
          <w:rStyle w:val="88"/>
        </w:rPr>
        <w:t>: d[</w:t>
      </w:r>
      <w:r>
        <w:rPr>
          <w:rStyle w:val="66"/>
        </w:rPr>
        <w:t>'n_segments'</w:t>
      </w:r>
      <w:r>
        <w:rPr>
          <w:rStyle w:val="88"/>
        </w:rPr>
        <w:t>],</w:t>
      </w:r>
      <w:r>
        <w:br w:type="textWrapping"/>
      </w:r>
      <w:r>
        <w:rPr>
          <w:rStyle w:val="88"/>
        </w:rPr>
        <w:t xml:space="preserve">        </w:t>
      </w:r>
      <w:r>
        <w:rPr>
          <w:rStyle w:val="66"/>
        </w:rPr>
        <w:t>'theory_r2'</w:t>
      </w:r>
      <w:r>
        <w:rPr>
          <w:rStyle w:val="88"/>
        </w:rPr>
        <w:t>: d[</w:t>
      </w:r>
      <w:r>
        <w:rPr>
          <w:rStyle w:val="66"/>
        </w:rPr>
        <w:t>'theory_model'</w:t>
      </w:r>
      <w:r>
        <w:rPr>
          <w:rStyle w:val="88"/>
        </w:rPr>
        <w:t>][</w:t>
      </w:r>
      <w:r>
        <w:rPr>
          <w:rStyle w:val="66"/>
        </w:rPr>
        <w:t>'r2'</w:t>
      </w:r>
      <w:r>
        <w:rPr>
          <w:rStyle w:val="88"/>
        </w:rPr>
        <w:t>],</w:t>
      </w:r>
      <w:r>
        <w:br w:type="textWrapping"/>
      </w:r>
      <w:r>
        <w:rPr>
          <w:rStyle w:val="88"/>
        </w:rPr>
        <w:t xml:space="preserve">        </w:t>
      </w:r>
      <w:r>
        <w:rPr>
          <w:rStyle w:val="66"/>
        </w:rPr>
        <w:t>'top1_feature'</w:t>
      </w:r>
      <w:r>
        <w:rPr>
          <w:rStyle w:val="88"/>
        </w:rPr>
        <w:t>: d[</w:t>
      </w:r>
      <w:r>
        <w:rPr>
          <w:rStyle w:val="66"/>
        </w:rPr>
        <w:t>'top_pearson'</w:t>
      </w:r>
      <w:r>
        <w:rPr>
          <w:rStyle w:val="88"/>
        </w:rPr>
        <w:t>][</w:t>
      </w:r>
      <w:r>
        <w:rPr>
          <w:rStyle w:val="60"/>
        </w:rPr>
        <w:t>0</w:t>
      </w:r>
      <w:r>
        <w:rPr>
          <w:rStyle w:val="88"/>
        </w:rPr>
        <w:t>][</w:t>
      </w:r>
      <w:r>
        <w:rPr>
          <w:rStyle w:val="66"/>
        </w:rPr>
        <w:t>'Feature'</w:t>
      </w:r>
      <w:r>
        <w:rPr>
          <w:rStyle w:val="88"/>
        </w:rPr>
        <w:t>],</w:t>
      </w:r>
      <w:r>
        <w:br w:type="textWrapping"/>
      </w:r>
      <w:r>
        <w:rPr>
          <w:rStyle w:val="88"/>
        </w:rPr>
        <w:t xml:space="preserve">        </w:t>
      </w:r>
      <w:r>
        <w:rPr>
          <w:rStyle w:val="66"/>
        </w:rPr>
        <w:t>'top1_pearson'</w:t>
      </w:r>
      <w:r>
        <w:rPr>
          <w:rStyle w:val="88"/>
        </w:rPr>
        <w:t>: d[</w:t>
      </w:r>
      <w:r>
        <w:rPr>
          <w:rStyle w:val="66"/>
        </w:rPr>
        <w:t>'top_pearson'</w:t>
      </w:r>
      <w:r>
        <w:rPr>
          <w:rStyle w:val="88"/>
        </w:rPr>
        <w:t>][</w:t>
      </w:r>
      <w:r>
        <w:rPr>
          <w:rStyle w:val="60"/>
        </w:rPr>
        <w:t>0</w:t>
      </w:r>
      <w:r>
        <w:rPr>
          <w:rStyle w:val="88"/>
        </w:rPr>
        <w:t>][</w:t>
      </w:r>
      <w:r>
        <w:rPr>
          <w:rStyle w:val="66"/>
        </w:rPr>
        <w:t>'Pearson_r'</w:t>
      </w:r>
      <w:r>
        <w:rPr>
          <w:rStyle w:val="88"/>
        </w:rPr>
        <w:t>],</w:t>
      </w:r>
      <w:r>
        <w:br w:type="textWrapping"/>
      </w:r>
      <w:r>
        <w:rPr>
          <w:rStyle w:val="88"/>
        </w:rPr>
        <w:t xml:space="preserve">        </w:t>
      </w:r>
      <w:r>
        <w:rPr>
          <w:rStyle w:val="66"/>
        </w:rPr>
        <w:t>'top1_importance'</w:t>
      </w:r>
      <w:r>
        <w:rPr>
          <w:rStyle w:val="88"/>
        </w:rPr>
        <w:t>: d[</w:t>
      </w:r>
      <w:r>
        <w:rPr>
          <w:rStyle w:val="66"/>
        </w:rPr>
        <w:t>'top_importance'</w:t>
      </w:r>
      <w:r>
        <w:rPr>
          <w:rStyle w:val="88"/>
        </w:rPr>
        <w:t>][</w:t>
      </w:r>
      <w:r>
        <w:rPr>
          <w:rStyle w:val="60"/>
        </w:rPr>
        <w:t>0</w:t>
      </w:r>
      <w:r>
        <w:rPr>
          <w:rStyle w:val="88"/>
        </w:rPr>
        <w:t>][</w:t>
      </w:r>
      <w:r>
        <w:rPr>
          <w:rStyle w:val="66"/>
        </w:rPr>
        <w:t>'RF_Importance'</w:t>
      </w:r>
      <w:r>
        <w:rPr>
          <w:rStyle w:val="88"/>
        </w:rPr>
        <w:t>],</w:t>
      </w:r>
      <w:r>
        <w:br w:type="textWrapping"/>
      </w:r>
      <w:r>
        <w:rPr>
          <w:rStyle w:val="88"/>
        </w:rPr>
        <w:t xml:space="preserve">        </w:t>
      </w:r>
      <w:r>
        <w:rPr>
          <w:rStyle w:val="66"/>
        </w:rPr>
        <w:t>'best_lag_feature'</w:t>
      </w:r>
      <w:r>
        <w:rPr>
          <w:rStyle w:val="88"/>
        </w:rPr>
        <w:t>: d[</w:t>
      </w:r>
      <w:r>
        <w:rPr>
          <w:rStyle w:val="66"/>
        </w:rPr>
        <w:t>'lag_leading_indicators'</w:t>
      </w:r>
      <w:r>
        <w:rPr>
          <w:rStyle w:val="88"/>
        </w:rPr>
        <w:t>][</w:t>
      </w:r>
      <w:r>
        <w:rPr>
          <w:rStyle w:val="60"/>
        </w:rPr>
        <w:t>0</w:t>
      </w:r>
      <w:r>
        <w:rPr>
          <w:rStyle w:val="88"/>
        </w:rPr>
        <w:t>][</w:t>
      </w:r>
      <w:r>
        <w:rPr>
          <w:rStyle w:val="66"/>
        </w:rPr>
        <w:t>'feature'</w:t>
      </w:r>
      <w:r>
        <w:rPr>
          <w:rStyle w:val="88"/>
        </w:rPr>
        <w:t>],</w:t>
      </w:r>
      <w:r>
        <w:br w:type="textWrapping"/>
      </w:r>
      <w:r>
        <w:rPr>
          <w:rStyle w:val="88"/>
        </w:rPr>
        <w:t xml:space="preserve">        </w:t>
      </w:r>
      <w:r>
        <w:rPr>
          <w:rStyle w:val="66"/>
        </w:rPr>
        <w:t>'best_lag'</w:t>
      </w:r>
      <w:r>
        <w:rPr>
          <w:rStyle w:val="88"/>
        </w:rPr>
        <w:t>: d[</w:t>
      </w:r>
      <w:r>
        <w:rPr>
          <w:rStyle w:val="66"/>
        </w:rPr>
        <w:t>'lag_leading_indicators'</w:t>
      </w:r>
      <w:r>
        <w:rPr>
          <w:rStyle w:val="88"/>
        </w:rPr>
        <w:t>][</w:t>
      </w:r>
      <w:r>
        <w:rPr>
          <w:rStyle w:val="60"/>
        </w:rPr>
        <w:t>0</w:t>
      </w:r>
      <w:r>
        <w:rPr>
          <w:rStyle w:val="88"/>
        </w:rPr>
        <w:t>][</w:t>
      </w:r>
      <w:r>
        <w:rPr>
          <w:rStyle w:val="66"/>
        </w:rPr>
        <w:t>'lag'</w:t>
      </w:r>
      <w:r>
        <w:rPr>
          <w:rStyle w:val="88"/>
        </w:rPr>
        <w:t>],</w:t>
      </w:r>
      <w:r>
        <w:br w:type="textWrapping"/>
      </w:r>
      <w:r>
        <w:rPr>
          <w:rStyle w:val="88"/>
        </w:rPr>
        <w:t xml:space="preserve">        </w:t>
      </w:r>
      <w:r>
        <w:rPr>
          <w:rStyle w:val="66"/>
        </w:rPr>
        <w:t>'best_lag_corr'</w:t>
      </w:r>
      <w:r>
        <w:rPr>
          <w:rStyle w:val="88"/>
        </w:rPr>
        <w:t>: d[</w:t>
      </w:r>
      <w:r>
        <w:rPr>
          <w:rStyle w:val="66"/>
        </w:rPr>
        <w:t>'lag_leading_indicators'</w:t>
      </w:r>
      <w:r>
        <w:rPr>
          <w:rStyle w:val="88"/>
        </w:rPr>
        <w:t>][</w:t>
      </w:r>
      <w:r>
        <w:rPr>
          <w:rStyle w:val="60"/>
        </w:rPr>
        <w:t>0</w:t>
      </w:r>
      <w:r>
        <w:rPr>
          <w:rStyle w:val="88"/>
        </w:rPr>
        <w:t>][</w:t>
      </w:r>
      <w:r>
        <w:rPr>
          <w:rStyle w:val="66"/>
        </w:rPr>
        <w:t>'corr'</w:t>
      </w:r>
      <w:r>
        <w:rPr>
          <w:rStyle w:val="88"/>
        </w:rPr>
        <w:t>]</w:t>
      </w:r>
      <w:r>
        <w:br w:type="textWrapping"/>
      </w:r>
      <w:r>
        <w:rPr>
          <w:rStyle w:val="88"/>
        </w:rPr>
        <w:t xml:space="preserve">    })</w:t>
      </w:r>
      <w:r>
        <w:br w:type="textWrapping"/>
      </w:r>
      <w:r>
        <w:br w:type="textWrapping"/>
      </w:r>
      <w:r>
        <w:rPr>
          <w:rStyle w:val="88"/>
        </w:rPr>
        <w:t xml:space="preserve">df </w:t>
      </w:r>
      <w:r>
        <w:rPr>
          <w:rStyle w:val="78"/>
        </w:rPr>
        <w:t>=</w:t>
      </w:r>
      <w:r>
        <w:rPr>
          <w:rStyle w:val="88"/>
        </w:rPr>
        <w:t xml:space="preserve"> pd.DataFrame(rows)</w:t>
      </w:r>
      <w:r>
        <w:br w:type="textWrapping"/>
      </w:r>
      <w:r>
        <w:rPr>
          <w:rStyle w:val="88"/>
        </w:rPr>
        <w:t>df.to_csv(</w:t>
      </w:r>
      <w:r>
        <w:rPr>
          <w:rStyle w:val="66"/>
        </w:rPr>
        <w:t>"all_bearings_summary.csv"</w:t>
      </w:r>
      <w:r>
        <w:rPr>
          <w:rStyle w:val="88"/>
        </w:rPr>
        <w:t>, index</w:t>
      </w:r>
      <w:r>
        <w:rPr>
          <w:rStyle w:val="78"/>
        </w:rPr>
        <w:t>=</w:t>
      </w:r>
      <w:r>
        <w:rPr>
          <w:rStyle w:val="76"/>
        </w:rPr>
        <w:t>False</w:t>
      </w:r>
      <w:r>
        <w:rPr>
          <w:rStyle w:val="88"/>
        </w:rPr>
        <w:t>)</w:t>
      </w:r>
    </w:p>
    <w:p w14:paraId="19DED430">
      <w:r>
        <w:pict>
          <v:rect id="_x0000_i1031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3"/>
    <w:bookmarkEnd w:id="17"/>
    <w:p w14:paraId="50E0B5B2">
      <w:pPr>
        <w:pStyle w:val="4"/>
      </w:pPr>
      <w:bookmarkStart w:id="18" w:name="程序脚本说明"/>
      <w:r>
        <w:t>程序脚本说明</w:t>
      </w:r>
    </w:p>
    <w:p w14:paraId="79F20327">
      <w:pPr>
        <w:pStyle w:val="5"/>
      </w:pPr>
      <w:bookmarkStart w:id="19" w:name="zfusashuangtongjitougao2.py-本地理想体迭代分析脚本"/>
      <w:r>
        <w:t xml:space="preserve">1. </w:t>
      </w:r>
      <w:r>
        <w:rPr>
          <w:rStyle w:val="51"/>
        </w:rPr>
        <w:t>zfusashuangtongjitougao2.py</w:t>
      </w:r>
      <w:r>
        <w:t xml:space="preserve"> —— 本地理想体迭代分析脚本</w:t>
      </w:r>
    </w:p>
    <w:p w14:paraId="01ECC7E9">
      <w:pPr>
        <w:pStyle w:val="26"/>
      </w:pPr>
      <w:r>
        <w:rPr>
          <w:b/>
          <w:bCs/>
        </w:rPr>
        <w:t>功能</w:t>
      </w:r>
      <w:r>
        <w:t>：对XJTU-SY、NASA 1st/2nd/3th、FEMTO四组数据集分别构建</w:t>
      </w:r>
      <w:r>
        <w:rPr>
          <w:b/>
          <w:bCs/>
        </w:rPr>
        <w:t>本地理想体</w:t>
      </w:r>
      <w:r>
        <w:t>（每组独立迭代），生成附录A–D的全部图表与统计报告。</w:t>
      </w:r>
      <w:r>
        <w:br w:type="textWrapping"/>
      </w:r>
      <w:r>
        <w:rPr>
          <w:b/>
          <w:bCs/>
        </w:rPr>
        <w:t>核心算法</w:t>
      </w:r>
      <w:r>
        <w:t>： - 0.1秒滑动窗口五维特征提取（B-边界/S-结构/R-储备/D-方向/I-强度） - 滑动窗口理想体迭代（健康期动态更新，退化期冻结基准） - 乘积协同系数 κ = γ_B · γ_S · γ_R · γ_D · γ_I - 统计诊断：Pearson/Spearman相关、对数线性回归（乘积结构检验）、随机森林特征重要性、滞后领先指示分析</w:t>
      </w:r>
    </w:p>
    <w:bookmarkEnd w:id="19"/>
    <w:p w14:paraId="771EFC99">
      <w:pPr>
        <w:pStyle w:val="5"/>
      </w:pPr>
      <w:bookmarkStart w:id="20" w:name="zmftongyhi2.py-全局统一理想体分析脚本"/>
      <w:r>
        <w:t xml:space="preserve">2. </w:t>
      </w:r>
      <w:r>
        <w:rPr>
          <w:rStyle w:val="51"/>
        </w:rPr>
        <w:t>zmftongyhi2.py</w:t>
      </w:r>
      <w:r>
        <w:t xml:space="preserve"> —— 全局统一理想体分析脚本</w:t>
      </w:r>
    </w:p>
    <w:p w14:paraId="5A31DA76">
      <w:pPr>
        <w:pStyle w:val="26"/>
      </w:pPr>
      <w:r>
        <w:rPr>
          <w:b/>
          <w:bCs/>
        </w:rPr>
        <w:t>功能</w:t>
      </w:r>
      <w:r>
        <w:t>：将48组轴承统一加载，构建</w:t>
      </w:r>
      <w:r>
        <w:rPr>
          <w:b/>
          <w:bCs/>
        </w:rPr>
        <w:t>全局统一理想体</w:t>
      </w:r>
      <w:r>
        <w:t>，生成附录E的全部图表。</w:t>
      </w:r>
      <w:r>
        <w:br w:type="textWrapping"/>
      </w:r>
      <w:r>
        <w:rPr>
          <w:b/>
          <w:bCs/>
        </w:rPr>
        <w:t>核心特点</w:t>
      </w:r>
      <w:r>
        <w:t>： - 跨48组异构轴承的绝对健康基准构建 - 单/双传感器统一映射（单传感器D-方向基于子段特征变异系数动态计算） - 分组总图仅按4个数据集着色（红=中国XJTU-SY，蓝=美国NASA 1st，绿=美国NASA 2nd/3rd，橙=法国FEMTO），不显示单个轴承名称</w:t>
      </w:r>
    </w:p>
    <w:p w14:paraId="2B79F127">
      <w:r>
        <w:pict>
          <v:rect id="_x0000_i1032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18"/>
    <w:bookmarkEnd w:id="20"/>
    <w:p w14:paraId="727C1F38">
      <w:pPr>
        <w:pStyle w:val="4"/>
      </w:pPr>
      <w:bookmarkStart w:id="21" w:name="快速检索指南"/>
      <w:r>
        <w:t>快速检索指南</w:t>
      </w:r>
    </w:p>
    <w:tbl>
      <w:tblPr>
        <w:tblStyle w:val="4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3466"/>
        <w:gridCol w:w="3080"/>
      </w:tblGrid>
      <w:tr w14:paraId="709AC0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p w14:paraId="0CB17031">
            <w:pPr>
              <w:pStyle w:val="27"/>
              <w:jc w:val="left"/>
            </w:pPr>
            <w:r>
              <w:t>需求</w:t>
            </w:r>
          </w:p>
        </w:tc>
        <w:tc>
          <w:p w14:paraId="779DA28A">
            <w:pPr>
              <w:pStyle w:val="27"/>
              <w:jc w:val="left"/>
            </w:pPr>
            <w:r>
              <w:t>对应附录</w:t>
            </w:r>
          </w:p>
        </w:tc>
        <w:tc>
          <w:p w14:paraId="57D60105">
            <w:pPr>
              <w:pStyle w:val="27"/>
              <w:jc w:val="left"/>
            </w:pPr>
            <w:r>
              <w:t>关键词</w:t>
            </w:r>
          </w:p>
        </w:tc>
      </w:tr>
      <w:tr w14:paraId="5E23E6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17087AF">
            <w:pPr>
              <w:pStyle w:val="27"/>
              <w:jc w:val="left"/>
            </w:pPr>
            <w:r>
              <w:t>查看西安交大15组轴承本地分析</w:t>
            </w:r>
          </w:p>
        </w:tc>
        <w:tc>
          <w:p w14:paraId="2D3D9AF6">
            <w:pPr>
              <w:pStyle w:val="27"/>
              <w:jc w:val="left"/>
            </w:pPr>
            <w:r>
              <w:t>附录A</w:t>
            </w:r>
          </w:p>
        </w:tc>
        <w:tc>
          <w:p w14:paraId="340E8F1F">
            <w:pPr>
              <w:pStyle w:val="27"/>
              <w:jc w:val="left"/>
            </w:pPr>
            <w:r>
              <w:rPr>
                <w:rStyle w:val="51"/>
              </w:rPr>
              <w:t>XJTU_SY_bearing</w:t>
            </w:r>
          </w:p>
        </w:tc>
      </w:tr>
      <w:tr w14:paraId="060CA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BD23805">
            <w:pPr>
              <w:pStyle w:val="27"/>
              <w:jc w:val="left"/>
            </w:pPr>
            <w:r>
              <w:t>查看NASA双传感器稳态组</w:t>
            </w:r>
          </w:p>
        </w:tc>
        <w:tc>
          <w:p w14:paraId="5D9A78A1">
            <w:pPr>
              <w:pStyle w:val="27"/>
              <w:jc w:val="left"/>
            </w:pPr>
            <w:r>
              <w:t>附录B</w:t>
            </w:r>
          </w:p>
        </w:tc>
        <w:tc>
          <w:p w14:paraId="0B2A37E6">
            <w:pPr>
              <w:pStyle w:val="27"/>
              <w:jc w:val="left"/>
            </w:pPr>
            <w:r>
              <w:rPr>
                <w:rStyle w:val="51"/>
              </w:rPr>
              <w:t>NASA_1st_1st_test_B</w:t>
            </w:r>
          </w:p>
        </w:tc>
      </w:tr>
      <w:tr w14:paraId="343575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7A741E47">
            <w:pPr>
              <w:pStyle w:val="27"/>
              <w:jc w:val="left"/>
            </w:pPr>
            <w:r>
              <w:t>查看NASA单传感器高载荷/超长寿命组</w:t>
            </w:r>
          </w:p>
        </w:tc>
        <w:tc>
          <w:p w14:paraId="6EBD5334">
            <w:pPr>
              <w:pStyle w:val="27"/>
              <w:jc w:val="left"/>
            </w:pPr>
            <w:r>
              <w:t>附录C</w:t>
            </w:r>
          </w:p>
        </w:tc>
        <w:tc>
          <w:p w14:paraId="5BE64740">
            <w:pPr>
              <w:pStyle w:val="27"/>
              <w:jc w:val="left"/>
            </w:pPr>
            <w:r>
              <w:rPr>
                <w:rStyle w:val="51"/>
              </w:rPr>
              <w:t>NASA_23_2nd_test_B</w:t>
            </w:r>
            <w:r>
              <w:t xml:space="preserve"> / </w:t>
            </w:r>
            <w:r>
              <w:rPr>
                <w:rStyle w:val="51"/>
              </w:rPr>
              <w:t>NASA_23_3th_test_B</w:t>
            </w:r>
          </w:p>
        </w:tc>
      </w:tr>
      <w:tr w14:paraId="0CD5B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E7A963A">
            <w:pPr>
              <w:pStyle w:val="27"/>
              <w:jc w:val="left"/>
            </w:pPr>
            <w:r>
              <w:t>查看法国FEMTO三档工况</w:t>
            </w:r>
          </w:p>
        </w:tc>
        <w:tc>
          <w:p w14:paraId="08DFEA7E">
            <w:pPr>
              <w:pStyle w:val="27"/>
              <w:jc w:val="left"/>
            </w:pPr>
            <w:r>
              <w:t>附录D</w:t>
            </w:r>
          </w:p>
        </w:tc>
        <w:tc>
          <w:p w14:paraId="11046727">
            <w:pPr>
              <w:pStyle w:val="27"/>
              <w:jc w:val="left"/>
            </w:pPr>
            <w:r>
              <w:rPr>
                <w:rStyle w:val="51"/>
              </w:rPr>
              <w:t>FEM_Bearing</w:t>
            </w:r>
          </w:p>
        </w:tc>
      </w:tr>
      <w:tr w14:paraId="5758CF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155053BC">
            <w:pPr>
              <w:pStyle w:val="27"/>
              <w:jc w:val="left"/>
            </w:pPr>
            <w:r>
              <w:t>查看全局统一理想体验证</w:t>
            </w:r>
          </w:p>
        </w:tc>
        <w:tc>
          <w:p w14:paraId="7E036FFB">
            <w:pPr>
              <w:pStyle w:val="27"/>
              <w:jc w:val="left"/>
            </w:pPr>
            <w:r>
              <w:t>附录E</w:t>
            </w:r>
          </w:p>
        </w:tc>
        <w:tc>
          <w:p w14:paraId="7444F2CB">
            <w:pPr>
              <w:pStyle w:val="27"/>
              <w:jc w:val="left"/>
            </w:pPr>
            <w:r>
              <w:rPr>
                <w:rStyle w:val="51"/>
              </w:rPr>
              <w:t>GLOBAL_</w:t>
            </w:r>
          </w:p>
        </w:tc>
      </w:tr>
      <w:tr w14:paraId="0B8BB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4ED599BD">
            <w:pPr>
              <w:pStyle w:val="27"/>
              <w:jc w:val="left"/>
            </w:pPr>
            <w:r>
              <w:t>查看某轴承的完整统计数字</w:t>
            </w:r>
          </w:p>
        </w:tc>
        <w:tc>
          <w:p w14:paraId="48099F9D">
            <w:pPr>
              <w:pStyle w:val="27"/>
              <w:jc w:val="left"/>
            </w:pPr>
            <w:r>
              <w:t>任意附录</w:t>
            </w:r>
          </w:p>
        </w:tc>
        <w:tc>
          <w:p w14:paraId="4E09B0CC">
            <w:pPr>
              <w:pStyle w:val="27"/>
              <w:jc w:val="left"/>
            </w:pPr>
            <w:r>
              <w:rPr>
                <w:rStyle w:val="51"/>
              </w:rPr>
              <w:t>*_stats.json</w:t>
            </w:r>
          </w:p>
        </w:tc>
      </w:tr>
      <w:tr w14:paraId="2C3BA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29E2C626">
            <w:pPr>
              <w:pStyle w:val="27"/>
              <w:jc w:val="left"/>
            </w:pPr>
            <w:r>
              <w:t>查看维度主导权转移证据</w:t>
            </w:r>
          </w:p>
        </w:tc>
        <w:tc>
          <w:p w14:paraId="1D1B8BDF">
            <w:pPr>
              <w:pStyle w:val="27"/>
              <w:jc w:val="left"/>
            </w:pPr>
            <w:r>
              <w:t>正文+附录</w:t>
            </w:r>
          </w:p>
        </w:tc>
        <w:tc>
          <w:p w14:paraId="3FA9B5C7">
            <w:pPr>
              <w:pStyle w:val="27"/>
              <w:jc w:val="left"/>
            </w:pPr>
            <w:r>
              <w:rPr>
                <w:rStyle w:val="51"/>
              </w:rPr>
              <w:t>*_corr_heatmap.png</w:t>
            </w:r>
            <w:r>
              <w:t xml:space="preserve"> / </w:t>
            </w:r>
            <w:r>
              <w:rPr>
                <w:rStyle w:val="51"/>
              </w:rPr>
              <w:t>*_feature_importance.png</w:t>
            </w:r>
          </w:p>
        </w:tc>
      </w:tr>
    </w:tbl>
    <w:p w14:paraId="50D7D482">
      <w:r>
        <w:pict>
          <v:rect id="_x0000_i1033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bookmarkEnd w:id="21"/>
    <w:p w14:paraId="27F7F8C1">
      <w:pPr>
        <w:pStyle w:val="4"/>
      </w:pPr>
      <w:bookmarkStart w:id="22" w:name="数据可用性声明"/>
      <w:r>
        <w:t>数据可用性声明</w:t>
      </w:r>
    </w:p>
    <w:p w14:paraId="2273CEE3">
      <w:pPr>
        <w:pStyle w:val="26"/>
      </w:pPr>
      <w:r>
        <w:t xml:space="preserve">所有原始数据均来自公开数据集： </w:t>
      </w:r>
      <w:bookmarkStart w:id="23" w:name="_GoBack"/>
      <w:bookmarkEnd w:id="23"/>
    </w:p>
    <w:p w14:paraId="55F95D7E">
      <w:pPr>
        <w:pStyle w:val="26"/>
      </w:pPr>
      <w:r>
        <w:t xml:space="preserve">- XJTU-SY：https://doi.org/10.3901/JME.2019.16.001 </w:t>
      </w:r>
    </w:p>
    <w:p w14:paraId="1946A66D">
      <w:pPr>
        <w:pStyle w:val="26"/>
      </w:pPr>
      <w:r>
        <w:t xml:space="preserve">- NASA：https://ti.arc.nasa.gov/tech/dash/groups/pcoe/prognostic-data-repository/ </w:t>
      </w:r>
    </w:p>
    <w:p w14:paraId="5B11E3DA">
      <w:pPr>
        <w:pStyle w:val="26"/>
      </w:pPr>
      <w:r>
        <w:t>- FEMTO：https://femto-st.cnrs.fr/femto-phm/challenge-ieee-2012/</w:t>
      </w:r>
    </w:p>
    <w:p w14:paraId="75980839">
      <w:pPr>
        <w:pStyle w:val="3"/>
      </w:pPr>
      <w:r>
        <w:t>本附录所有图表与统计结果均可通过上述两个Python脚本复现。运行环境：Python 3.8+，依赖包 numpy, scipy, pandas, matplotlib, scikit-learn。</w:t>
      </w:r>
    </w:p>
    <w:p w14:paraId="5BF5A588">
      <w:r>
        <w:pict>
          <v:rect id="_x0000_i1034" o:spt="1" style="height:1.5pt;width:0pt;" coordsize="21600,21600" o:hr="t" o:hrstd="t" o:hralign="center">
            <v:path/>
            <v:fill focussize="0,0"/>
            <v:stroke/>
            <v:imagedata o:title=""/>
            <o:lock v:ext="edit"/>
            <w10:wrap type="none"/>
            <w10:anchorlock/>
          </v:rect>
        </w:pict>
      </w:r>
    </w:p>
    <w:p w14:paraId="3266E514">
      <w:pPr>
        <w:pStyle w:val="26"/>
      </w:pPr>
      <w:r>
        <w:rPr>
          <w:i/>
          <w:iCs/>
        </w:rPr>
        <w:t>本README与论文正文及附录材料共同构成完整的补充材料包。</w:t>
      </w:r>
    </w:p>
    <w:bookmarkEnd w:id="0"/>
    <w:bookmarkEnd w:id="22"/>
    <w:sectPr>
      <w:headerReference r:id="rId6" w:type="first"/>
      <w:footerReference r:id="rId8" w:type="first"/>
      <w:headerReference r:id="rId5" w:type="even"/>
      <w:footerReference r:id="rId7" w:type="even"/>
      <w:footnotePr>
        <w:numRestart w:val="eachSect"/>
      </w:footnotePr>
      <w:pgSz w:w="12240" w:h="15840"/>
      <w:pgMar w:top="1440" w:right="1800" w:bottom="1440" w:left="1800" w:header="720" w:footer="1020" w:gutter="0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UI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(正文 CS 字体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Times New Roman (标题 CS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ptos Display">
    <w:altName w:val="Segoe UI Variable Display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Segoe UI Variable Display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72E60">
    <w:pPr>
      <w:pStyle w:val="1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58EA2">
    <w:pPr>
      <w:pStyle w:val="1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13B3B">
    <w:pPr>
      <w:pStyle w:val="1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E3E6C">
    <w:pPr>
      <w:pStyle w:val="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•"/>
      <w:lvlJc w:val="left"/>
      <w:pPr>
        <w:ind w:left="720" w:hanging="480"/>
      </w:pPr>
    </w:lvl>
    <w:lvl w:ilvl="1" w:tentative="0">
      <w:start w:val="0"/>
      <w:numFmt w:val="bullet"/>
      <w:lvlText w:val="–"/>
      <w:lvlJc w:val="left"/>
      <w:pPr>
        <w:ind w:left="1440" w:hanging="480"/>
      </w:pPr>
    </w:lvl>
    <w:lvl w:ilvl="2" w:tentative="0">
      <w:start w:val="0"/>
      <w:numFmt w:val="bullet"/>
      <w:lvlText w:val="•"/>
      <w:lvlJc w:val="left"/>
      <w:pPr>
        <w:ind w:left="2160" w:hanging="480"/>
      </w:pPr>
    </w:lvl>
    <w:lvl w:ilvl="3" w:tentative="0">
      <w:start w:val="0"/>
      <w:numFmt w:val="bullet"/>
      <w:lvlText w:val="–"/>
      <w:lvlJc w:val="left"/>
      <w:pPr>
        <w:ind w:left="2880" w:hanging="480"/>
      </w:pPr>
    </w:lvl>
    <w:lvl w:ilvl="4" w:tentative="0">
      <w:start w:val="0"/>
      <w:numFmt w:val="bullet"/>
      <w:lvlText w:val="•"/>
      <w:lvlJc w:val="left"/>
      <w:pPr>
        <w:ind w:left="3600" w:hanging="480"/>
      </w:pPr>
    </w:lvl>
    <w:lvl w:ilvl="5" w:tentative="0">
      <w:start w:val="0"/>
      <w:numFmt w:val="bullet"/>
      <w:lvlText w:val="–"/>
      <w:lvlJc w:val="left"/>
      <w:pPr>
        <w:ind w:left="4320" w:hanging="480"/>
      </w:pPr>
    </w:lvl>
    <w:lvl w:ilvl="6" w:tentative="0">
      <w:start w:val="0"/>
      <w:numFmt w:val="bullet"/>
      <w:lvlText w:val="•"/>
      <w:lvlJc w:val="left"/>
      <w:pPr>
        <w:ind w:left="5040" w:hanging="480"/>
      </w:pPr>
    </w:lvl>
    <w:lvl w:ilvl="7" w:tentative="0">
      <w:start w:val="0"/>
      <w:numFmt w:val="bullet"/>
      <w:lvlText w:val="–"/>
      <w:lvlJc w:val="left"/>
      <w:pPr>
        <w:ind w:left="5760" w:hanging="480"/>
      </w:pPr>
    </w:lvl>
    <w:lvl w:ilvl="8" w:tentative="0">
      <w:start w:val="0"/>
      <w:numFmt w:val="bullet"/>
      <w:lvlText w:val="•"/>
      <w:lvlJc w:val="left"/>
      <w:pPr>
        <w:ind w:left="6480" w:hanging="480"/>
      </w:pPr>
    </w:lvl>
  </w:abstractNum>
  <w:abstractNum w:abstractNumId="1">
    <w:nsid w:val="00A99411"/>
    <w:multiLevelType w:val="multilevel"/>
    <w:tmpl w:val="00A99411"/>
    <w:lvl w:ilvl="0" w:tentative="0">
      <w:start w:val="1"/>
      <w:numFmt w:val="decimal"/>
      <w:lvlText w:val="%1."/>
      <w:lvlJc w:val="left"/>
      <w:pPr>
        <w:ind w:left="720" w:hanging="480"/>
      </w:pPr>
    </w:lvl>
    <w:lvl w:ilvl="1" w:tentative="0">
      <w:start w:val="1"/>
      <w:numFmt w:val="decimal"/>
      <w:lvlText w:val="%2."/>
      <w:lvlJc w:val="left"/>
      <w:pPr>
        <w:ind w:left="1440" w:hanging="480"/>
      </w:pPr>
    </w:lvl>
    <w:lvl w:ilvl="2" w:tentative="0">
      <w:start w:val="1"/>
      <w:numFmt w:val="decimal"/>
      <w:lvlText w:val="%3."/>
      <w:lvlJc w:val="left"/>
      <w:pPr>
        <w:ind w:left="2160" w:hanging="480"/>
      </w:pPr>
    </w:lvl>
    <w:lvl w:ilvl="3" w:tentative="0">
      <w:start w:val="1"/>
      <w:numFmt w:val="decimal"/>
      <w:lvlText w:val="%4."/>
      <w:lvlJc w:val="left"/>
      <w:pPr>
        <w:ind w:left="2880" w:hanging="480"/>
      </w:pPr>
    </w:lvl>
    <w:lvl w:ilvl="4" w:tentative="0">
      <w:start w:val="1"/>
      <w:numFmt w:val="decimal"/>
      <w:lvlText w:val="%5."/>
      <w:lvlJc w:val="left"/>
      <w:pPr>
        <w:ind w:left="3600" w:hanging="480"/>
      </w:pPr>
    </w:lvl>
    <w:lvl w:ilvl="5" w:tentative="0">
      <w:start w:val="1"/>
      <w:numFmt w:val="decimal"/>
      <w:lvlText w:val="%6."/>
      <w:lvlJc w:val="left"/>
      <w:pPr>
        <w:ind w:left="4320" w:hanging="480"/>
      </w:pPr>
    </w:lvl>
    <w:lvl w:ilvl="6" w:tentative="0">
      <w:start w:val="1"/>
      <w:numFmt w:val="decimal"/>
      <w:lvlText w:val="%7."/>
      <w:lvlJc w:val="left"/>
      <w:pPr>
        <w:ind w:left="5040" w:hanging="480"/>
      </w:pPr>
    </w:lvl>
    <w:lvl w:ilvl="7" w:tentative="0">
      <w:start w:val="1"/>
      <w:numFmt w:val="decimal"/>
      <w:lvlText w:val="%8."/>
      <w:lvlJc w:val="left"/>
      <w:pPr>
        <w:ind w:left="5760" w:hanging="480"/>
      </w:pPr>
    </w:lvl>
    <w:lvl w:ilvl="8" w:tentative="0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1C7A67"/>
    <w:rsid w:val="001C7A67"/>
    <w:rsid w:val="00342A87"/>
    <w:rsid w:val="004825C6"/>
    <w:rsid w:val="0051628A"/>
    <w:rsid w:val="005464E3"/>
    <w:rsid w:val="005F6CBF"/>
    <w:rsid w:val="00643110"/>
    <w:rsid w:val="00746C97"/>
    <w:rsid w:val="008708D9"/>
    <w:rsid w:val="00977478"/>
    <w:rsid w:val="00AF517C"/>
    <w:rsid w:val="00BF08D0"/>
    <w:rsid w:val="00CF7597"/>
    <w:rsid w:val="00D90F1F"/>
    <w:rsid w:val="00EC61BB"/>
    <w:rsid w:val="00F71170"/>
    <w:rsid w:val="00FA401C"/>
    <w:rsid w:val="00FD76EA"/>
    <w:rsid w:val="00FE619A"/>
    <w:rsid w:val="1F386AFA"/>
    <w:rsid w:val="73AE54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360" w:lineRule="auto"/>
    </w:pPr>
    <w:rPr>
      <w:rFonts w:ascii="Arial" w:hAnsi="Arial" w:eastAsia="宋体" w:cs="Times New Roman (正文 CS 字体)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4"/>
    <w:qFormat/>
    <w:uiPriority w:val="9"/>
    <w:pPr>
      <w:keepNext/>
      <w:keepLines/>
      <w:outlineLvl w:val="0"/>
    </w:pPr>
    <w:rPr>
      <w:rFonts w:eastAsia="黑体" w:cs="Times New Roman (标题 CS)"/>
      <w:sz w:val="30"/>
      <w:szCs w:val="40"/>
    </w:rPr>
  </w:style>
  <w:style w:type="paragraph" w:styleId="4">
    <w:name w:val="heading 2"/>
    <w:basedOn w:val="1"/>
    <w:next w:val="3"/>
    <w:link w:val="35"/>
    <w:semiHidden/>
    <w:unhideWhenUsed/>
    <w:qFormat/>
    <w:uiPriority w:val="9"/>
    <w:pPr>
      <w:keepNext/>
      <w:keepLines/>
      <w:outlineLvl w:val="1"/>
    </w:pPr>
    <w:rPr>
      <w:rFonts w:eastAsia="黑体" w:cs="Times New Roman (标题 CS)"/>
      <w:sz w:val="28"/>
      <w:szCs w:val="32"/>
    </w:rPr>
  </w:style>
  <w:style w:type="paragraph" w:styleId="5">
    <w:name w:val="heading 3"/>
    <w:basedOn w:val="1"/>
    <w:next w:val="3"/>
    <w:link w:val="36"/>
    <w:semiHidden/>
    <w:unhideWhenUsed/>
    <w:qFormat/>
    <w:uiPriority w:val="9"/>
    <w:pPr>
      <w:keepNext/>
      <w:keepLines/>
      <w:outlineLvl w:val="2"/>
    </w:pPr>
    <w:rPr>
      <w:rFonts w:eastAsia="黑体" w:cs="Times New Roman (标题 CS)"/>
      <w:sz w:val="26"/>
      <w:szCs w:val="28"/>
    </w:rPr>
  </w:style>
  <w:style w:type="paragraph" w:styleId="6">
    <w:name w:val="heading 4"/>
    <w:basedOn w:val="5"/>
    <w:next w:val="3"/>
    <w:link w:val="37"/>
    <w:unhideWhenUsed/>
    <w:qFormat/>
    <w:uiPriority w:val="9"/>
    <w:pPr>
      <w:outlineLvl w:val="3"/>
    </w:pPr>
  </w:style>
  <w:style w:type="paragraph" w:styleId="7">
    <w:name w:val="heading 5"/>
    <w:basedOn w:val="6"/>
    <w:next w:val="3"/>
    <w:link w:val="38"/>
    <w:unhideWhenUsed/>
    <w:qFormat/>
    <w:uiPriority w:val="9"/>
    <w:pPr>
      <w:outlineLvl w:val="4"/>
    </w:pPr>
  </w:style>
  <w:style w:type="paragraph" w:styleId="8">
    <w:name w:val="heading 6"/>
    <w:basedOn w:val="7"/>
    <w:next w:val="3"/>
    <w:link w:val="39"/>
    <w:unhideWhenUsed/>
    <w:qFormat/>
    <w:uiPriority w:val="9"/>
    <w:pPr>
      <w:outlineLvl w:val="5"/>
    </w:pPr>
  </w:style>
  <w:style w:type="paragraph" w:styleId="9">
    <w:name w:val="heading 7"/>
    <w:basedOn w:val="8"/>
    <w:next w:val="3"/>
    <w:link w:val="40"/>
    <w:unhideWhenUsed/>
    <w:qFormat/>
    <w:uiPriority w:val="9"/>
    <w:pPr>
      <w:outlineLvl w:val="6"/>
    </w:pPr>
  </w:style>
  <w:style w:type="paragraph" w:styleId="10">
    <w:name w:val="heading 8"/>
    <w:basedOn w:val="9"/>
    <w:next w:val="3"/>
    <w:link w:val="41"/>
    <w:unhideWhenUsed/>
    <w:qFormat/>
    <w:uiPriority w:val="9"/>
    <w:pPr>
      <w:outlineLvl w:val="7"/>
    </w:pPr>
  </w:style>
  <w:style w:type="paragraph" w:styleId="11">
    <w:name w:val="heading 9"/>
    <w:basedOn w:val="10"/>
    <w:next w:val="3"/>
    <w:link w:val="42"/>
    <w:unhideWhenUsed/>
    <w:qFormat/>
    <w:uiPriority w:val="9"/>
    <w:pPr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12">
    <w:name w:val="caption"/>
    <w:basedOn w:val="1"/>
    <w:link w:val="24"/>
    <w:uiPriority w:val="0"/>
    <w:pPr>
      <w:spacing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/>
    </w:pPr>
  </w:style>
  <w:style w:type="paragraph" w:styleId="14">
    <w:name w:val="Date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styleId="15">
    <w:name w:val="Title"/>
    <w:basedOn w:val="1"/>
    <w:next w:val="3"/>
    <w:link w:val="28"/>
    <w:qFormat/>
    <w:uiPriority w:val="10"/>
    <w:pPr>
      <w:contextualSpacing/>
      <w:jc w:val="center"/>
    </w:pPr>
    <w:rPr>
      <w:rFonts w:eastAsia="黑体" w:cs="Times New Roman (标题 CS)"/>
      <w:sz w:val="30"/>
      <w:szCs w:val="56"/>
    </w:rPr>
  </w:style>
  <w:style w:type="paragraph" w:styleId="16">
    <w:name w:val="footer"/>
    <w:basedOn w:val="1"/>
    <w:link w:val="57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7">
    <w:name w:val="header"/>
    <w:basedOn w:val="1"/>
    <w:link w:val="56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8">
    <w:name w:val="Subtitle"/>
    <w:basedOn w:val="15"/>
    <w:next w:val="3"/>
    <w:link w:val="29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9">
    <w:name w:val="footnote text"/>
    <w:basedOn w:val="1"/>
    <w:unhideWhenUsed/>
    <w:qFormat/>
    <w:uiPriority w:val="9"/>
    <w:rPr>
      <w:sz w:val="18"/>
    </w:rPr>
  </w:style>
  <w:style w:type="table" w:styleId="21">
    <w:name w:val="Table Grid"/>
    <w:basedOn w:val="20"/>
    <w:uiPriority w:val="0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basedOn w:val="24"/>
    <w:uiPriority w:val="0"/>
    <w:rPr>
      <w:color w:val="156082" w:themeColor="accent1"/>
    </w:rPr>
  </w:style>
  <w:style w:type="character" w:customStyle="1" w:styleId="24">
    <w:name w:val="题注 字符"/>
    <w:basedOn w:val="22"/>
    <w:link w:val="12"/>
    <w:qFormat/>
    <w:uiPriority w:val="0"/>
  </w:style>
  <w:style w:type="character" w:styleId="25">
    <w:name w:val="footnote reference"/>
    <w:basedOn w:val="24"/>
    <w:uiPriority w:val="0"/>
    <w:rPr>
      <w:vertAlign w:val="superscript"/>
    </w:rPr>
  </w:style>
  <w:style w:type="paragraph" w:customStyle="1" w:styleId="26">
    <w:name w:val="First Paragraph"/>
    <w:basedOn w:val="3"/>
    <w:next w:val="3"/>
    <w:qFormat/>
    <w:uiPriority w:val="0"/>
  </w:style>
  <w:style w:type="paragraph" w:customStyle="1" w:styleId="27">
    <w:name w:val="Compact"/>
    <w:basedOn w:val="3"/>
    <w:qFormat/>
    <w:uiPriority w:val="0"/>
    <w:pPr>
      <w:spacing w:before="36" w:after="36"/>
    </w:pPr>
  </w:style>
  <w:style w:type="character" w:customStyle="1" w:styleId="28">
    <w:name w:val="标题 字符"/>
    <w:basedOn w:val="22"/>
    <w:link w:val="15"/>
    <w:qFormat/>
    <w:uiPriority w:val="10"/>
    <w:rPr>
      <w:rFonts w:ascii="Arial" w:hAnsi="Arial" w:eastAsia="黑体" w:cs="Times New Roman (标题 CS)"/>
      <w:sz w:val="30"/>
      <w:szCs w:val="56"/>
    </w:rPr>
  </w:style>
  <w:style w:type="character" w:customStyle="1" w:styleId="29">
    <w:name w:val="副标题 字符"/>
    <w:basedOn w:val="22"/>
    <w:link w:val="18"/>
    <w:qFormat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30">
    <w:name w:val="Author"/>
    <w:basedOn w:val="15"/>
    <w:next w:val="3"/>
    <w:qFormat/>
    <w:uiPriority w:val="0"/>
    <w:pPr>
      <w:keepNext/>
      <w:keepLines/>
    </w:pPr>
    <w:rPr>
      <w:sz w:val="24"/>
      <w:szCs w:val="24"/>
    </w:rPr>
  </w:style>
  <w:style w:type="paragraph" w:customStyle="1" w:styleId="31">
    <w:name w:val="Abstract Title"/>
    <w:basedOn w:val="1"/>
    <w:next w:val="32"/>
    <w:qFormat/>
    <w:uiPriority w:val="0"/>
    <w:pPr>
      <w:keepNext/>
      <w:keepLines/>
      <w:spacing w:before="300"/>
      <w:jc w:val="center"/>
    </w:pPr>
    <w:rPr>
      <w:b/>
      <w:sz w:val="20"/>
      <w:szCs w:val="20"/>
    </w:rPr>
  </w:style>
  <w:style w:type="paragraph" w:customStyle="1" w:styleId="32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3">
    <w:name w:val="Bibliography"/>
    <w:basedOn w:val="1"/>
    <w:qFormat/>
    <w:uiPriority w:val="0"/>
  </w:style>
  <w:style w:type="character" w:customStyle="1" w:styleId="34">
    <w:name w:val="标题 1 字符"/>
    <w:basedOn w:val="22"/>
    <w:link w:val="2"/>
    <w:uiPriority w:val="9"/>
    <w:rPr>
      <w:rFonts w:ascii="Arial" w:hAnsi="Arial" w:eastAsia="黑体" w:cs="Times New Roman (标题 CS)"/>
      <w:sz w:val="30"/>
      <w:szCs w:val="40"/>
    </w:rPr>
  </w:style>
  <w:style w:type="character" w:customStyle="1" w:styleId="35">
    <w:name w:val="标题 2 字符"/>
    <w:basedOn w:val="22"/>
    <w:link w:val="4"/>
    <w:semiHidden/>
    <w:qFormat/>
    <w:uiPriority w:val="9"/>
    <w:rPr>
      <w:rFonts w:ascii="Arial" w:hAnsi="Arial" w:eastAsia="黑体" w:cs="Times New Roman (标题 CS)"/>
      <w:sz w:val="28"/>
      <w:szCs w:val="32"/>
    </w:rPr>
  </w:style>
  <w:style w:type="character" w:customStyle="1" w:styleId="36">
    <w:name w:val="标题 3 字符"/>
    <w:basedOn w:val="22"/>
    <w:link w:val="5"/>
    <w:semiHidden/>
    <w:uiPriority w:val="9"/>
    <w:rPr>
      <w:rFonts w:ascii="Arial" w:hAnsi="Arial" w:eastAsia="黑体" w:cs="Times New Roman (标题 CS)"/>
      <w:sz w:val="26"/>
      <w:szCs w:val="28"/>
    </w:rPr>
  </w:style>
  <w:style w:type="character" w:customStyle="1" w:styleId="37">
    <w:name w:val="标题 4 字符"/>
    <w:basedOn w:val="22"/>
    <w:link w:val="6"/>
    <w:qFormat/>
    <w:uiPriority w:val="9"/>
    <w:rPr>
      <w:rFonts w:ascii="Arial" w:hAnsi="Arial" w:eastAsia="黑体" w:cs="Times New Roman (标题 CS)"/>
      <w:color w:val="0F4761" w:themeColor="accent1" w:themeShade="BF"/>
      <w:sz w:val="26"/>
      <w:szCs w:val="28"/>
    </w:rPr>
  </w:style>
  <w:style w:type="character" w:customStyle="1" w:styleId="38">
    <w:name w:val="标题 5 字符"/>
    <w:basedOn w:val="22"/>
    <w:link w:val="7"/>
    <w:uiPriority w:val="9"/>
    <w:rPr>
      <w:rFonts w:ascii="Arial" w:hAnsi="Arial" w:eastAsia="黑体" w:cs="Times New Roman (标题 CS)"/>
      <w:color w:val="0F4761" w:themeColor="accent1" w:themeShade="BF"/>
      <w:sz w:val="26"/>
      <w:szCs w:val="28"/>
    </w:rPr>
  </w:style>
  <w:style w:type="character" w:customStyle="1" w:styleId="39">
    <w:name w:val="标题 6 字符"/>
    <w:basedOn w:val="22"/>
    <w:link w:val="8"/>
    <w:uiPriority w:val="9"/>
    <w:rPr>
      <w:rFonts w:ascii="Arial" w:hAnsi="Arial" w:eastAsia="黑体" w:cs="Times New Roman (标题 CS)"/>
      <w:color w:val="0F4761" w:themeColor="accent1" w:themeShade="BF"/>
      <w:sz w:val="26"/>
      <w:szCs w:val="28"/>
    </w:rPr>
  </w:style>
  <w:style w:type="character" w:customStyle="1" w:styleId="40">
    <w:name w:val="标题 7 字符"/>
    <w:basedOn w:val="22"/>
    <w:link w:val="9"/>
    <w:qFormat/>
    <w:uiPriority w:val="9"/>
    <w:rPr>
      <w:rFonts w:ascii="Arial" w:hAnsi="Arial" w:eastAsia="黑体" w:cs="Times New Roman (标题 CS)"/>
      <w:color w:val="0F4761" w:themeColor="accent1" w:themeShade="BF"/>
      <w:sz w:val="26"/>
      <w:szCs w:val="28"/>
    </w:rPr>
  </w:style>
  <w:style w:type="character" w:customStyle="1" w:styleId="41">
    <w:name w:val="标题 8 字符"/>
    <w:basedOn w:val="22"/>
    <w:link w:val="10"/>
    <w:uiPriority w:val="9"/>
    <w:rPr>
      <w:rFonts w:ascii="Arial" w:hAnsi="Arial" w:eastAsia="黑体" w:cs="Times New Roman (标题 CS)"/>
      <w:color w:val="0F4761" w:themeColor="accent1" w:themeShade="BF"/>
      <w:sz w:val="26"/>
      <w:szCs w:val="28"/>
    </w:rPr>
  </w:style>
  <w:style w:type="character" w:customStyle="1" w:styleId="42">
    <w:name w:val="标题 9 字符"/>
    <w:basedOn w:val="22"/>
    <w:link w:val="11"/>
    <w:uiPriority w:val="9"/>
    <w:rPr>
      <w:rFonts w:ascii="Arial" w:hAnsi="Arial" w:eastAsia="黑体" w:cs="Times New Roman (标题 CS)"/>
      <w:color w:val="0F4761" w:themeColor="accent1" w:themeShade="BF"/>
      <w:sz w:val="26"/>
      <w:szCs w:val="28"/>
    </w:rPr>
  </w:style>
  <w:style w:type="paragraph" w:customStyle="1" w:styleId="43">
    <w:name w:val="Footnote Block Text"/>
    <w:basedOn w:val="19"/>
    <w:next w:val="19"/>
    <w:unhideWhenUsed/>
    <w:qFormat/>
    <w:uiPriority w:val="9"/>
    <w:pPr>
      <w:spacing w:before="100" w:after="100"/>
      <w:ind w:left="480" w:right="480"/>
    </w:pPr>
  </w:style>
  <w:style w:type="table" w:customStyle="1" w:styleId="44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45">
    <w:name w:val="Definition Term"/>
    <w:basedOn w:val="1"/>
    <w:next w:val="46"/>
    <w:uiPriority w:val="0"/>
    <w:pPr>
      <w:keepNext/>
      <w:keepLines/>
    </w:pPr>
    <w:rPr>
      <w:b/>
    </w:rPr>
  </w:style>
  <w:style w:type="paragraph" w:customStyle="1" w:styleId="46">
    <w:name w:val="Definition"/>
    <w:basedOn w:val="1"/>
    <w:uiPriority w:val="0"/>
  </w:style>
  <w:style w:type="paragraph" w:customStyle="1" w:styleId="47">
    <w:name w:val="Table Caption"/>
    <w:basedOn w:val="12"/>
    <w:uiPriority w:val="0"/>
    <w:pPr>
      <w:keepNext/>
      <w:spacing w:after="0"/>
      <w:jc w:val="center"/>
    </w:pPr>
    <w:rPr>
      <w:i w:val="0"/>
      <w:sz w:val="20"/>
    </w:rPr>
  </w:style>
  <w:style w:type="paragraph" w:customStyle="1" w:styleId="48">
    <w:name w:val="Image Caption"/>
    <w:basedOn w:val="12"/>
    <w:qFormat/>
    <w:uiPriority w:val="0"/>
    <w:pPr>
      <w:spacing w:after="0"/>
      <w:jc w:val="center"/>
    </w:pPr>
    <w:rPr>
      <w:i w:val="0"/>
      <w:sz w:val="20"/>
    </w:rPr>
  </w:style>
  <w:style w:type="paragraph" w:customStyle="1" w:styleId="49">
    <w:name w:val="Figure"/>
    <w:basedOn w:val="1"/>
    <w:uiPriority w:val="0"/>
  </w:style>
  <w:style w:type="paragraph" w:customStyle="1" w:styleId="50">
    <w:name w:val="Captioned Figure"/>
    <w:basedOn w:val="49"/>
    <w:qFormat/>
    <w:uiPriority w:val="0"/>
    <w:pPr>
      <w:keepNext/>
    </w:pPr>
  </w:style>
  <w:style w:type="character" w:customStyle="1" w:styleId="51">
    <w:name w:val="Verbatim Char"/>
    <w:basedOn w:val="24"/>
    <w:link w:val="52"/>
    <w:uiPriority w:val="0"/>
    <w:rPr>
      <w:rFonts w:ascii="Consolas" w:hAnsi="Consolas"/>
      <w:sz w:val="22"/>
    </w:rPr>
  </w:style>
  <w:style w:type="paragraph" w:customStyle="1" w:styleId="52">
    <w:name w:val="Source Code"/>
    <w:link w:val="51"/>
    <w:qFormat/>
    <w:uiPriority w:val="0"/>
    <w:pPr>
      <w:wordWrap w:val="0"/>
      <w:spacing w:after="200"/>
    </w:pPr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customStyle="1" w:styleId="53">
    <w:name w:val="Section Number"/>
    <w:basedOn w:val="24"/>
    <w:uiPriority w:val="0"/>
  </w:style>
  <w:style w:type="paragraph" w:customStyle="1" w:styleId="54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</w:rPr>
  </w:style>
  <w:style w:type="paragraph" w:styleId="55">
    <w:name w:val="List Paragraph"/>
    <w:basedOn w:val="3"/>
    <w:uiPriority w:val="0"/>
    <w:pPr>
      <w:ind w:firstLine="420" w:firstLineChars="200"/>
    </w:pPr>
  </w:style>
  <w:style w:type="character" w:customStyle="1" w:styleId="56">
    <w:name w:val="页眉 字符"/>
    <w:basedOn w:val="22"/>
    <w:link w:val="17"/>
    <w:qFormat/>
    <w:uiPriority w:val="0"/>
    <w:rPr>
      <w:rFonts w:ascii="Arial" w:hAnsi="Arial" w:eastAsia="宋体" w:cs="Times New Roman (正文 CS 字体)"/>
      <w:sz w:val="18"/>
      <w:szCs w:val="18"/>
    </w:rPr>
  </w:style>
  <w:style w:type="character" w:customStyle="1" w:styleId="57">
    <w:name w:val="页脚 字符"/>
    <w:basedOn w:val="22"/>
    <w:link w:val="16"/>
    <w:uiPriority w:val="0"/>
    <w:rPr>
      <w:rFonts w:ascii="Arial" w:hAnsi="Arial" w:eastAsia="宋体" w:cs="Times New Roman (正文 CS 字体)"/>
      <w:sz w:val="18"/>
      <w:szCs w:val="18"/>
    </w:rPr>
  </w:style>
  <w:style w:type="character" w:customStyle="1" w:styleId="58">
    <w:name w:val="KeywordTok"/>
    <w:basedOn w:val="51"/>
    <w:uiPriority w:val="0"/>
    <w:rPr>
      <w:b/>
      <w:color w:val="007020"/>
    </w:rPr>
  </w:style>
  <w:style w:type="character" w:customStyle="1" w:styleId="59">
    <w:name w:val="DataTypeTok"/>
    <w:basedOn w:val="51"/>
    <w:uiPriority w:val="0"/>
    <w:rPr>
      <w:color w:val="902000"/>
    </w:rPr>
  </w:style>
  <w:style w:type="character" w:customStyle="1" w:styleId="60">
    <w:name w:val="DecValTok"/>
    <w:basedOn w:val="51"/>
    <w:uiPriority w:val="0"/>
    <w:rPr>
      <w:color w:val="40A070"/>
    </w:rPr>
  </w:style>
  <w:style w:type="character" w:customStyle="1" w:styleId="61">
    <w:name w:val="BaseNTok"/>
    <w:basedOn w:val="51"/>
    <w:uiPriority w:val="0"/>
    <w:rPr>
      <w:color w:val="40A070"/>
    </w:rPr>
  </w:style>
  <w:style w:type="character" w:customStyle="1" w:styleId="62">
    <w:name w:val="FloatTok"/>
    <w:basedOn w:val="51"/>
    <w:uiPriority w:val="0"/>
    <w:rPr>
      <w:color w:val="40A070"/>
    </w:rPr>
  </w:style>
  <w:style w:type="character" w:customStyle="1" w:styleId="63">
    <w:name w:val="ConstantTok"/>
    <w:basedOn w:val="51"/>
    <w:uiPriority w:val="0"/>
    <w:rPr>
      <w:color w:val="880000"/>
    </w:rPr>
  </w:style>
  <w:style w:type="character" w:customStyle="1" w:styleId="64">
    <w:name w:val="CharTok"/>
    <w:basedOn w:val="51"/>
    <w:uiPriority w:val="0"/>
    <w:rPr>
      <w:color w:val="4070A0"/>
    </w:rPr>
  </w:style>
  <w:style w:type="character" w:customStyle="1" w:styleId="65">
    <w:name w:val="SpecialCharTok"/>
    <w:basedOn w:val="51"/>
    <w:qFormat/>
    <w:uiPriority w:val="0"/>
    <w:rPr>
      <w:color w:val="4070A0"/>
    </w:rPr>
  </w:style>
  <w:style w:type="character" w:customStyle="1" w:styleId="66">
    <w:name w:val="StringTok"/>
    <w:basedOn w:val="51"/>
    <w:qFormat/>
    <w:uiPriority w:val="0"/>
    <w:rPr>
      <w:color w:val="4070A0"/>
    </w:rPr>
  </w:style>
  <w:style w:type="character" w:customStyle="1" w:styleId="67">
    <w:name w:val="VerbatimStringTok"/>
    <w:basedOn w:val="51"/>
    <w:qFormat/>
    <w:uiPriority w:val="0"/>
    <w:rPr>
      <w:color w:val="4070A0"/>
    </w:rPr>
  </w:style>
  <w:style w:type="character" w:customStyle="1" w:styleId="68">
    <w:name w:val="SpecialStringTok"/>
    <w:basedOn w:val="51"/>
    <w:qFormat/>
    <w:uiPriority w:val="0"/>
    <w:rPr>
      <w:color w:val="BB6688"/>
    </w:rPr>
  </w:style>
  <w:style w:type="character" w:customStyle="1" w:styleId="69">
    <w:name w:val="ImportTok"/>
    <w:basedOn w:val="51"/>
    <w:qFormat/>
    <w:uiPriority w:val="0"/>
    <w:rPr>
      <w:b/>
      <w:color w:val="008000"/>
    </w:rPr>
  </w:style>
  <w:style w:type="character" w:customStyle="1" w:styleId="70">
    <w:name w:val="CommentTok"/>
    <w:basedOn w:val="51"/>
    <w:qFormat/>
    <w:uiPriority w:val="0"/>
    <w:rPr>
      <w:i/>
      <w:color w:val="60A0B0"/>
    </w:rPr>
  </w:style>
  <w:style w:type="character" w:customStyle="1" w:styleId="71">
    <w:name w:val="DocumentationTok"/>
    <w:basedOn w:val="51"/>
    <w:uiPriority w:val="0"/>
    <w:rPr>
      <w:i/>
      <w:color w:val="BA2121"/>
    </w:rPr>
  </w:style>
  <w:style w:type="character" w:customStyle="1" w:styleId="72">
    <w:name w:val="AnnotationTok"/>
    <w:basedOn w:val="51"/>
    <w:qFormat/>
    <w:uiPriority w:val="0"/>
    <w:rPr>
      <w:b/>
      <w:i/>
      <w:color w:val="60A0B0"/>
    </w:rPr>
  </w:style>
  <w:style w:type="character" w:customStyle="1" w:styleId="73">
    <w:name w:val="CommentVarTok"/>
    <w:basedOn w:val="51"/>
    <w:qFormat/>
    <w:uiPriority w:val="0"/>
    <w:rPr>
      <w:b/>
      <w:i/>
      <w:color w:val="60A0B0"/>
    </w:rPr>
  </w:style>
  <w:style w:type="character" w:customStyle="1" w:styleId="74">
    <w:name w:val="OtherTok"/>
    <w:basedOn w:val="51"/>
    <w:qFormat/>
    <w:uiPriority w:val="0"/>
    <w:rPr>
      <w:color w:val="007020"/>
    </w:rPr>
  </w:style>
  <w:style w:type="character" w:customStyle="1" w:styleId="75">
    <w:name w:val="FunctionTok"/>
    <w:basedOn w:val="51"/>
    <w:qFormat/>
    <w:uiPriority w:val="0"/>
    <w:rPr>
      <w:color w:val="06287E"/>
    </w:rPr>
  </w:style>
  <w:style w:type="character" w:customStyle="1" w:styleId="76">
    <w:name w:val="VariableTok"/>
    <w:basedOn w:val="51"/>
    <w:qFormat/>
    <w:uiPriority w:val="0"/>
    <w:rPr>
      <w:color w:val="19177C"/>
    </w:rPr>
  </w:style>
  <w:style w:type="character" w:customStyle="1" w:styleId="77">
    <w:name w:val="ControlFlowTok"/>
    <w:basedOn w:val="51"/>
    <w:qFormat/>
    <w:uiPriority w:val="0"/>
    <w:rPr>
      <w:b/>
      <w:color w:val="007020"/>
    </w:rPr>
  </w:style>
  <w:style w:type="character" w:customStyle="1" w:styleId="78">
    <w:name w:val="OperatorTok"/>
    <w:basedOn w:val="51"/>
    <w:qFormat/>
    <w:uiPriority w:val="0"/>
    <w:rPr>
      <w:color w:val="666666"/>
    </w:rPr>
  </w:style>
  <w:style w:type="character" w:customStyle="1" w:styleId="79">
    <w:name w:val="BuiltInTok"/>
    <w:basedOn w:val="51"/>
    <w:qFormat/>
    <w:uiPriority w:val="0"/>
    <w:rPr>
      <w:color w:val="008000"/>
    </w:rPr>
  </w:style>
  <w:style w:type="character" w:customStyle="1" w:styleId="80">
    <w:name w:val="ExtensionTok"/>
    <w:basedOn w:val="51"/>
    <w:qFormat/>
    <w:uiPriority w:val="0"/>
  </w:style>
  <w:style w:type="character" w:customStyle="1" w:styleId="81">
    <w:name w:val="PreprocessorTok"/>
    <w:basedOn w:val="51"/>
    <w:qFormat/>
    <w:uiPriority w:val="0"/>
    <w:rPr>
      <w:color w:val="BC7A00"/>
    </w:rPr>
  </w:style>
  <w:style w:type="character" w:customStyle="1" w:styleId="82">
    <w:name w:val="AttributeTok"/>
    <w:basedOn w:val="51"/>
    <w:qFormat/>
    <w:uiPriority w:val="0"/>
    <w:rPr>
      <w:color w:val="7D9029"/>
    </w:rPr>
  </w:style>
  <w:style w:type="character" w:customStyle="1" w:styleId="83">
    <w:name w:val="RegionMarkerTok"/>
    <w:basedOn w:val="51"/>
    <w:qFormat/>
    <w:uiPriority w:val="0"/>
  </w:style>
  <w:style w:type="character" w:customStyle="1" w:styleId="84">
    <w:name w:val="InformationTok"/>
    <w:basedOn w:val="51"/>
    <w:qFormat/>
    <w:uiPriority w:val="0"/>
    <w:rPr>
      <w:b/>
      <w:i/>
      <w:color w:val="60A0B0"/>
    </w:rPr>
  </w:style>
  <w:style w:type="character" w:customStyle="1" w:styleId="85">
    <w:name w:val="WarningTok"/>
    <w:basedOn w:val="51"/>
    <w:qFormat/>
    <w:uiPriority w:val="0"/>
    <w:rPr>
      <w:b/>
      <w:i/>
      <w:color w:val="60A0B0"/>
    </w:rPr>
  </w:style>
  <w:style w:type="character" w:customStyle="1" w:styleId="86">
    <w:name w:val="AlertTok"/>
    <w:basedOn w:val="51"/>
    <w:qFormat/>
    <w:uiPriority w:val="0"/>
    <w:rPr>
      <w:b/>
      <w:color w:val="FF0000"/>
    </w:rPr>
  </w:style>
  <w:style w:type="character" w:customStyle="1" w:styleId="87">
    <w:name w:val="ErrorTok"/>
    <w:basedOn w:val="51"/>
    <w:qFormat/>
    <w:uiPriority w:val="0"/>
    <w:rPr>
      <w:b/>
      <w:color w:val="FF0000"/>
    </w:rPr>
  </w:style>
  <w:style w:type="character" w:customStyle="1" w:styleId="88">
    <w:name w:val="NormalTok"/>
    <w:basedOn w:val="5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1111</Words>
  <Characters>2596</Characters>
  <Lines>3</Lines>
  <Paragraphs>1</Paragraphs>
  <TotalTime>31</TotalTime>
  <ScaleCrop>false</ScaleCrop>
  <LinksUpToDate>false</LinksUpToDate>
  <CharactersWithSpaces>2701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2026-05-16T08:26:00Z</dcterms:created>
  <dc:creator>放飞梦想</dc:creator>
  <cp:lastModifiedBy>放飞梦想</cp:lastModifiedBy>
  <dcterms:modified xsi:type="dcterms:W3CDTF">2026-05-16T08:38:07Z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001191110108MACG2KBH8F10000","ProduceID":"d6t5va9toom2gutesbmg-19e2fb7f-6042-803a-8000-096bccd5145f-20260516082604","ReservedCode1":"","ContentPropagator":"001191110108MACG2KBH8F20000","PropagateID":"d6t5va9toom2gutesbmg-19e2fb7f-6042-803a-8000-096bccd5145f-20260516082604","ReservedCode2":""}</vt:lpwstr>
  </property>
  <property fmtid="{D5CDD505-2E9C-101B-9397-08002B2CF9AE}" pid="3" name="KSOTemplateDocerSaveRecord">
    <vt:lpwstr>eyJoZGlkIjoiYTc2ZGZiNzZiNDVlOGViOWVmM2JhOTY0NGJkNjUyYzgiLCJ1c2VySWQiOiI5OTMwODYwNjgifQ==</vt:lpwstr>
  </property>
  <property fmtid="{D5CDD505-2E9C-101B-9397-08002B2CF9AE}" pid="4" name="KSOProductBuildVer">
    <vt:lpwstr>2052-12.1.0.26375</vt:lpwstr>
  </property>
  <property fmtid="{D5CDD505-2E9C-101B-9397-08002B2CF9AE}" pid="5" name="ICV">
    <vt:lpwstr>8A75A1C2B58949CC993226C3371C8A81_12</vt:lpwstr>
  </property>
</Properties>
</file>