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F1" w:rsidRPr="0098634B" w:rsidRDefault="000657F1" w:rsidP="000657F1">
      <w:pPr>
        <w:rPr>
          <w:color w:val="999999"/>
          <w:lang w:val="en-US"/>
        </w:rPr>
      </w:pPr>
      <w:r w:rsidRPr="0098634B">
        <w:rPr>
          <w:rFonts w:ascii="Times New Roman" w:eastAsia="Times New Roman" w:hAnsi="Times New Roman" w:cs="Times New Roman"/>
          <w:color w:val="444444"/>
          <w:spacing w:val="-9"/>
          <w:kern w:val="36"/>
          <w:sz w:val="48"/>
          <w:szCs w:val="48"/>
          <w:lang w:val="en-US" w:eastAsia="ru-RU"/>
        </w:rPr>
        <w:t>The changing landscape for stroke prevention in af findings from the gloria-af registry phase 2</w:t>
      </w:r>
      <w:r w:rsidRPr="0098634B">
        <w:rPr>
          <w:color w:val="999999"/>
          <w:lang w:val="en-US"/>
        </w:rPr>
        <w:t xml:space="preserve"> </w:t>
      </w:r>
    </w:p>
    <w:p w:rsidR="000657F1" w:rsidRPr="002A7435" w:rsidRDefault="000657F1" w:rsidP="000657F1">
      <w:pPr>
        <w:shd w:val="clear" w:color="auto" w:fill="FFFFFF"/>
        <w:rPr>
          <w:rFonts w:ascii="Raleway" w:hAnsi="Raleway"/>
          <w:color w:val="777777"/>
          <w:sz w:val="23"/>
          <w:szCs w:val="23"/>
          <w:lang w:val="en-US"/>
        </w:rPr>
      </w:pPr>
      <w:r w:rsidRPr="007F0BCB">
        <w:rPr>
          <w:rStyle w:val="a4"/>
          <w:rFonts w:ascii="Raleway" w:hAnsi="Raleway"/>
          <w:color w:val="777777"/>
          <w:sz w:val="23"/>
          <w:szCs w:val="23"/>
          <w:lang w:val="en-US"/>
        </w:rPr>
        <w:t>Huisman MV, Rothman KJ, Paquette M, Teutsch C, Diener HC, Dubner SJ, Halperin JL, Ma CS, Zint K, Elsaesser A, Bartels DB, Lip GY; GLORIA-AF Investigators.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</w:r>
      <w:r w:rsidRPr="007F0BCB">
        <w:rPr>
          <w:rStyle w:val="a4"/>
          <w:rFonts w:ascii="Raleway" w:hAnsi="Raleway"/>
          <w:color w:val="777777"/>
          <w:sz w:val="23"/>
          <w:szCs w:val="23"/>
          <w:lang w:val="en-US"/>
        </w:rPr>
        <w:t>Abstract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BACKGROUND: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GLORIA-AF (Global Registry on Long-Term Oral Antithrombotic Treatment in Patients with Atrial Fibri</w:t>
      </w:r>
      <w:bookmarkStart w:id="0" w:name="_GoBack"/>
      <w:bookmarkEnd w:id="0"/>
      <w:r w:rsidRPr="007F0BCB">
        <w:rPr>
          <w:rFonts w:ascii="Raleway" w:hAnsi="Raleway"/>
          <w:color w:val="777777"/>
          <w:sz w:val="23"/>
          <w:szCs w:val="23"/>
          <w:lang w:val="en-US"/>
        </w:rPr>
        <w:t>llation) is a prospective, global registry program describing antithrombotic treatment patterns in patients with newly diagnosed nonvalvular atrial fibrillation at risk of stroke. Phase 2 began when dabigatran, the first non-vitamin K antagonist oral anticoagulant (NOAC), became available.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OBJECTIVES: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This study sought to describe phase 2 baseline data and compare these with the pre-NOAC era collected during phase 1.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METHODS: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During phase 2, 15,641 consenting patients were enrolled (November 2011 to December 2014); 15,092 were eligible. This pre-specified cross-sectional analysis describes eligible patients' baseline characteristics. Atrial fibrillation disease characteristics, medical outcomes, and concomitant diseases and medications were collected. Data were analyzed using descriptive statistics.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>RESULTS: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br/>
        <w:t xml:space="preserve">Of the total patients, 45.5% were female; median age was 71 (interquartile range: 64, 78) years. Patients were from Europe (47.1%), North America (22.5%), Asia (20.3%), Latin America (6.0%), and the Middle East/Africa (4.0%). Most had high stroke risk (CHA2DS2-VASc [Congestive heart failure, Hypertension, Age </w:t>
      </w:r>
      <w:r w:rsidRPr="007F0BCB">
        <w:rPr>
          <w:rFonts w:ascii="Arial" w:hAnsi="Arial" w:cs="Arial"/>
          <w:color w:val="777777"/>
          <w:sz w:val="23"/>
          <w:szCs w:val="23"/>
          <w:lang w:val="en-US"/>
        </w:rPr>
        <w:t>≥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t xml:space="preserve">75 years, Diabetes mellitus, previous Stroke, Vascular disease, Age 65 to 74 years, Sex category] score </w:t>
      </w:r>
      <w:r w:rsidRPr="007F0BCB">
        <w:rPr>
          <w:rFonts w:ascii="Arial" w:hAnsi="Arial" w:cs="Arial"/>
          <w:color w:val="777777"/>
          <w:sz w:val="23"/>
          <w:szCs w:val="23"/>
          <w:lang w:val="en-US"/>
        </w:rPr>
        <w:t>≥</w:t>
      </w:r>
      <w:r w:rsidRPr="007F0BCB">
        <w:rPr>
          <w:rFonts w:ascii="Raleway" w:hAnsi="Raleway"/>
          <w:color w:val="777777"/>
          <w:sz w:val="23"/>
          <w:szCs w:val="23"/>
          <w:lang w:val="en-US"/>
        </w:rPr>
        <w:t xml:space="preserve">2; 86.1%); 13.9% had moderate risk (CHA2DS2-VASc = 1). Overall, 79.9% received oral anticoagulants, of whom 47.6% received NOAC and 32.3% vitamin K antagonists (VKA); 12.1% received antiplatelet agents; 7.8% received no antithrombotic treatment. For comparison, the proportion of phase 1 patients (of N = 1,063 all eligible) prescribed VKA was 32.8%, acetylsalicylic acid 41.7%, and no therapy 20.2%. In Europe in phase 2, treatment with NOAC was more common than VKA (52.3% and 37.8%, respectively); 6.0% of patients received antiplatelet treatment; and 3.8% received no antithrombotic treatment. 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t>In North America, 52.1%, 26.2%, and 14.0% of patients received NOAC, VKA, and antiplatelet drugs, respectively; 7.5% received no antithrombotic treatment. NOAC use was less common in Asia (27.7%), where 27.5% of patients received VKA, 25.0% antiplatelet drugs, and 19.8% no antithrombotic treatment.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  <w:t>CONCLUSIONS: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  <w:t xml:space="preserve">The baseline data from GLORIA-AF phase 2 demonstrate that in newly diagnosed 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lastRenderedPageBreak/>
        <w:t>nonvalvular atrial fibrillation patients, NOAC have been highly adopted into practice, becoming more frequently prescribed than VKA in Europe and North America. Worldwide, however, a large proportion of patients remain undertreated, particularly in Asia and North America. (Global Registry on Long-Term Oral Antithrombotic Treatment in Patients With Atrial Fibrillation [GLORIA-AF]; NCT01468701).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  <w:t>KEYWORDS: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  <w:t>atrial fibrillation; oral anticoagulation; registry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  <w:t>PMID: 28209218 DOI: 10.1016/j.jacc.2016.11.061</w:t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</w:r>
      <w:r w:rsidRPr="002A7435">
        <w:rPr>
          <w:rFonts w:ascii="Raleway" w:hAnsi="Raleway"/>
          <w:color w:val="777777"/>
          <w:sz w:val="23"/>
          <w:szCs w:val="23"/>
          <w:lang w:val="en-US"/>
        </w:rPr>
        <w:br/>
      </w:r>
      <w:hyperlink r:id="rId5" w:anchor="135112" w:history="1">
        <w:r w:rsidRPr="002A7435">
          <w:rPr>
            <w:rStyle w:val="a3"/>
            <w:rFonts w:ascii="Raleway" w:hAnsi="Raleway"/>
            <w:color w:val="6389E1"/>
            <w:sz w:val="23"/>
            <w:szCs w:val="23"/>
            <w:lang w:val="en-US"/>
          </w:rPr>
          <w:t>https://www.sechenov.ru/science_and_innovation/repo/?PAGEN_1=3#135112</w:t>
        </w:r>
      </w:hyperlink>
    </w:p>
    <w:p w:rsidR="00CA4CA6" w:rsidRPr="000657F1" w:rsidRDefault="000657F1" w:rsidP="000657F1">
      <w:pPr>
        <w:rPr>
          <w:lang w:val="en-US"/>
        </w:rPr>
      </w:pPr>
    </w:p>
    <w:sectPr w:rsidR="00CA4CA6" w:rsidRPr="0006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8"/>
    <w:rsid w:val="000657F1"/>
    <w:rsid w:val="000A2C68"/>
    <w:rsid w:val="001B09F9"/>
    <w:rsid w:val="00482A79"/>
    <w:rsid w:val="0049539E"/>
    <w:rsid w:val="009C30B6"/>
    <w:rsid w:val="00AA47A7"/>
    <w:rsid w:val="00CE28D7"/>
    <w:rsid w:val="00F83355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F1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F1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echenov.ru/science_and_innovation/repo/?PAGEN_1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2018-12-06T11:08:00Z</dcterms:created>
  <dcterms:modified xsi:type="dcterms:W3CDTF">2018-12-06T11:08:00Z</dcterms:modified>
</cp:coreProperties>
</file>