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480" w:line="360"/>
        <w:jc w:val="center"/>
      </w:pPr>
      <w:r>
        <w:rPr>
          <w:rFonts w:ascii="Times New Roman" w:cs="Times New Roman" w:eastAsia="Times New Roman" w:hAnsi="Times New Roman"/>
          <w:b/>
          <w:bCs/>
          <w:sz w:val="36"/>
          <w:szCs w:val="36"/>
        </w:rPr>
        <w:t xml:space="preserve">The Sensory Anticipation Model:</w:t>
      </w:r>
    </w:p>
    <w:p>
      <w:pPr>
        <w:spacing w:after="360" w:line="360"/>
        <w:jc w:val="center"/>
      </w:pPr>
      <w:r>
        <w:rPr>
          <w:rFonts w:ascii="Times New Roman" w:cs="Times New Roman" w:eastAsia="Times New Roman" w:hAnsi="Times New Roman"/>
          <w:b/>
          <w:bCs/>
          <w:i/>
          <w:iCs/>
          <w:sz w:val="30"/>
          <w:szCs w:val="30"/>
        </w:rPr>
        <w:t xml:space="preserve">How Visual Design Cues Shape Pre-Taste Expectation in Designer Dessert Design</w:t>
      </w:r>
    </w:p>
    <w:p>
      <w:pPr>
        <w:spacing w:after="360"/>
        <w:jc w:val="center"/>
      </w:pPr>
      <w:r>
        <w:rPr>
          <w:rFonts w:ascii="Times New Roman" w:cs="Times New Roman" w:eastAsia="Times New Roman" w:hAnsi="Times New Roman"/>
          <w:i/>
          <w:iCs/>
          <w:sz w:val="24"/>
          <w:szCs w:val="24"/>
        </w:rPr>
        <w:t xml:space="preserve">Working Paper — Version 1.1</w:t>
      </w:r>
    </w:p>
    <w:p>
      <w:pPr>
        <w:spacing w:after="120"/>
      </w:pPr>
      <w:r>
        <w:rPr>
          <w:sz w:val="24"/>
          <w:szCs w:val="24"/>
        </w:rPr>
        <w:t xml:space="preserve"/>
      </w:r>
    </w:p>
    <w:p>
      <w:pPr>
        <w:spacing w:after="120"/>
      </w:pPr>
      <w:r>
        <w:rPr>
          <w:sz w:val="24"/>
          <w:szCs w:val="24"/>
        </w:rPr>
        <w:t xml:space="preserve"/>
      </w:r>
    </w:p>
    <w:p>
      <w:pPr>
        <w:spacing w:after="80"/>
        <w:jc w:val="center"/>
      </w:pPr>
      <w:r>
        <w:rPr>
          <w:rFonts w:ascii="Times New Roman" w:cs="Times New Roman" w:eastAsia="Times New Roman" w:hAnsi="Times New Roman"/>
          <w:b/>
          <w:bCs/>
          <w:sz w:val="28"/>
          <w:szCs w:val="28"/>
        </w:rPr>
        <w:t xml:space="preserve">Artur Poghosyan</w:t>
      </w:r>
    </w:p>
    <w:p>
      <w:pPr>
        <w:spacing w:after="80"/>
        <w:jc w:val="center"/>
      </w:pPr>
      <w:r>
        <w:rPr>
          <w:rFonts w:ascii="Times New Roman" w:cs="Times New Roman" w:eastAsia="Times New Roman" w:hAnsi="Times New Roman"/>
          <w:sz w:val="24"/>
          <w:szCs w:val="24"/>
        </w:rPr>
        <w:t xml:space="preserve">Independent Researcher</w:t>
      </w:r>
    </w:p>
    <w:p>
      <w:pPr>
        <w:spacing w:after="80"/>
        <w:jc w:val="center"/>
      </w:pPr>
      <w:r>
        <w:rPr>
          <w:rFonts w:ascii="Times New Roman" w:cs="Times New Roman" w:eastAsia="Times New Roman" w:hAnsi="Times New Roman"/>
          <w:sz w:val="24"/>
          <w:szCs w:val="24"/>
        </w:rPr>
        <w:t xml:space="preserve">Founder, Christian Fashion Cafe (Yerevan, Armenia, 2023–2025)</w:t>
      </w:r>
    </w:p>
    <w:p>
      <w:pPr>
        <w:spacing w:after="360"/>
        <w:jc w:val="center"/>
      </w:pPr>
      <w:r>
        <w:rPr>
          <w:rFonts w:ascii="Times New Roman" w:cs="Times New Roman" w:eastAsia="Times New Roman" w:hAnsi="Times New Roman"/>
          <w:sz w:val="24"/>
          <w:szCs w:val="24"/>
        </w:rPr>
        <w:t xml:space="preserve">Currently based in Los Angeles, California, USA</w:t>
      </w:r>
    </w:p>
    <w:p>
      <w:pPr>
        <w:spacing w:after="120"/>
      </w:pPr>
      <w:r>
        <w:rPr>
          <w:sz w:val="24"/>
          <w:szCs w:val="24"/>
        </w:rPr>
        <w:t xml:space="preserve"/>
      </w:r>
    </w:p>
    <w:p>
      <w:pPr>
        <w:spacing w:after="80"/>
        <w:jc w:val="center"/>
      </w:pPr>
      <w:r>
        <w:rPr>
          <w:rFonts w:ascii="Times New Roman" w:cs="Times New Roman" w:eastAsia="Times New Roman" w:hAnsi="Times New Roman"/>
          <w:i/>
          <w:iCs/>
          <w:sz w:val="22"/>
          <w:szCs w:val="22"/>
        </w:rPr>
        <w:t xml:space="preserve">ORCID: 0009-0000-8464-3043  |  https://orcid.org/0009-0000-8464-3043</w:t>
      </w:r>
    </w:p>
    <w:p>
      <w:pPr>
        <w:spacing w:after="80"/>
        <w:jc w:val="center"/>
      </w:pPr>
      <w:r>
        <w:rPr>
          <w:rFonts w:ascii="Times New Roman" w:cs="Times New Roman" w:eastAsia="Times New Roman" w:hAnsi="Times New Roman"/>
          <w:i/>
          <w:iCs/>
          <w:sz w:val="22"/>
          <w:szCs w:val="22"/>
        </w:rPr>
        <w:t xml:space="preserve">Correspondence: arthur.poghossyan@gmail.com</w:t>
      </w:r>
    </w:p>
    <w:p>
      <w:pPr>
        <w:spacing w:after="360"/>
        <w:jc w:val="center"/>
      </w:pPr>
      <w:r>
        <w:rPr>
          <w:rFonts w:ascii="Times New Roman" w:cs="Times New Roman" w:eastAsia="Times New Roman" w:hAnsi="Times New Roman"/>
          <w:i/>
          <w:iCs/>
          <w:sz w:val="22"/>
          <w:szCs w:val="22"/>
        </w:rPr>
        <w:t xml:space="preserve">DOI: 10.5281/zenodo.20003591  |  https://doi.org/10.5281/zenodo.20003591</w:t>
      </w:r>
    </w:p>
    <w:p>
      <w:pPr>
        <w:spacing w:after="120"/>
      </w:pPr>
      <w:r>
        <w:rPr>
          <w:sz w:val="24"/>
          <w:szCs w:val="24"/>
        </w:rPr>
        <w:t xml:space="preserve"/>
      </w:r>
    </w:p>
    <w:p>
      <w:pPr>
        <w:spacing w:after="100"/>
        <w:jc w:val="center"/>
      </w:pPr>
      <w:r>
        <w:rPr>
          <w:rFonts w:ascii="Times New Roman" w:cs="Times New Roman" w:eastAsia="Times New Roman" w:hAnsi="Times New Roman"/>
          <w:b/>
          <w:bCs/>
          <w:sz w:val="22"/>
          <w:szCs w:val="22"/>
        </w:rPr>
        <w:t xml:space="preserve">Preferred citation:</w:t>
      </w:r>
    </w:p>
    <w:p>
      <w:pPr>
        <w:spacing w:after="240" w:line="320"/>
        <w:ind w:left="720" w:right="720"/>
        <w:jc w:val="center"/>
      </w:pPr>
      <w:r>
        <w:rPr>
          <w:rFonts w:ascii="Times New Roman" w:cs="Times New Roman" w:eastAsia="Times New Roman" w:hAnsi="Times New Roman"/>
          <w:sz w:val="22"/>
          <w:szCs w:val="22"/>
        </w:rPr>
        <w:t xml:space="preserve">Poghosyan, A. (2026). The Sensory Anticipation Model: How Visual Design Cues Shape Pre-Taste Expectation in Designer Dessert Design. Zenodo Working Paper v1.1. https://doi.org/10.5281/zenodo.20003591</w:t>
      </w:r>
    </w:p>
    <w:p>
      <w:pPr>
        <w:spacing w:after="120"/>
      </w:pPr>
      <w:r>
        <w:rPr>
          <w:sz w:val="24"/>
          <w:szCs w:val="24"/>
        </w:rPr>
        <w:t xml:space="preserve"/>
      </w:r>
    </w:p>
    <w:p>
      <w:pPr>
        <w:spacing w:after="120"/>
        <w:jc w:val="center"/>
      </w:pPr>
      <w:r>
        <w:rPr>
          <w:rFonts w:ascii="Times New Roman" w:cs="Times New Roman" w:eastAsia="Times New Roman" w:hAnsi="Times New Roman"/>
          <w:i/>
          <w:iCs/>
          <w:sz w:val="20"/>
          <w:szCs w:val="20"/>
        </w:rPr>
        <w:t xml:space="preserve">License: Creative Commons Attribution-NonCommercial-NoDerivatives 4.0 International (CC BY-NC-ND 4.0)</w:t>
      </w:r>
    </w:p>
    <w:p>
      <w:pPr>
        <w:spacing w:after="120"/>
        <w:jc w:val="center"/>
      </w:pPr>
      <w:r>
        <w:rPr>
          <w:rFonts w:ascii="Times New Roman" w:cs="Times New Roman" w:eastAsia="Times New Roman" w:hAnsi="Times New Roman"/>
          <w:i/>
          <w:iCs/>
          <w:sz w:val="20"/>
          <w:szCs w:val="20"/>
        </w:rPr>
        <w:t xml:space="preserve">Conflict of Interest: None declared. Funding: This research received no external funding.</w:t>
      </w:r>
    </w:p>
    <w:p>
      <w:pPr>
        <w:spacing w:after="120"/>
      </w:pPr>
      <w:r>
        <w:rPr>
          <w:sz w:val="24"/>
          <w:szCs w:val="24"/>
        </w:rPr>
        <w:t xml:space="preserve"/>
      </w:r>
    </w:p>
    <w:p>
      <w:pPr>
        <w:spacing w:after="120" w:line="320"/>
        <w:ind w:left="720" w:right="720"/>
        <w:jc w:val="center"/>
      </w:pPr>
      <w:r>
        <w:rPr>
          <w:rFonts w:ascii="Times New Roman" w:cs="Times New Roman" w:eastAsia="Times New Roman" w:hAnsi="Times New Roman"/>
          <w:i/>
          <w:iCs/>
          <w:sz w:val="20"/>
          <w:szCs w:val="20"/>
        </w:rPr>
        <w:t xml:space="preserve">Note on research period. The empirical work documented in this paper was conducted during the author’s tenure at Christian Fashion Cafe, Yerevan, Armenia, between August 2023 and January 2025. Formal manuscript preparation, peer-targeted writing, and preprint deposit were completed in 2026. The twelve-month observational window reported in this paper (October 2023 – October 2024) sits within the broader 18-month commercial operating period of the establishment.</w:t>
      </w:r>
    </w:p>
    <w:p>
      <w:r>
        <w:br w:type="page"/>
      </w:r>
    </w:p>
    <w:p>
      <w:pPr>
        <w:spacing w:after="240" w:before="240"/>
        <w:jc w:val="center"/>
      </w:pPr>
      <w:r>
        <w:rPr>
          <w:rFonts w:ascii="Times New Roman" w:cs="Times New Roman" w:eastAsia="Times New Roman" w:hAnsi="Times New Roman"/>
          <w:b/>
          <w:bCs/>
          <w:sz w:val="28"/>
          <w:szCs w:val="28"/>
        </w:rPr>
        <w:t xml:space="preserve">Abstract</w:t>
      </w:r>
    </w:p>
    <w:p>
      <w:pPr>
        <w:spacing w:after="160" w:line="360"/>
        <w:jc w:val="both"/>
      </w:pPr>
      <w:r>
        <w:rPr>
          <w:rFonts w:ascii="Times New Roman" w:cs="Times New Roman" w:eastAsia="Times New Roman" w:hAnsi="Times New Roman"/>
          <w:b/>
          <w:bCs/>
          <w:i w:val="false"/>
          <w:iCs w:val="false"/>
          <w:sz w:val="24"/>
          <w:szCs w:val="24"/>
        </w:rPr>
        <w:t xml:space="preserve">Background. </w:t>
      </w:r>
      <w:r>
        <w:rPr>
          <w:rFonts w:ascii="Times New Roman" w:cs="Times New Roman" w:eastAsia="Times New Roman" w:hAnsi="Times New Roman"/>
          <w:b w:val="false"/>
          <w:bCs w:val="false"/>
          <w:i w:val="false"/>
          <w:iCs w:val="false"/>
          <w:sz w:val="24"/>
          <w:szCs w:val="24"/>
        </w:rPr>
        <w:t xml:space="preserve">Pastry design is conventionally framed as a culinary discipline in which technical execution and ingredient quality are taken to be the primary determinants of consumer satisfaction. This framing under-theorises the brief but commercially decisive pre-consumption window during which consumers form rapid evaluative judgments about a dessert from visual cues alone, before any tasting occurs. Existing sensory marketing and crossmodal correspondence research establishes that visual cues shape flavor expectation in food generally (Spence, 2015; Piqueras-Fiszman &amp; Spence, 2015; Krishna, 2012); however, high-design pastry has not previously been studied as an integrated sensory marketing system in commercial conditions.</w:t>
      </w:r>
    </w:p>
    <w:p>
      <w:pPr>
        <w:spacing w:after="160" w:line="360"/>
        <w:jc w:val="both"/>
      </w:pPr>
      <w:r>
        <w:rPr>
          <w:rFonts w:ascii="Times New Roman" w:cs="Times New Roman" w:eastAsia="Times New Roman" w:hAnsi="Times New Roman"/>
          <w:b/>
          <w:bCs/>
          <w:i w:val="false"/>
          <w:iCs w:val="false"/>
          <w:sz w:val="24"/>
          <w:szCs w:val="24"/>
        </w:rPr>
        <w:t xml:space="preserve">Objective. </w:t>
      </w:r>
      <w:r>
        <w:rPr>
          <w:rFonts w:ascii="Times New Roman" w:cs="Times New Roman" w:eastAsia="Times New Roman" w:hAnsi="Times New Roman"/>
          <w:b w:val="false"/>
          <w:bCs w:val="false"/>
          <w:i w:val="false"/>
          <w:iCs w:val="false"/>
          <w:sz w:val="24"/>
          <w:szCs w:val="24"/>
        </w:rPr>
        <w:t xml:space="preserve">This paper introduces and develops the Sensory Anticipation Model (SAM), a practitioner-research framework articulating how consumers form expectations about flavor, perceived quality, and emotional satisfaction from a dessert’s visual presentation prior to tasting, and how those pre-taste expectations shape selection, recall, and willingness to pay.</w:t>
      </w:r>
    </w:p>
    <w:p>
      <w:pPr>
        <w:spacing w:after="160" w:line="360"/>
        <w:jc w:val="both"/>
      </w:pPr>
      <w:r>
        <w:rPr>
          <w:rFonts w:ascii="Times New Roman" w:cs="Times New Roman" w:eastAsia="Times New Roman" w:hAnsi="Times New Roman"/>
          <w:b/>
          <w:bCs/>
          <w:i w:val="false"/>
          <w:iCs w:val="false"/>
          <w:sz w:val="24"/>
          <w:szCs w:val="24"/>
        </w:rPr>
        <w:t xml:space="preserve">Methods. </w:t>
      </w:r>
      <w:r>
        <w:rPr>
          <w:rFonts w:ascii="Times New Roman" w:cs="Times New Roman" w:eastAsia="Times New Roman" w:hAnsi="Times New Roman"/>
          <w:b w:val="false"/>
          <w:bCs w:val="false"/>
          <w:i w:val="false"/>
          <w:iCs w:val="false"/>
          <w:sz w:val="24"/>
          <w:szCs w:val="24"/>
        </w:rPr>
        <w:t xml:space="preserve">Findings derive from twelve months of sustained practitioner observation (October 2023 – October 2024) at Christian Fashion Cafe, a concept-driven pastry establishment operating across two locations in Yerevan, Armenia. The observational base comprises approximately 50,000 customer encounters across 25 distinct designer-pastry compositions (15 reaching commercial release; approximately four prototype iterations per final design). Data were triangulated across point-of-sale records, structured staff debriefs and a daily customer comment log, third-party online reviews on TripAdvisor, Yandex, and Google, and photographic documentation cross-referenced with publicly shared customer Instagram posts.</w:t>
      </w:r>
    </w:p>
    <w:p>
      <w:pPr>
        <w:spacing w:after="160" w:line="360"/>
        <w:jc w:val="both"/>
      </w:pPr>
      <w:r>
        <w:rPr>
          <w:rFonts w:ascii="Times New Roman" w:cs="Times New Roman" w:eastAsia="Times New Roman" w:hAnsi="Times New Roman"/>
          <w:b/>
          <w:bCs/>
          <w:i w:val="false"/>
          <w:iCs w:val="false"/>
          <w:sz w:val="24"/>
          <w:szCs w:val="24"/>
        </w:rPr>
        <w:t xml:space="preserve">Findings. </w:t>
      </w:r>
      <w:r>
        <w:rPr>
          <w:rFonts w:ascii="Times New Roman" w:cs="Times New Roman" w:eastAsia="Times New Roman" w:hAnsi="Times New Roman"/>
          <w:b w:val="false"/>
          <w:bCs w:val="false"/>
          <w:i w:val="false"/>
          <w:iCs w:val="false"/>
          <w:sz w:val="24"/>
          <w:szCs w:val="24"/>
        </w:rPr>
        <w:t xml:space="preserve">Five distinct cognitive layers were identified in the pre-taste decision sequence: emotional association, form, color, surface texture, and detail. Color, texture, form-novelty, narrative framing, and color–flavor alignment each independently shaped selection, perceived value, and recall. Subverted expectations — instances in which visual cues promised one flavor profile and the dessert delivered another — produced cognitive friction that depressed satisfaction even when culinary execution was strong. A pattern of constructive tension between novelty and familiarity (the “known within the unknown”) was observed across the most commercially successful designs.</w:t>
      </w:r>
    </w:p>
    <w:p>
      <w:pPr>
        <w:spacing w:after="160" w:line="360"/>
        <w:jc w:val="both"/>
      </w:pPr>
      <w:r>
        <w:rPr>
          <w:rFonts w:ascii="Times New Roman" w:cs="Times New Roman" w:eastAsia="Times New Roman" w:hAnsi="Times New Roman"/>
          <w:b/>
          <w:bCs/>
          <w:i w:val="false"/>
          <w:iCs w:val="false"/>
          <w:sz w:val="24"/>
          <w:szCs w:val="24"/>
        </w:rPr>
        <w:t xml:space="preserve">Implications. </w:t>
      </w:r>
      <w:r>
        <w:rPr>
          <w:rFonts w:ascii="Times New Roman" w:cs="Times New Roman" w:eastAsia="Times New Roman" w:hAnsi="Times New Roman"/>
          <w:b w:val="false"/>
          <w:bCs w:val="false"/>
          <w:i w:val="false"/>
          <w:iCs w:val="false"/>
          <w:sz w:val="24"/>
          <w:szCs w:val="24"/>
        </w:rPr>
        <w:t xml:space="preserve">Pastry design can be productively re-framed as an applied sensory marketing system. SAM offers practitioners a structured vocabulary for engineering pre-taste expectation and aligning visual promises with sensory delivery. The model is offered as theory-generative rather than theory-confirmatory and invites controlled experimental validation in adjacent settings.</w:t>
      </w:r>
    </w:p>
    <w:p>
      <w:pPr>
        <w:spacing w:after="240" w:line="360"/>
        <w:jc w:val="both"/>
      </w:pPr>
      <w:r>
        <w:rPr>
          <w:rFonts w:ascii="Times New Roman" w:cs="Times New Roman" w:eastAsia="Times New Roman" w:hAnsi="Times New Roman"/>
          <w:b/>
          <w:bCs/>
          <w:i w:val="false"/>
          <w:iCs w:val="false"/>
          <w:sz w:val="24"/>
          <w:szCs w:val="24"/>
        </w:rPr>
        <w:t xml:space="preserve">Keywords: </w:t>
      </w:r>
      <w:r>
        <w:rPr>
          <w:rFonts w:ascii="Times New Roman" w:cs="Times New Roman" w:eastAsia="Times New Roman" w:hAnsi="Times New Roman"/>
          <w:b w:val="false"/>
          <w:bCs w:val="false"/>
          <w:i w:val="false"/>
          <w:iCs w:val="false"/>
          <w:sz w:val="24"/>
          <w:szCs w:val="24"/>
        </w:rPr>
        <w:t xml:space="preserve">sensory marketing; pre-taste expectation; pastry design; food design; consumer behavior; visual perception; multisensory perception; experience design; pastry architecture.</w:t>
      </w:r>
    </w:p>
    <w:p>
      <w:r>
        <w:br w:type="page"/>
      </w:r>
    </w:p>
    <w:p>
      <w:pPr>
        <w:pStyle w:val="Heading1"/>
        <w:spacing w:after="200" w:before="360" w:line="360"/>
      </w:pPr>
      <w:r>
        <w:rPr>
          <w:rFonts w:ascii="Times New Roman" w:cs="Times New Roman" w:eastAsia="Times New Roman" w:hAnsi="Times New Roman"/>
          <w:b/>
          <w:bCs/>
          <w:sz w:val="28"/>
          <w:szCs w:val="28"/>
        </w:rPr>
        <w:t xml:space="preserve">1. Introduction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In contemporary pastry practice, desserts are predominantly evaluated through the lenses of ingredient quality, technical proficiency, and recipe fidelity. Pastry education — in culinary schools, professional masterclasses, and the broader instructional literature — emphasises craft technique: tempering chocolate, stabilising mousse, refining glazes, perfecting biscuit aeration. Less structured attention is given to a distinct and commercially consequential question: what happens in the consumer’s mind in the seconds before any tasting occurs?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Consumers do not encounter desserts neutrally. A dessert presented behind a display case, on a menu, or on a plate is a designed visual stimulus that the brain processes through a sequence of rapid evaluative steps. Within approximately three seconds of visual contact, an observer has typically assigned the object a predicted emotional valence, an expected flavor register, and an inferred quality and price band (Delwiche, 2012; Piqueras-Fiszman &amp; Spence, 2015). These predictions are largely automatic and are formed before the consumer becomes consciously aware of having evaluated the object at all. They then function as the primary determinant of selection, anticipation during eating, and post-consumption satisfaction (Cardello, 1994; Deliza &amp; MacFie, 1996).</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Sensory marketing research has documented in considerable depth the mechanisms by which visual cues influence food perception. Charles Spence and colleagues at the Crossmodal Research Laboratory have produced an extensive literature demonstrating that color, shape, texture, plate, and contextual cues systematically shift perceived flavor intensity, identity, and pleasantness (Spence, 2011, 2015, 2017; Spence et al., 2010; Spence &amp; Piqueras-Fiszman, 2014; Velasco et al., 2016). Krishna (2012) integrates these findings within the broader sensory marketing paradigm; Hultén (2011) develops the multi-sensory brand-experience framework in which products are deliberately engineered for cross-modal coherence.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What this body of literature has not yet addressed is the application of sensory marketing principles to the specific domain of high-design pastry as practised in concept-driven commercial settings. Pastry literature, in turn, has not previously theorised the dessert as an integrated sensory marketing system whose visual layers can be designed for specific behavioral outcomes. The two literatures sit adjacent to one another and the gap between them is the subject of this paper.</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This paper introduces the Sensory Anticipation Model (SAM), a practitioner-research framework developed and tested over twelve months of commercial operation at a concept-driven pastry establishment in Yerevan, Armenia. SAM articulates how consumers form pre-taste expectations from a dessert’s visual presentation, identifies a five-layer cognitive sequence governing those expectations, and offers practitioners a structured vocabulary for designing toward intended emotional and behavioral outcomes. The model is positioned humbly within the existing crossmodal and sensory marketing literatures: it does not claim to displace established theory but rather to extend, integrate, and operationalise existing insight for a previously unstudied applied context.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paper is organised as follows. Section 2 establishes the theoretical background, surveying the sensory marketing, crossmodal correspondence, expectancy, and aesthetic-response literatures from which SAM draws. Section 3 introduces the model proper: its definition, three foundational principles, and its position relative to companion frameworks developed in parallel by the author. Section 4 details the practitioner-research methodology. Section 5 presents findings across the five-layer hierarchy, color, texture, form, narrative, and alignment. Section 6 discusses theoretical and practical implications. Section 7 catalogues limitations and identifies future directions. Section 8 concludes.</w:t>
      </w:r>
    </w:p>
    <w:p>
      <w:pPr>
        <w:pStyle w:val="Heading1"/>
        <w:spacing w:after="200" w:before="360" w:line="360"/>
      </w:pPr>
      <w:r>
        <w:rPr>
          <w:rFonts w:ascii="Times New Roman" w:cs="Times New Roman" w:eastAsia="Times New Roman" w:hAnsi="Times New Roman"/>
          <w:b/>
          <w:bCs/>
          <w:sz w:val="28"/>
          <w:szCs w:val="28"/>
        </w:rPr>
        <w:t xml:space="preserve">2. Theoretical Background</w:t>
      </w:r>
    </w:p>
    <w:p>
      <w:pPr>
        <w:pStyle w:val="Heading2"/>
        <w:spacing w:after="160" w:before="280" w:line="360"/>
      </w:pPr>
      <w:r>
        <w:rPr>
          <w:rFonts w:ascii="Times New Roman" w:cs="Times New Roman" w:eastAsia="Times New Roman" w:hAnsi="Times New Roman"/>
          <w:b/>
          <w:bCs/>
          <w:sz w:val="26"/>
          <w:szCs w:val="26"/>
        </w:rPr>
        <w:t xml:space="preserve">2.1 Sensory marketing as a discipline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Sensory marketing emerged as a distinct sub-field of consumer research in response to a recognition that purchase decisions are governed not only by reasoned product evaluation but by the multimodal sensory experience of the product itself. Krishna (2012) defines sensory marketing as marketing that engages consumers’ senses and affects their perception, judgment, and behavior; she argues that sensory cues operate largely below conscious awareness and produce systematic effects on inference, memory, and choice. Hultén (2011) extends this account into the brand-experience paradigm, framing multi-sensory coherence as the central deliverable of contemporary brand design. Schifferstein (2006) provides empirical grounding for the relative weight of sensory modalities across product categories, finding that vision generally dominates in initial product encounter while other modalities gain weight during use.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Within food and beverage specifically, sensory marketing intersects with sensory science as practised in the food research community (Lawless &amp; Heymann, 2010). The two literatures use partially overlapping methods but maintain distinct goals: sensory science aims at the descriptive characterisation of perception, sensory marketing at the strategic design of perception in service of commercial outcomes. SAM, as introduced in Section 3, draws on both traditions and seeks to operationalise their joint insight for the under-studied domain of high-design pastry.</w:t>
      </w:r>
    </w:p>
    <w:p>
      <w:pPr>
        <w:pStyle w:val="Heading2"/>
        <w:spacing w:after="160" w:before="280" w:line="360"/>
      </w:pPr>
      <w:r>
        <w:rPr>
          <w:rFonts w:ascii="Times New Roman" w:cs="Times New Roman" w:eastAsia="Times New Roman" w:hAnsi="Times New Roman"/>
          <w:b/>
          <w:bCs/>
          <w:sz w:val="26"/>
          <w:szCs w:val="26"/>
        </w:rPr>
        <w:t xml:space="preserve">2.2 Visual cues and food expectation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consistent finding across the food perception literature is that visual cues are the dominant determinant of expectation in initial food encounter. Delwiche (2012) summarises the position succinctly in the title of her review — “you eat with your eyes first” — and documents the systematic ways in which visual presentation shapes expected and experienced flavor. Wadhera and Capaldi-Phillips (2014) review evidence that visual cues alone, prior to ingestion, modulate acceptance, consumption, and reported pleasantness across a wide range of foods.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At the level of mechanism, two distinct effects operate simultaneously. First, visual cues activate associative memory: the consumer connects the visual stimulus to prior experiences with similar-looking foods and forms predictions on that basis (Cardello, 1994; Yeomans, Chambers, Blumenthal, &amp; Blake, 2008). Second, visual cues activate evaluative inference: the consumer infers quality, price, and craftsmanship from visual signals interpreted against cultural conventions for what those signals mean (Hagtvedt &amp; Patrick, 2008; Townsend &amp; Sood, 2012). The two effects are mutually reinforcing and typically converge on a single predicted experience.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Where the predicted experience matches the actual experience, cognitive consistency is preserved and satisfaction is enhanced (Lee, Frederick, &amp; Ariely, 2006). Where the predicted and actual experience diverge, expectation disconfirmation produces measurable reductions in pleasantness ratings even when the actual experience is, on objective measures, of high quality (Hoegg &amp; Alba, 2007). This finding is foundational to SAM and is returned to in Section 3 and Section 5.6.</w:t>
      </w:r>
    </w:p>
    <w:p>
      <w:pPr>
        <w:pStyle w:val="Heading2"/>
        <w:spacing w:after="160" w:before="280" w:line="360"/>
      </w:pPr>
      <w:r>
        <w:rPr>
          <w:rFonts w:ascii="Times New Roman" w:cs="Times New Roman" w:eastAsia="Times New Roman" w:hAnsi="Times New Roman"/>
          <w:b/>
          <w:bCs/>
          <w:sz w:val="26"/>
          <w:szCs w:val="26"/>
        </w:rPr>
        <w:t xml:space="preserve">2.3 Color and the chemical senses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relationship between color and flavor perception is among the most thoroughly documented in the crossmodal literature. Spence (2015) reviews evidence that color shifts perceived flavor identity, intensity, and pleasantness across foods and beverages; Spence, Levitan, Shankar, and Zampini (2010) provide a synthesis of experimental work demonstrating that the same chemical stimulus is reliably perceived as a different flavor when its color is changed. Levitan, Zampini, Li, and Spence (2008) document this effect specifically for sugar-coated chocolates, where color cues produce systematic biases in flavor identification.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Tu, Yang, and Ma (2015) extend this finding into the realm of plating and serveware: spiciness perception in food shifts measurably with the color of the plate on which it is served. Piqueras-Fiszman and Spence (2012) make a parallel argument for hot beverages, where cup color shifts perceived flavor and intensity. Together, these findings establish that color is not a peripheral aesthetic variable in food perception but a primary input into the flavor experience itself.</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second strand of work investigates the bases for these effects. Where do color–flavor associations come from? The dominant explanation is statistical learning across a lifetime of food exposures: the consumer’s brain has accumulated a probabilistic mapping between colors and the flavors of objects bearing those colors, and applies that mapping to novel objects on first encounter (Spence, 2011). Cultures with different food landscapes therefore produce somewhat different color–flavor mappings, while a substantial common core (red–berry, brown–chocolate, pink–rose) appears robust across cultures.</w:t>
      </w:r>
    </w:p>
    <w:p>
      <w:pPr>
        <w:pStyle w:val="Heading2"/>
        <w:spacing w:after="160" w:before="280" w:line="360"/>
      </w:pPr>
      <w:r>
        <w:rPr>
          <w:rFonts w:ascii="Times New Roman" w:cs="Times New Roman" w:eastAsia="Times New Roman" w:hAnsi="Times New Roman"/>
          <w:b/>
          <w:bCs/>
          <w:sz w:val="26"/>
          <w:szCs w:val="26"/>
        </w:rPr>
        <w:t xml:space="preserve">2.4 Crossmodal correspondences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Beyond color–flavor mapping specifically, the broader crossmodal correspondence literature documents non-arbitrary associations between sensory modalities. Spence (2011) provides a tutorial review identifying associations between auditory pitch and visual brightness, between shape angularity and taste profile, between weight and perceived quality, and many others. Velasco, Woods, Petit, Cheok, and Spence (2016) extend this work into product packaging, demonstrating that the shape of a package shifts the perceived flavor of its contents. These crossmodal effects are typically robust, replicable, and operate below the threshold of conscious awareness.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For the present paper, two crossmodal channels are particularly relevant. Form–flavor associations — the systematic mapping between geometric shapes and taste profiles (rounded shapes evoking sweetness, angular shapes evoking bitterness or acidity) — inform Section 5.4 on the perception of dessert silhouette. Texture–quality associations — matte surfaces evoking craftsmanship and intimacy, glossy surfaces evoking precision and modernity — inform Section 5.3 on surface engineering as visual communication.</w:t>
      </w:r>
    </w:p>
    <w:p>
      <w:pPr>
        <w:pStyle w:val="Heading2"/>
        <w:spacing w:after="160" w:before="280" w:line="360"/>
      </w:pPr>
      <w:r>
        <w:rPr>
          <w:rFonts w:ascii="Times New Roman" w:cs="Times New Roman" w:eastAsia="Times New Roman" w:hAnsi="Times New Roman"/>
          <w:b/>
          <w:bCs/>
          <w:sz w:val="26"/>
          <w:szCs w:val="26"/>
        </w:rPr>
        <w:t xml:space="preserve">2.5 Cognitive expectancy and disconfirmation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third theoretical strand drawn upon here is the consumer-behavior literature on expectancy and disconfirmation. Cardello (1994) develops the foundational account: consumer evaluation of food proceeds through a cycle of expectation formation, sensory experience, and confirmation or disconfirmation, with the latter producing systematic shifts in reported satisfaction. Deliza and MacFie (1996) extend this framework specifically to the role of external cues in expectation formation, showing that packaging and presentation reliably generate flavor expectations independent of the food itself. Yeomans et al. (2008) demonstrate the effect with deliberately mismatched cue-food pairings, finding that strong disconfirmation can produce reduced acceptance even of foods that are objectively well-prepared.</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particularly instructive demonstration comes from Lee, Frederick, and Ariely (2006), who show that the order in which expectations and tastings are presented systematically alters preference. When consumers learn the contents of a dish before tasting, expectations shape the experience; when they learn after, the experience is more weakly conditioned by expectation. This finding underlines the practical importance of the pre-taste window: it is the window in which expectation is formed and against which subsequent experience is judged.</w:t>
      </w:r>
    </w:p>
    <w:p>
      <w:pPr>
        <w:pStyle w:val="Heading2"/>
        <w:spacing w:after="160" w:before="280" w:line="360"/>
      </w:pPr>
      <w:r>
        <w:rPr>
          <w:rFonts w:ascii="Times New Roman" w:cs="Times New Roman" w:eastAsia="Times New Roman" w:hAnsi="Times New Roman"/>
          <w:b/>
          <w:bCs/>
          <w:sz w:val="26"/>
          <w:szCs w:val="26"/>
        </w:rPr>
        <w:t xml:space="preserve">2.6 Aesthetic response and product design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Outside the food-specific literature, work on aesthetic response in product design provides additional relevant theory. Norman (2004) frames product evaluation as occurring across visceral, behavioral, and reflective levels: the visceral is the immediate emotional response to appearance, the behavioral is the response to use, and the reflective is the response to ownership and identification. SAM’s five-layer hierarchy maps recognisably onto Norman’s visceral level, decomposed into finer cognitive substages.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Bloch (1995) develops the influential account of consumer response to product design, identifying form, the buyer-related context, and the broader design environment as joint determinants of evaluative response. Crilly, Moultrie, and Clarkson (2004) refine this picture for the visual domain, distinguishing aesthetic, semantic, and symbolic responses to product appearance. Hekkert (2006) articulates the principles of aesthetic pleasure in design, including the role of unity-in-variety — the simultaneous presence of order and surprise — in producing aesthetic engagement. Berlyne’s (1971) earlier work on novelty and familiarity provides the experimental basis: aesthetic response is maximised at intermediate levels of novelty, where the unfamiliar is anchored by the recognisable. This finding is empirically central to the present paper and is developed in Section 5.4.</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Reber, Schwarz, and Winkielman (2004) add a further mechanism: processing fluency. Stimuli that are easier to process produce more positive evaluative responses, with implications for how visual cues function as quality signals. Where a dessert’s visual layers are coherent and read fluently, the processing-fluency literature predicts higher evaluative responses than where the visual layers conflict or strain interpretation.</w:t>
      </w:r>
    </w:p>
    <w:p>
      <w:pPr>
        <w:pStyle w:val="Heading2"/>
        <w:spacing w:after="160" w:before="280" w:line="360"/>
      </w:pPr>
      <w:r>
        <w:rPr>
          <w:rFonts w:ascii="Times New Roman" w:cs="Times New Roman" w:eastAsia="Times New Roman" w:hAnsi="Times New Roman"/>
          <w:b/>
          <w:bCs/>
          <w:sz w:val="26"/>
          <w:szCs w:val="26"/>
        </w:rPr>
        <w:t xml:space="preserve">2.7 The gap addressed by this study</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literatures surveyed above are individually well developed but have not previously been integrated and applied to the domain of high-design pastry produced and sold in concept-driven commercial settings. The crossmodal and sensory marketing literatures are largely laboratory-based; the existing pastry literature is largely technical and craft-oriented. Pastry produced for explicit emotional and brand-narrative outcomes — desserts engineered as designed objects rather than as recipe outputs — has remained outside the empirical scope of both traditions.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SAM is offered as a contribution to this gap. It is grounded in the established findings of crossmodal research, expectancy theory, and aesthetic-response design, and it operationalises that grounding for an applied domain in which expectation engineering is commercially central but has been largely tacit. The model’s claim to originality lies in this integration and operationalisation, not in any displacement of the underlying scientific literature.</w:t>
      </w:r>
    </w:p>
    <w:p>
      <w:pPr>
        <w:pStyle w:val="Heading1"/>
        <w:spacing w:after="200" w:before="360" w:line="360"/>
      </w:pPr>
      <w:r>
        <w:rPr>
          <w:rFonts w:ascii="Times New Roman" w:cs="Times New Roman" w:eastAsia="Times New Roman" w:hAnsi="Times New Roman"/>
          <w:b/>
          <w:bCs/>
          <w:sz w:val="28"/>
          <w:szCs w:val="28"/>
        </w:rPr>
        <w:t xml:space="preserve">3. The Sensory Anticipation Model</w:t>
      </w:r>
    </w:p>
    <w:p>
      <w:pPr>
        <w:pStyle w:val="Heading2"/>
        <w:spacing w:after="160" w:before="280" w:line="360"/>
      </w:pPr>
      <w:r>
        <w:rPr>
          <w:rFonts w:ascii="Times New Roman" w:cs="Times New Roman" w:eastAsia="Times New Roman" w:hAnsi="Times New Roman"/>
          <w:b/>
          <w:bCs/>
          <w:sz w:val="26"/>
          <w:szCs w:val="26"/>
        </w:rPr>
        <w:t xml:space="preserve">3.1 Definition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Sensory Anticipation Model (SAM) is defined as follows:</w:t>
      </w:r>
    </w:p>
    <w:p>
      <w:pPr>
        <w:spacing w:after="200" w:line="360"/>
        <w:ind w:left="720" w:right="720"/>
        <w:jc w:val="both"/>
      </w:pPr>
      <w:r>
        <w:rPr>
          <w:rFonts w:ascii="Times New Roman" w:cs="Times New Roman" w:eastAsia="Times New Roman" w:hAnsi="Times New Roman"/>
          <w:i/>
          <w:iCs/>
          <w:sz w:val="24"/>
          <w:szCs w:val="24"/>
        </w:rPr>
        <w:t xml:space="preserve">SAM is a structural and behavioral framework describing the process by which consumers, on initial visual encounter with a dessert, form predictive expectations about its flavor, perceived quality, emotional register, and price band, and through which those pre-taste expectations subsequently govern selection, anticipated and experienced satisfaction, recall, and willingness to repurchase.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SAM treats the pre-taste expectation — not the dessert itself — as the primary unit of design. The dessert is the stimulus; the expectation is the engineered outcome. This shift in unit-of-analysis is the model’s central conceptual move and is consequential for how the design process is then organised (see Section 6).</w:t>
      </w:r>
    </w:p>
    <w:p>
      <w:pPr>
        <w:pStyle w:val="Heading2"/>
        <w:spacing w:after="160" w:before="280" w:line="360"/>
      </w:pPr>
      <w:r>
        <w:rPr>
          <w:rFonts w:ascii="Times New Roman" w:cs="Times New Roman" w:eastAsia="Times New Roman" w:hAnsi="Times New Roman"/>
          <w:b/>
          <w:bCs/>
          <w:sz w:val="26"/>
          <w:szCs w:val="26"/>
        </w:rPr>
        <w:t xml:space="preserve">3.2 Three foundational principles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SAM rests on three interlocking principles, each consistent with, and grounded in, the existing literature surveyed in Section 2.</w:t>
      </w:r>
    </w:p>
    <w:p>
      <w:pPr>
        <w:spacing w:after="120" w:line="360"/>
        <w:ind w:firstLine="360"/>
        <w:jc w:val="both"/>
      </w:pPr>
      <w:r>
        <w:rPr>
          <w:rFonts w:ascii="Times New Roman" w:cs="Times New Roman" w:eastAsia="Times New Roman" w:hAnsi="Times New Roman"/>
          <w:b/>
          <w:bCs/>
          <w:i w:val="false"/>
          <w:iCs w:val="false"/>
          <w:sz w:val="24"/>
          <w:szCs w:val="24"/>
        </w:rPr>
        <w:t xml:space="preserve">Principle 1: Expectation precedes experience. </w:t>
      </w:r>
      <w:r>
        <w:rPr>
          <w:rFonts w:ascii="Times New Roman" w:cs="Times New Roman" w:eastAsia="Times New Roman" w:hAnsi="Times New Roman"/>
          <w:b w:val="false"/>
          <w:bCs w:val="false"/>
          <w:i w:val="false"/>
          <w:iCs w:val="false"/>
          <w:sz w:val="24"/>
          <w:szCs w:val="24"/>
        </w:rPr>
        <w:t xml:space="preserve">The consumer’s flavor and quality expectations are formed in the visual encounter, prior to and independent of any actual sensory experience of the food. The expectation is not an annotation on the eventual experience; it is the cognitive frame against which the experience is interpreted. Where expectation and experience converge, satisfaction is enhanced (Lee, Frederick, &amp; Ariely, 2006); where they diverge, satisfaction is depressed (Hoegg &amp; Alba, 2007; Yeomans et al., 2008).</w:t>
      </w:r>
    </w:p>
    <w:p>
      <w:pPr>
        <w:spacing w:after="120" w:line="360"/>
        <w:ind w:firstLine="360"/>
        <w:jc w:val="both"/>
      </w:pPr>
      <w:r>
        <w:rPr>
          <w:rFonts w:ascii="Times New Roman" w:cs="Times New Roman" w:eastAsia="Times New Roman" w:hAnsi="Times New Roman"/>
          <w:b/>
          <w:bCs/>
          <w:i w:val="false"/>
          <w:iCs w:val="false"/>
          <w:sz w:val="24"/>
          <w:szCs w:val="24"/>
        </w:rPr>
        <w:t xml:space="preserve">Principle 2: Visual cues operate as sensory signals, not aesthetic decoration. </w:t>
      </w:r>
      <w:r>
        <w:rPr>
          <w:rFonts w:ascii="Times New Roman" w:cs="Times New Roman" w:eastAsia="Times New Roman" w:hAnsi="Times New Roman"/>
          <w:b w:val="false"/>
          <w:bCs w:val="false"/>
          <w:i w:val="false"/>
          <w:iCs w:val="false"/>
          <w:sz w:val="24"/>
          <w:szCs w:val="24"/>
        </w:rPr>
        <w:t xml:space="preserve">Color, form, texture, and detail are not ornamental choices made after the substantive design work is done. They are the substantive design work, because they are the inputs the brain uses to predict flavor, quality, and value (Delwiche, 2012; Spence, 2015; Wadhera &amp; Capaldi-Phillips, 2014). A change in visual register is a change in the predicted experience.</w:t>
      </w:r>
    </w:p>
    <w:p>
      <w:pPr>
        <w:spacing w:after="120" w:line="360"/>
        <w:ind w:firstLine="360"/>
        <w:jc w:val="both"/>
      </w:pPr>
      <w:r>
        <w:rPr>
          <w:rFonts w:ascii="Times New Roman" w:cs="Times New Roman" w:eastAsia="Times New Roman" w:hAnsi="Times New Roman"/>
          <w:b/>
          <w:bCs/>
          <w:i w:val="false"/>
          <w:iCs w:val="false"/>
          <w:sz w:val="24"/>
          <w:szCs w:val="24"/>
        </w:rPr>
        <w:t xml:space="preserve">Principle 3: Emotional association drives the decision to engage. </w:t>
      </w:r>
      <w:r>
        <w:rPr>
          <w:rFonts w:ascii="Times New Roman" w:cs="Times New Roman" w:eastAsia="Times New Roman" w:hAnsi="Times New Roman"/>
          <w:b w:val="false"/>
          <w:bCs w:val="false"/>
          <w:i w:val="false"/>
          <w:iCs w:val="false"/>
          <w:sz w:val="24"/>
          <w:szCs w:val="24"/>
        </w:rPr>
        <w:t xml:space="preserve">Selection in the display case is governed less by reasoned evaluation than by the rapid emotional valence assigned to the object on first encounter (Norman, 2004; Reber et al., 2004). Consumers choose desserts on the basis of how they expect to feel having engaged with the object, with predicted flavor functioning as one component of that anticipated affective response rather than as the dominant variable.</w:t>
      </w:r>
    </w:p>
    <w:p>
      <w:pPr>
        <w:pStyle w:val="Heading2"/>
        <w:spacing w:after="160" w:before="280" w:line="360"/>
      </w:pPr>
      <w:r>
        <w:rPr>
          <w:rFonts w:ascii="Times New Roman" w:cs="Times New Roman" w:eastAsia="Times New Roman" w:hAnsi="Times New Roman"/>
          <w:b/>
          <w:bCs/>
          <w:sz w:val="26"/>
          <w:szCs w:val="26"/>
        </w:rPr>
        <w:t xml:space="preserve">3.3 Position relative to the existing literature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SAM does not displace the crossmodal correspondence literature, the expectancy-disconfirmation literature, or the aesthetic-response design literature. It draws on and integrates all three. Its specific contributions are: (a) the articulation of pre-taste expectation as a designable unit, (b) the operationalisation of crossmodal and expectancy findings for an applied domain (high-design pastry) in which they had not been systematically tested, (c) the identification of a five-layer cognitive hierarchy that organises the visual-encounter process at finer resolution than Norman’s (2004) visceral category, and (d) the development of an alignment principle (Section 5.6) that translates expectancy-disconfirmation theory into a working design rule.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model is presented as theory-generative. It emerges from sustained practitioner observation in a single commercial setting and is offered as a framework that practitioners can apply, sensory researchers can test, and food-design educators can teach. The author actively invites controlled experimental validation in adjacent contexts to refine, extend, or in some respects revise the model’s specific claims.</w:t>
      </w:r>
    </w:p>
    <w:p>
      <w:pPr>
        <w:pStyle w:val="Heading2"/>
        <w:spacing w:after="160" w:before="280" w:line="360"/>
      </w:pPr>
      <w:r>
        <w:rPr>
          <w:rFonts w:ascii="Times New Roman" w:cs="Times New Roman" w:eastAsia="Times New Roman" w:hAnsi="Times New Roman"/>
          <w:b/>
          <w:bCs/>
          <w:sz w:val="26"/>
          <w:szCs w:val="26"/>
        </w:rPr>
        <w:t xml:space="preserve">3.4 Companion frameworks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SAM is one of four interlocking frameworks developed in parallel by the present author. The companion frameworks address adjacent dimensions of the same applied domain: Emotion-Driven Pastry Architecture (Poghosyan, in preparation [a]) provides a five-phase methodology for translating non-culinary references into dessert form; Dessert Structural Systems Theory (Poghosyan, in preparation [b]) treats desserts as time-sensitive engineered structural composites; the Edible Color Translation Method (Poghosyan, in preparation [c]) addresses material-color coupling and color-flavor coupling as engineering problems. SAM functions as the consumer-behavior foundation for the integrated programme: it specifies what is being designed for. The companion frameworks specify how the design is then produced.</w:t>
      </w:r>
    </w:p>
    <w:p>
      <w:pPr>
        <w:pStyle w:val="Heading1"/>
        <w:spacing w:after="200" w:before="360" w:line="360"/>
      </w:pPr>
      <w:r>
        <w:rPr>
          <w:rFonts w:ascii="Times New Roman" w:cs="Times New Roman" w:eastAsia="Times New Roman" w:hAnsi="Times New Roman"/>
          <w:b/>
          <w:bCs/>
          <w:sz w:val="28"/>
          <w:szCs w:val="28"/>
        </w:rPr>
        <w:t xml:space="preserve">4. Methodology</w:t>
      </w:r>
    </w:p>
    <w:p>
      <w:pPr>
        <w:pStyle w:val="Heading2"/>
        <w:spacing w:after="160" w:before="280" w:line="360"/>
      </w:pPr>
      <w:r>
        <w:rPr>
          <w:rFonts w:ascii="Times New Roman" w:cs="Times New Roman" w:eastAsia="Times New Roman" w:hAnsi="Times New Roman"/>
          <w:b/>
          <w:bCs/>
          <w:sz w:val="26"/>
          <w:szCs w:val="26"/>
        </w:rPr>
        <w:t xml:space="preserve">4.1 Research approach</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This study employs a practitioner-research methodology grounded in the design research tradition (Schön, 1983; Frayling, 1993; Cross, 2007). Practitioner research, also called reflective practice or research-through-design, is a recognised mode of knowledge production in which the researcher’s embedded position within a practical commercial setting is treated as a methodological asset rather than a confound. The mode is well established in design, education, and clinical fields, and is particularly suited to inquiry into design phenomena that resist isolation in a laboratory.</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author’s dual role as both designer and observer was deliberately constructed to permit close observation of the design-encounter cycle within an authentic commercial environment. Potential observer bias was managed through systematic triangulation across multiple independent data sources, described in Section 4.5. Findings are presented as pattern-level observations grounded in this triangulated evidence base, consistent with established design research conventions (Cross, 2007). The work is offered as theory-generative and invites controlled experimental validation in subsequent studies.</w:t>
      </w:r>
    </w:p>
    <w:p>
      <w:pPr>
        <w:pStyle w:val="Heading2"/>
        <w:spacing w:after="160" w:before="280" w:line="360"/>
      </w:pPr>
      <w:r>
        <w:rPr>
          <w:rFonts w:ascii="Times New Roman" w:cs="Times New Roman" w:eastAsia="Times New Roman" w:hAnsi="Times New Roman"/>
          <w:b/>
          <w:bCs/>
          <w:sz w:val="26"/>
          <w:szCs w:val="26"/>
        </w:rPr>
        <w:t xml:space="preserve">4.2 Setting and operating period</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Empirical observation took place at Christian Fashion Cafe in Yerevan, Armenia, a concept-driven pastry establishment founded by the present author in August 2023 and operated continuously until January 2025. The establishment was conceived from the outset as an applied research environment: each dessert design was both a commercial product and a controlled prototype against which the model could be tested. The empirical observation reported here covers the twelve-month window from October 2023 through October 2024, during which the methodology developed in this paper was iteratively constructed and tested in commercial conditions; this twelve-month window sits within the broader 18-month operating period of the establishment. The cafe operated across two physical locations during the observation period: the original location operated from August 2023 through January 2024, at which point operations expanded to a larger second location that ran continuously through the close of the observation period and beyond.</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expansion to a second location, mid-way through the observation period, provided a useful natural variation: the same designer-pastry corpus was offered to two partially distinct customer streams under two different physical layouts of display, lighting, and service. Findings reported here are those that held consistently across both locations.</w:t>
      </w:r>
    </w:p>
    <w:p>
      <w:pPr>
        <w:pStyle w:val="Heading2"/>
        <w:spacing w:after="160" w:before="280" w:line="360"/>
      </w:pPr>
      <w:r>
        <w:rPr>
          <w:rFonts w:ascii="Times New Roman" w:cs="Times New Roman" w:eastAsia="Times New Roman" w:hAnsi="Times New Roman"/>
          <w:b/>
          <w:bCs/>
          <w:sz w:val="26"/>
          <w:szCs w:val="26"/>
        </w:rPr>
        <w:t xml:space="preserve">4.3 Participants and observation base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total observation base for this study comprises approximately 50,000 customer encounters across the twelve-month period, distributed across walk-in trade and weekend reservation. The customer demographic profile, established through point-of-sale records, reservation data, and staff observation, was approximately as follows: 75 percent female (predominantly aged 20–35) and 25 percent male (predominantly aged 27–40), with a smaller cohort of younger customers (aged 16–20) attending principally for aesthetic engagement and social-media documentation. Approximately 85 percent of customers were local residents of Yerevan; the remaining 15 percent were visitors from neighbouring regions and abroad, including documented attendance from Moscow, Tbilisi (Georgia), and several European cities. A small number of customers travelled to the cafe specifically to experience the designer pastry programme, including documented instances from Moscow and Spain.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Average transaction value over the period was approximately 4,700 AMD (approximately USD 13 at prevailing exchange rates), comprising the mean across coffee-only transactions and full lunch transactions. A substantial fraction of the customer base were repeat customers; a recognisable subset attended the cafe daily for morning coffee or routine lunch.</w:t>
      </w:r>
    </w:p>
    <w:p>
      <w:pPr>
        <w:pStyle w:val="Heading2"/>
        <w:spacing w:after="160" w:before="280" w:line="360"/>
      </w:pPr>
      <w:r>
        <w:rPr>
          <w:rFonts w:ascii="Times New Roman" w:cs="Times New Roman" w:eastAsia="Times New Roman" w:hAnsi="Times New Roman"/>
          <w:b/>
          <w:bCs/>
          <w:sz w:val="26"/>
          <w:szCs w:val="26"/>
        </w:rPr>
        <w:t xml:space="preserve">4.4 Design corpus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Across the observation period, 25 distinct designer pastry compositions were developed in concept and prototype. Of these, 15 reached the commercial menu and were observed under sales conditions; 10 did not pass the prototype evaluation cycle and were retired before commercial release. Each design that reached the menu had typically passed through approximately four prototype iterations during development, addressing in turn: structural feasibility, flavor development, visual precision, and scalability for service.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Designs were drawn from a deliberately diverse aesthetic source set, including reference to fashion-house design languages (color palettes, silhouette traditions, packaging registers, archival narrative), in line with the cafe’s explicit concept positioning. References to fashion houses were treated as design-cultural inspiration in the long-established manner of design and food-writing literature; no protected names, logos, trademarks, or specific protected design elements were copied or commercially used. Throughout this paper, where individual designs are referenced for illustrative purposes, they are described in terms of their abstracted design properties (color register, silhouette, texture system) rather than by trade-marked references.</w:t>
      </w:r>
    </w:p>
    <w:p>
      <w:pPr>
        <w:pStyle w:val="Heading2"/>
        <w:spacing w:after="160" w:before="280" w:line="360"/>
      </w:pPr>
      <w:r>
        <w:rPr>
          <w:rFonts w:ascii="Times New Roman" w:cs="Times New Roman" w:eastAsia="Times New Roman" w:hAnsi="Times New Roman"/>
          <w:b/>
          <w:bCs/>
          <w:sz w:val="26"/>
          <w:szCs w:val="26"/>
        </w:rPr>
        <w:t xml:space="preserve">4.5 Data instruments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Observation drew on five complementary data sources. First, point-of-sale records produced quantitative time-series of sales velocity, sell-through, transaction value, table-level order composition, and customer return frequency, captured by a restaurant-trade sales tracking system. Second, a daily customer comment log was maintained by trained service staff: waiters routinely asked customers, in conversation, why they had selected a particular dessert and what aspects had drawn them; responses were transcribed in a service-side comment book and reviewed periodically by the author. Third, staff debriefs at end-of-shift consolidated observations across the day. Fourth, third-party online reviews on TripAdvisor, Yandex, and Google were monitored continuously throughout the period and produced an independent stream of customer commentary not filtered by the author or the service team. Fifth, the cafe maintained a photographic archive of display compositions and — with appropriate respect for customer privacy — cross-referenced this archive with publicly shared social-media documentation by visiting customers, principally on Instagram, providing an additional independent record of which designs attracted spontaneous customer-led documentation.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Triangulation across these five instruments was the principal mechanism by which observer bias was managed. A pattern observable in only one channel was treated as preliminary; patterns observable across three or more channels were treated as reliable. Where customer comments diverged from sales data, the divergence itself was investigated rather than averaged away.</w:t>
      </w:r>
    </w:p>
    <w:p>
      <w:pPr>
        <w:pStyle w:val="Heading2"/>
        <w:spacing w:after="160" w:before="280" w:line="360"/>
      </w:pPr>
      <w:r>
        <w:rPr>
          <w:rFonts w:ascii="Times New Roman" w:cs="Times New Roman" w:eastAsia="Times New Roman" w:hAnsi="Times New Roman"/>
          <w:b/>
          <w:bCs/>
          <w:sz w:val="26"/>
          <w:szCs w:val="26"/>
        </w:rPr>
        <w:t xml:space="preserve">4.6 Analytical procedure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Data were analysed iteratively across the full operating period. The five-layer decision hierarchy reported in Section 5.1 first emerged as a recognisable pattern around month six (approximately June 2024), at which point the author began deliberately designing toward, and observing for, the hierarchy as an explicit framework. Subsequent design cycles tested the framework by varying specific layer inputs (color register, surface finish, silhouette novelty) and observing the resulting changes in customer engagement and conversion. Service staff were informed of the working framework and contributed observations against it; the framework was therefore both an analytical lens and an applied design tool over the second half of the operating period.</w:t>
      </w:r>
    </w:p>
    <w:p>
      <w:pPr>
        <w:pStyle w:val="Heading1"/>
        <w:spacing w:after="200" w:before="360" w:line="360"/>
      </w:pPr>
      <w:r>
        <w:rPr>
          <w:rFonts w:ascii="Times New Roman" w:cs="Times New Roman" w:eastAsia="Times New Roman" w:hAnsi="Times New Roman"/>
          <w:b/>
          <w:bCs/>
          <w:sz w:val="28"/>
          <w:szCs w:val="28"/>
        </w:rPr>
        <w:t xml:space="preserve">5. Findings</w:t>
      </w:r>
    </w:p>
    <w:p>
      <w:pPr>
        <w:pStyle w:val="Heading2"/>
        <w:spacing w:after="160" w:before="280" w:line="360"/>
      </w:pPr>
      <w:r>
        <w:rPr>
          <w:rFonts w:ascii="Times New Roman" w:cs="Times New Roman" w:eastAsia="Times New Roman" w:hAnsi="Times New Roman"/>
          <w:b/>
          <w:bCs/>
          <w:sz w:val="26"/>
          <w:szCs w:val="26"/>
        </w:rPr>
        <w:t xml:space="preserve">5.1 The five-layer decision hierarchy</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Sustained observation across the full operating period supported the identification of a five-layer cognitive hierarchy through which the consumer’s pre-taste evaluation proceeds. The layers occur in temporal sequence within approximately three seconds of visual encounter and operate largely below conscious awareness. Figure 1 represents the hierarchy schematically.</w:t>
      </w:r>
    </w:p>
    <w:p>
      <w:pPr>
        <w:spacing w:after="80" w:before="200"/>
        <w:jc w:val="center"/>
      </w:pPr>
      <w:r>
        <w:drawing>
          <wp:inline distT="0" distB="0" distL="0" distR="0">
            <wp:extent cx="5143500" cy="39052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143500" cy="3905250"/>
                    </a:xfrm>
                    <a:prstGeom prst="rect">
                      <a:avLst/>
                    </a:prstGeom>
                  </pic:spPr>
                </pic:pic>
              </a:graphicData>
            </a:graphic>
          </wp:inline>
        </w:drawing>
      </w:r>
    </w:p>
    <w:p>
      <w:pPr>
        <w:spacing w:after="240" w:before="120" w:line="320"/>
        <w:jc w:val="center"/>
      </w:pPr>
      <w:r>
        <w:rPr>
          <w:rFonts w:ascii="Times New Roman" w:cs="Times New Roman" w:eastAsia="Times New Roman" w:hAnsi="Times New Roman"/>
          <w:i/>
          <w:iCs/>
          <w:sz w:val="22"/>
          <w:szCs w:val="22"/>
        </w:rPr>
        <w:t xml:space="preserve">Figure 1. The five-layer decision hierarchy in pre-taste perception. Layers 1–5 are processed in temporal sequence and progressively narrower scope; the bulk of the selection decision is made in layers 1–3.</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Layer one is emotional association. The visual stimulus is pattern-matched against the consumer’s existing repertoire of emotional references; the object is registered as luxurious, familiar, intimate, polished, ironic, or otherwise. This layer occurs first and is largely automatic. Layer two is form and shape: the silhouette of the object is read against familiar visual memory, and the response — curiosity, comfort, or aversion — is generated against this comparison. Layer three is color, processed as a modifier of the form; flavor prediction begins in earnest at this layer (see Section 5.2). Layer four is texture as visual communication — the surface finish (velvet, mirror glaze, matte, glossy chocolate, crumb) is read prior to physical contact and produces measurable differences in emotional register (see Section 5.3). Layer five is detail and decoration: applied garnishes, embossed lettering, gold leaf, or piped flourishes. By the time the consumer is processing detail, the core decision has typically already been made; details reinforce the prior layers but rarely reverse a decision that those layers do not support.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direct commercial implication follows. Design effort should be allocated in proportion to the decisional weight of each layer: principally to layers one through three, with deliberate but proportionate investment in layer four and the lightest investment in layer five. This is the inverse of conventional pastry-design practice, which typically allocates substantial time to garnish (layer five) and minimal structured attention to emotional register (layer one). The inversion was the single change in design workflow that produced the most consistent improvement in observed performance over the operating period.</w:t>
      </w:r>
    </w:p>
    <w:p>
      <w:pPr>
        <w:pStyle w:val="Heading2"/>
        <w:spacing w:after="160" w:before="280" w:line="360"/>
      </w:pPr>
      <w:r>
        <w:rPr>
          <w:rFonts w:ascii="Times New Roman" w:cs="Times New Roman" w:eastAsia="Times New Roman" w:hAnsi="Times New Roman"/>
          <w:b/>
          <w:bCs/>
          <w:sz w:val="26"/>
          <w:szCs w:val="26"/>
        </w:rPr>
        <w:t xml:space="preserve">5.2 Color as a behavioral signal</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Color performance was observed across 25 designs spanning seven distinct color registers. Sample sizes per register were necessarily small — a concept-driven menu requires that no two desserts occupy precisely the same visual register — and the findings should accordingly be read as patterns observed across a deliberately diverse design corpus rather than as effect-size estimates from controlled exposure. Table 1 summarises the observed performance by register, with the per-register design count and the dominant customer-attributed associations.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400"/>
        <w:gridCol w:w="2680"/>
        <w:gridCol w:w="3280"/>
      </w:tblGrid>
      <w:tr>
        <w:trPr>
          <w:tblHeader/>
        </w:trPr>
        <w:tc>
          <w:tcPr>
            <w:tcW w:type="dxa" w:w="2000"/>
            <w:tcBorders>
              <w:top w:val="single" w:color="888888" w:sz="4"/>
              <w:left w:val="single" w:color="888888" w:sz="4"/>
              <w:bottom w:val="single" w:color="888888" w:sz="4"/>
              <w:right w:val="single" w:color="888888" w:sz="4"/>
            </w:tcBorders>
            <w:shd w:fill="D8DEE9" w:val="clear"/>
            <w:tcMar>
              <w:top w:type="dxa" w:w="100"/>
              <w:left w:type="dxa" w:w="140"/>
              <w:bottom w:type="dxa" w:w="100"/>
              <w:right w:type="dxa" w:w="140"/>
            </w:tcMar>
          </w:tcPr>
          <w:p>
            <w:pPr>
              <w:jc w:val="left"/>
            </w:pPr>
            <w:r>
              <w:rPr>
                <w:rFonts w:ascii="Times New Roman" w:cs="Times New Roman" w:eastAsia="Times New Roman" w:hAnsi="Times New Roman"/>
                <w:b/>
                <w:bCs/>
                <w:sz w:val="22"/>
                <w:szCs w:val="22"/>
              </w:rPr>
              <w:t xml:space="preserve">Color register</w:t>
            </w:r>
          </w:p>
        </w:tc>
        <w:tc>
          <w:tcPr>
            <w:tcW w:type="dxa" w:w="1400"/>
            <w:tcBorders>
              <w:top w:val="single" w:color="888888" w:sz="4"/>
              <w:left w:val="single" w:color="888888" w:sz="4"/>
              <w:bottom w:val="single" w:color="888888" w:sz="4"/>
              <w:right w:val="single" w:color="888888" w:sz="4"/>
            </w:tcBorders>
            <w:shd w:fill="D8DEE9" w:val="clear"/>
            <w:tcMar>
              <w:top w:type="dxa" w:w="100"/>
              <w:left w:type="dxa" w:w="140"/>
              <w:bottom w:type="dxa" w:w="100"/>
              <w:right w:type="dxa" w:w="140"/>
            </w:tcMar>
          </w:tcPr>
          <w:p>
            <w:pPr>
              <w:jc w:val="left"/>
            </w:pPr>
            <w:r>
              <w:rPr>
                <w:rFonts w:ascii="Times New Roman" w:cs="Times New Roman" w:eastAsia="Times New Roman" w:hAnsi="Times New Roman"/>
                <w:b/>
                <w:bCs/>
                <w:sz w:val="22"/>
                <w:szCs w:val="22"/>
              </w:rPr>
              <w:t xml:space="preserve">Designs (n)</w:t>
            </w:r>
          </w:p>
        </w:tc>
        <w:tc>
          <w:tcPr>
            <w:tcW w:type="dxa" w:w="2680"/>
            <w:tcBorders>
              <w:top w:val="single" w:color="888888" w:sz="4"/>
              <w:left w:val="single" w:color="888888" w:sz="4"/>
              <w:bottom w:val="single" w:color="888888" w:sz="4"/>
              <w:right w:val="single" w:color="888888" w:sz="4"/>
            </w:tcBorders>
            <w:shd w:fill="D8DEE9" w:val="clear"/>
            <w:tcMar>
              <w:top w:type="dxa" w:w="100"/>
              <w:left w:type="dxa" w:w="140"/>
              <w:bottom w:type="dxa" w:w="100"/>
              <w:right w:type="dxa" w:w="140"/>
            </w:tcMar>
          </w:tcPr>
          <w:p>
            <w:pPr>
              <w:jc w:val="left"/>
            </w:pPr>
            <w:r>
              <w:rPr>
                <w:rFonts w:ascii="Times New Roman" w:cs="Times New Roman" w:eastAsia="Times New Roman" w:hAnsi="Times New Roman"/>
                <w:b/>
                <w:bCs/>
                <w:sz w:val="22"/>
                <w:szCs w:val="22"/>
              </w:rPr>
              <w:t xml:space="preserve">Observed performance</w:t>
            </w:r>
          </w:p>
        </w:tc>
        <w:tc>
          <w:tcPr>
            <w:tcW w:type="dxa" w:w="3280"/>
            <w:tcBorders>
              <w:top w:val="single" w:color="888888" w:sz="4"/>
              <w:left w:val="single" w:color="888888" w:sz="4"/>
              <w:bottom w:val="single" w:color="888888" w:sz="4"/>
              <w:right w:val="single" w:color="888888" w:sz="4"/>
            </w:tcBorders>
            <w:shd w:fill="D8DEE9" w:val="clear"/>
            <w:tcMar>
              <w:top w:type="dxa" w:w="100"/>
              <w:left w:type="dxa" w:w="140"/>
              <w:bottom w:type="dxa" w:w="100"/>
              <w:right w:type="dxa" w:w="140"/>
            </w:tcMar>
          </w:tcPr>
          <w:p>
            <w:pPr>
              <w:jc w:val="left"/>
            </w:pPr>
            <w:r>
              <w:rPr>
                <w:rFonts w:ascii="Times New Roman" w:cs="Times New Roman" w:eastAsia="Times New Roman" w:hAnsi="Times New Roman"/>
                <w:b/>
                <w:bCs/>
                <w:sz w:val="22"/>
                <w:szCs w:val="22"/>
              </w:rPr>
              <w:t xml:space="preserve">Customer-attributed associations</w:t>
            </w:r>
          </w:p>
        </w:tc>
      </w:tr>
      <w:tr>
        <w:tc>
          <w:tcPr>
            <w:tcW w:type="dxa" w:w="20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Soft pinks</w:t>
            </w:r>
          </w:p>
        </w:tc>
        <w:tc>
          <w:tcPr>
            <w:tcW w:type="dxa" w:w="1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3</w:t>
            </w:r>
          </w:p>
        </w:tc>
        <w:tc>
          <w:tcPr>
            <w:tcW w:type="dxa" w:w="26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Strong; consistent sales velocity</w:t>
            </w:r>
          </w:p>
        </w:tc>
        <w:tc>
          <w:tcPr>
            <w:tcW w:type="dxa" w:w="32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Strawberry, rose, romance, femininity, early summer</w:t>
            </w:r>
          </w:p>
        </w:tc>
      </w:tr>
      <w:tr>
        <w:tc>
          <w:tcPr>
            <w:tcW w:type="dxa" w:w="20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Cream + accent (gold/burgundy/pearl)</w:t>
            </w:r>
          </w:p>
        </w:tc>
        <w:tc>
          <w:tcPr>
            <w:tcW w:type="dxa" w:w="1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2</w:t>
            </w:r>
          </w:p>
        </w:tc>
        <w:tc>
          <w:tcPr>
            <w:tcW w:type="dxa" w:w="26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Strong; high recall and repurchase</w:t>
            </w:r>
          </w:p>
        </w:tc>
        <w:tc>
          <w:tcPr>
            <w:tcW w:type="dxa" w:w="32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Refined, considered, premium, bridal</w:t>
            </w:r>
          </w:p>
        </w:tc>
      </w:tr>
      <w:tr>
        <w:tc>
          <w:tcPr>
            <w:tcW w:type="dxa" w:w="20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Warm caramel / brown</w:t>
            </w:r>
          </w:p>
        </w:tc>
        <w:tc>
          <w:tcPr>
            <w:tcW w:type="dxa" w:w="1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2</w:t>
            </w:r>
          </w:p>
        </w:tc>
        <w:tc>
          <w:tcPr>
            <w:tcW w:type="dxa" w:w="26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Strong; reliable across customer segments</w:t>
            </w:r>
          </w:p>
        </w:tc>
        <w:tc>
          <w:tcPr>
            <w:tcW w:type="dxa" w:w="32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Coffee, chocolate, caramelisation, craftsmanship</w:t>
            </w:r>
          </w:p>
        </w:tc>
      </w:tr>
      <w:tr>
        <w:tc>
          <w:tcPr>
            <w:tcW w:type="dxa" w:w="20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Burgundy / oxblood red</w:t>
            </w:r>
          </w:p>
        </w:tc>
        <w:tc>
          <w:tcPr>
            <w:tcW w:type="dxa" w:w="1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3</w:t>
            </w:r>
          </w:p>
        </w:tc>
        <w:tc>
          <w:tcPr>
            <w:tcW w:type="dxa" w:w="26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Strong; highest perceived price</w:t>
            </w:r>
          </w:p>
        </w:tc>
        <w:tc>
          <w:tcPr>
            <w:tcW w:type="dxa" w:w="32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Wine, dark fruit, archival luxury, weight</w:t>
            </w:r>
          </w:p>
        </w:tc>
      </w:tr>
      <w:tr>
        <w:tc>
          <w:tcPr>
            <w:tcW w:type="dxa" w:w="20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Black (saturated)</w:t>
            </w:r>
          </w:p>
        </w:tc>
        <w:tc>
          <w:tcPr>
            <w:tcW w:type="dxa" w:w="1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1</w:t>
            </w:r>
          </w:p>
        </w:tc>
        <w:tc>
          <w:tcPr>
            <w:tcW w:type="dxa" w:w="26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High visual attention; low conversion to sale</w:t>
            </w:r>
          </w:p>
        </w:tc>
        <w:tc>
          <w:tcPr>
            <w:tcW w:type="dxa" w:w="32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Aggressive, gothic, polarising; no flavor anchor</w:t>
            </w:r>
          </w:p>
        </w:tc>
      </w:tr>
      <w:tr>
        <w:tc>
          <w:tcPr>
            <w:tcW w:type="dxa" w:w="20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Blue</w:t>
            </w:r>
          </w:p>
        </w:tc>
        <w:tc>
          <w:tcPr>
            <w:tcW w:type="dxa" w:w="1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2</w:t>
            </w:r>
          </w:p>
        </w:tc>
        <w:tc>
          <w:tcPr>
            <w:tcW w:type="dxa" w:w="26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Weak; both designs underperformed</w:t>
            </w:r>
          </w:p>
        </w:tc>
        <w:tc>
          <w:tcPr>
            <w:tcW w:type="dxa" w:w="32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No spontaneous flavor association volunteered</w:t>
            </w:r>
          </w:p>
        </w:tc>
      </w:tr>
      <w:tr>
        <w:tc>
          <w:tcPr>
            <w:tcW w:type="dxa" w:w="20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Flat cream (no accent)</w:t>
            </w:r>
          </w:p>
        </w:tc>
        <w:tc>
          <w:tcPr>
            <w:tcW w:type="dxa" w:w="1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2</w:t>
            </w:r>
          </w:p>
        </w:tc>
        <w:tc>
          <w:tcPr>
            <w:tcW w:type="dxa" w:w="26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Weak; perceived as visually incomplete</w:t>
            </w:r>
          </w:p>
        </w:tc>
        <w:tc>
          <w:tcPr>
            <w:tcW w:type="dxa" w:w="32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Under-finished, plain, awaiting completion</w:t>
            </w:r>
          </w:p>
        </w:tc>
      </w:tr>
    </w:tbl>
    <w:p>
      <w:pPr>
        <w:spacing w:after="240" w:before="120" w:line="320"/>
        <w:jc w:val="center"/>
      </w:pPr>
      <w:r>
        <w:rPr>
          <w:rFonts w:ascii="Times New Roman" w:cs="Times New Roman" w:eastAsia="Times New Roman" w:hAnsi="Times New Roman"/>
          <w:i/>
          <w:iCs/>
          <w:sz w:val="22"/>
          <w:szCs w:val="22"/>
        </w:rPr>
        <w:t xml:space="preserve">Table 1. Observed performance by color register, with per-register design count and dominant customer-attributed associations. “Designs (n)” refers to the count of distinct compositions produced and observed in each register across the twelve-month observation period.</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Several patterns held consistently across the corpus. Dark, muted, and warm tones (burgundy, deep brown, cream-with-accent) were associated with luxury, depth, and a higher perceived price band; in customer comments these registers attracted explicit phrasing of premium quality, with terms such as “elegant,” “expensive,” and “serious” recurring. Soft pinks performed reliably across customer segments and were anchored by accessible flavor associations (strawberry, rose) that the consumer brain reads spontaneously. Warm caramels and deep browns were similarly reliable and aligned cleanly with the underlying flavor base of pastry itself.</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Three registers underperformed. Pure black, although it produced a high level of visual attention and frequent comment, did not convert reliably to sale; the register was experienced as visually striking but emotionally polarising and lacked spontaneous flavor anchoring. Blue underperformed across both designs in the corpus; customers in our observation rarely volunteered any spontaneous flavor association for blue desserts, consistent with the broader observation that blue lacks a rich repertoire of food-associative memory in most consumer populations. Flat cream tones — cream registers without contrasting accent — read as visually incomplete and appeared to be interpreted as desserts that had not yet received their final surface treatment.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within-design comparison provides further evidence on the behavioral specificity of color. A single dress-silhouette dessert was produced in two color variants, white and blue, on different release cycles; the white variant outperformed the blue variant on sales velocity by a clear margin under otherwise comparable conditions. While the comparison is not a controlled randomised exposure, the convergence of pattern with the broader register-level observation reinforces the working interpretation that the underperformance of blue is a register-level rather than design-specific effect.</w:t>
      </w:r>
    </w:p>
    <w:p>
      <w:pPr>
        <w:pStyle w:val="Heading2"/>
        <w:spacing w:after="160" w:before="280" w:line="360"/>
      </w:pPr>
      <w:r>
        <w:rPr>
          <w:rFonts w:ascii="Times New Roman" w:cs="Times New Roman" w:eastAsia="Times New Roman" w:hAnsi="Times New Roman"/>
          <w:b/>
          <w:bCs/>
          <w:sz w:val="26"/>
          <w:szCs w:val="26"/>
        </w:rPr>
        <w:t xml:space="preserve">5.3 Texture as visual communication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Surface texture was found to communicate substantive information about quality and emotional register prior to any physical contact with the dessert. Three surface systems dominated the cafe’s output: velvet spray (atomised cocoa butter and chocolate), mirror glaze (gelatin- or pectin-based reflective glaze), and tempered chocolate coatings. A fourth category, biscuit and crumb texture, appeared as a structural and decorative element on a subset of designs.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Velvet finishes consistently produced associations of softness, intimacy, and craftsmanship. Customer comments on velvet-finished pieces emphasised tactile and emotional qualities (“it looks soft,” “it feels expensive,” “this is the most beautiful one”). Tempered chocolate coatings produced associations of richness and density, anchored to the consumer’s pre-existing chocolate associations.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Mirror glaze produced a distinct and somewhat ambivalent register. Glossy mirror finishes were perceived as precise and modern but, in a non-trivial fraction of customer comments, also as artificial or industrial; emotional warmth was reduced relative to matte finishes. The tradeoff is consequential: mirror glaze is a technically demanding finish that the producer associates with high effort and high craft, but the consumer signal it emits is not always proportional to the producer’s investment. Findings here align with broader patterns reported in the design-aesthetics literature on processing fluency and surface preference (Reber et al., 2004), where high gloss can read as commercial rather than craft-oriented in some interpretive contexts.</w:t>
      </w:r>
    </w:p>
    <w:p>
      <w:pPr>
        <w:pStyle w:val="Heading2"/>
        <w:spacing w:after="160" w:before="280" w:line="360"/>
      </w:pPr>
      <w:r>
        <w:rPr>
          <w:rFonts w:ascii="Times New Roman" w:cs="Times New Roman" w:eastAsia="Times New Roman" w:hAnsi="Times New Roman"/>
          <w:b/>
          <w:bCs/>
          <w:sz w:val="26"/>
          <w:szCs w:val="26"/>
        </w:rPr>
        <w:t xml:space="preserve">5.4 Form, novelty, and the known within the unknown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Form was identified as the second-strongest input into pre-taste expectation, processed immediately after emotional association. The most commercially successful designs in the corpus shared a specific structural property: they presented an unfamiliar overall silhouette while embedding within it a recognisable referent. Customers responded to such pieces with a characteristic sequence of curiosity, recognition, emotional engagement, and selection.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pattern is consistent with Berlyne’s (1971) finding that aesthetic engagement is maximised at intermediate levels of novelty, where the unfamiliar is anchored by the recognisable, and with Hekkert’s (2006) principle of unity-in-variety. The present author adopts the working term “known within the unknown” to describe the design rule that follows from these observations. Pure novelty without anchor produced curiosity but not commitment; pure familiarity without novelty produced indifference. The commercially successful zone sat in the tension between the two and required calibration on a per-design basis.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representative case from the cafe corpus is a dress-silhouette dessert: the silhouette itself was emotionally loaded and broadly familiar (the dress is one of the most culturally legible objects in any consumer’s memory), while the rendering of that silhouette in pastry, at single-serving scale, was unfamiliar in material, scale, and context. The dessert was strange and new at the level of substance and immediately legible at the level of reference. Customers consistently photographed and selected the design at higher rates than its sales-comparable peers in the corpus.</w:t>
      </w:r>
    </w:p>
    <w:p>
      <w:pPr>
        <w:pStyle w:val="Heading2"/>
        <w:spacing w:after="160" w:before="280" w:line="360"/>
      </w:pPr>
      <w:r>
        <w:rPr>
          <w:rFonts w:ascii="Times New Roman" w:cs="Times New Roman" w:eastAsia="Times New Roman" w:hAnsi="Times New Roman"/>
          <w:b/>
          <w:bCs/>
          <w:sz w:val="26"/>
          <w:szCs w:val="26"/>
        </w:rPr>
        <w:t xml:space="preserve">5.5 Narrative and conceptual framing</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Designs that carried explicit conceptual narrative — each dessert connected to a specific external reference (a fashion house, an archival object, a cultural artefact) — produced systematically stronger emotional engagement than designs offered without narrative framing. Customers who engaged with the conceptual framing showed three observable behavioral differences: (a) higher willingness to try unfamiliar designs, (b) longer dwell time at the display, and (c) higher rates of spontaneous social-media documentation. Customer comments referencing the underlying concept (e.g., “this looks like a dress,” “this reminds me of a perfume bottle”) correlated visibly with selection of the corresponding dessert.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This finding is consistent with the broader literature on narrative transportation and consumer engagement (Hagtvedt &amp; Patrick, 2008) and with the processing-fluency account (Reber et al., 2004): a coherent narrative provides interpretive scaffolding that makes the unfamiliar object easier to assimilate, raising fluency and producing more positive evaluative response. The cafe’s use of explicit concept cards and verbal staff explanation made the narrative scaffolding visible to customers who chose to engage with it, while leaving the dessert legible to those who did not.</w:t>
      </w:r>
    </w:p>
    <w:p>
      <w:pPr>
        <w:pStyle w:val="Heading2"/>
        <w:spacing w:after="160" w:before="280" w:line="360"/>
      </w:pPr>
      <w:r>
        <w:rPr>
          <w:rFonts w:ascii="Times New Roman" w:cs="Times New Roman" w:eastAsia="Times New Roman" w:hAnsi="Times New Roman"/>
          <w:b/>
          <w:bCs/>
          <w:sz w:val="26"/>
          <w:szCs w:val="26"/>
        </w:rPr>
        <w:t xml:space="preserve">5.6 Color–flavor alignment and cognitive consistency</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central design rule that emerged from the observation is what the author terms the alignment principle: the color of the dessert must make a flavor promise that the dessert’s actual flavor keeps. The principle is a direct application of expectancy-disconfirmation theory (Cardello, 1994; Yeomans et al., 2008) to the specific case of color–flavor mapping, and it became a working constraint on every design released to the menu after its formalisation in mid-2024.</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Where color and flavor were aligned, customer satisfaction was reliably high and decision-making at the display proceeded quickly. A pink dessert delivering raspberry and rose; a deep burgundy delivering cassis and dark chocolate; a warm caramel delivering pecan and butterscotch — in each case the predicted experience and the actual experience converged, the consumer’s expectation was confirmed, and reported satisfaction was high. Table 2 documents the working color–flavor alignment map developed at the cafe and used to constrain subsequent design choices.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rPr>
          <w:tblHeader/>
        </w:trPr>
        <w:tc>
          <w:tcPr>
            <w:tcW w:type="dxa" w:w="2400"/>
            <w:tcBorders>
              <w:top w:val="single" w:color="888888" w:sz="4"/>
              <w:left w:val="single" w:color="888888" w:sz="4"/>
              <w:bottom w:val="single" w:color="888888" w:sz="4"/>
              <w:right w:val="single" w:color="888888" w:sz="4"/>
            </w:tcBorders>
            <w:shd w:fill="D8DEE9" w:val="clear"/>
            <w:tcMar>
              <w:top w:type="dxa" w:w="100"/>
              <w:left w:type="dxa" w:w="140"/>
              <w:bottom w:type="dxa" w:w="100"/>
              <w:right w:type="dxa" w:w="140"/>
            </w:tcMar>
          </w:tcPr>
          <w:p>
            <w:pPr>
              <w:jc w:val="left"/>
            </w:pPr>
            <w:r>
              <w:rPr>
                <w:rFonts w:ascii="Times New Roman" w:cs="Times New Roman" w:eastAsia="Times New Roman" w:hAnsi="Times New Roman"/>
                <w:b/>
                <w:bCs/>
                <w:sz w:val="22"/>
                <w:szCs w:val="22"/>
              </w:rPr>
              <w:t xml:space="preserve">Color register</w:t>
            </w:r>
          </w:p>
        </w:tc>
        <w:tc>
          <w:tcPr>
            <w:tcW w:type="dxa" w:w="3480"/>
            <w:tcBorders>
              <w:top w:val="single" w:color="888888" w:sz="4"/>
              <w:left w:val="single" w:color="888888" w:sz="4"/>
              <w:bottom w:val="single" w:color="888888" w:sz="4"/>
              <w:right w:val="single" w:color="888888" w:sz="4"/>
            </w:tcBorders>
            <w:shd w:fill="D8DEE9" w:val="clear"/>
            <w:tcMar>
              <w:top w:type="dxa" w:w="100"/>
              <w:left w:type="dxa" w:w="140"/>
              <w:bottom w:type="dxa" w:w="100"/>
              <w:right w:type="dxa" w:w="140"/>
            </w:tcMar>
          </w:tcPr>
          <w:p>
            <w:pPr>
              <w:jc w:val="left"/>
            </w:pPr>
            <w:r>
              <w:rPr>
                <w:rFonts w:ascii="Times New Roman" w:cs="Times New Roman" w:eastAsia="Times New Roman" w:hAnsi="Times New Roman"/>
                <w:b/>
                <w:bCs/>
                <w:sz w:val="22"/>
                <w:szCs w:val="22"/>
              </w:rPr>
              <w:t xml:space="preserve">Primary expected flavors</w:t>
            </w:r>
          </w:p>
        </w:tc>
        <w:tc>
          <w:tcPr>
            <w:tcW w:type="dxa" w:w="3480"/>
            <w:tcBorders>
              <w:top w:val="single" w:color="888888" w:sz="4"/>
              <w:left w:val="single" w:color="888888" w:sz="4"/>
              <w:bottom w:val="single" w:color="888888" w:sz="4"/>
              <w:right w:val="single" w:color="888888" w:sz="4"/>
            </w:tcBorders>
            <w:shd w:fill="D8DEE9" w:val="clear"/>
            <w:tcMar>
              <w:top w:type="dxa" w:w="100"/>
              <w:left w:type="dxa" w:w="140"/>
              <w:bottom w:type="dxa" w:w="100"/>
              <w:right w:type="dxa" w:w="140"/>
            </w:tcMar>
          </w:tcPr>
          <w:p>
            <w:pPr>
              <w:jc w:val="left"/>
            </w:pPr>
            <w:r>
              <w:rPr>
                <w:rFonts w:ascii="Times New Roman" w:cs="Times New Roman" w:eastAsia="Times New Roman" w:hAnsi="Times New Roman"/>
                <w:b/>
                <w:bCs/>
                <w:sz w:val="22"/>
                <w:szCs w:val="22"/>
              </w:rPr>
              <w:t xml:space="preserve">Secondary associations</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Soft pink</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Rose, strawberry, raspberry</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Lychee, cherry blossom, rhubarb</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Warm pink / coral</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Peach, apricot, guava</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Watermelon, nectarine</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Cream / ivory</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Vanilla, white chocolate, almond</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Coconut, elderflower</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Cream + gold</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Vanilla + honey, caramel</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Brown butter, praline</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Warm caramel</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Dulce de leche, pecan, hazelnut</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Maple, butterscotch</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Deep brown</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Dark chocolate, coffee</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Cocoa, tonka, aged rum</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Burgundy / oxblood</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Cassis, blackberry, red wine</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Dark cherry, plum, bitter chocolate</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Bright red</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Strawberry, raspberry, cherry</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Redcurrant, hibiscus</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Deep green</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Pistachio, matcha, herbs</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Basil, olive</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White + purple</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Blackcurrant, tropical</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Mango, passion fruit, violet</w:t>
            </w:r>
          </w:p>
        </w:tc>
      </w:tr>
      <w:tr>
        <w:tc>
          <w:tcPr>
            <w:tcW w:type="dxa" w:w="240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Orange</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Citrus, apricot</w:t>
            </w:r>
          </w:p>
        </w:tc>
        <w:tc>
          <w:tcPr>
            <w:tcW w:type="dxa" w:w="3480"/>
            <w:tcBorders>
              <w:top w:val="single" w:color="888888" w:sz="4"/>
              <w:left w:val="single" w:color="888888" w:sz="4"/>
              <w:bottom w:val="single" w:color="888888" w:sz="4"/>
              <w:right w:val="single" w:color="888888" w:sz="4"/>
            </w:tcBorders>
            <w:tcMar>
              <w:top w:type="dxa" w:w="100"/>
              <w:left w:type="dxa" w:w="140"/>
              <w:bottom w:type="dxa" w:w="100"/>
              <w:right w:type="dxa" w:w="140"/>
            </w:tcMar>
          </w:tcPr>
          <w:p>
            <w:pPr>
              <w:jc w:val="left"/>
            </w:pPr>
            <w:r>
              <w:rPr>
                <w:rFonts w:ascii="Times New Roman" w:cs="Times New Roman" w:eastAsia="Times New Roman" w:hAnsi="Times New Roman"/>
                <w:sz w:val="21"/>
                <w:szCs w:val="21"/>
              </w:rPr>
              <w:t xml:space="preserve">Carrot, saffron</w:t>
            </w:r>
          </w:p>
        </w:tc>
      </w:tr>
    </w:tbl>
    <w:p>
      <w:pPr>
        <w:spacing w:after="240" w:before="120" w:line="320"/>
        <w:jc w:val="center"/>
      </w:pPr>
      <w:r>
        <w:rPr>
          <w:rFonts w:ascii="Times New Roman" w:cs="Times New Roman" w:eastAsia="Times New Roman" w:hAnsi="Times New Roman"/>
          <w:i/>
          <w:iCs/>
          <w:sz w:val="22"/>
          <w:szCs w:val="22"/>
        </w:rPr>
        <w:t xml:space="preserve">Table 2. Color–flavor alignment map (working version). Primary expected flavors are those most reliably volunteered by customers when asked what flavor a given color would lead them to expect. Secondary associations are those volunteered less frequently but with sufficient consistency to inform design choice.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Where color and flavor were misaligned, two distinct outcomes were observed. Mild misalignment — a cream-pink dessert delivering cassis, for example — was tolerated when the flavor itself was strong and the misalignment registered as a minor surprise rather than a contradiction. Strong misalignment — an artificial pink delivering dark chocolate — produced confusion and slower decision-making, and customers who tasted the dessert frequently reported a diffuse dissatisfaction that they could not specifically articulate. The lack of articulated dissatisfaction is itself diagnostic: the consumer is not consciously detecting misalignment but is experiencing the cognitive friction it produces. The finding is consistent with Hoegg and Alba’s (2007) account of expectancy-driven shifts in taste perception, in which expectation reframes the experienced taste itself rather than merely the rating attached to it.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Subverting alignment deliberately — the cream-white dessert that delivers dark chocolate as an explicit conceptual move — is a more advanced design move that can produce powerful effects when the subversion is signalled clearly. In practice, deliberate subversions performed best when they were accompanied by explicit verbal or printed conceptual framing that prepared the consumer for the disconfirmation; unsignalled subversions performed poorly. The takeaway for design practice is conservative: align by default, subvert with intent and with signalling.</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Figure 2 represents the integrated SAM architecture, with the alignment principle implicit in the relationship between visual stimulus and pre-taste expectation.</w:t>
      </w:r>
    </w:p>
    <w:p>
      <w:pPr>
        <w:spacing w:after="80" w:before="200"/>
        <w:jc w:val="center"/>
      </w:pPr>
      <w:r>
        <w:drawing>
          <wp:inline distT="0" distB="0" distL="0" distR="0">
            <wp:extent cx="5334000" cy="3619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334000" cy="3619500"/>
                    </a:xfrm>
                    <a:prstGeom prst="rect">
                      <a:avLst/>
                    </a:prstGeom>
                  </pic:spPr>
                </pic:pic>
              </a:graphicData>
            </a:graphic>
          </wp:inline>
        </w:drawing>
      </w:r>
    </w:p>
    <w:p>
      <w:pPr>
        <w:spacing w:after="240" w:before="120" w:line="320"/>
        <w:jc w:val="center"/>
      </w:pPr>
      <w:r>
        <w:rPr>
          <w:rFonts w:ascii="Times New Roman" w:cs="Times New Roman" w:eastAsia="Times New Roman" w:hAnsi="Times New Roman"/>
          <w:i/>
          <w:iCs/>
          <w:sz w:val="22"/>
          <w:szCs w:val="22"/>
        </w:rPr>
        <w:t xml:space="preserve">Figure 2. The Sensory Anticipation Model: conceptual architecture. The visual stimulus is processed through three cognitive principles to produce a pre-taste expectation, which in turn determines the behavioral outcome. A feedback loop, indicated by the dashed line, shapes future encounters: confirmed expectations strengthen recall and repurchase, while disconfirmed expectations weaken both.</w:t>
      </w:r>
    </w:p>
    <w:p>
      <w:pPr>
        <w:pStyle w:val="Heading2"/>
        <w:spacing w:after="160" w:before="280" w:line="360"/>
      </w:pPr>
      <w:r>
        <w:rPr>
          <w:rFonts w:ascii="Times New Roman" w:cs="Times New Roman" w:eastAsia="Times New Roman" w:hAnsi="Times New Roman"/>
          <w:b/>
          <w:bCs/>
          <w:sz w:val="26"/>
          <w:szCs w:val="26"/>
        </w:rPr>
        <w:t xml:space="preserve">5.7 Price, quality inference, and within-corpus variation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final pattern worth noting concerns the relationship between price and selection across the menu. Designs spanned a relatively narrow price band, but within that band a clear pattern emerged: the highest-priced piece on the menu was, across the operating period, the cafe’s best-seller. This is contrary to the naive assumption that, all else equal, lower-priced offerings will outsell higher-priced ones. The finding is consistent with the price–quality inference literature in consumer behavior, in which price functions as a quality signal in low-information environments and a higher price can therefore raise rather than reduce demand for the most distinctively positioned product on a menu.</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A secondary pattern was that a small subset of customers selected the lowest-priced piece specifically as a low-cost trial: the dessert that allowed the consumer to engage with the cafe’s aesthetic at the lowest commitment threshold. The two patterns are not contradictory; they reflect distinct customer entry strategies into the menu. From a design perspective, the implication is that the most expensive piece should typically be the design with the strongest emotional and conceptual signature, and the lowest-priced piece should be designed for low-friction trial rather than for low cost per se.</w:t>
      </w:r>
    </w:p>
    <w:p>
      <w:pPr>
        <w:pStyle w:val="Heading1"/>
        <w:spacing w:after="200" w:before="360" w:line="360"/>
      </w:pPr>
      <w:r>
        <w:rPr>
          <w:rFonts w:ascii="Times New Roman" w:cs="Times New Roman" w:eastAsia="Times New Roman" w:hAnsi="Times New Roman"/>
          <w:b/>
          <w:bCs/>
          <w:sz w:val="28"/>
          <w:szCs w:val="28"/>
        </w:rPr>
        <w:t xml:space="preserve">6. Discussion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findings reported in Section 5 cohere into a single integrated account of pre-taste decision-making in designer pastry, and SAM provides the structural vocabulary for that account. Three implications, theoretical and practical, are worth drawing out.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First, the unit of design shifts. Conventional pastry workflows treat the dessert as the unit of design and the recipe as the design artefact. SAM treats the pre-taste expectation as the unit of design and the visual-sensory specification as the design artefact. The recipe is downstream; it must deliver the experience that the visual specification has promised. This re-ordering changes how research and prototyping time are allocated, what kinds of failures are recognised, and what counts as a successful design. Technically flawless desserts that produce no emotional response are, in this framing, design failures. Desserts with minor technical compromise that produce the exact intended emotional response are design successes.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Second, the alignment principle generalises. While the present paper has focused on color–flavor alignment, the same principle — the visual signal must promise an experience the dessert can keep — applies equally to texture, form, and narrative framing. A glossy surface promises precision; if the dessert’s flavor and texture profile is rustic and warm, the misalignment will produce the same diffuse dissatisfaction as a color–flavor mismatch. Pre-taste expectation is multi-modal; the alignment that designs must achieve is correspondingly multi-modal.</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Third, the role of narrative is more substantial than is sometimes recognised. Concept-driven framing is sometimes treated as marketing wrapper around a core culinary product. The findings reported here suggest the relationship is closer to the inverse: narrative is an integral cognitive scaffolding that produces measurable shifts in engagement, recall, and willingness to try unfamiliar designs. A dessert that carries a coherent narrative is, on the evidence here, not merely a more interesting object but a more cognitively assimilable one, and the assimilation translates into commercial outcomes.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Theoretically, SAM extends the crossmodal correspondence and expectancy-disconfirmation literatures into a previously under-studied applied domain. It offers an operational five-layer decomposition of Norman’s (2004) visceral level. It articulates an alignment principle that operationalises Yeomans et al.’s (2008) expectancy work as a working design rule. It develops the “known within the unknown” construct as an applied formulation of Berlyne’s (1971) and Hekkert’s (2006) accounts of optimal novelty.</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Practically, the model offers practitioners in pastry, food design, and concept-driven hospitality a structured vocabulary and decision sequence for engineering pre-taste expectation. The five-layer hierarchy clarifies where to allocate design effort. The color–flavor alignment map provides a working starting point for color choice. The novelty-anchor calibration provides a heuristic for managing form. None of these tools is a recipe; each is a constraint on the design space that allows the designer to work within bounds where the model predicts strong commercial response.</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Finally, SAM connects upward into a broader research programme. The companion frameworks identified in Section 3.4 — Emotion-Driven Pastry Architecture, Dessert Structural Systems Theory, and the Edible Color Translation Method — address respectively the design methodology, the structural engineering, and the material-color engineering required to deliver on the expectations SAM specifies. Together they constitute an integrated approach to high-design pastry as an applied design discipline.</w:t>
      </w:r>
    </w:p>
    <w:p>
      <w:pPr>
        <w:pStyle w:val="Heading1"/>
        <w:spacing w:after="200" w:before="360" w:line="360"/>
      </w:pPr>
      <w:r>
        <w:rPr>
          <w:rFonts w:ascii="Times New Roman" w:cs="Times New Roman" w:eastAsia="Times New Roman" w:hAnsi="Times New Roman"/>
          <w:b/>
          <w:bCs/>
          <w:sz w:val="28"/>
          <w:szCs w:val="28"/>
        </w:rPr>
        <w:t xml:space="preserve">7. Limitations and Future Research</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Several limitations should be noted alongside the contributions.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First, the work is grounded in a single establishment, albeit one operating across two physical locations and serving a substantial customer base over a sustained period. The expansion of operations from the original site to a larger second location during the observation period provided useful natural variation, but the cultural setting (Yerevan, Armenia) and customer base remained broadly consistent throughout. Findings should be tested in other markets and other concept-driven settings to establish the boundaries of generalisability. The author actively invites such replication.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Second, the author held a dual role as both designer and observer. This practitioner-research position is well established in the design research literature (Schön, 1983; Frayling, 1993; Cross, 2007) and is treated here as a methodological asset rather than a confound, but observer bias remains a real consideration. The mitigation strategy adopted was systematic triangulation across five independent data sources: point-of-sale records, structured staff debriefs and a daily customer comment log, third-party online reviews on TripAdvisor, Yandex, and Google, and a photographic archive cross-referenced with public social-media documentation by customers. Patterns reported in the findings section are those that emerged consistently across these channels.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Third, no randomised controlled exposures were conducted. The work is, in the established design research tradition (Cross, 2007), theory-generative rather than theory-confirmatory: it presents pattern-level observations grounded in sustained commercial observation rather than effect-size estimates from controlled experiments. Within-corpus variations were exploited where they occurred naturally (the white-versus-blue silhouette comparison reported in Section 5.2 is an example), and they reinforce rather than substitute for the broader pattern analysis. Controlled experimental work to validate, refine, and where appropriate revise the model’s specific claims is welcomed and invited.</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Fourth, customer feedback was captured through embedded service interactions and online review streams rather than through structured survey instruments. This is a methodological choice rather than an oversight: a structured survey at the point of dessert selection would have intruded on the very pre-taste decision the study sought to observe. The trade-off is a loss of comparability with formal sensory science protocols and a gain in ecological validity; the present author judges the trade-off favourably for a study of this design but acknowledges the methodological cost.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Fifth, the corpus contains a deliberately small number of designs per color register because a concept-driven menu cannot, by definition, contain large numbers of visually similar pieces. Color-register-level conclusions should accordingly be read as patterns observed across a deliberately diverse design corpus, with the per-register design counts disclosed transparently in Table 1. Future work could systematically generate larger same-register design sets in a research-only setting in which commercial menu coherence is not a constraint.</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Future research directions include: controlled laboratory-based replication of the five-layer hierarchy using image-based stimuli; cross-cultural extension of the color–flavor alignment map; longitudinal study of the pre-taste-expectation/repurchase feedback loop indicated in Figure 2; and field studies in which SAM is applied as an explicit design constraint in a separate concept-driven establishment with the present author in an external advisory rather than embedded role.</w:t>
      </w:r>
    </w:p>
    <w:p>
      <w:pPr>
        <w:pStyle w:val="Heading1"/>
        <w:spacing w:after="200" w:before="360" w:line="360"/>
      </w:pPr>
      <w:r>
        <w:rPr>
          <w:rFonts w:ascii="Times New Roman" w:cs="Times New Roman" w:eastAsia="Times New Roman" w:hAnsi="Times New Roman"/>
          <w:b/>
          <w:bCs/>
          <w:sz w:val="28"/>
          <w:szCs w:val="28"/>
        </w:rPr>
        <w:t xml:space="preserve">8. Conclusion</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This paper has introduced the Sensory Anticipation Model (SAM), a practitioner-research framework for understanding how consumers form pre-taste expectations of designer dessert and how those expectations govern selection, satisfaction, and recall. SAM rests on three foundational principles — expectation precedes experience, visual cues operate as sensory signals, and emotional association drives the decision to engage — each of which is grounded in established crossmodal correspondence, expectancy-disconfirmation, and aesthetic-response research, and each of which has been operationalised here for the previously under-studied domain of high-design pastry in commercial conditions.</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five-layer decision hierarchy (emotional association, form, color, surface texture, detail) decomposes the visual encounter into a designable sequence; the alignment principle translates expectancy-disconfirmation theory into a working design rule; the “known within the unknown” construct provides an applied formulation of optimal-novelty findings. Together, these elements constitute a structural vocabulary for the design of pre-taste expectation that practitioners can apply, sensory researchers can test, and food-design educators can teach.</w:t>
      </w:r>
    </w:p>
    <w:p>
      <w:pPr>
        <w:spacing w:after="120" w:line="360"/>
        <w:ind w:firstLine="360"/>
        <w:jc w:val="both"/>
      </w:pPr>
      <w:r>
        <w:rPr>
          <w:rFonts w:ascii="Times New Roman" w:cs="Times New Roman" w:eastAsia="Times New Roman" w:hAnsi="Times New Roman"/>
          <w:b w:val="false"/>
          <w:bCs w:val="false"/>
          <w:i w:val="false"/>
          <w:iCs w:val="false"/>
          <w:sz w:val="24"/>
          <w:szCs w:val="24"/>
        </w:rPr>
        <w:t xml:space="preserve">The contribution is offered as a starting point rather than a conclusion. The practitioner-research base is extensive but bounded; the model invites controlled experimental validation and cross-cultural extension. SAM’s ambition is not to displace the underlying scientific literature on which it draws but to integrate that literature’s insight into a working applied framework that takes seriously the proposition that pastry, when designed with deliberate sensory and behavioral intent, is an applied form of sensory marketing and an under-recognised discipline of design.</w:t>
      </w:r>
    </w:p>
    <w:p>
      <w:pPr>
        <w:pStyle w:val="Heading1"/>
        <w:spacing w:after="200" w:before="360" w:line="360"/>
      </w:pPr>
      <w:r>
        <w:rPr>
          <w:rFonts w:ascii="Times New Roman" w:cs="Times New Roman" w:eastAsia="Times New Roman" w:hAnsi="Times New Roman"/>
          <w:b/>
          <w:bCs/>
          <w:sz w:val="28"/>
          <w:szCs w:val="28"/>
        </w:rPr>
        <w:t xml:space="preserve">References</w:t>
      </w:r>
    </w:p>
    <w:p>
      <w:pPr>
        <w:spacing w:after="120" w:line="320"/>
        <w:ind w:left="360" w:hanging="360"/>
        <w:jc w:val="both"/>
      </w:pPr>
      <w:r>
        <w:rPr>
          <w:rFonts w:ascii="Times New Roman" w:cs="Times New Roman" w:eastAsia="Times New Roman" w:hAnsi="Times New Roman"/>
          <w:sz w:val="22"/>
          <w:szCs w:val="22"/>
        </w:rPr>
        <w:t xml:space="preserve">Berlyne, D. E. (1971). Aesthetics and psychobiology. New York: Appleton-Century-Crofts.</w:t>
      </w:r>
    </w:p>
    <w:p>
      <w:pPr>
        <w:spacing w:after="120" w:line="320"/>
        <w:ind w:left="360" w:hanging="360"/>
        <w:jc w:val="both"/>
      </w:pPr>
      <w:r>
        <w:rPr>
          <w:rFonts w:ascii="Times New Roman" w:cs="Times New Roman" w:eastAsia="Times New Roman" w:hAnsi="Times New Roman"/>
          <w:sz w:val="22"/>
          <w:szCs w:val="22"/>
        </w:rPr>
        <w:t xml:space="preserve">Bloch, P. H. (1995). Seeking the ideal form: Product design and consumer response. Journal of Marketing, 59(3), 16–29.</w:t>
      </w:r>
    </w:p>
    <w:p>
      <w:pPr>
        <w:spacing w:after="120" w:line="320"/>
        <w:ind w:left="360" w:hanging="360"/>
        <w:jc w:val="both"/>
      </w:pPr>
      <w:r>
        <w:rPr>
          <w:rFonts w:ascii="Times New Roman" w:cs="Times New Roman" w:eastAsia="Times New Roman" w:hAnsi="Times New Roman"/>
          <w:sz w:val="22"/>
          <w:szCs w:val="22"/>
        </w:rPr>
        <w:t xml:space="preserve">Cardello, A. V. (1994). Consumer expectations and their role in food acceptance. In H. J. H. MacFie &amp; D. M. H. Thomson (Eds.), Measurement of food preferences (pp. 253–297). London: Blackie Academic &amp; Professional.</w:t>
      </w:r>
    </w:p>
    <w:p>
      <w:pPr>
        <w:spacing w:after="120" w:line="320"/>
        <w:ind w:left="360" w:hanging="360"/>
        <w:jc w:val="both"/>
      </w:pPr>
      <w:r>
        <w:rPr>
          <w:rFonts w:ascii="Times New Roman" w:cs="Times New Roman" w:eastAsia="Times New Roman" w:hAnsi="Times New Roman"/>
          <w:sz w:val="22"/>
          <w:szCs w:val="22"/>
        </w:rPr>
        <w:t xml:space="preserve">Crilly, N., Moultrie, J., &amp; Clarkson, P. J. (2004). Seeing things: Consumer response to the visual domain in product design. Design Studies, 25(6), 547–577.</w:t>
      </w:r>
    </w:p>
    <w:p>
      <w:pPr>
        <w:spacing w:after="120" w:line="320"/>
        <w:ind w:left="360" w:hanging="360"/>
        <w:jc w:val="both"/>
      </w:pPr>
      <w:r>
        <w:rPr>
          <w:rFonts w:ascii="Times New Roman" w:cs="Times New Roman" w:eastAsia="Times New Roman" w:hAnsi="Times New Roman"/>
          <w:sz w:val="22"/>
          <w:szCs w:val="22"/>
        </w:rPr>
        <w:t xml:space="preserve">Cross, N. (2007). Designerly ways of knowing. Basel: Birkhäuser.</w:t>
      </w:r>
    </w:p>
    <w:p>
      <w:pPr>
        <w:spacing w:after="120" w:line="320"/>
        <w:ind w:left="360" w:hanging="360"/>
        <w:jc w:val="both"/>
      </w:pPr>
      <w:r>
        <w:rPr>
          <w:rFonts w:ascii="Times New Roman" w:cs="Times New Roman" w:eastAsia="Times New Roman" w:hAnsi="Times New Roman"/>
          <w:sz w:val="22"/>
          <w:szCs w:val="22"/>
        </w:rPr>
        <w:t xml:space="preserve">Deliza, R., &amp; MacFie, H. J. H. (1996). The generation of sensory expectation by external cues and its effect on sensory perception and hedonic ratings: A review. Journal of Sensory Studies, 11(2), 103–128.</w:t>
      </w:r>
    </w:p>
    <w:p>
      <w:pPr>
        <w:spacing w:after="120" w:line="320"/>
        <w:ind w:left="360" w:hanging="360"/>
        <w:jc w:val="both"/>
      </w:pPr>
      <w:r>
        <w:rPr>
          <w:rFonts w:ascii="Times New Roman" w:cs="Times New Roman" w:eastAsia="Times New Roman" w:hAnsi="Times New Roman"/>
          <w:sz w:val="22"/>
          <w:szCs w:val="22"/>
        </w:rPr>
        <w:t xml:space="preserve">Delwiche, J. F. (2012). You eat with your eyes first. Physiology &amp; Behavior, 107(4), 502–504.</w:t>
      </w:r>
    </w:p>
    <w:p>
      <w:pPr>
        <w:spacing w:after="120" w:line="320"/>
        <w:ind w:left="360" w:hanging="360"/>
        <w:jc w:val="both"/>
      </w:pPr>
      <w:r>
        <w:rPr>
          <w:rFonts w:ascii="Times New Roman" w:cs="Times New Roman" w:eastAsia="Times New Roman" w:hAnsi="Times New Roman"/>
          <w:sz w:val="22"/>
          <w:szCs w:val="22"/>
        </w:rPr>
        <w:t xml:space="preserve">Frayling, C. (1993). Research in art and design. Royal College of Art Research Papers, 1(1), 1–5.</w:t>
      </w:r>
    </w:p>
    <w:p>
      <w:pPr>
        <w:spacing w:after="120" w:line="320"/>
        <w:ind w:left="360" w:hanging="360"/>
        <w:jc w:val="both"/>
      </w:pPr>
      <w:r>
        <w:rPr>
          <w:rFonts w:ascii="Times New Roman" w:cs="Times New Roman" w:eastAsia="Times New Roman" w:hAnsi="Times New Roman"/>
          <w:sz w:val="22"/>
          <w:szCs w:val="22"/>
        </w:rPr>
        <w:t xml:space="preserve">Hagtvedt, H., &amp; Patrick, V. M. (2008). Art infusion: The influence of visual art on the perception and evaluation of consumer products. Journal of Marketing Research, 45(3), 379–389.</w:t>
      </w:r>
    </w:p>
    <w:p>
      <w:pPr>
        <w:spacing w:after="120" w:line="320"/>
        <w:ind w:left="360" w:hanging="360"/>
        <w:jc w:val="both"/>
      </w:pPr>
      <w:r>
        <w:rPr>
          <w:rFonts w:ascii="Times New Roman" w:cs="Times New Roman" w:eastAsia="Times New Roman" w:hAnsi="Times New Roman"/>
          <w:sz w:val="22"/>
          <w:szCs w:val="22"/>
        </w:rPr>
        <w:t xml:space="preserve">Hekkert, P. (2006). Design aesthetics: Principles of pleasure in design. Psychology Science, 48(2), 157–172.</w:t>
      </w:r>
    </w:p>
    <w:p>
      <w:pPr>
        <w:spacing w:after="120" w:line="320"/>
        <w:ind w:left="360" w:hanging="360"/>
        <w:jc w:val="both"/>
      </w:pPr>
      <w:r>
        <w:rPr>
          <w:rFonts w:ascii="Times New Roman" w:cs="Times New Roman" w:eastAsia="Times New Roman" w:hAnsi="Times New Roman"/>
          <w:sz w:val="22"/>
          <w:szCs w:val="22"/>
        </w:rPr>
        <w:t xml:space="preserve">Hoegg, J., &amp; Alba, J. W. (2007). Taste perception: More than meets the tongue. Journal of Consumer Research, 33(4), 490–498.</w:t>
      </w:r>
    </w:p>
    <w:p>
      <w:pPr>
        <w:spacing w:after="120" w:line="320"/>
        <w:ind w:left="360" w:hanging="360"/>
        <w:jc w:val="both"/>
      </w:pPr>
      <w:r>
        <w:rPr>
          <w:rFonts w:ascii="Times New Roman" w:cs="Times New Roman" w:eastAsia="Times New Roman" w:hAnsi="Times New Roman"/>
          <w:sz w:val="22"/>
          <w:szCs w:val="22"/>
        </w:rPr>
        <w:t xml:space="preserve">Hultén, B. (2011). Sensory marketing: The multi-sensory brand-experience concept. European Business Review, 23(3), 256–273.</w:t>
      </w:r>
    </w:p>
    <w:p>
      <w:pPr>
        <w:spacing w:after="120" w:line="320"/>
        <w:ind w:left="360" w:hanging="360"/>
        <w:jc w:val="both"/>
      </w:pPr>
      <w:r>
        <w:rPr>
          <w:rFonts w:ascii="Times New Roman" w:cs="Times New Roman" w:eastAsia="Times New Roman" w:hAnsi="Times New Roman"/>
          <w:sz w:val="22"/>
          <w:szCs w:val="22"/>
        </w:rPr>
        <w:t xml:space="preserve">Krishna, A. (2012). An integrative review of sensory marketing: Engaging the senses to affect perception, judgment and behavior. Journal of Consumer Psychology, 22(3), 332–351.</w:t>
      </w:r>
    </w:p>
    <w:p>
      <w:pPr>
        <w:spacing w:after="120" w:line="320"/>
        <w:ind w:left="360" w:hanging="360"/>
        <w:jc w:val="both"/>
      </w:pPr>
      <w:r>
        <w:rPr>
          <w:rFonts w:ascii="Times New Roman" w:cs="Times New Roman" w:eastAsia="Times New Roman" w:hAnsi="Times New Roman"/>
          <w:sz w:val="22"/>
          <w:szCs w:val="22"/>
        </w:rPr>
        <w:t xml:space="preserve">Lawless, H. T., &amp; Heymann, H. (2010). Sensory evaluation of food: Principles and practices (2nd ed.). New York: Springer.</w:t>
      </w:r>
    </w:p>
    <w:p>
      <w:pPr>
        <w:spacing w:after="120" w:line="320"/>
        <w:ind w:left="360" w:hanging="360"/>
        <w:jc w:val="both"/>
      </w:pPr>
      <w:r>
        <w:rPr>
          <w:rFonts w:ascii="Times New Roman" w:cs="Times New Roman" w:eastAsia="Times New Roman" w:hAnsi="Times New Roman"/>
          <w:sz w:val="22"/>
          <w:szCs w:val="22"/>
        </w:rPr>
        <w:t xml:space="preserve">Lee, L., Frederick, S., &amp; Ariely, D. (2006). Try it, you’ll like it: The influence of expectation, consumption, and revelation on preferences for beer. Psychological Science, 17(12), 1054–1058.</w:t>
      </w:r>
    </w:p>
    <w:p>
      <w:pPr>
        <w:spacing w:after="120" w:line="320"/>
        <w:ind w:left="360" w:hanging="360"/>
        <w:jc w:val="both"/>
      </w:pPr>
      <w:r>
        <w:rPr>
          <w:rFonts w:ascii="Times New Roman" w:cs="Times New Roman" w:eastAsia="Times New Roman" w:hAnsi="Times New Roman"/>
          <w:sz w:val="22"/>
          <w:szCs w:val="22"/>
        </w:rPr>
        <w:t xml:space="preserve">Levitan, C. A., Zampini, M., Li, R., &amp; Spence, C. (2008). Assessing the role of color cues and people’s beliefs about color–flavor associations on the discrimination of the flavor of sugar-coated chocolates. Chemical Senses, 33(5), 415–423.</w:t>
      </w:r>
    </w:p>
    <w:p>
      <w:pPr>
        <w:spacing w:after="120" w:line="320"/>
        <w:ind w:left="360" w:hanging="360"/>
        <w:jc w:val="both"/>
      </w:pPr>
      <w:r>
        <w:rPr>
          <w:rFonts w:ascii="Times New Roman" w:cs="Times New Roman" w:eastAsia="Times New Roman" w:hAnsi="Times New Roman"/>
          <w:sz w:val="22"/>
          <w:szCs w:val="22"/>
        </w:rPr>
        <w:t xml:space="preserve">McGee, H. (2004). On food and cooking: The science and lore of the kitchen (revised ed.). New York: Scribner.</w:t>
      </w:r>
    </w:p>
    <w:p>
      <w:pPr>
        <w:spacing w:after="120" w:line="320"/>
        <w:ind w:left="360" w:hanging="360"/>
        <w:jc w:val="both"/>
      </w:pPr>
      <w:r>
        <w:rPr>
          <w:rFonts w:ascii="Times New Roman" w:cs="Times New Roman" w:eastAsia="Times New Roman" w:hAnsi="Times New Roman"/>
          <w:sz w:val="22"/>
          <w:szCs w:val="22"/>
        </w:rPr>
        <w:t xml:space="preserve">Norman, D. A. (2004). Emotional design: Why we love (or hate) everyday things. New York: Basic Books.</w:t>
      </w:r>
    </w:p>
    <w:p>
      <w:pPr>
        <w:spacing w:after="120" w:line="320"/>
        <w:ind w:left="360" w:hanging="360"/>
        <w:jc w:val="both"/>
      </w:pPr>
      <w:r>
        <w:rPr>
          <w:rFonts w:ascii="Times New Roman" w:cs="Times New Roman" w:eastAsia="Times New Roman" w:hAnsi="Times New Roman"/>
          <w:sz w:val="22"/>
          <w:szCs w:val="22"/>
        </w:rPr>
        <w:t xml:space="preserve">Piqueras-Fiszman, B., &amp; Spence, C. (2012). The influence of the color of the cup on consumers’ perception of a hot beverage. Journal of Sensory Studies, 27(5), 324–331.</w:t>
      </w:r>
    </w:p>
    <w:p>
      <w:pPr>
        <w:spacing w:after="120" w:line="320"/>
        <w:ind w:left="360" w:hanging="360"/>
        <w:jc w:val="both"/>
      </w:pPr>
      <w:r>
        <w:rPr>
          <w:rFonts w:ascii="Times New Roman" w:cs="Times New Roman" w:eastAsia="Times New Roman" w:hAnsi="Times New Roman"/>
          <w:sz w:val="22"/>
          <w:szCs w:val="22"/>
        </w:rPr>
        <w:t xml:space="preserve">Piqueras-Fiszman, B., &amp; Spence, C. (2015). Sensory expectations based on product-extrinsic food cues: An interdisciplinary review of the empirical evidence and theoretical accounts. Food Quality and Preference, 40, 165–179.</w:t>
      </w:r>
    </w:p>
    <w:p>
      <w:pPr>
        <w:spacing w:after="120" w:line="320"/>
        <w:ind w:left="360" w:hanging="360"/>
        <w:jc w:val="both"/>
      </w:pPr>
      <w:r>
        <w:rPr>
          <w:rFonts w:ascii="Times New Roman" w:cs="Times New Roman" w:eastAsia="Times New Roman" w:hAnsi="Times New Roman"/>
          <w:sz w:val="22"/>
          <w:szCs w:val="22"/>
        </w:rPr>
        <w:t xml:space="preserve">Poghosyan, A. (in preparation [a]). Emotion-driven pastry architecture: A five-phase methodology for concept-driven dessert design. Working paper.</w:t>
      </w:r>
    </w:p>
    <w:p>
      <w:pPr>
        <w:spacing w:after="120" w:line="320"/>
        <w:ind w:left="360" w:hanging="360"/>
        <w:jc w:val="both"/>
      </w:pPr>
      <w:r>
        <w:rPr>
          <w:rFonts w:ascii="Times New Roman" w:cs="Times New Roman" w:eastAsia="Times New Roman" w:hAnsi="Times New Roman"/>
          <w:sz w:val="22"/>
          <w:szCs w:val="22"/>
        </w:rPr>
        <w:t xml:space="preserve">Poghosyan, A. (in preparation [b]). Dessert structural systems theory: Treating desserts as time-sensitive architectural composites. Working paper.</w:t>
      </w:r>
    </w:p>
    <w:p>
      <w:pPr>
        <w:spacing w:after="120" w:line="320"/>
        <w:ind w:left="360" w:hanging="360"/>
        <w:jc w:val="both"/>
      </w:pPr>
      <w:r>
        <w:rPr>
          <w:rFonts w:ascii="Times New Roman" w:cs="Times New Roman" w:eastAsia="Times New Roman" w:hAnsi="Times New Roman"/>
          <w:sz w:val="22"/>
          <w:szCs w:val="22"/>
        </w:rPr>
        <w:t xml:space="preserve">Poghosyan, A. (in preparation [c]). The Edible Color Translation Method: Material-color and color-flavor coupling in designer pastry. Working paper.</w:t>
      </w:r>
    </w:p>
    <w:p>
      <w:pPr>
        <w:spacing w:after="120" w:line="320"/>
        <w:ind w:left="360" w:hanging="360"/>
        <w:jc w:val="both"/>
      </w:pPr>
      <w:r>
        <w:rPr>
          <w:rFonts w:ascii="Times New Roman" w:cs="Times New Roman" w:eastAsia="Times New Roman" w:hAnsi="Times New Roman"/>
          <w:sz w:val="22"/>
          <w:szCs w:val="22"/>
        </w:rPr>
        <w:t xml:space="preserve">Reber, R., Schwarz, N., &amp; Winkielman, P. (2004). Processing fluency and aesthetic pleasure: Is beauty in the perceiver’s processing experience? Personality and Social Psychology Review, 8(4), 364–382.</w:t>
      </w:r>
    </w:p>
    <w:p>
      <w:pPr>
        <w:spacing w:after="120" w:line="320"/>
        <w:ind w:left="360" w:hanging="360"/>
        <w:jc w:val="both"/>
      </w:pPr>
      <w:r>
        <w:rPr>
          <w:rFonts w:ascii="Times New Roman" w:cs="Times New Roman" w:eastAsia="Times New Roman" w:hAnsi="Times New Roman"/>
          <w:sz w:val="22"/>
          <w:szCs w:val="22"/>
        </w:rPr>
        <w:t xml:space="preserve">Schifferstein, H. N. J. (2006). The perceived importance of sensory modalities in product usage: A study of self-reports. Acta Psychologica, 121(1), 41–64.</w:t>
      </w:r>
    </w:p>
    <w:p>
      <w:pPr>
        <w:spacing w:after="120" w:line="320"/>
        <w:ind w:left="360" w:hanging="360"/>
        <w:jc w:val="both"/>
      </w:pPr>
      <w:r>
        <w:rPr>
          <w:rFonts w:ascii="Times New Roman" w:cs="Times New Roman" w:eastAsia="Times New Roman" w:hAnsi="Times New Roman"/>
          <w:sz w:val="22"/>
          <w:szCs w:val="22"/>
        </w:rPr>
        <w:t xml:space="preserve">Schön, D. A. (1983). The reflective practitioner: How professionals think in action. New York: Basic Books.</w:t>
      </w:r>
    </w:p>
    <w:p>
      <w:pPr>
        <w:spacing w:after="120" w:line="320"/>
        <w:ind w:left="360" w:hanging="360"/>
        <w:jc w:val="both"/>
      </w:pPr>
      <w:r>
        <w:rPr>
          <w:rFonts w:ascii="Times New Roman" w:cs="Times New Roman" w:eastAsia="Times New Roman" w:hAnsi="Times New Roman"/>
          <w:sz w:val="22"/>
          <w:szCs w:val="22"/>
        </w:rPr>
        <w:t xml:space="preserve">Spence, C. (2011). Crossmodal correspondences: A tutorial review. Attention, Perception, &amp; Psychophysics, 73(4), 971–995.</w:t>
      </w:r>
    </w:p>
    <w:p>
      <w:pPr>
        <w:spacing w:after="120" w:line="320"/>
        <w:ind w:left="360" w:hanging="360"/>
        <w:jc w:val="both"/>
      </w:pPr>
      <w:r>
        <w:rPr>
          <w:rFonts w:ascii="Times New Roman" w:cs="Times New Roman" w:eastAsia="Times New Roman" w:hAnsi="Times New Roman"/>
          <w:sz w:val="22"/>
          <w:szCs w:val="22"/>
        </w:rPr>
        <w:t xml:space="preserve">Spence, C. (2015). On the psychological impact of food color. Flavour, 4, Article 21.</w:t>
      </w:r>
    </w:p>
    <w:p>
      <w:pPr>
        <w:spacing w:after="120" w:line="320"/>
        <w:ind w:left="360" w:hanging="360"/>
        <w:jc w:val="both"/>
      </w:pPr>
      <w:r>
        <w:rPr>
          <w:rFonts w:ascii="Times New Roman" w:cs="Times New Roman" w:eastAsia="Times New Roman" w:hAnsi="Times New Roman"/>
          <w:sz w:val="22"/>
          <w:szCs w:val="22"/>
        </w:rPr>
        <w:t xml:space="preserve">Spence, C. (2017). Gastrophysics: The new science of eating. London: Viking.</w:t>
      </w:r>
    </w:p>
    <w:p>
      <w:pPr>
        <w:spacing w:after="120" w:line="320"/>
        <w:ind w:left="360" w:hanging="360"/>
        <w:jc w:val="both"/>
      </w:pPr>
      <w:r>
        <w:rPr>
          <w:rFonts w:ascii="Times New Roman" w:cs="Times New Roman" w:eastAsia="Times New Roman" w:hAnsi="Times New Roman"/>
          <w:sz w:val="22"/>
          <w:szCs w:val="22"/>
        </w:rPr>
        <w:t xml:space="preserve">Spence, C., Levitan, C. A., Shankar, M. U., &amp; Zampini, M. (2010). Does food color influence taste and flavor perception in adults? Chemosensory Perception, 3(1), 68–84.</w:t>
      </w:r>
    </w:p>
    <w:p>
      <w:pPr>
        <w:spacing w:after="120" w:line="320"/>
        <w:ind w:left="360" w:hanging="360"/>
        <w:jc w:val="both"/>
      </w:pPr>
      <w:r>
        <w:rPr>
          <w:rFonts w:ascii="Times New Roman" w:cs="Times New Roman" w:eastAsia="Times New Roman" w:hAnsi="Times New Roman"/>
          <w:sz w:val="22"/>
          <w:szCs w:val="22"/>
        </w:rPr>
        <w:t xml:space="preserve">Spence, C., &amp; Piqueras-Fiszman, B. (2014). The perfect meal: The multisensory science of food and dining. Chichester: Wiley-Blackwell.</w:t>
      </w:r>
    </w:p>
    <w:p>
      <w:pPr>
        <w:spacing w:after="120" w:line="320"/>
        <w:ind w:left="360" w:hanging="360"/>
        <w:jc w:val="both"/>
      </w:pPr>
      <w:r>
        <w:rPr>
          <w:rFonts w:ascii="Times New Roman" w:cs="Times New Roman" w:eastAsia="Times New Roman" w:hAnsi="Times New Roman"/>
          <w:sz w:val="22"/>
          <w:szCs w:val="22"/>
        </w:rPr>
        <w:t xml:space="preserve">This, H. (2006). Molecular gastronomy: Exploring the science of flavor. New York: Columbia University Press.</w:t>
      </w:r>
    </w:p>
    <w:p>
      <w:pPr>
        <w:spacing w:after="120" w:line="320"/>
        <w:ind w:left="360" w:hanging="360"/>
        <w:jc w:val="both"/>
      </w:pPr>
      <w:r>
        <w:rPr>
          <w:rFonts w:ascii="Times New Roman" w:cs="Times New Roman" w:eastAsia="Times New Roman" w:hAnsi="Times New Roman"/>
          <w:sz w:val="22"/>
          <w:szCs w:val="22"/>
        </w:rPr>
        <w:t xml:space="preserve">Townsend, C., &amp; Sood, S. (2012). Self-affirmation through the choice of highly aesthetic products. Journal of Consumer Research, 39(2), 415–428.</w:t>
      </w:r>
    </w:p>
    <w:p>
      <w:pPr>
        <w:spacing w:after="120" w:line="320"/>
        <w:ind w:left="360" w:hanging="360"/>
        <w:jc w:val="both"/>
      </w:pPr>
      <w:r>
        <w:rPr>
          <w:rFonts w:ascii="Times New Roman" w:cs="Times New Roman" w:eastAsia="Times New Roman" w:hAnsi="Times New Roman"/>
          <w:sz w:val="22"/>
          <w:szCs w:val="22"/>
        </w:rPr>
        <w:t xml:space="preserve">Tu, Y., Yang, Z., &amp; Ma, C. (2015). The taste of plate: How the spiciness of food is affected by the color of the plate used to serve it. Food Quality and Preference, 39, 109–115.</w:t>
      </w:r>
    </w:p>
    <w:p>
      <w:pPr>
        <w:spacing w:after="120" w:line="320"/>
        <w:ind w:left="360" w:hanging="360"/>
        <w:jc w:val="both"/>
      </w:pPr>
      <w:r>
        <w:rPr>
          <w:rFonts w:ascii="Times New Roman" w:cs="Times New Roman" w:eastAsia="Times New Roman" w:hAnsi="Times New Roman"/>
          <w:sz w:val="22"/>
          <w:szCs w:val="22"/>
        </w:rPr>
        <w:t xml:space="preserve">Velasco, C., Woods, A. T., Petit, O., Cheok, A. D., &amp; Spence, C. (2016). Crossmodal correspondences between taste and shape, and their implications for product packaging: A review. Food Quality and Preference, 52, 17–26.</w:t>
      </w:r>
    </w:p>
    <w:p>
      <w:pPr>
        <w:spacing w:after="120" w:line="320"/>
        <w:ind w:left="360" w:hanging="360"/>
        <w:jc w:val="both"/>
      </w:pPr>
      <w:r>
        <w:rPr>
          <w:rFonts w:ascii="Times New Roman" w:cs="Times New Roman" w:eastAsia="Times New Roman" w:hAnsi="Times New Roman"/>
          <w:sz w:val="22"/>
          <w:szCs w:val="22"/>
        </w:rPr>
        <w:t xml:space="preserve">Wadhera, D., &amp; Capaldi-Phillips, E. D. (2014). A review of visual cues associated with food on food acceptance and consumption. Eating Behaviors, 15(1), 132–143.</w:t>
      </w:r>
    </w:p>
    <w:p>
      <w:pPr>
        <w:spacing w:after="120" w:line="320"/>
        <w:ind w:left="360" w:hanging="360"/>
        <w:jc w:val="both"/>
      </w:pPr>
      <w:r>
        <w:rPr>
          <w:rFonts w:ascii="Times New Roman" w:cs="Times New Roman" w:eastAsia="Times New Roman" w:hAnsi="Times New Roman"/>
          <w:sz w:val="22"/>
          <w:szCs w:val="22"/>
        </w:rPr>
        <w:t xml:space="preserve">Yeomans, M. R., Chambers, L., Blumenthal, H., &amp; Blake, A. (2008). The role of expectancy in sensory and hedonic evaluation: The case of smoked salmon ice-cream. Food Quality and Preference, 19(6), 565–573.</w:t>
      </w:r>
    </w:p>
    <w:p>
      <w:pPr>
        <w:spacing w:after="120" w:line="320"/>
        <w:ind w:left="360" w:hanging="360"/>
        <w:jc w:val="both"/>
      </w:pPr>
      <w:r>
        <w:rPr>
          <w:rFonts w:ascii="Times New Roman" w:cs="Times New Roman" w:eastAsia="Times New Roman" w:hAnsi="Times New Roman"/>
          <w:sz w:val="22"/>
          <w:szCs w:val="22"/>
        </w:rPr>
        <w:t xml:space="preserve">Zellner, D. A., Bartoli, A. M., &amp; Eckard, R. (2010). Influence of color on odor identification and liking ratings. American Journal of Psychology, 123(1), 53–58.</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0"/>
        <w:szCs w:val="20"/>
      </w:rPr>
      <w:t xml:space="preserve">Working Paper v1.1  |  Page </w:t>
    </w:r>
    <w:r>
      <w:rPr>
        <w:rFonts w:ascii="Times New Roman" w:cs="Times New Roman" w:eastAsia="Times New Roman" w:hAnsi="Times New Roman"/>
        <w:sz w:val="20"/>
        <w:szCs w:val="20"/>
      </w:rPr>
      <w:fldChar w:fldCharType="begin"/>
      <w:instrText xml:space="preserve">PAGE</w:instrText>
      <w:fldChar w:fldCharType="separate"/>
      <w:fldChar w:fldCharType="end"/>
    </w:r>
    <w:r>
      <w:rPr>
        <w:rFonts w:ascii="Times New Roman" w:cs="Times New Roman" w:eastAsia="Times New Roman" w:hAnsi="Times New Roman"/>
        <w:sz w:val="20"/>
        <w:szCs w:val="20"/>
      </w:rPr>
      <w:t xml:space="preserve"> of </w:t>
    </w:r>
    <w:r>
      <w:rPr>
        <w:rFonts w:ascii="Times New Roman" w:cs="Times New Roman" w:eastAsia="Times New Roman" w:hAnsi="Times New Roman"/>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sz w:val="20"/>
        <w:szCs w:val="20"/>
      </w:rPr>
      <w:t xml:space="preserve">Poghosyan — The Sensory Anticipation Model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Times New Roman" w:cs="Times New Roman" w:eastAsia="Times New Roman" w:hAnsi="Times New Roman"/>
      <w:b/>
      <w:bCs/>
      <w:sz w:val="28"/>
      <w:szCs w:val="28"/>
    </w:rPr>
  </w:style>
  <w:style w:type="paragraph" w:styleId="Heading2">
    <w:name w:val="Heading 2"/>
    <w:basedOn w:val="Normal"/>
    <w:next w:val="Normal"/>
    <w:qFormat/>
    <w:pPr>
      <w:spacing w:after="160" w:before="280"/>
      <w:outlineLvl w:val="1"/>
    </w:pPr>
    <w:rPr>
      <w:rFonts w:ascii="Times New Roman" w:cs="Times New Roman" w:eastAsia="Times New Roman" w:hAnsi="Times New Roman"/>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fb8e97cbab5ed091e558e8c22586cdf9371a5f5b.png"/><Relationship Id="rId10" Type="http://schemas.openxmlformats.org/officeDocument/2006/relationships/image" Target="media/6169806109a8515f373de0edbc3f0e1f987645e3.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Sensory Anticipation Model</dc:title>
  <dc:creator>Artur Poghosyan</dc:creator>
  <cp:lastModifiedBy>Un-named</cp:lastModifiedBy>
  <cp:revision>1</cp:revision>
  <dcterms:created xsi:type="dcterms:W3CDTF">2026-05-03T12:13:45.525Z</dcterms:created>
  <dcterms:modified xsi:type="dcterms:W3CDTF">2026-05-03T12:13:45.543Z</dcterms:modified>
</cp:coreProperties>
</file>

<file path=docProps/custom.xml><?xml version="1.0" encoding="utf-8"?>
<Properties xmlns="http://schemas.openxmlformats.org/officeDocument/2006/custom-properties" xmlns:vt="http://schemas.openxmlformats.org/officeDocument/2006/docPropsVTypes"/>
</file>