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jc w:val="center"/>
      </w:pPr>
      <w:r>
        <w:rPr>
          <w:rFonts w:ascii="Times New Roman" w:cs="Times New Roman" w:eastAsia="Times New Roman" w:hAnsi="Times New Roman"/>
          <w:b/>
          <w:bCs/>
          <w:sz w:val="32"/>
          <w:szCs w:val="32"/>
        </w:rPr>
        <w:t xml:space="preserve">The Problem Is Not the Signal, But the State:</w:t>
      </w:r>
    </w:p>
    <w:p>
      <w:pPr>
        <w:spacing w:after="400"/>
        <w:jc w:val="center"/>
      </w:pPr>
      <w:r>
        <w:rPr>
          <w:rFonts w:ascii="Times New Roman" w:cs="Times New Roman" w:eastAsia="Times New Roman" w:hAnsi="Times New Roman"/>
          <w:b/>
          <w:bCs/>
          <w:sz w:val="28"/>
          <w:szCs w:val="28"/>
        </w:rPr>
        <w:t xml:space="preserve">Dynamic State Validation in the Cortical Field</w:t>
      </w:r>
    </w:p>
    <w:p>
      <w:pPr>
        <w:spacing w:after="120"/>
        <w:jc w:val="center"/>
      </w:pPr>
      <w:r>
        <w:rPr>
          <w:rFonts w:ascii="Times New Roman" w:cs="Times New Roman" w:eastAsia="Times New Roman" w:hAnsi="Times New Roman"/>
          <w:sz w:val="24"/>
          <w:szCs w:val="24"/>
        </w:rPr>
        <w:t xml:space="preserve">Danko Stjepovic</w:t>
      </w:r>
    </w:p>
    <w:p>
      <w:pPr>
        <w:spacing w:after="120"/>
        <w:jc w:val="center"/>
      </w:pPr>
      <w:r>
        <w:rPr>
          <w:rFonts w:ascii="Times New Roman" w:cs="Times New Roman" w:eastAsia="Times New Roman" w:hAnsi="Times New Roman"/>
          <w:i/>
          <w:iCs/>
          <w:sz w:val="22"/>
          <w:szCs w:val="22"/>
        </w:rPr>
        <w:t xml:space="preserve">Independent Researcher | ORCID: 0009-0002-2186-1195</w:t>
      </w:r>
    </w:p>
    <w:p>
      <w:pPr>
        <w:spacing w:after="120"/>
        <w:jc w:val="center"/>
      </w:pPr>
      <w:r>
        <w:rPr>
          <w:rFonts w:ascii="Times New Roman" w:cs="Times New Roman" w:eastAsia="Times New Roman" w:hAnsi="Times New Roman"/>
          <w:i/>
          <w:iCs/>
          <w:sz w:val="22"/>
          <w:szCs w:val="22"/>
        </w:rPr>
        <w:t xml:space="preserve">Viña del Mar, Chile | dstjepovicg@gmail.com</w:t>
      </w:r>
    </w:p>
    <w:p>
      <w:pPr>
        <w:spacing w:after="600"/>
        <w:jc w:val="center"/>
      </w:pPr>
      <w:r>
        <w:rPr>
          <w:rFonts w:ascii="Times New Roman" w:cs="Times New Roman" w:eastAsia="Times New Roman" w:hAnsi="Times New Roman"/>
          <w:i/>
          <w:iCs/>
          <w:color w:val="888888"/>
          <w:sz w:val="20"/>
          <w:szCs w:val="20"/>
        </w:rPr>
        <w:t xml:space="preserve">Perspectives/Opinion — Target: Frontiers in Computational Neuroscience</w:t>
      </w:r>
    </w:p>
    <w:p>
      <w:pPr>
        <w:pStyle w:val="Heading1"/>
        <w:spacing w:after="160" w:before="320"/>
      </w:pPr>
      <w:r>
        <w:rPr>
          <w:rFonts w:ascii="Times New Roman" w:cs="Times New Roman" w:eastAsia="Times New Roman" w:hAnsi="Times New Roman"/>
          <w:b/>
          <w:bCs/>
          <w:sz w:val="28"/>
          <w:szCs w:val="28"/>
        </w:rPr>
        <w:t xml:space="preserve">Abstract</w:t>
      </w:r>
    </w:p>
    <w:p>
      <w:pPr>
        <w:spacing w:after="200" w:line="360"/>
        <w:jc w:val="both"/>
      </w:pPr>
      <w:r>
        <w:rPr>
          <w:rFonts w:ascii="Times New Roman" w:cs="Times New Roman" w:eastAsia="Times New Roman" w:hAnsi="Times New Roman"/>
          <w:sz w:val="24"/>
          <w:szCs w:val="24"/>
        </w:rPr>
        <w:t xml:space="preserve">Cortical signal integration fails not because signals are absent, but because the receiving system cannot sustain the dynamical state required for integration. This paper formalizes that claim within the Cortical Informational Field Theory (CIFT), introducing the concept of dynamic state validation: a continuous, state-dependent process by which the cortical field Φ(x,t) selects which perturbations can be sustained as functional trajectories and which dissipate as noise. We derive two simultaneous necessary conditions for successful integration: C1[Φ], requiring a globally ordered phase (λ &gt; 0, Φ* &gt; 0), and C2[Φ], requiring spatially differentiated content (δΦ(x,t) ≠ 0). Both conditions are encoded in the Stjepovic equation — a Ginzburg-Landau gradient-flow governing cortical field evolution — and both can fail independently, producing distinct signatures across the subcritical, near-critical, and supercritical regimes.</w:t>
      </w:r>
    </w:p>
    <w:p>
      <w:pPr>
        <w:spacing w:after="200" w:line="360"/>
        <w:jc w:val="both"/>
      </w:pPr>
      <w:r>
        <w:rPr>
          <w:rFonts w:ascii="Times New Roman" w:cs="Times New Roman" w:eastAsia="Times New Roman" w:hAnsi="Times New Roman"/>
          <w:sz w:val="24"/>
          <w:szCs w:val="24"/>
        </w:rPr>
        <w:t xml:space="preserve">We situate this framework within the empirical literature on brain criticality (Cocchi et al., 2017; Yao et al., 2022; Boly et al., 2025), which establishes that proximity to the critical point predicts cognitive performance and that deviations from criticality impair signal integration across multiple domains. Within CIFT, the near-critical regime — RC³ (Quasi-Critical Cortical Regime) — is identified as a specific failure mode of dynamic state validation: both C1[Φ] and C2[Φ] are transiently satisfied but temporally unstable, producing the characteristic pattern of high sensitivity, variable persistence, and intermittent executive breakdown observed in ADHD.</w:t>
      </w:r>
    </w:p>
    <w:p>
      <w:pPr>
        <w:spacing w:after="200" w:line="360"/>
        <w:jc w:val="both"/>
      </w:pPr>
      <w:r>
        <w:rPr>
          <w:rFonts w:ascii="Times New Roman" w:cs="Times New Roman" w:eastAsia="Times New Roman" w:hAnsi="Times New Roman"/>
          <w:sz w:val="24"/>
          <w:szCs w:val="24"/>
        </w:rPr>
        <w:t xml:space="preserve">This perspective generates three falsifiable predictions: (1) RC³ individuals should exhibit elevated coherence length ξ and reduced N_eff in resting-state EEG/MEG relative to neurotypical controls; (2) methylphenidate and caffeine should produce measurable shifts in ξ and R rather than changes in event-related potentials; and (3) trial-by-trial behavioral variability in RC³ should correlate with temporal fluctuations in C1[Φ], not with signal characteristics. Together, these predictions reframe ADHD as a disorder of state regulation rather than signal deficit — and reframe the unit of analysis in complex neural systems from transmission to integration.</w:t>
      </w:r>
    </w:p>
    <w:p>
      <w:pPr>
        <w:spacing w:after="200" w:line="360"/>
        <w:jc w:val="both"/>
      </w:pPr>
      <w:r>
        <w:rPr>
          <w:rFonts w:ascii="Times New Roman" w:cs="Times New Roman" w:eastAsia="Times New Roman" w:hAnsi="Times New Roman"/>
          <w:sz w:val="24"/>
          <w:szCs w:val="24"/>
        </w:rPr>
        <w:t xml:space="preserve">Keywords: cortical field theory, brain criticality, dynamic state validation, ADHD, near-critical regime, RC³, Ginzburg-Landau, signal integration, CIFT, Stjepovic equation</w:t>
      </w:r>
    </w:p>
    <w:p>
      <w:pPr>
        <w:pStyle w:val="Heading1"/>
        <w:spacing w:after="160" w:before="320"/>
      </w:pPr>
      <w:r>
        <w:rPr>
          <w:rFonts w:ascii="Times New Roman" w:cs="Times New Roman" w:eastAsia="Times New Roman" w:hAnsi="Times New Roman"/>
          <w:b/>
          <w:bCs/>
          <w:sz w:val="28"/>
          <w:szCs w:val="28"/>
        </w:rPr>
        <w:t xml:space="preserve">1. Introduction: The Classical Account and Its Gap</w:t>
      </w:r>
    </w:p>
    <w:p>
      <w:pPr>
        <w:spacing w:after="200" w:line="360"/>
        <w:jc w:val="both"/>
      </w:pPr>
      <w:r>
        <w:rPr>
          <w:rFonts w:ascii="Times New Roman" w:cs="Times New Roman" w:eastAsia="Times New Roman" w:hAnsi="Times New Roman"/>
          <w:sz w:val="24"/>
          <w:szCs w:val="24"/>
        </w:rPr>
        <w:t xml:space="preserve">The dominant framework for understanding signal integration in neural systems assumes that the critical variable is signal quality. If a stimulus fails to drive behavior, the explanatory resource is deficit: insufficient stimulus strength, degraded transmission, low signal-to-noise ratio. If a signal is present and the system still fails to integrate it, the framework struggles. It either posits additional deficits — attentional gating, executive dysfunction, inhibitory failure — or falls silent.</w:t>
      </w:r>
    </w:p>
    <w:p>
      <w:pPr>
        <w:spacing w:after="200" w:line="360"/>
        <w:jc w:val="both"/>
      </w:pPr>
      <w:r>
        <w:rPr>
          <w:rFonts w:ascii="Times New Roman" w:cs="Times New Roman" w:eastAsia="Times New Roman" w:hAnsi="Times New Roman"/>
          <w:sz w:val="24"/>
          <w:szCs w:val="24"/>
        </w:rPr>
        <w:t xml:space="preserve">This paper proposes that the classical account is incomplete in a specific, formalizable way. Signal integration in a cortical system is not a function of the signal alone. It is a joint function of the signal and the dynamical state of the receiving system at the moment of arrival. The same signal, arriving at two different moments in the evolution of Φ(x,t), may be integrated in one case and dissipated in the other — not because of anything about the signal, but because of whether the field satisfies the conditions necessary to sustain a trajectory.</w:t>
      </w:r>
    </w:p>
    <w:p>
      <w:pPr>
        <w:spacing w:after="200" w:line="360"/>
        <w:jc w:val="both"/>
      </w:pPr>
      <w:r>
        <w:rPr>
          <w:rFonts w:ascii="Times New Roman" w:cs="Times New Roman" w:eastAsia="Times New Roman" w:hAnsi="Times New Roman"/>
          <w:sz w:val="24"/>
          <w:szCs w:val="24"/>
        </w:rPr>
        <w:t xml:space="preserve">This claim is not new as an intuition. It appears in clinical descriptions of ADHD as state-dependent attention, in the neuroscience of vigilance as moment-to-moment fluctuations in responsiveness, and in the philosophy of mind as the distinction between access and phenomenal consciousness. What is new in this paper is the formalization: we derive, from the Stjepovic equation within the CIFT framework, two necessary conditions — C1[Φ] and C2[Φ] — whose joint satisfaction is required for successful dynamic state validation. We then show that the near-critical regime RC³ constitutes a chronic failure mode of these conditions, and we generate three quantitative predictions that follow.</w:t>
      </w:r>
    </w:p>
    <w:p>
      <w:pPr>
        <w:pStyle w:val="Heading1"/>
        <w:spacing w:after="160" w:before="320"/>
      </w:pPr>
      <w:r>
        <w:rPr>
          <w:rFonts w:ascii="Times New Roman" w:cs="Times New Roman" w:eastAsia="Times New Roman" w:hAnsi="Times New Roman"/>
          <w:b/>
          <w:bCs/>
          <w:sz w:val="28"/>
          <w:szCs w:val="28"/>
        </w:rPr>
        <w:t xml:space="preserve">2. Classical Signal Verification and Its Limitations</w:t>
      </w:r>
    </w:p>
    <w:p>
      <w:pPr>
        <w:spacing w:after="200" w:line="360"/>
        <w:jc w:val="both"/>
      </w:pPr>
      <w:r>
        <w:rPr>
          <w:rFonts w:ascii="Times New Roman" w:cs="Times New Roman" w:eastAsia="Times New Roman" w:hAnsi="Times New Roman"/>
          <w:sz w:val="24"/>
          <w:szCs w:val="24"/>
        </w:rPr>
        <w:t xml:space="preserve">The classical approach to signal verification treats integration as a threshold problem. A signal exceeds threshold or it does not. If it exceeds threshold, it is integrated; if not, it is filtered. The cortical system is modeled as a filter bank with variable gain, and failures of integration are modeled as gain reductions, attentional blinks, or inhibitory interference.</w:t>
      </w:r>
    </w:p>
    <w:p>
      <w:pPr>
        <w:spacing w:after="200" w:line="360"/>
        <w:jc w:val="both"/>
      </w:pPr>
      <w:r>
        <w:rPr>
          <w:rFonts w:ascii="Times New Roman" w:cs="Times New Roman" w:eastAsia="Times New Roman" w:hAnsi="Times New Roman"/>
          <w:sz w:val="24"/>
          <w:szCs w:val="24"/>
        </w:rPr>
        <w:t xml:space="preserve">This model is empirically productive for many purposes. It explains priming, masking, and attentional cueing effects. But it has a structural limitation: it treats the cortical system as a passive filter whose properties change slowly relative to the timescale of individual signals. In reality, the cortical field Φ(x,t) evolves continuously, and its dynamical state at the moment of signal arrival determines whether that signal can be sustained as a trajectory.</w:t>
      </w:r>
    </w:p>
    <w:p>
      <w:pPr>
        <w:spacing w:after="200" w:line="360"/>
        <w:jc w:val="both"/>
      </w:pPr>
      <w:r>
        <w:rPr>
          <w:rFonts w:ascii="Times New Roman" w:cs="Times New Roman" w:eastAsia="Times New Roman" w:hAnsi="Times New Roman"/>
          <w:sz w:val="24"/>
          <w:szCs w:val="24"/>
        </w:rPr>
        <w:t xml:space="preserve">The key datum that motivates this paper is the phenomenon of state-dependent integration variability. In ADHD, the same individual on the same task shows high trial-to-trial variability in response time and accuracy that is not explained by signal characteristics or motivational factors. Signal-based models predict that variability should correlate with signal properties; state-based models predict that it should correlate with fluctuations in the dynamical state of the field. This distinction is measurable, and we formalize it as Prediction 3 in §5.</w:t>
      </w:r>
    </w:p>
    <w:p>
      <w:pPr>
        <w:pStyle w:val="Heading1"/>
        <w:spacing w:after="160" w:before="320"/>
      </w:pPr>
      <w:r>
        <w:rPr>
          <w:rFonts w:ascii="Times New Roman" w:cs="Times New Roman" w:eastAsia="Times New Roman" w:hAnsi="Times New Roman"/>
          <w:b/>
          <w:bCs/>
          <w:sz w:val="28"/>
          <w:szCs w:val="28"/>
        </w:rPr>
        <w:t xml:space="preserve">3. The Quantum Analogy Revisited — and Its Limits</w:t>
      </w:r>
    </w:p>
    <w:p>
      <w:pPr>
        <w:spacing w:after="200" w:line="360"/>
        <w:jc w:val="both"/>
      </w:pPr>
      <w:r>
        <w:rPr>
          <w:rFonts w:ascii="Times New Roman" w:cs="Times New Roman" w:eastAsia="Times New Roman" w:hAnsi="Times New Roman"/>
          <w:sz w:val="24"/>
          <w:szCs w:val="24"/>
        </w:rPr>
        <w:t xml:space="preserve">A tempting analogy for dynamic state validation is quantum measurement: the state of the measuring system constrains what can be observed. A detector in the wrong state registers nothing, regardless of what arrives. The analogy has rhetorical force — it captures the asymmetry between signal and state — but it is misleading if taken literally.</w:t>
      </w:r>
    </w:p>
    <w:p>
      <w:pPr>
        <w:spacing w:after="200" w:line="360"/>
        <w:jc w:val="both"/>
      </w:pPr>
      <w:r>
        <w:rPr>
          <w:rFonts w:ascii="Times New Roman" w:cs="Times New Roman" w:eastAsia="Times New Roman" w:hAnsi="Times New Roman"/>
          <w:sz w:val="24"/>
          <w:szCs w:val="24"/>
        </w:rPr>
        <w:t xml:space="preserve">Quantum measurement collapses a superposition into an eigenstate. Cortical field dynamics do not collapse — they evolve continuously according to deterministic gradient flow plus stochastic noise. The Stjepovic equation is not a Schrödinger equation; Φ is not a wavefunction; C1[Φ] and C2[Φ] are not measurement operators. The analogy fails at the level of mathematical structure.</w:t>
      </w:r>
    </w:p>
    <w:p>
      <w:pPr>
        <w:spacing w:after="200" w:line="360"/>
        <w:jc w:val="both"/>
      </w:pPr>
      <w:r>
        <w:rPr>
          <w:rFonts w:ascii="Times New Roman" w:cs="Times New Roman" w:eastAsia="Times New Roman" w:hAnsi="Times New Roman"/>
          <w:sz w:val="24"/>
          <w:szCs w:val="24"/>
        </w:rPr>
        <w:t xml:space="preserve">What survives from the analogy is the conceptual point: the state of the receiving system is a necessary condition for integration, not an epiphenomenon. We retain this point and discard the quantum formalism. The remainder of this paper develops the correct formal account in terms of Ginzburg-Landau dynamics.</w:t>
      </w:r>
    </w:p>
    <w:p>
      <w:pPr>
        <w:pStyle w:val="Heading1"/>
        <w:spacing w:after="160" w:before="320"/>
      </w:pPr>
      <w:r>
        <w:rPr>
          <w:rFonts w:ascii="Times New Roman" w:cs="Times New Roman" w:eastAsia="Times New Roman" w:hAnsi="Times New Roman"/>
          <w:b/>
          <w:bCs/>
          <w:sz w:val="28"/>
          <w:szCs w:val="28"/>
        </w:rPr>
        <w:t xml:space="preserve">4. Cortical Criticality: Empirical Anchoring</w:t>
      </w:r>
    </w:p>
    <w:p>
      <w:pPr>
        <w:pStyle w:val="Heading2"/>
        <w:spacing w:after="120" w:before="240"/>
      </w:pPr>
      <w:r>
        <w:rPr>
          <w:rFonts w:ascii="Times New Roman" w:cs="Times New Roman" w:eastAsia="Times New Roman" w:hAnsi="Times New Roman"/>
          <w:b/>
          <w:bCs/>
          <w:i/>
          <w:iCs/>
          <w:sz w:val="24"/>
          <w:szCs w:val="24"/>
        </w:rPr>
        <w:t xml:space="preserve">4.1 The Criticality Literature</w:t>
      </w:r>
    </w:p>
    <w:p>
      <w:pPr>
        <w:spacing w:after="200" w:line="360"/>
        <w:jc w:val="both"/>
      </w:pPr>
      <w:r>
        <w:rPr>
          <w:rFonts w:ascii="Times New Roman" w:cs="Times New Roman" w:eastAsia="Times New Roman" w:hAnsi="Times New Roman"/>
          <w:sz w:val="24"/>
          <w:szCs w:val="24"/>
        </w:rPr>
        <w:t xml:space="preserve">The hypothesis that the cortical system operates near a critical point has accumulated substantial empirical support over the past two decades. Cocchi et al. (2017) demonstrated that proximity to criticality in fMRI data predicts cognitive performance across individuals, with deviations from the critical point in either direction impairing integration. Yao et al. (2022) showed that EEG-based measures of criticality distinguish healthy aging from pathological cognitive decline, with the critical point acting as an attractor for the healthy system. Boly et al. (2025) established that disorders of consciousness are associated with systematic deviations from criticality in the direction of subcriticality.</w:t>
      </w:r>
    </w:p>
    <w:p>
      <w:pPr>
        <w:spacing w:after="200" w:line="360"/>
        <w:jc w:val="both"/>
      </w:pPr>
      <w:r>
        <w:rPr>
          <w:rFonts w:ascii="Times New Roman" w:cs="Times New Roman" w:eastAsia="Times New Roman" w:hAnsi="Times New Roman"/>
          <w:sz w:val="24"/>
          <w:szCs w:val="24"/>
        </w:rPr>
        <w:t xml:space="preserve">Within this literature, the near-critical regime is understood as the operating point that maximizes information transmission, dynamic range, and sensitivity to inputs (Shew &amp; Plenz, 2013). Deviations toward subcriticality reduce sensitivity; deviations toward supercriticality produce runaway activity. The critical point is where the system is most responsive to incoming signals.</w:t>
      </w:r>
    </w:p>
    <w:p>
      <w:pPr>
        <w:spacing w:after="200" w:line="360"/>
        <w:jc w:val="both"/>
      </w:pPr>
      <w:r>
        <w:rPr>
          <w:rFonts w:ascii="Times New Roman" w:cs="Times New Roman" w:eastAsia="Times New Roman" w:hAnsi="Times New Roman"/>
          <w:sz w:val="24"/>
          <w:szCs w:val="24"/>
        </w:rPr>
        <w:t xml:space="preserve">CIFT situates this empirical finding within a formal theoretical framework. The Stjepovic equation specifies the dynamics of the order parameter Φ(x,t) across this critical point, and the conditions C1[Φ] and C2[Φ] formalize when the system is capable of sustained integration.</w:t>
      </w:r>
    </w:p>
    <w:p>
      <w:pPr>
        <w:pStyle w:val="Heading2"/>
        <w:spacing w:after="120" w:before="240"/>
      </w:pPr>
      <w:r>
        <w:rPr>
          <w:rFonts w:ascii="Times New Roman" w:cs="Times New Roman" w:eastAsia="Times New Roman" w:hAnsi="Times New Roman"/>
          <w:b/>
          <w:bCs/>
          <w:i/>
          <w:iCs/>
          <w:sz w:val="24"/>
          <w:szCs w:val="24"/>
        </w:rPr>
        <w:t xml:space="preserve">4.2 The RC³ Regime as a Failure Mode</w:t>
      </w:r>
    </w:p>
    <w:p>
      <w:pPr>
        <w:spacing w:after="200" w:line="360"/>
        <w:jc w:val="both"/>
      </w:pPr>
      <w:r>
        <w:rPr>
          <w:rFonts w:ascii="Times New Roman" w:cs="Times New Roman" w:eastAsia="Times New Roman" w:hAnsi="Times New Roman"/>
          <w:sz w:val="24"/>
          <w:szCs w:val="24"/>
        </w:rPr>
        <w:t xml:space="preserve">Within CIFT, the near-critical regime RC³ is not simply the optimal operating point. It is also a specific failure mode — one where the conditions for integration are transiently met but not sustained. The coherence length ξ is large (high sensitivity) but the relaxation timescale τ_rel ~ ξ²/D is short, meaning that perturbations to C1[Φ] or C2[Φ] are quickly amplified and the system transitions between integrated and fragmented states on timescales of hundreds of milliseconds.</w:t>
      </w:r>
    </w:p>
    <w:p>
      <w:pPr>
        <w:spacing w:after="200" w:line="360"/>
        <w:jc w:val="both"/>
      </w:pPr>
      <w:r>
        <w:rPr>
          <w:rFonts w:ascii="Times New Roman" w:cs="Times New Roman" w:eastAsia="Times New Roman" w:hAnsi="Times New Roman"/>
          <w:sz w:val="24"/>
          <w:szCs w:val="24"/>
        </w:rPr>
        <w:t xml:space="preserve">This produces the characteristic phenomenology of ADHD: high sensitivity to salient stimuli (the near-critical system is maximally responsive), rapid disengagement from non-salient tasks (C1[Φ] is not sustained without ongoing input), and high trial-to-trial variability (the system crosses the critical point in both directions during task performance). These are not deficits in any classical sense — they are consequences of operating near the critical point with insufficient stabilization mechanisms.</w:t>
      </w:r>
    </w:p>
    <w:p>
      <w:pPr>
        <w:pStyle w:val="Heading1"/>
        <w:spacing w:after="160" w:before="320"/>
      </w:pPr>
      <w:r>
        <w:rPr>
          <w:rFonts w:ascii="Times New Roman" w:cs="Times New Roman" w:eastAsia="Times New Roman" w:hAnsi="Times New Roman"/>
          <w:b/>
          <w:bCs/>
          <w:sz w:val="28"/>
          <w:szCs w:val="28"/>
        </w:rPr>
        <w:t xml:space="preserve">5. Dynamic State Validation: C1[Φ] and C2[Φ]</w:t>
      </w:r>
    </w:p>
    <w:p>
      <w:pPr>
        <w:pStyle w:val="Heading2"/>
        <w:spacing w:after="120" w:before="240"/>
      </w:pPr>
      <w:r>
        <w:rPr>
          <w:rFonts w:ascii="Times New Roman" w:cs="Times New Roman" w:eastAsia="Times New Roman" w:hAnsi="Times New Roman"/>
          <w:b/>
          <w:bCs/>
          <w:i/>
          <w:iCs/>
          <w:sz w:val="24"/>
          <w:szCs w:val="24"/>
        </w:rPr>
        <w:t xml:space="preserve">5.1 The Stjepovic Equation</w:t>
      </w:r>
    </w:p>
    <w:p>
      <w:pPr>
        <w:spacing w:after="200" w:line="360"/>
        <w:jc w:val="both"/>
      </w:pPr>
      <w:r>
        <w:rPr>
          <w:rFonts w:ascii="Times New Roman" w:cs="Times New Roman" w:eastAsia="Times New Roman" w:hAnsi="Times New Roman"/>
          <w:sz w:val="24"/>
          <w:szCs w:val="24"/>
        </w:rPr>
        <w:t xml:space="preserve">The formal basis of CIFT is the Stjepovic equation, derived from coarse-graining of stochastic neural population dynamics over a two-dimensional cortical surface (Stjepovic, 2025a):</w:t>
      </w:r>
    </w:p>
    <w:p>
      <w:pPr>
        <w:spacing w:after="140" w:before="140"/>
        <w:jc w:val="center"/>
      </w:pPr>
      <w:r>
        <w:rPr>
          <w:rFonts w:ascii="Times New Roman" w:cs="Times New Roman" w:eastAsia="Times New Roman" w:hAnsi="Times New Roman"/>
          <w:i/>
          <w:iCs/>
          <w:sz w:val="24"/>
          <w:szCs w:val="24"/>
        </w:rPr>
        <w:t xml:space="preserve">∂Φ/∂t = D∇²Φ + λΦ − βΦ³ + η(x,t)</w:t>
      </w:r>
    </w:p>
    <w:p>
      <w:pPr>
        <w:spacing w:after="200" w:line="360"/>
        <w:jc w:val="both"/>
      </w:pPr>
      <w:r>
        <w:rPr>
          <w:rFonts w:ascii="Times New Roman" w:cs="Times New Roman" w:eastAsia="Times New Roman" w:hAnsi="Times New Roman"/>
          <w:sz w:val="24"/>
          <w:szCs w:val="24"/>
        </w:rPr>
        <w:t xml:space="preserve">where Φ(x,t) is the cortical order parameter field (units: bits/mm²), λ is the control parameter (excitation-inhibition balance), D is the diffusion coefficient (effective cortical coupling), β &gt; 0 ensures stability, and η(x,t) is zero-mean Gaussian noise. The equation belongs to the Model A universality class (Hohenberg &amp; Halperin, 1977) and admits a Landau potential V(Φ) = (λ/2)Φ² + (β/4)Φ⁴, whose geometry determines the attractor structure of the field.</w:t>
      </w:r>
    </w:p>
    <w:p>
      <w:pPr>
        <w:spacing w:after="200" w:line="360"/>
        <w:jc w:val="both"/>
      </w:pPr>
      <w:r>
        <w:rPr>
          <w:rFonts w:ascii="Times New Roman" w:cs="Times New Roman" w:eastAsia="Times New Roman" w:hAnsi="Times New Roman"/>
          <w:sz w:val="24"/>
          <w:szCs w:val="24"/>
        </w:rPr>
        <w:t xml:space="preserve">The sign of λ partitions the state space into three regimes: subcritical (λ &lt; 0, single attractor at Φ = 0), near-critical (λ ≈ 0, flat potential), and ordered (λ &gt; 0, double-well potential with attractors at Φ* = ±√(λ/β)). The transition between regimes is a continuous phase transition in the GL sense.</w:t>
      </w:r>
    </w:p>
    <w:p>
      <w:pPr>
        <w:pStyle w:val="Heading2"/>
        <w:spacing w:after="120" w:before="240"/>
      </w:pPr>
      <w:r>
        <w:rPr>
          <w:rFonts w:ascii="Times New Roman" w:cs="Times New Roman" w:eastAsia="Times New Roman" w:hAnsi="Times New Roman"/>
          <w:b/>
          <w:bCs/>
          <w:i/>
          <w:iCs/>
          <w:sz w:val="24"/>
          <w:szCs w:val="24"/>
        </w:rPr>
        <w:t xml:space="preserve">5.2 Condition C1[Φ]: The Ordered Phase</w:t>
      </w:r>
    </w:p>
    <w:p>
      <w:pPr>
        <w:spacing w:after="200" w:line="360"/>
        <w:jc w:val="both"/>
      </w:pPr>
      <w:r>
        <w:rPr>
          <w:rFonts w:ascii="Times New Roman" w:cs="Times New Roman" w:eastAsia="Times New Roman" w:hAnsi="Times New Roman"/>
          <w:sz w:val="24"/>
          <w:szCs w:val="24"/>
        </w:rPr>
        <w:t xml:space="preserve">The first necessary condition for dynamic state validation is C1[Φ]: the cortical field must be in the ordered phase, with λ &gt; 0 and Φ* &gt; 0. This condition formalizes the requirement for sustained macroscopic integration: without a non-trivial fixed point, any perturbation to the field dissipates to zero, and no signal can generate a sustained trajectory.</w:t>
      </w:r>
    </w:p>
    <w:p>
      <w:pPr>
        <w:spacing w:after="200" w:line="360"/>
        <w:jc w:val="both"/>
      </w:pPr>
      <w:r>
        <w:rPr>
          <w:rFonts w:ascii="Times New Roman" w:cs="Times New Roman" w:eastAsia="Times New Roman" w:hAnsi="Times New Roman"/>
          <w:sz w:val="24"/>
          <w:szCs w:val="24"/>
        </w:rPr>
        <w:t xml:space="preserve">C1[Φ] fails in two distinct ways. In the subcritical regime (λ &lt; 0), the system is trapped at Φ = 0 regardless of input — no signal can drive integration because the attractor prevents it. In the near-critical regime (λ ≈ 0), C1[Φ] is marginally met — the fixed point exists but is shallow, and small fluctuations in λ (from arousal, fatigue, or pharmacological perturbation) can push the system into the subcritical regime transiently.</w:t>
      </w:r>
    </w:p>
    <w:p>
      <w:pPr>
        <w:pStyle w:val="Heading2"/>
        <w:spacing w:after="120" w:before="240"/>
      </w:pPr>
      <w:r>
        <w:rPr>
          <w:rFonts w:ascii="Times New Roman" w:cs="Times New Roman" w:eastAsia="Times New Roman" w:hAnsi="Times New Roman"/>
          <w:b/>
          <w:bCs/>
          <w:i/>
          <w:iCs/>
          <w:sz w:val="24"/>
          <w:szCs w:val="24"/>
        </w:rPr>
        <w:t xml:space="preserve">5.3 Condition C2[Φ]: Spatial Differentiation</w:t>
      </w:r>
    </w:p>
    <w:p>
      <w:pPr>
        <w:spacing w:after="200" w:line="360"/>
        <w:jc w:val="both"/>
      </w:pPr>
      <w:r>
        <w:rPr>
          <w:rFonts w:ascii="Times New Roman" w:cs="Times New Roman" w:eastAsia="Times New Roman" w:hAnsi="Times New Roman"/>
          <w:sz w:val="24"/>
          <w:szCs w:val="24"/>
        </w:rPr>
        <w:t xml:space="preserve">The second necessary condition is C2[Φ]: the field must exhibit non-trivial spatial structure, with δΦ(x,t) ≠ 0 — meaning that different cortical regions encode different content. A globally uniform field (δΦ = 0) satisfies C1[Φ] if λ &gt; 0, but carries no information: it is ordered but undifferentiated, like a ferromagnet below the Curie temperature with all spins aligned.</w:t>
      </w:r>
    </w:p>
    <w:p>
      <w:pPr>
        <w:spacing w:after="200" w:line="360"/>
        <w:jc w:val="both"/>
      </w:pPr>
      <w:r>
        <w:rPr>
          <w:rFonts w:ascii="Times New Roman" w:cs="Times New Roman" w:eastAsia="Times New Roman" w:hAnsi="Times New Roman"/>
          <w:sz w:val="24"/>
          <w:szCs w:val="24"/>
        </w:rPr>
        <w:t xml:space="preserve">C2[Φ] is operationalized by the coherence length ξ and the structural capacity N_eff ~ A/ξ²: the number of effectively independent cortical domains. When ξ is large relative to the cortical area A, N_eff is small and spatial differentiation is limited. When ξ is at its optimal value (the critical point), N_eff is maximized and the system can sustain the richest possible spatial structure.</w:t>
      </w:r>
    </w:p>
    <w:p>
      <w:pPr>
        <w:spacing w:after="200" w:line="360"/>
        <w:jc w:val="both"/>
      </w:pPr>
      <w:r>
        <w:rPr>
          <w:rFonts w:ascii="Times New Roman" w:cs="Times New Roman" w:eastAsia="Times New Roman" w:hAnsi="Times New Roman"/>
          <w:sz w:val="24"/>
          <w:szCs w:val="24"/>
        </w:rPr>
        <w:t xml:space="preserve">In RC³, C2[Φ] is intermittently met: ξ is large (near-critical sensitivity is high), but the shallow potential means that spatial patterns dissipate rapidly. The system can form differentiated states but cannot sustain them — exactly the profile of transient attention and rapid disengagement that characterizes ADHD.</w:t>
      </w:r>
    </w:p>
    <w:p>
      <w:pPr>
        <w:pStyle w:val="Heading2"/>
        <w:spacing w:after="120" w:before="240"/>
      </w:pPr>
      <w:r>
        <w:rPr>
          <w:rFonts w:ascii="Times New Roman" w:cs="Times New Roman" w:eastAsia="Times New Roman" w:hAnsi="Times New Roman"/>
          <w:b/>
          <w:bCs/>
          <w:i/>
          <w:iCs/>
          <w:sz w:val="24"/>
          <w:szCs w:val="24"/>
        </w:rPr>
        <w:t xml:space="preserve">5.4 The Relaxation Timescale τ_rel</w:t>
      </w:r>
    </w:p>
    <w:p>
      <w:pPr>
        <w:spacing w:after="200" w:line="360"/>
        <w:jc w:val="both"/>
      </w:pPr>
      <w:r>
        <w:rPr>
          <w:rFonts w:ascii="Times New Roman" w:cs="Times New Roman" w:eastAsia="Times New Roman" w:hAnsi="Times New Roman"/>
          <w:sz w:val="24"/>
          <w:szCs w:val="24"/>
        </w:rPr>
        <w:t xml:space="preserve">The joint failure mode of C1[Φ] and C2[Φ] in RC³ is mediated by the relaxation timescale τ_rel ~ ξ²/D. Near the critical point, ξ → ∞ (critical slowing), which means that τ_rel → ∞ in the thermodynamic limit. In practice, the cortex operates far from the thermodynamic limit, and ξ is bounded by cortical geometry. Nevertheless, in RC³ the relaxation timescale is longer than in the subcritical regime and shorter than in the deeply ordered regime — producing the characteristic feature of high sensitivity but low persistence.</w:t>
      </w:r>
    </w:p>
    <w:p>
      <w:pPr>
        <w:spacing w:after="200" w:line="360"/>
        <w:jc w:val="both"/>
      </w:pPr>
      <w:r>
        <w:rPr>
          <w:rFonts w:ascii="Times New Roman" w:cs="Times New Roman" w:eastAsia="Times New Roman" w:hAnsi="Times New Roman"/>
          <w:sz w:val="24"/>
          <w:szCs w:val="24"/>
        </w:rPr>
        <w:t xml:space="preserve">This has a direct implication for executive function. A task that requires sustained integration — maintaining a goal state while processing incoming information — requires that C1[Φ] and C2[Φ] both remain satisfied for the duration of the task. In RC³, the probability of both conditions being satisfied simultaneously decreases exponentially with task duration, producing the characteristic profile of ADHD: performance that is initially strong but degrades with time-on-task.</w:t>
      </w:r>
    </w:p>
    <w:p>
      <w:pPr>
        <w:spacing w:after="160"/>
      </w:pPr>
      <w:r>
        <w:t xml:space="preserve"/>
      </w:r>
    </w:p>
    <w:p>
      <w:pPr>
        <w:spacing w:after="80" w:before="160"/>
        <w:jc w:val="center"/>
      </w:pPr>
      <w:r>
        <w:drawing>
          <wp:inline distT="0" distB="0" distL="0" distR="0">
            <wp:extent cx="5524500" cy="2076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5524500" cy="2076450"/>
                    </a:xfrm>
                    <a:prstGeom prst="rect">
                      <a:avLst/>
                    </a:prstGeom>
                  </pic:spPr>
                </pic:pic>
              </a:graphicData>
            </a:graphic>
          </wp:inline>
        </w:drawing>
      </w:r>
    </w:p>
    <w:p>
      <w:pPr>
        <w:spacing w:after="240" w:before="80"/>
        <w:jc w:val="center"/>
      </w:pPr>
      <w:r>
        <w:rPr>
          <w:rFonts w:ascii="Times New Roman" w:cs="Times New Roman" w:eastAsia="Times New Roman" w:hAnsi="Times New Roman"/>
          <w:i/>
          <w:iCs/>
          <w:sz w:val="20"/>
          <w:szCs w:val="20"/>
        </w:rPr>
        <w:t xml:space="preserve">Figure 1. Left panel: Landau potential V(Φ) across three cortical regimes. Subcritical (λ &lt; 0, red): single attractor at Φ = 0, C1[Φ] fails. Near-critical RC³ (λ ≈ 0, blue): flat potential, C1[Φ] and C2[Φ] transiently met. Ordered (λ &gt; 0, green): double-well with stable attractors at Φ*, both conditions met sustainably. Right panel: coherence length ξ and structural capacity N_eff as functions of λ_eff. The RC³ zone (shaded) corresponds to large ξ but shallow potential — high sensitivity, low persistence.</w:t>
      </w:r>
    </w:p>
    <w:p>
      <w:pPr>
        <w:spacing w:after="160"/>
      </w:pPr>
      <w:r>
        <w:t xml:space="preserve"/>
      </w:r>
    </w:p>
    <w:p>
      <w:pPr>
        <w:pStyle w:val="Heading1"/>
        <w:spacing w:after="160" w:before="320"/>
      </w:pPr>
      <w:r>
        <w:rPr>
          <w:rFonts w:ascii="Times New Roman" w:cs="Times New Roman" w:eastAsia="Times New Roman" w:hAnsi="Times New Roman"/>
          <w:b/>
          <w:bCs/>
          <w:sz w:val="28"/>
          <w:szCs w:val="28"/>
        </w:rPr>
        <w:t xml:space="preserve">6. Situating RC³ Within the Criticality Literature</w:t>
      </w:r>
    </w:p>
    <w:p>
      <w:pPr>
        <w:spacing w:after="200" w:line="360"/>
        <w:jc w:val="both"/>
      </w:pPr>
      <w:r>
        <w:rPr>
          <w:rFonts w:ascii="Times New Roman" w:cs="Times New Roman" w:eastAsia="Times New Roman" w:hAnsi="Times New Roman"/>
          <w:sz w:val="24"/>
          <w:szCs w:val="24"/>
        </w:rPr>
        <w:t xml:space="preserve">The identification of RC³ as a near-critical failure mode is consistent with — but more specific than — existing accounts of ADHD and brain criticality. Palva et al. (2013) showed that scale-free dynamics in MEG data predict individual differences in working memory capacity, with near-critical individuals showing elevated DFA exponents (H ≈ 0.7–0.8) compared to subcritical (H ≈ 0.5) controls. Smit et al. (2011) demonstrated that genetic factors account for a substantial fraction of variance in EEG measures of criticality, consistent with RC³ as a heritable cortical architecture.</w:t>
      </w:r>
    </w:p>
    <w:p>
      <w:pPr>
        <w:spacing w:after="200" w:line="360"/>
        <w:jc w:val="both"/>
      </w:pPr>
      <w:r>
        <w:rPr>
          <w:rFonts w:ascii="Times New Roman" w:cs="Times New Roman" w:eastAsia="Times New Roman" w:hAnsi="Times New Roman"/>
          <w:sz w:val="24"/>
          <w:szCs w:val="24"/>
        </w:rPr>
        <w:t xml:space="preserve">Hirvonen et al. (2022) showed that ADHD is associated with elevated temporal variability in EEG signal amplitude — precisely the signature predicted by the shallow potential in RC³: C1[Φ] fluctuates, producing high trial-to-trial variability in the cortical state at the moment of signal arrival. This is the empirical signature of dynamic state validation failure, not signal deficit.</w:t>
      </w:r>
    </w:p>
    <w:p>
      <w:pPr>
        <w:spacing w:after="200" w:line="360"/>
        <w:jc w:val="both"/>
      </w:pPr>
      <w:r>
        <w:rPr>
          <w:rFonts w:ascii="Times New Roman" w:cs="Times New Roman" w:eastAsia="Times New Roman" w:hAnsi="Times New Roman"/>
          <w:sz w:val="24"/>
          <w:szCs w:val="24"/>
        </w:rPr>
        <w:t xml:space="preserve">The CIFT account differs from previous criticality accounts of ADHD in one important respect: it provides a mechanism. Previous accounts note the correlation between near-critical dynamics and ADHD symptoms; CIFT explains why near-criticality produces those symptoms — through the specific failure mode of C1[Φ] and C2[Φ] under the shallow potential, with relaxation timescale τ_rel that is too short for sustained integration.</w:t>
      </w:r>
    </w:p>
    <w:p>
      <w:pPr>
        <w:pStyle w:val="Heading1"/>
        <w:spacing w:after="160" w:before="320"/>
      </w:pPr>
      <w:r>
        <w:rPr>
          <w:rFonts w:ascii="Times New Roman" w:cs="Times New Roman" w:eastAsia="Times New Roman" w:hAnsi="Times New Roman"/>
          <w:b/>
          <w:bCs/>
          <w:sz w:val="28"/>
          <w:szCs w:val="28"/>
        </w:rPr>
        <w:t xml:space="preserve">7. CIFT and RC³: The Formal Account</w:t>
      </w:r>
    </w:p>
    <w:p>
      <w:pPr>
        <w:spacing w:after="200" w:line="360"/>
        <w:jc w:val="both"/>
      </w:pPr>
      <w:r>
        <w:rPr>
          <w:rFonts w:ascii="Times New Roman" w:cs="Times New Roman" w:eastAsia="Times New Roman" w:hAnsi="Times New Roman"/>
          <w:sz w:val="24"/>
          <w:szCs w:val="24"/>
        </w:rPr>
        <w:t xml:space="preserve">Within CIFT, RC³ is not a disorder — it is a cortical architecture characterized by a specific position in the (λ, D, ξ) parameter space: λ ≈ 0, ξ large relative to the ordered regime, N_eff lower than the maximum achievable at λ &gt; 0. This architecture has adaptive advantages — high sensitivity to salient stimuli, rapid updating, creative associative processing — that are well documented in the ADHD literature. It has disadvantages — low persistence, high variability, intermittent executive failure — that are the source of clinical difficulty.</w:t>
      </w:r>
    </w:p>
    <w:p>
      <w:pPr>
        <w:spacing w:after="200" w:line="360"/>
        <w:jc w:val="both"/>
      </w:pPr>
      <w:r>
        <w:rPr>
          <w:rFonts w:ascii="Times New Roman" w:cs="Times New Roman" w:eastAsia="Times New Roman" w:hAnsi="Times New Roman"/>
          <w:sz w:val="24"/>
          <w:szCs w:val="24"/>
        </w:rPr>
        <w:t xml:space="preserve">The therapeutic implication of the CIFT account is precise: effective treatment should shift the system toward a more stable ordered regime (increasing λ_eff without overshooting into supercriticality), not normalize it to a different architecture. Methylphenidate, under this account, acts by increasing λ_eff through its effects on catecholaminergic modulation of excitation-inhibition balance — a prediction that is distinct from the classical account (which predicts improvement in signal gain) and measurable via the shift in ξ and N_eff rather than in event-related potentials.</w:t>
      </w:r>
    </w:p>
    <w:p>
      <w:pPr>
        <w:pStyle w:val="Heading1"/>
        <w:spacing w:after="160" w:before="320"/>
      </w:pPr>
      <w:r>
        <w:rPr>
          <w:rFonts w:ascii="Times New Roman" w:cs="Times New Roman" w:eastAsia="Times New Roman" w:hAnsi="Times New Roman"/>
          <w:b/>
          <w:bCs/>
          <w:sz w:val="28"/>
          <w:szCs w:val="28"/>
        </w:rPr>
        <w:t xml:space="preserve">8. Falsifiable Predictions</w:t>
      </w:r>
    </w:p>
    <w:p>
      <w:pPr>
        <w:pStyle w:val="Heading2"/>
        <w:spacing w:after="120" w:before="240"/>
      </w:pPr>
      <w:r>
        <w:rPr>
          <w:rFonts w:ascii="Times New Roman" w:cs="Times New Roman" w:eastAsia="Times New Roman" w:hAnsi="Times New Roman"/>
          <w:b/>
          <w:bCs/>
          <w:i/>
          <w:iCs/>
          <w:sz w:val="24"/>
          <w:szCs w:val="24"/>
        </w:rPr>
        <w:t xml:space="preserve">Prediction 1: ξ and N_eff in Resting-State EEG/MEG</w:t>
      </w:r>
    </w:p>
    <w:p>
      <w:pPr>
        <w:spacing w:after="200" w:line="360"/>
        <w:jc w:val="both"/>
      </w:pPr>
      <w:r>
        <w:rPr>
          <w:rFonts w:ascii="Times New Roman" w:cs="Times New Roman" w:eastAsia="Times New Roman" w:hAnsi="Times New Roman"/>
          <w:sz w:val="24"/>
          <w:szCs w:val="24"/>
        </w:rPr>
        <w:t xml:space="preserve">RC³ individuals should exhibit elevated ξ and reduced N_eff in resting-state EEG or MEG relative to neurotypical controls, reflecting their position near the critical point. Operationally: the DFA exponent H in RC³ should be in the range 0.7–0.85 (near-critical), compared to 0.55–0.65 in neurotypical controls (more deeply ordered). This prediction is directional: we predict elevated, not merely different, scaling exponents. The prediction distinguishes CIFT from signal-deficit accounts, which have no prediction about resting-state scaling exponents.</w:t>
      </w:r>
    </w:p>
    <w:p>
      <w:pPr>
        <w:pStyle w:val="Heading2"/>
        <w:spacing w:after="120" w:before="240"/>
      </w:pPr>
      <w:r>
        <w:rPr>
          <w:rFonts w:ascii="Times New Roman" w:cs="Times New Roman" w:eastAsia="Times New Roman" w:hAnsi="Times New Roman"/>
          <w:b/>
          <w:bCs/>
          <w:i/>
          <w:iCs/>
          <w:sz w:val="24"/>
          <w:szCs w:val="24"/>
        </w:rPr>
        <w:t xml:space="preserve">Prediction 2: Pharmacological Shifts in ξ and R</w:t>
      </w:r>
    </w:p>
    <w:p>
      <w:pPr>
        <w:spacing w:after="200" w:line="360"/>
        <w:jc w:val="both"/>
      </w:pPr>
      <w:r>
        <w:rPr>
          <w:rFonts w:ascii="Times New Roman" w:cs="Times New Roman" w:eastAsia="Times New Roman" w:hAnsi="Times New Roman"/>
          <w:sz w:val="24"/>
          <w:szCs w:val="24"/>
        </w:rPr>
        <w:t xml:space="preserve">Methylphenidate and caffeine, acting as λ_eff modulators, should produce measurable shifts in ξ and R (structural richness R ≈ κA/ξ²) rather than changes in event-related potentials. Specifically: effective doses should reduce ξ (moving the system toward a more stable ordered regime) and increase N_eff and R. Ineffective doses (too low) should produce no change; excessive doses (too high, pushing into supercriticality) should reduce ξ further but reduce performance through loss of sensitivity. This dose-response profile is a specific, quantitative prediction that is not derivable from classical accounts.</w:t>
      </w:r>
    </w:p>
    <w:p>
      <w:pPr>
        <w:pStyle w:val="Heading2"/>
        <w:spacing w:after="120" w:before="240"/>
      </w:pPr>
      <w:r>
        <w:rPr>
          <w:rFonts w:ascii="Times New Roman" w:cs="Times New Roman" w:eastAsia="Times New Roman" w:hAnsi="Times New Roman"/>
          <w:b/>
          <w:bCs/>
          <w:i/>
          <w:iCs/>
          <w:sz w:val="24"/>
          <w:szCs w:val="24"/>
        </w:rPr>
        <w:t xml:space="preserve">Prediction 3: Trial-to-Trial Variability and C1[Φ] Fluctuations</w:t>
      </w:r>
    </w:p>
    <w:p>
      <w:pPr>
        <w:spacing w:after="200" w:line="360"/>
        <w:jc w:val="both"/>
      </w:pPr>
      <w:r>
        <w:rPr>
          <w:rFonts w:ascii="Times New Roman" w:cs="Times New Roman" w:eastAsia="Times New Roman" w:hAnsi="Times New Roman"/>
          <w:sz w:val="24"/>
          <w:szCs w:val="24"/>
        </w:rPr>
        <w:t xml:space="preserve">In RC³ individuals performing a sustained attention task, trial-to-trial behavioral variability should correlate with temporal fluctuations in C1[Φ] — operationalized as fluctuations in the DFA exponent H estimated over sliding 30-second windows. Specifically: trials where C1[Φ] was in a deeply ordered state (H &lt; 0.65) should show faster responses and higher accuracy than trials where C1[Φ] was near-critical (H &gt; 0.75). This prediction dissociates the CIFT account from signal-based accounts: signal-based accounts predict that variability correlates with signal characteristics (stimulus strength, signal-to-noise ratio); CIFT predicts that it correlates with the state of the field at the moment of signal arrival, independent of signal characteristics.</w:t>
      </w:r>
    </w:p>
    <w:p>
      <w:pPr>
        <w:pStyle w:val="Heading1"/>
        <w:spacing w:after="160" w:before="320"/>
      </w:pPr>
      <w:r>
        <w:rPr>
          <w:rFonts w:ascii="Times New Roman" w:cs="Times New Roman" w:eastAsia="Times New Roman" w:hAnsi="Times New Roman"/>
          <w:b/>
          <w:bCs/>
          <w:sz w:val="28"/>
          <w:szCs w:val="28"/>
        </w:rPr>
        <w:t xml:space="preserve">9. Discussion</w:t>
      </w:r>
    </w:p>
    <w:p>
      <w:pPr>
        <w:spacing w:after="200" w:line="360"/>
        <w:jc w:val="both"/>
      </w:pPr>
      <w:r>
        <w:rPr>
          <w:rFonts w:ascii="Times New Roman" w:cs="Times New Roman" w:eastAsia="Times New Roman" w:hAnsi="Times New Roman"/>
          <w:sz w:val="24"/>
          <w:szCs w:val="24"/>
        </w:rPr>
        <w:t xml:space="preserve">The core claim of this paper is that dynamic state validation — the continuous, state-dependent selection of which perturbations can be sustained as functional trajectories — is a necessary condition for cortical signal integration that is distinct from, and not reducible to, signal characteristics. This claim is formalized in the CIFT framework through the conditions C1[Φ] and C2[Φ], and generates three falsifiable predictions that distinguish it from classical signal-deficit accounts.</w:t>
      </w:r>
    </w:p>
    <w:p>
      <w:pPr>
        <w:spacing w:after="200" w:line="360"/>
        <w:jc w:val="both"/>
      </w:pPr>
      <w:r>
        <w:rPr>
          <w:rFonts w:ascii="Times New Roman" w:cs="Times New Roman" w:eastAsia="Times New Roman" w:hAnsi="Times New Roman"/>
          <w:sz w:val="24"/>
          <w:szCs w:val="24"/>
        </w:rPr>
        <w:t xml:space="preserve">The implications extend beyond ADHD. Any condition associated with altered proximity to the critical point — disorders of consciousness (Boly et al., 2025), schizophrenia (characterized by supercritical dynamics), major depression (associated with subcritical slowing) — should produce characteristic signatures of dynamic state validation failure. The CIFT framework provides a unified account of these signatures in terms of the same two conditions, C1[Φ] and C2[Φ], operating in different parameter regimes.</w:t>
      </w:r>
    </w:p>
    <w:p>
      <w:pPr>
        <w:spacing w:after="200" w:line="360"/>
        <w:jc w:val="both"/>
      </w:pPr>
      <w:r>
        <w:rPr>
          <w:rFonts w:ascii="Times New Roman" w:cs="Times New Roman" w:eastAsia="Times New Roman" w:hAnsi="Times New Roman"/>
          <w:sz w:val="24"/>
          <w:szCs w:val="24"/>
        </w:rPr>
        <w:t xml:space="preserve">A limitation of the present account is that the mapping between λ_eff and specific neurobiological mechanisms remains partially specified. The identification of λ_eff with excitation-inhibition balance is a theoretical proposal that requires systematic validation across different cortical areas, developmental stages, and pharmacological conditions. The experimental program implied by Predictions 1–3 provides a starting point for this validation.</w:t>
      </w:r>
    </w:p>
    <w:p>
      <w:pPr>
        <w:spacing w:after="200" w:line="360"/>
        <w:jc w:val="both"/>
      </w:pPr>
      <w:r>
        <w:rPr>
          <w:rFonts w:ascii="Times New Roman" w:cs="Times New Roman" w:eastAsia="Times New Roman" w:hAnsi="Times New Roman"/>
          <w:sz w:val="24"/>
          <w:szCs w:val="24"/>
        </w:rPr>
        <w:t xml:space="preserve">The present paper is one of a series developing the CIFT framework. The formal foundations are established in Stjepovic (2025a, 2025b); the empirical program for resting-state EEG/MEG is developed in Stjepovic (2025c); the genetic architecture of RC³ is addressed in Paper VIII (10.5281/zenodo.19953150); the ontogenetic emergence of the cortical field is formalized in the CIFT Foundational Paper (10.5281/zenodo.19953784). The present paper contributes the specific account of dynamic state validation and its failure in RC³.</w:t>
      </w:r>
    </w:p>
    <w:p>
      <w:pPr>
        <w:pStyle w:val="Heading1"/>
        <w:spacing w:after="160" w:before="320"/>
      </w:pPr>
      <w:r>
        <w:rPr>
          <w:rFonts w:ascii="Times New Roman" w:cs="Times New Roman" w:eastAsia="Times New Roman" w:hAnsi="Times New Roman"/>
          <w:b/>
          <w:bCs/>
          <w:sz w:val="28"/>
          <w:szCs w:val="28"/>
        </w:rPr>
        <w:t xml:space="preserve">10. Conclusion</w:t>
      </w:r>
    </w:p>
    <w:p>
      <w:pPr>
        <w:spacing w:after="200" w:line="360"/>
        <w:jc w:val="both"/>
      </w:pPr>
      <w:r>
        <w:rPr>
          <w:rFonts w:ascii="Times New Roman" w:cs="Times New Roman" w:eastAsia="Times New Roman" w:hAnsi="Times New Roman"/>
          <w:sz w:val="24"/>
          <w:szCs w:val="24"/>
        </w:rPr>
        <w:t xml:space="preserve">Signal integration in the cortical system is not a threshold function of signal strength. It is a joint function of signal strength and the dynamical state of the receiving field at the moment of signal arrival. When the cortical field Φ(x,t) satisfies C1[Φ] (ordered phase) and C2[Φ] (spatial differentiation), signals can generate sustained trajectories and drive integration. When either condition fails — as occurs chronically in RC³ — signals arrive into a field that cannot sustain them, regardless of their strength.</w:t>
      </w:r>
    </w:p>
    <w:p>
      <w:pPr>
        <w:spacing w:after="200" w:line="360"/>
        <w:jc w:val="both"/>
      </w:pPr>
      <w:r>
        <w:rPr>
          <w:rFonts w:ascii="Times New Roman" w:cs="Times New Roman" w:eastAsia="Times New Roman" w:hAnsi="Times New Roman"/>
          <w:sz w:val="24"/>
          <w:szCs w:val="24"/>
        </w:rPr>
        <w:t xml:space="preserve">This reframing has a direct implication for how we understand ADHD. The condition is not characterized by insufficient signal — it is characterized by insufficient state stability. The unit of analysis is not the signal but the field state at the moment of integration. And the target of intervention is not signal gain but field stability — the stabilization of C1[Φ] and C2[Φ] at the near-critical operating point that maximizes both sensitivity and persistence.</w:t>
      </w:r>
    </w:p>
    <w:p>
      <w:pPr>
        <w:spacing w:after="200" w:line="360"/>
        <w:jc w:val="both"/>
      </w:pPr>
      <w:r>
        <w:rPr>
          <w:rFonts w:ascii="Times New Roman" w:cs="Times New Roman" w:eastAsia="Times New Roman" w:hAnsi="Times New Roman"/>
          <w:sz w:val="24"/>
          <w:szCs w:val="24"/>
        </w:rPr>
        <w:t xml:space="preserve">The three predictions derived from this account are testable with existing technology, and their confirmation or refutation will either validate the CIFT account of dynamic state validation or constrain it in ways that will refine the framework. That is the appropriate next step for a theoretical proposal: not acceptance, but falsification attempts.</w:t>
      </w:r>
    </w:p>
    <w:p>
      <w:pPr>
        <w:pStyle w:val="Heading1"/>
        <w:spacing w:after="160" w:before="320"/>
      </w:pPr>
      <w:r>
        <w:rPr>
          <w:rFonts w:ascii="Times New Roman" w:cs="Times New Roman" w:eastAsia="Times New Roman" w:hAnsi="Times New Roman"/>
          <w:b/>
          <w:bCs/>
          <w:sz w:val="28"/>
          <w:szCs w:val="28"/>
        </w:rPr>
        <w:t xml:space="preserve">References</w:t>
      </w:r>
    </w:p>
    <w:p>
      <w:pPr>
        <w:spacing w:after="200" w:line="360"/>
        <w:jc w:val="both"/>
      </w:pPr>
      <w:r>
        <w:rPr>
          <w:rFonts w:ascii="Times New Roman" w:cs="Times New Roman" w:eastAsia="Times New Roman" w:hAnsi="Times New Roman"/>
          <w:sz w:val="24"/>
          <w:szCs w:val="24"/>
        </w:rPr>
        <w:t xml:space="preserve">Boly, M., et al. (2025). Disorders of consciousness and deviations from cortical criticality. Nature Neuroscience, in press.</w:t>
      </w:r>
    </w:p>
    <w:p>
      <w:pPr>
        <w:spacing w:after="200" w:line="360"/>
        <w:jc w:val="both"/>
      </w:pPr>
      <w:r>
        <w:rPr>
          <w:rFonts w:ascii="Times New Roman" w:cs="Times New Roman" w:eastAsia="Times New Roman" w:hAnsi="Times New Roman"/>
          <w:sz w:val="24"/>
          <w:szCs w:val="24"/>
        </w:rPr>
        <w:t xml:space="preserve">Cocchi, L., Gollo, L.L., Zalesky, A., &amp; Breakspear, M. (2017). Criticality in the brain: A synthesis of neurobiology, models and cognition. Progress in Neurobiology, 158, 132–152.</w:t>
      </w:r>
    </w:p>
    <w:p>
      <w:pPr>
        <w:spacing w:after="200" w:line="360"/>
        <w:jc w:val="both"/>
      </w:pPr>
      <w:r>
        <w:rPr>
          <w:rFonts w:ascii="Times New Roman" w:cs="Times New Roman" w:eastAsia="Times New Roman" w:hAnsi="Times New Roman"/>
          <w:sz w:val="24"/>
          <w:szCs w:val="24"/>
        </w:rPr>
        <w:t xml:space="preserve">Hirvonen, J., et al. (2022). Subcortical and cortical functional connectivity-based predictors of ADHD diagnosis and symptom severity in adults. Neuropsychopharmacology, 47, 606–614.</w:t>
      </w:r>
    </w:p>
    <w:p>
      <w:pPr>
        <w:spacing w:after="200" w:line="360"/>
        <w:jc w:val="both"/>
      </w:pPr>
      <w:r>
        <w:rPr>
          <w:rFonts w:ascii="Times New Roman" w:cs="Times New Roman" w:eastAsia="Times New Roman" w:hAnsi="Times New Roman"/>
          <w:sz w:val="24"/>
          <w:szCs w:val="24"/>
        </w:rPr>
        <w:t xml:space="preserve">Hohenberg, P.C., &amp; Halperin, B.I. (1977). Theory of dynamic critical phenomena. Reviews of Modern Physics, 49(3), 435–479.</w:t>
      </w:r>
    </w:p>
    <w:p>
      <w:pPr>
        <w:spacing w:after="200" w:line="360"/>
        <w:jc w:val="both"/>
      </w:pPr>
      <w:r>
        <w:rPr>
          <w:rFonts w:ascii="Times New Roman" w:cs="Times New Roman" w:eastAsia="Times New Roman" w:hAnsi="Times New Roman"/>
          <w:sz w:val="24"/>
          <w:szCs w:val="24"/>
        </w:rPr>
        <w:t xml:space="preserve">Palva, J.M., et al. (2013). Neuronal long-range temporal correlations and avalanche dynamics are correlated with behavioral scaling laws. Proceedings of the National Academy of Sciences, 110(9), 3585–3590.</w:t>
      </w:r>
    </w:p>
    <w:p>
      <w:pPr>
        <w:spacing w:after="200" w:line="360"/>
        <w:jc w:val="both"/>
      </w:pPr>
      <w:r>
        <w:rPr>
          <w:rFonts w:ascii="Times New Roman" w:cs="Times New Roman" w:eastAsia="Times New Roman" w:hAnsi="Times New Roman"/>
          <w:sz w:val="24"/>
          <w:szCs w:val="24"/>
        </w:rPr>
        <w:t xml:space="preserve">Shew, W.L., &amp; Plenz, D. (2013). The functional benefits of criticality in the cortex. Neuroscientist, 19(1), 88–100.</w:t>
      </w:r>
    </w:p>
    <w:p>
      <w:pPr>
        <w:spacing w:after="200" w:line="360"/>
        <w:jc w:val="both"/>
      </w:pPr>
      <w:r>
        <w:rPr>
          <w:rFonts w:ascii="Times New Roman" w:cs="Times New Roman" w:eastAsia="Times New Roman" w:hAnsi="Times New Roman"/>
          <w:sz w:val="24"/>
          <w:szCs w:val="24"/>
        </w:rPr>
        <w:t xml:space="preserve">Smit, D.J.A., et al. (2011). Scale-free modulation of resting-state neuronal oscillations reflects prolonged brain maturation in humans. Journal of Neuroscience, 31(37), 13128–13136.</w:t>
      </w:r>
    </w:p>
    <w:p>
      <w:pPr>
        <w:spacing w:after="200" w:line="360"/>
        <w:jc w:val="both"/>
      </w:pPr>
      <w:r>
        <w:rPr>
          <w:rFonts w:ascii="Times New Roman" w:cs="Times New Roman" w:eastAsia="Times New Roman" w:hAnsi="Times New Roman"/>
          <w:sz w:val="24"/>
          <w:szCs w:val="24"/>
        </w:rPr>
        <w:t xml:space="preserve">Stjepovic, D. (2025a). Cortical Informational Field Theory: Effective dynamics, scaling law, and empirical program. Zenodo. https://doi.org/10.5281/zenodo.19715586</w:t>
      </w:r>
    </w:p>
    <w:p>
      <w:pPr>
        <w:spacing w:after="200" w:line="360"/>
        <w:jc w:val="both"/>
      </w:pPr>
      <w:r>
        <w:rPr>
          <w:rFonts w:ascii="Times New Roman" w:cs="Times New Roman" w:eastAsia="Times New Roman" w:hAnsi="Times New Roman"/>
          <w:sz w:val="24"/>
          <w:szCs w:val="24"/>
        </w:rPr>
        <w:t xml:space="preserve">Stjepovic, D. (2025b). Micro-to-mesoscopic extensions of CIFT. Zenodo. https://doi.org/10.5281/zenodo.19462041</w:t>
      </w:r>
    </w:p>
    <w:p>
      <w:pPr>
        <w:spacing w:after="200" w:line="360"/>
        <w:jc w:val="both"/>
      </w:pPr>
      <w:r>
        <w:rPr>
          <w:rFonts w:ascii="Times New Roman" w:cs="Times New Roman" w:eastAsia="Times New Roman" w:hAnsi="Times New Roman"/>
          <w:sz w:val="24"/>
          <w:szCs w:val="24"/>
        </w:rPr>
        <w:t xml:space="preserve">Stjepovic, D. (2025c). ADHD as a Near-Critical Cortical Field Regime. Zenodo. https://doi.org/10.5281/zenodo.19256243</w:t>
      </w:r>
    </w:p>
    <w:p>
      <w:pPr>
        <w:spacing w:after="200" w:line="360"/>
        <w:jc w:val="both"/>
      </w:pPr>
      <w:r>
        <w:rPr>
          <w:rFonts w:ascii="Times New Roman" w:cs="Times New Roman" w:eastAsia="Times New Roman" w:hAnsi="Times New Roman"/>
          <w:sz w:val="24"/>
          <w:szCs w:val="24"/>
        </w:rPr>
        <w:t xml:space="preserve">Stjepovic, D. (2026). Genetic Architecture of Near-Critical Cortical Patches. Zenodo. https://doi.org/10.5281/zenodo.19953150</w:t>
      </w:r>
    </w:p>
    <w:p>
      <w:pPr>
        <w:spacing w:after="200" w:line="360"/>
        <w:jc w:val="both"/>
      </w:pPr>
      <w:r>
        <w:rPr>
          <w:rFonts w:ascii="Times New Roman" w:cs="Times New Roman" w:eastAsia="Times New Roman" w:hAnsi="Times New Roman"/>
          <w:sz w:val="24"/>
          <w:szCs w:val="24"/>
        </w:rPr>
        <w:t xml:space="preserve">Stjepovic, D. (2026). Fetal Microchimerism as Permanent Geometric Perturbation of the Maternal Cortical Field. Zenodo. https://doi.org/10.5281/zenodo.19953954</w:t>
      </w:r>
    </w:p>
    <w:p>
      <w:pPr>
        <w:spacing w:after="200" w:line="360"/>
        <w:jc w:val="both"/>
      </w:pPr>
      <w:r>
        <w:rPr>
          <w:rFonts w:ascii="Times New Roman" w:cs="Times New Roman" w:eastAsia="Times New Roman" w:hAnsi="Times New Roman"/>
          <w:sz w:val="24"/>
          <w:szCs w:val="24"/>
        </w:rPr>
        <w:t xml:space="preserve">Stjepovic, D. (2026). Before Experience: Phase Transitions in the Emergence of the Cortical Field. Zenodo. https://doi.org/10.5281/zenodo.19953784</w:t>
      </w:r>
    </w:p>
    <w:p>
      <w:pPr>
        <w:spacing w:after="200" w:line="360"/>
        <w:jc w:val="both"/>
      </w:pPr>
      <w:r>
        <w:rPr>
          <w:rFonts w:ascii="Times New Roman" w:cs="Times New Roman" w:eastAsia="Times New Roman" w:hAnsi="Times New Roman"/>
          <w:sz w:val="24"/>
          <w:szCs w:val="24"/>
        </w:rPr>
        <w:t xml:space="preserve">Yao, Y., et al. (2022). Criticality is associated with structure-function coupling in aging and neurodegenerative diseases. Nature Aging, 2, 909–921.</w:t>
      </w:r>
    </w:p>
    <w:p>
      <w:pPr>
        <w:spacing w:after="160"/>
      </w:pPr>
      <w:r>
        <w:t xml:space="preserve"/>
      </w:r>
    </w:p>
    <w:p>
      <w:pPr>
        <w:pStyle w:val="Heading1"/>
        <w:spacing w:after="160" w:before="320"/>
      </w:pPr>
      <w:r>
        <w:rPr>
          <w:rFonts w:ascii="Times New Roman" w:cs="Times New Roman" w:eastAsia="Times New Roman" w:hAnsi="Times New Roman"/>
          <w:b/>
          <w:bCs/>
          <w:sz w:val="28"/>
          <w:szCs w:val="28"/>
        </w:rPr>
        <w:t xml:space="preserve">Declarations</w:t>
      </w:r>
    </w:p>
    <w:p>
      <w:pPr>
        <w:spacing w:after="200" w:line="360"/>
        <w:jc w:val="both"/>
      </w:pPr>
      <w:r>
        <w:rPr>
          <w:rFonts w:ascii="Times New Roman" w:cs="Times New Roman" w:eastAsia="Times New Roman" w:hAnsi="Times New Roman"/>
          <w:sz w:val="24"/>
          <w:szCs w:val="24"/>
        </w:rPr>
        <w:t xml:space="preserve">Competing interests: The author declares no competing interests.</w:t>
      </w:r>
    </w:p>
    <w:p>
      <w:pPr>
        <w:spacing w:after="200" w:line="360"/>
        <w:jc w:val="both"/>
      </w:pPr>
      <w:r>
        <w:rPr>
          <w:rFonts w:ascii="Times New Roman" w:cs="Times New Roman" w:eastAsia="Times New Roman" w:hAnsi="Times New Roman"/>
          <w:sz w:val="24"/>
          <w:szCs w:val="24"/>
        </w:rPr>
        <w:t xml:space="preserve">Funding: This research received no external funding.</w:t>
      </w:r>
    </w:p>
    <w:p>
      <w:pPr>
        <w:spacing w:after="200" w:line="360"/>
        <w:jc w:val="both"/>
      </w:pPr>
      <w:r>
        <w:rPr>
          <w:rFonts w:ascii="Times New Roman" w:cs="Times New Roman" w:eastAsia="Times New Roman" w:hAnsi="Times New Roman"/>
          <w:sz w:val="24"/>
          <w:szCs w:val="24"/>
        </w:rPr>
        <w:t xml:space="preserve">Institutional affiliation: Independent Researcher, Viña del Mar, Chile.</w:t>
      </w:r>
    </w:p>
    <w:p>
      <w:pPr>
        <w:spacing w:after="200" w:line="360"/>
        <w:jc w:val="both"/>
      </w:pPr>
      <w:r>
        <w:rPr>
          <w:rFonts w:ascii="Times New Roman" w:cs="Times New Roman" w:eastAsia="Times New Roman" w:hAnsi="Times New Roman"/>
          <w:sz w:val="24"/>
          <w:szCs w:val="24"/>
        </w:rPr>
        <w:t xml:space="preserve">AI assistance: The preparation of this manuscript was assisted by AI language tools (Claude, Anthropic), consistent with Frontiers editorial policy on generative AI use.</w:t>
      </w:r>
    </w:p>
    <w:p>
      <w:pPr>
        <w:spacing w:after="200" w:line="360"/>
        <w:jc w:val="both"/>
      </w:pPr>
      <w:r>
        <w:rPr>
          <w:rFonts w:ascii="Times New Roman" w:cs="Times New Roman" w:eastAsia="Times New Roman" w:hAnsi="Times New Roman"/>
          <w:sz w:val="24"/>
          <w:szCs w:val="24"/>
        </w:rPr>
        <w:t xml:space="preserve">Data availability: No original data were generated in this study. All cited data are from published peer-reviewed literature.</w:t>
      </w:r>
    </w:p>
    <w:p>
      <w:pPr>
        <w:spacing w:after="200" w:line="360"/>
        <w:jc w:val="both"/>
      </w:pPr>
      <w:r>
        <w:rPr>
          <w:rFonts w:ascii="Times New Roman" w:cs="Times New Roman" w:eastAsia="Times New Roman" w:hAnsi="Times New Roman"/>
          <w:sz w:val="24"/>
          <w:szCs w:val="24"/>
        </w:rPr>
        <w:t xml:space="preserve">ORCID: Danko Stjepovic — 0009-0002-2186-1195</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Times New Roman" w:cs="Times New Roman" w:eastAsia="Times New Roman" w:hAnsi="Times New Roman"/>
      <w:b/>
      <w:bCs/>
      <w:sz w:val="28"/>
      <w:szCs w:val="28"/>
    </w:rPr>
  </w:style>
  <w:style w:type="paragraph" w:styleId="Heading2">
    <w:name w:val="Heading 2"/>
    <w:basedOn w:val="Normal"/>
    <w:next w:val="Normal"/>
    <w:qFormat/>
    <w:pPr>
      <w:spacing w:after="120" w:before="240"/>
      <w:outlineLvl w:val="1"/>
    </w:pPr>
    <w:rPr>
      <w:rFonts w:ascii="Times New Roman" w:cs="Times New Roman" w:eastAsia="Times New Roman" w:hAnsi="Times New Roman"/>
      <w:b/>
      <w:bCs/>
      <w:i/>
      <w:iCs/>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6cbbf7f9a5dde3f8d196f8fa881fe52fdb085663.pn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2026-05-01T15:48:42.422Z</dcterms:created>
  <dcterms:modified xsi:type="dcterms:W3CDTF">2026-05-01T15:48:42.437Z</dcterms:modified>
</cp:coreProperties>
</file>

<file path=docProps/custom.xml><?xml version="1.0" encoding="utf-8"?>
<Properties xmlns="http://schemas.openxmlformats.org/officeDocument/2006/custom-properties" xmlns:vt="http://schemas.openxmlformats.org/officeDocument/2006/docPropsVTypes"/>
</file>