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8E91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1807" w:firstLineChars="600"/>
        <w:jc w:val="both"/>
        <w:textAlignment w:val="auto"/>
        <w:outlineLvl w:val="0"/>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论量子概念在经济学中的应用边界</w:t>
      </w:r>
    </w:p>
    <w:p w14:paraId="709453BA">
      <w:pPr>
        <w:keepNext w:val="0"/>
        <w:keepLines w:val="0"/>
        <w:pageBreakBefore w:val="0"/>
        <w:widowControl/>
        <w:kinsoku/>
        <w:wordWrap/>
        <w:overflowPunct/>
        <w:topLinePunct w:val="0"/>
        <w:autoSpaceDE/>
        <w:autoSpaceDN/>
        <w:bidi w:val="0"/>
        <w:adjustRightInd/>
        <w:snapToGrid/>
        <w:spacing w:beforeAutospacing="0" w:after="0" w:afterAutospacing="0" w:line="500" w:lineRule="exact"/>
        <w:ind w:firstLine="3840" w:firstLineChars="16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赵恢林</w:t>
      </w:r>
      <w:r>
        <w:rPr>
          <w:rFonts w:hint="eastAsia" w:ascii="宋体" w:hAnsi="宋体" w:eastAsia="宋体" w:cs="宋体"/>
          <w:color w:val="auto"/>
          <w:sz w:val="24"/>
          <w:szCs w:val="24"/>
          <w:vertAlign w:val="superscript"/>
          <w:lang w:val="en-US" w:eastAsia="zh-CN"/>
        </w:rPr>
        <w:footnoteReference w:id="0"/>
      </w:r>
    </w:p>
    <w:p w14:paraId="6C546798">
      <w:pPr>
        <w:keepNext w:val="0"/>
        <w:keepLines w:val="0"/>
        <w:pageBreakBefore w:val="0"/>
        <w:widowControl/>
        <w:kinsoku/>
        <w:wordWrap/>
        <w:overflowPunct/>
        <w:topLinePunct w:val="0"/>
        <w:autoSpaceDE/>
        <w:autoSpaceDN/>
        <w:bidi w:val="0"/>
        <w:adjustRightInd/>
        <w:snapToGrid/>
        <w:spacing w:after="0" w:line="500" w:lineRule="exact"/>
        <w:ind w:firstLine="2400" w:firstLineChars="1000"/>
        <w:jc w:val="left"/>
        <w:textAlignment w:val="auto"/>
        <w:rPr>
          <w:rFonts w:hint="default" w:ascii="宋体" w:hAnsi="宋体" w:eastAsia="宋体" w:cs="宋体"/>
          <w:b/>
          <w:color w:val="auto"/>
          <w:sz w:val="24"/>
          <w:szCs w:val="24"/>
          <w:lang w:val="en-US" w:eastAsia="zh-CN"/>
        </w:rPr>
      </w:pPr>
      <w:r>
        <w:rPr>
          <w:rFonts w:hint="eastAsia" w:ascii="宋体" w:hAnsi="宋体" w:eastAsia="宋体" w:cs="宋体"/>
          <w:color w:val="auto"/>
          <w:sz w:val="24"/>
          <w:szCs w:val="24"/>
          <w:lang w:val="en-US" w:eastAsia="zh-CN"/>
        </w:rPr>
        <w:t>(1.汕头大学，广东汕头，515063)</w:t>
      </w:r>
    </w:p>
    <w:p w14:paraId="27BA6336">
      <w:pPr>
        <w:keepNext w:val="0"/>
        <w:keepLines w:val="0"/>
        <w:pageBreakBefore w:val="0"/>
        <w:widowControl w:val="0"/>
        <w:kinsoku/>
        <w:wordWrap/>
        <w:overflowPunct/>
        <w:topLinePunct w:val="0"/>
        <w:autoSpaceDE/>
        <w:autoSpaceDN/>
        <w:bidi w:val="0"/>
        <w:adjustRightInd/>
        <w:snapToGrid/>
        <w:spacing w:after="0" w:line="500" w:lineRule="exact"/>
        <w:ind w:firstLine="482" w:firstLineChars="200"/>
        <w:jc w:val="left"/>
        <w:textAlignment w:val="auto"/>
        <w:outlineLvl w:val="9"/>
        <w:rPr>
          <w:rFonts w:hint="eastAsia" w:ascii="宋体" w:hAnsi="宋体" w:eastAsia="宋体" w:cs="宋体"/>
          <w:b w:val="0"/>
          <w:bCs/>
          <w:color w:val="auto"/>
          <w:sz w:val="24"/>
          <w:szCs w:val="24"/>
          <w:lang w:eastAsia="zh-CN"/>
        </w:rPr>
      </w:pPr>
      <w:r>
        <w:rPr>
          <w:rFonts w:hint="eastAsia" w:ascii="宋体" w:hAnsi="宋体" w:eastAsia="宋体" w:cs="宋体"/>
          <w:b/>
          <w:color w:val="auto"/>
          <w:sz w:val="24"/>
          <w:szCs w:val="24"/>
        </w:rPr>
        <w:t>摘</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要</w:t>
      </w:r>
      <w:r>
        <w:rPr>
          <w:rFonts w:hint="eastAsia" w:ascii="宋体" w:hAnsi="宋体" w:eastAsia="宋体" w:cs="宋体"/>
          <w:b/>
          <w:color w:val="auto"/>
          <w:sz w:val="24"/>
          <w:szCs w:val="24"/>
          <w:lang w:eastAsia="zh-CN"/>
        </w:rPr>
        <w:t>：</w:t>
      </w:r>
      <w:r>
        <w:rPr>
          <w:rFonts w:hint="eastAsia" w:ascii="宋体" w:hAnsi="宋体" w:eastAsia="宋体" w:cs="宋体"/>
          <w:b w:val="0"/>
          <w:bCs/>
          <w:color w:val="auto"/>
          <w:sz w:val="24"/>
          <w:szCs w:val="24"/>
          <w:lang w:eastAsia="zh-CN"/>
        </w:rPr>
        <w:t>为明确量子概念向经济学迁移的应用边界，破解当前量子经济学研究中</w:t>
      </w:r>
      <w:r>
        <w:rPr>
          <w:rFonts w:hint="eastAsia" w:ascii="宋体" w:hAnsi="宋体" w:eastAsia="宋体" w:cs="宋体"/>
          <w:b w:val="0"/>
          <w:bCs/>
          <w:color w:val="auto"/>
          <w:sz w:val="24"/>
          <w:szCs w:val="24"/>
          <w:lang w:val="en-US" w:eastAsia="zh-CN"/>
        </w:rPr>
        <w:t>可能存在</w:t>
      </w:r>
      <w:r>
        <w:rPr>
          <w:rFonts w:hint="eastAsia" w:ascii="宋体" w:hAnsi="宋体" w:eastAsia="宋体" w:cs="宋体"/>
          <w:b w:val="0"/>
          <w:bCs/>
          <w:color w:val="auto"/>
          <w:sz w:val="24"/>
          <w:szCs w:val="24"/>
          <w:lang w:eastAsia="zh-CN"/>
        </w:rPr>
        <w:t>泛化应用的困境，推动该交叉领域规范化发展，本研究基于“本体论-方法论-认识论”三维分析框架，系统解构叠加态、纠缠等量子核心概念与经济系统的适配性逻辑。</w:t>
      </w:r>
      <w:r>
        <w:rPr>
          <w:rFonts w:hint="eastAsia" w:ascii="宋体" w:hAnsi="宋体" w:eastAsia="宋体" w:cs="宋体"/>
          <w:b/>
          <w:bCs w:val="0"/>
          <w:color w:val="auto"/>
          <w:sz w:val="24"/>
          <w:szCs w:val="24"/>
          <w:lang w:eastAsia="zh-CN"/>
        </w:rPr>
        <w:t>研究搭建了量子概念跨学科迁移的三维适配性综合分析工具，清晰区分出强适配、弱适配和不适配三种应用场景</w:t>
      </w:r>
      <w:r>
        <w:rPr>
          <w:rFonts w:hint="eastAsia" w:ascii="宋体" w:hAnsi="宋体" w:eastAsia="宋体" w:cs="宋体"/>
          <w:b w:val="0"/>
          <w:bCs/>
          <w:color w:val="auto"/>
          <w:sz w:val="24"/>
          <w:szCs w:val="24"/>
          <w:lang w:eastAsia="zh-CN"/>
        </w:rPr>
        <w:t>，研究结论表明，该框架可有效界定量子概念的应用范围，为交叉学科边界分析提供方法论参考，既为研究者提供精准应用指引以减少无效概念嫁接，也为政策制定者明确量子模型的适用场景，助力提升决策科学性，兼具理论与实践价值。</w:t>
      </w:r>
    </w:p>
    <w:p w14:paraId="4ECA7E51">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9"/>
        <w:rPr>
          <w:rFonts w:hint="eastAsia"/>
          <w:color w:val="auto"/>
        </w:rPr>
      </w:pPr>
      <w:r>
        <w:rPr>
          <w:rFonts w:hint="eastAsia" w:ascii="宋体" w:hAnsi="宋体" w:eastAsia="宋体" w:cs="宋体"/>
          <w:b/>
          <w:bCs/>
          <w:color w:val="auto"/>
          <w:sz w:val="24"/>
          <w:szCs w:val="24"/>
        </w:rPr>
        <w:t>关键词：</w:t>
      </w:r>
      <w:r>
        <w:rPr>
          <w:rFonts w:hint="eastAsia" w:ascii="宋体" w:hAnsi="宋体" w:eastAsia="宋体" w:cs="宋体"/>
          <w:color w:val="auto"/>
          <w:sz w:val="24"/>
          <w:szCs w:val="24"/>
        </w:rPr>
        <w:t>量子经济学；应用边界；适配性；经济系统特性</w:t>
      </w:r>
    </w:p>
    <w:p w14:paraId="0EC58AAE">
      <w:pPr>
        <w:outlineLvl w:val="9"/>
        <w:rPr>
          <w:rFonts w:hint="eastAsia" w:asciiTheme="minorHAnsi" w:hAnsiTheme="minorHAnsi" w:eastAsiaTheme="minorEastAsia" w:cstheme="minorBidi"/>
          <w:color w:val="auto"/>
          <w:kern w:val="2"/>
          <w:sz w:val="21"/>
          <w:szCs w:val="24"/>
          <w:lang w:val="en-US" w:eastAsia="zh-CN" w:bidi="ar-SA"/>
        </w:rPr>
      </w:pPr>
    </w:p>
    <w:p w14:paraId="6A42434F">
      <w:pPr>
        <w:outlineLvl w:val="9"/>
        <w:rPr>
          <w:rFonts w:hint="eastAsia" w:asciiTheme="minorHAnsi" w:hAnsiTheme="minorHAnsi" w:eastAsiaTheme="minorEastAsia" w:cstheme="minorBidi"/>
          <w:color w:val="auto"/>
          <w:kern w:val="2"/>
          <w:sz w:val="21"/>
          <w:szCs w:val="24"/>
          <w:lang w:val="en-US" w:eastAsia="zh-CN" w:bidi="ar-SA"/>
        </w:rPr>
      </w:pPr>
    </w:p>
    <w:p w14:paraId="5CCF0D4F">
      <w:pPr>
        <w:outlineLvl w:val="9"/>
        <w:rPr>
          <w:rFonts w:hint="eastAsia" w:asciiTheme="minorHAnsi" w:hAnsiTheme="minorHAnsi" w:eastAsiaTheme="minorEastAsia" w:cstheme="minorBidi"/>
          <w:color w:val="auto"/>
          <w:kern w:val="2"/>
          <w:sz w:val="21"/>
          <w:szCs w:val="24"/>
          <w:lang w:val="en-US" w:eastAsia="zh-CN" w:bidi="ar-SA"/>
        </w:rPr>
      </w:pPr>
    </w:p>
    <w:p w14:paraId="6C5DC89F">
      <w:pPr>
        <w:keepNext w:val="0"/>
        <w:keepLines w:val="0"/>
        <w:pageBreakBefore w:val="0"/>
        <w:widowControl w:val="0"/>
        <w:kinsoku/>
        <w:wordWrap/>
        <w:overflowPunct/>
        <w:topLinePunct w:val="0"/>
        <w:autoSpaceDE/>
        <w:autoSpaceDN/>
        <w:bidi w:val="0"/>
        <w:adjustRightInd/>
        <w:snapToGrid/>
        <w:spacing w:after="0" w:line="500" w:lineRule="exact"/>
        <w:ind w:firstLine="3614" w:firstLineChars="1200"/>
        <w:jc w:val="left"/>
        <w:textAlignment w:val="auto"/>
        <w:outlineLvl w:val="9"/>
        <w:rPr>
          <w:rFonts w:hint="eastAsia" w:ascii="宋体" w:hAnsi="宋体" w:eastAsia="宋体" w:cs="宋体"/>
          <w:b/>
          <w:bCs w:val="0"/>
          <w:color w:val="auto"/>
          <w:sz w:val="30"/>
          <w:szCs w:val="30"/>
          <w:lang w:val="en-US" w:eastAsia="zh-CN"/>
        </w:rPr>
      </w:pPr>
      <w:bookmarkStart w:id="0" w:name="_Toc6772"/>
      <w:bookmarkStart w:id="1" w:name="_Toc19413"/>
      <w:r>
        <w:rPr>
          <w:rFonts w:hint="eastAsia" w:ascii="宋体" w:hAnsi="宋体" w:eastAsia="宋体" w:cs="宋体"/>
          <w:b/>
          <w:bCs w:val="0"/>
          <w:color w:val="auto"/>
          <w:sz w:val="30"/>
          <w:szCs w:val="30"/>
          <w:lang w:val="en-US" w:eastAsia="zh-CN"/>
        </w:rPr>
        <w:t>一、</w:t>
      </w:r>
      <w:bookmarkEnd w:id="0"/>
      <w:bookmarkEnd w:id="1"/>
      <w:r>
        <w:rPr>
          <w:rFonts w:hint="eastAsia" w:ascii="宋体" w:hAnsi="宋体" w:eastAsia="宋体" w:cs="宋体"/>
          <w:b/>
          <w:bCs w:val="0"/>
          <w:color w:val="auto"/>
          <w:sz w:val="30"/>
          <w:szCs w:val="30"/>
          <w:lang w:val="en-US" w:eastAsia="zh-CN"/>
        </w:rPr>
        <w:t>引言</w:t>
      </w:r>
    </w:p>
    <w:p w14:paraId="63155D2F">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p>
    <w:p w14:paraId="4B931700">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zh-CN" w:eastAsia="zh-CN"/>
        </w:rPr>
      </w:pPr>
      <w:r>
        <w:rPr>
          <w:rFonts w:hint="default" w:ascii="宋体" w:hAnsi="宋体" w:eastAsia="宋体" w:cs="宋体"/>
          <w:b w:val="0"/>
          <w:bCs/>
          <w:color w:val="auto"/>
          <w:sz w:val="24"/>
          <w:szCs w:val="24"/>
          <w:lang w:val="en-US" w:eastAsia="zh-CN"/>
        </w:rPr>
        <w:t>量子力学的理论发展不仅深化了人类对物理世界的认知，也为社会科学优化传统分析框架提供了新的视角。自20世纪80年代普里戈金（Prigogine,1980）将耗散结构理论引入经济系统研究，揭示经济系统作为远离平衡态开放系统的非线性特征以来，量子概念向经济学的迁移与应用逐步推进，形成了量子决策理论、量子金融、量子增长模型等新兴研究方向。量子经济学的兴起具有明确的理论动因：传统经济学多以确定性假设、线性化框架与理性人假说为分析基础，倾向于将经济系统简化为可量化的机械论式分析体系，但其对现实中普遍存在的不确定性决策、非线性增长与动态关联效应等复杂现象的解释能力存在局限。而量子力学对微观粒子不确定性、非局域关联性的精准刻画，为回应这一理论挑战提供了新的分析视角，其关于“叠加态”“纠缠”“观测效应”等核心概念的阐释，可为理解经济系统的复杂性补充研究维度。</w:t>
      </w:r>
    </w:p>
    <w:p w14:paraId="6BEE169D">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zh-CN" w:eastAsia="zh-CN"/>
        </w:rPr>
      </w:pPr>
      <w:r>
        <w:rPr>
          <w:rFonts w:hint="default" w:ascii="宋体" w:hAnsi="宋体" w:eastAsia="宋体" w:cs="宋体"/>
          <w:b w:val="0"/>
          <w:bCs/>
          <w:color w:val="auto"/>
          <w:sz w:val="24"/>
          <w:szCs w:val="24"/>
          <w:lang w:val="en-US" w:eastAsia="zh-CN"/>
        </w:rPr>
        <w:t>然而，物理世界与经济系统的本质差异，构成了量子概念迁移应用的天然适配性难题。量子力学以无主观能动性、严格遵循物理定律的微观粒子为研究对象，核心目标是揭示普适性自然法则，追求对粒子运动规律的精准描述与预测；而经济学聚焦具有主观意识、社会属性与策略性行为的经济主体（个人、企业、政府），其互动过程受制度规则、文化传统、心理偏好、历史路径等多重因素交织影响，核心目标并非单纯发现“普适规律”，而是解释行为逻辑、优化决策机制与指导实践应用（Arrow,1994）。这种本质差异导致量子概念的迁移必然存在适配性分化：部分量子概念可通过核心内涵提炼、逻辑类比转化实现与经济现象的有效对接；部分则因与经济系统核心特性存在显著冲突而难以落地；更有研究因过度追求物理概念的表面嫁接出现泛化倾向，不仅未能提升理论解释力，还可能导致学术认知偏差与理论逻辑模糊。</w:t>
      </w:r>
    </w:p>
    <w:p w14:paraId="41E4B05C">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bCs w:val="0"/>
          <w:color w:val="auto"/>
          <w:sz w:val="24"/>
          <w:szCs w:val="24"/>
          <w:lang w:val="zh-CN" w:eastAsia="zh-CN"/>
        </w:rPr>
      </w:pPr>
      <w:r>
        <w:rPr>
          <w:rFonts w:hint="default" w:ascii="宋体" w:hAnsi="宋体" w:eastAsia="宋体" w:cs="宋体"/>
          <w:b w:val="0"/>
          <w:bCs/>
          <w:color w:val="auto"/>
          <w:sz w:val="24"/>
          <w:szCs w:val="24"/>
          <w:lang w:val="en-US" w:eastAsia="zh-CN"/>
        </w:rPr>
        <w:t>当前学界对量子经济学的争议，本质上聚焦于应用边界的模糊性。支持者认为，量子概念突破了传统经济学的线性化、确定性分析局限，为理解复杂经济现象提供了新的分析工具，为经济学理论拓展提供了潜在空间；反对者则指出，部分研究存在“物理概念生硬套用”的问题，缺乏对经济系统社会属性与主体能动性的深刻认知，本质是“还原论”思维在社会科学中的不当延伸，将复杂经济问题简化为物理粒子互动，最终可能脱离经济研究的现实语境。争议的核心症结在于：现有研究尚未形成被广泛认可的适配性判断标准与系统性边界界定框架，量子概念的应用多为零散的场景尝试——学者们基于各自研究兴趣选择应用领域，缺乏对“量子概念为何适配经济学”“适配哪些具体场景”“应用边界在哪里”等核心问题的系统性回应，导致</w:t>
      </w:r>
      <w:r>
        <w:rPr>
          <w:rFonts w:hint="default" w:ascii="宋体" w:hAnsi="宋体" w:eastAsia="宋体" w:cs="宋体"/>
          <w:b/>
          <w:bCs w:val="0"/>
          <w:color w:val="auto"/>
          <w:sz w:val="24"/>
          <w:szCs w:val="24"/>
          <w:lang w:val="en-US" w:eastAsia="zh-CN"/>
        </w:rPr>
        <w:t>量子经济学易陷入“要么过度追捧、要么全盘否定”的两极化争议，难以形成规范化的研究范式。</w:t>
      </w:r>
    </w:p>
    <w:p w14:paraId="7519695B">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zh-CN" w:eastAsia="zh-CN"/>
        </w:rPr>
      </w:pPr>
      <w:r>
        <w:rPr>
          <w:rFonts w:hint="default" w:ascii="宋体" w:hAnsi="宋体" w:eastAsia="宋体" w:cs="宋体"/>
          <w:b w:val="0"/>
          <w:bCs/>
          <w:color w:val="auto"/>
          <w:sz w:val="24"/>
          <w:szCs w:val="24"/>
          <w:lang w:val="en-US" w:eastAsia="zh-CN"/>
        </w:rPr>
        <w:t>基于上述理论困境与学术争议，本文凝练出四个层层递进的核心研究问题：第一，量子概念向经济学迁移的适配性标准应如何界定？需构建兼具理论逻辑与实践可行性的判断准则，为边界界定提供依据；第二，哪些量子核心概念可适用于经济学研究，其适用场景与核心作用机制为何？需精准区分有效适配与表面嫁接；第三，哪些量子概念因与经济系统本质特性存在显著冲突而属于相对不适配领域？需明确适配性较低的研究范畴；第四，如何构建科学的边界约束与融合路径，实现量子概念与经济学的良性融合而非生硬嫁接？需为量子经济学的规范化发展提供方法论指引。围绕这些问题，本文以“边界界定”为核心主线，通过“理论解构—场景分类—路径构建”的逻辑链条，系统开展量子概念在经济学中应用边界的研究。</w:t>
      </w:r>
    </w:p>
    <w:p w14:paraId="1F764AFE">
      <w:pPr>
        <w:jc w:val="both"/>
        <w:outlineLvl w:val="9"/>
        <w:rPr>
          <w:rFonts w:hint="eastAsia"/>
          <w:color w:val="auto"/>
        </w:rPr>
      </w:pPr>
    </w:p>
    <w:p w14:paraId="5811DF67">
      <w:pPr>
        <w:keepNext w:val="0"/>
        <w:keepLines w:val="0"/>
        <w:pageBreakBefore w:val="0"/>
        <w:widowControl w:val="0"/>
        <w:kinsoku/>
        <w:wordWrap/>
        <w:overflowPunct/>
        <w:topLinePunct w:val="0"/>
        <w:autoSpaceDE/>
        <w:autoSpaceDN/>
        <w:bidi w:val="0"/>
        <w:adjustRightInd/>
        <w:snapToGrid/>
        <w:spacing w:line="500" w:lineRule="exact"/>
        <w:ind w:firstLine="3614" w:firstLineChars="1200"/>
        <w:textAlignment w:val="auto"/>
        <w:outlineLvl w:val="9"/>
        <w:rPr>
          <w:rFonts w:hint="default" w:ascii="宋体" w:hAnsi="宋体" w:eastAsia="宋体" w:cs="宋体"/>
          <w:b w:val="0"/>
          <w:bCs/>
          <w:color w:val="auto"/>
          <w:sz w:val="24"/>
          <w:szCs w:val="24"/>
          <w:lang w:val="en-US" w:eastAsia="zh-CN"/>
        </w:rPr>
      </w:pPr>
      <w:bookmarkStart w:id="2" w:name="_Toc21722"/>
      <w:bookmarkStart w:id="3" w:name="_Toc18584"/>
      <w:r>
        <w:rPr>
          <w:rFonts w:hint="eastAsia" w:ascii="宋体" w:hAnsi="宋体" w:eastAsia="宋体" w:cs="宋体"/>
          <w:b/>
          <w:bCs/>
          <w:color w:val="auto"/>
          <w:sz w:val="30"/>
          <w:szCs w:val="30"/>
          <w:lang w:val="en-US" w:eastAsia="zh-CN"/>
        </w:rPr>
        <w:t>二、</w:t>
      </w:r>
      <w:r>
        <w:rPr>
          <w:rFonts w:hint="default" w:ascii="宋体" w:hAnsi="宋体" w:eastAsia="宋体" w:cs="宋体"/>
          <w:b/>
          <w:bCs/>
          <w:color w:val="auto"/>
          <w:sz w:val="30"/>
          <w:szCs w:val="30"/>
        </w:rPr>
        <w:t>文献综述</w:t>
      </w:r>
      <w:bookmarkEnd w:id="2"/>
      <w:bookmarkEnd w:id="3"/>
    </w:p>
    <w:p w14:paraId="1089993D">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both"/>
        <w:textAlignment w:val="auto"/>
        <w:outlineLvl w:val="9"/>
        <w:rPr>
          <w:rFonts w:hint="eastAsia" w:ascii="宋体" w:hAnsi="宋体" w:eastAsia="宋体" w:cs="宋体"/>
          <w:b w:val="0"/>
          <w:bCs/>
          <w:color w:val="auto"/>
          <w:sz w:val="24"/>
          <w:szCs w:val="24"/>
          <w:lang w:val="en-US" w:eastAsia="zh-CN"/>
        </w:rPr>
      </w:pPr>
    </w:p>
    <w:p w14:paraId="5A4102FA">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both"/>
        <w:textAlignment w:val="auto"/>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量子经济学的学术探索思想渊源可追溯至玻尔（Niels Bohr）“互补性原理”的跨学科构想，但其建制化始于量子概率论的公理化转向。Khrennikov（1999）首次公理化量子概率体系；Haven&amp;Khrennikov（2013）系统构建希尔伯特空间形式体系与社会系统不确定性建模的统一框架，将量子概率应用于经济、金融与社会学场景，标志着量子经济学从理论构想迈向可操作的跨学科范式，弥补了早期宏观社会现象建模的不足。微观决策理论方面，Pothos&amp;Busemeyer（2009）的实验研究，率先通过量子概率振幅干涉效应成功解释“不行动惯性”等决策反常现象，为量子随机游走模型奠定心理学依据，该文构成Busemeyer&amp;Bruza（2012）系统性专著的关键中间环节。金融领域的方法论深化由Bagarello（2012）提出的“算符方法”将多主体交互系统建模为产生/湮灭算符的代数结构，将Baaquie（2004）路径积分框架延伸至群体行为激发态，为量子金融从衍生品定价向市场微观结构深化提供通用工具。针对本体论通约性质疑，Orrell（2016）</w:t>
      </w:r>
      <w:r>
        <w:rPr>
          <w:rFonts w:ascii="宋体" w:hAnsi="宋体" w:eastAsia="宋体" w:cs="宋体"/>
          <w:sz w:val="24"/>
          <w:szCs w:val="24"/>
        </w:rPr>
        <w:t>借鉴了量子理论的思想</w:t>
      </w:r>
      <w:r>
        <w:rPr>
          <w:rFonts w:hint="eastAsia" w:ascii="宋体" w:hAnsi="宋体" w:eastAsia="宋体" w:cs="宋体"/>
          <w:b w:val="0"/>
          <w:bCs/>
          <w:color w:val="auto"/>
          <w:sz w:val="24"/>
          <w:szCs w:val="24"/>
          <w:lang w:val="en-US" w:eastAsia="zh-CN"/>
        </w:rPr>
        <w:t>，论证货币价值态非客观实在而是交易</w:t>
      </w:r>
      <w:bookmarkStart w:id="12" w:name="_GoBack"/>
      <w:bookmarkEnd w:id="12"/>
      <w:r>
        <w:rPr>
          <w:rFonts w:hint="eastAsia" w:ascii="宋体" w:hAnsi="宋体" w:eastAsia="宋体" w:cs="宋体"/>
          <w:b w:val="0"/>
          <w:bCs/>
          <w:color w:val="auto"/>
          <w:sz w:val="24"/>
          <w:szCs w:val="24"/>
          <w:lang w:val="en-US" w:eastAsia="zh-CN"/>
        </w:rPr>
        <w:t>观测导致的概率幅坍缩，为量子形式体系刻画社会经济关系叠加性的合法性提供哲学辩护。尽管上述研究验证了形式有效性，但本体论层面的迁移合法性尚未充分论证：量子力学描述微观粒子实在性，经济学处理人类信念与制度建构，二者在本体预设上是否可通约？现有文献多止步于数学类比，对量子纠缠等核心概念的实在性解释与可证伪边界缺乏系统性考察，导致纠缠熵、退相干等术语在经济系统中的操作化定义不清，既未建立从量子测量理论到市场观测机制的严格映射，也未澄清量子纠缠作为策略互动隐喻与实在性描述的界限，更未回应量子形式主义在无法重复实验的经济系统中的可检验性难题，构成当前研究的核心缺口。</w:t>
      </w:r>
    </w:p>
    <w:p w14:paraId="5321A196">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both"/>
        <w:textAlignment w:val="auto"/>
        <w:outlineLvl w:val="9"/>
        <w:rPr>
          <w:rFonts w:hint="eastAsia" w:eastAsia="宋体"/>
          <w:color w:val="auto"/>
          <w:lang w:eastAsia="zh-CN"/>
        </w:rPr>
      </w:pPr>
      <w:r>
        <w:rPr>
          <w:rFonts w:hint="eastAsia" w:ascii="宋体" w:hAnsi="宋体" w:eastAsia="宋体" w:cs="宋体"/>
          <w:b w:val="0"/>
          <w:bCs/>
          <w:color w:val="auto"/>
          <w:sz w:val="24"/>
          <w:szCs w:val="24"/>
          <w:lang w:val="en-US" w:eastAsia="zh-CN"/>
        </w:rPr>
        <w:t>交叉学科边界界定的理论根基源自科学哲学与学科分类学，由此形成了三类核心分析框架。在本体论维度，Galison（1997）提出的“贸易区”理论表明，概念的跨学科迁移关键在于构建中介解释语言，而非预先设定本体论兼容性，这意味着量子经济学有必要构建“经济量子”的克里奥尔语义。在方法论维度，Suppes（1962）的“模型层次理论”着重指出，数学工具的运用需满足从公理到数据的可检验性链条，以规避工具与现象的层次错配问题。在认识论维度，Kuhn（1962）的“范式不可通约性”理论警示，这说明术语在经济语境中可能出现语义漂移现象，需借助操作化定义来维持概念的一致性。当前研究的不足之处在于，大多聚焦于方法论论证，而对本体论承诺的探究相对匮乏，尤其是针对量子非定域性等概念的实在性解释仍存在争议，因此有必要构建一个三维度综合评估框架。</w:t>
      </w:r>
    </w:p>
    <w:p w14:paraId="0DB2BA90">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both"/>
        <w:textAlignment w:val="auto"/>
        <w:outlineLvl w:val="9"/>
        <w:rPr>
          <w:rFonts w:hint="eastAsia" w:eastAsia="宋体"/>
          <w:color w:val="auto"/>
          <w:lang w:eastAsia="zh-CN"/>
        </w:rPr>
      </w:pPr>
      <w:r>
        <w:rPr>
          <w:rFonts w:hint="eastAsia" w:ascii="宋体" w:hAnsi="宋体" w:eastAsia="宋体" w:cs="宋体"/>
          <w:b w:val="0"/>
          <w:bCs/>
          <w:color w:val="auto"/>
          <w:sz w:val="24"/>
          <w:szCs w:val="24"/>
          <w:lang w:val="en-US" w:eastAsia="zh-CN"/>
        </w:rPr>
        <w:t>当前研究在一定程度上阻碍了量子经济学的规范化发展，主要体现为以下三个方面的不足。其一，适配性标准尚未确立。学者大多依据个人研究兴趣选定应用领域，尚未构建起关于“为何适配”“如何适配”的统一评判准则。部分研究因简单移植物理概念，致使其脱离经济现实情境。其二，边界界定缺乏系统性。尚未清晰划分“强适配-弱适配-不适配”的区间，适用场景与相对不适配领域的界定模糊不清。这不仅引发了概念的泛化滥用，还加剧了学术争议的两极分化。其三，融合路径不够明晰。现有研究大多停留在“物理概念+经济现象”的表层嫁接阶段，缺乏从概念迁移到理论创新的系统性方法。量子经济学尚未形成独立的核心理论框架，仍过度依赖物理学的概念与方法，尚未获得主流学界的广泛认可。</w:t>
      </w:r>
    </w:p>
    <w:p w14:paraId="3E1E0ED7">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both"/>
        <w:textAlignment w:val="auto"/>
        <w:outlineLvl w:val="9"/>
        <w:rPr>
          <w:rFonts w:hint="eastAsia" w:eastAsia="宋体"/>
          <w:color w:val="auto"/>
          <w:lang w:eastAsia="zh-CN"/>
        </w:rPr>
      </w:pPr>
      <w:r>
        <w:rPr>
          <w:rFonts w:hint="eastAsia" w:ascii="宋体" w:hAnsi="宋体" w:eastAsia="宋体" w:cs="宋体"/>
          <w:b w:val="0"/>
          <w:bCs/>
          <w:color w:val="auto"/>
          <w:sz w:val="24"/>
          <w:szCs w:val="24"/>
          <w:lang w:val="en-US" w:eastAsia="zh-CN"/>
        </w:rPr>
        <w:t>本研究的理论与实践价值可从多个维度进行剖析。在理论层面，一是构建量子概念向经济学迁移的“本体论-方法论-认识论”三维适配性综合分析框架，明确边界界定的系统逻辑，为交叉学科边界分析提供可资借鉴的方法论工具，为科学哲学与学科分类学研究提供补充；二是通过精准划分量子概念的适用场景与相对不适配领域，缓解“泛化应用”与“过度批判”的双重困境，推动相关学术争议的理性探讨；三是明确量子经济学作为传统经济学补充而非替代的定位，为两大理论体系的良性对话与融合提供学理依据。在实践层面，可为量子经济学研究者提供相对精确的应用导向，减少无效的概念嫁接与资源浪费；为传统经济学研究者展示量子概念的应用价值与局限性，促进跨学科知识的融合；为政策制定者明确量子模型在经济预测、政策评估中的适用范围，为提高决策的科学性提供参考。</w:t>
      </w:r>
    </w:p>
    <w:p w14:paraId="785AC374">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default" w:ascii="宋体" w:hAnsi="宋体" w:eastAsia="宋体" w:cs="宋体"/>
          <w:b/>
          <w:bCs/>
          <w:color w:val="auto"/>
          <w:sz w:val="30"/>
          <w:szCs w:val="30"/>
          <w:lang w:val="en-US" w:eastAsia="zh-CN"/>
        </w:rPr>
      </w:pPr>
      <w:bookmarkStart w:id="4" w:name="_Toc24375"/>
    </w:p>
    <w:p w14:paraId="44E83449">
      <w:pPr>
        <w:keepNext w:val="0"/>
        <w:keepLines w:val="0"/>
        <w:pageBreakBefore w:val="0"/>
        <w:widowControl w:val="0"/>
        <w:kinsoku/>
        <w:wordWrap/>
        <w:overflowPunct/>
        <w:topLinePunct w:val="0"/>
        <w:autoSpaceDE/>
        <w:autoSpaceDN/>
        <w:bidi w:val="0"/>
        <w:adjustRightInd/>
        <w:snapToGrid/>
        <w:spacing w:line="500" w:lineRule="exact"/>
        <w:ind w:firstLine="2108" w:firstLineChars="700"/>
        <w:jc w:val="both"/>
        <w:textAlignment w:val="auto"/>
        <w:outlineLvl w:val="9"/>
        <w:rPr>
          <w:rFonts w:hint="eastAsia" w:ascii="宋体" w:hAnsi="宋体" w:eastAsia="宋体" w:cs="宋体"/>
          <w:b/>
          <w:bCs/>
          <w:color w:val="auto"/>
          <w:sz w:val="30"/>
          <w:szCs w:val="30"/>
          <w:lang w:val="en-US" w:eastAsia="zh-CN"/>
        </w:rPr>
      </w:pPr>
      <w:r>
        <w:rPr>
          <w:rFonts w:hint="default" w:ascii="宋体" w:hAnsi="宋体" w:eastAsia="宋体" w:cs="宋体"/>
          <w:b/>
          <w:bCs/>
          <w:color w:val="auto"/>
          <w:sz w:val="30"/>
          <w:szCs w:val="30"/>
          <w:lang w:val="en-US" w:eastAsia="zh-CN"/>
        </w:rPr>
        <w:t>三、量子概念应用边界的三维分析框架</w:t>
      </w:r>
      <w:bookmarkEnd w:id="4"/>
    </w:p>
    <w:p w14:paraId="141C999E">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9"/>
        <w:rPr>
          <w:rFonts w:hint="default" w:ascii="宋体" w:hAnsi="宋体" w:eastAsia="宋体" w:cs="宋体"/>
          <w:color w:val="auto"/>
          <w:sz w:val="24"/>
          <w:szCs w:val="24"/>
          <w:lang w:val="en-US" w:eastAsia="zh-CN"/>
        </w:rPr>
      </w:pPr>
    </w:p>
    <w:p w14:paraId="7E5BC19E">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（一）物理与经济系统的跨系统迁移校验</w:t>
      </w:r>
    </w:p>
    <w:p w14:paraId="3B083510">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量子概念在经济学中的应用边界，本质是其物理核心内涵与经济系统特性的适配程度，界定基础源于两类系统的本质差异。物理系统以无主观能动性的微观粒子为研究对象，经济系统则聚焦具有社会属性与策略性行为的主体，这种差异决定了边界界定需以“内涵契合、冲突化解、目标适配”为核心锚点。以下通过四维对比明确两类系统的关键差异及迁移适配要点</w:t>
      </w:r>
      <w:r>
        <w:rPr>
          <w:rFonts w:hint="eastAsia" w:ascii="宋体" w:hAnsi="宋体" w:eastAsia="宋体" w:cs="宋体"/>
          <w:b w:val="0"/>
          <w:bCs/>
          <w:color w:val="auto"/>
          <w:sz w:val="24"/>
          <w:szCs w:val="24"/>
          <w:lang w:val="en-US" w:eastAsia="zh-CN"/>
        </w:rPr>
        <w:t>（见表1）。</w:t>
      </w:r>
    </w:p>
    <w:p w14:paraId="349F1032">
      <w:pPr>
        <w:keepNext w:val="0"/>
        <w:keepLines w:val="0"/>
        <w:pageBreakBefore w:val="0"/>
        <w:widowControl w:val="0"/>
        <w:kinsoku/>
        <w:wordWrap/>
        <w:overflowPunct/>
        <w:topLinePunct w:val="0"/>
        <w:autoSpaceDE/>
        <w:autoSpaceDN/>
        <w:bidi w:val="0"/>
        <w:adjustRightInd/>
        <w:snapToGrid/>
        <w:spacing w:after="0" w:line="500" w:lineRule="exact"/>
        <w:ind w:firstLine="2409" w:firstLineChars="1000"/>
        <w:jc w:val="left"/>
        <w:textAlignment w:val="auto"/>
        <w:outlineLvl w:val="9"/>
        <w:rPr>
          <w:rFonts w:hint="default" w:ascii="宋体" w:hAnsi="宋体" w:eastAsia="宋体" w:cs="宋体"/>
          <w:b/>
          <w:bCs w:val="0"/>
          <w:color w:val="auto"/>
          <w:sz w:val="24"/>
          <w:szCs w:val="24"/>
          <w:lang w:val="en-US" w:eastAsia="zh-CN"/>
        </w:rPr>
      </w:pPr>
      <w:r>
        <w:rPr>
          <w:rFonts w:hint="default" w:ascii="宋体" w:hAnsi="宋体" w:eastAsia="宋体" w:cs="宋体"/>
          <w:b/>
          <w:bCs w:val="0"/>
          <w:color w:val="auto"/>
          <w:sz w:val="24"/>
          <w:szCs w:val="24"/>
          <w:lang w:val="en-US" w:eastAsia="zh-CN"/>
        </w:rPr>
        <w:t>表1</w:t>
      </w:r>
      <w:r>
        <w:rPr>
          <w:rFonts w:hint="eastAsia" w:ascii="宋体" w:hAnsi="宋体" w:eastAsia="宋体" w:cs="宋体"/>
          <w:b/>
          <w:bCs w:val="0"/>
          <w:color w:val="auto"/>
          <w:sz w:val="24"/>
          <w:szCs w:val="24"/>
          <w:lang w:val="en-US" w:eastAsia="zh-CN"/>
        </w:rPr>
        <w:t>：</w:t>
      </w:r>
      <w:r>
        <w:rPr>
          <w:rFonts w:hint="default" w:ascii="宋体" w:hAnsi="宋体" w:eastAsia="宋体" w:cs="宋体"/>
          <w:b/>
          <w:bCs w:val="0"/>
          <w:color w:val="auto"/>
          <w:sz w:val="24"/>
          <w:szCs w:val="24"/>
          <w:lang w:val="en-US" w:eastAsia="zh-CN"/>
        </w:rPr>
        <w:t>物理与经济系统的跨系统迁移校验</w:t>
      </w:r>
    </w:p>
    <w:tbl>
      <w:tblPr>
        <w:tblStyle w:val="4"/>
        <w:tblW w:w="8856" w:type="dxa"/>
        <w:jc w:val="center"/>
        <w:tblBorders>
          <w:top w:val="single" w:color="auto" w:sz="4" w:space="0"/>
          <w:left w:val="single" w:color="auto" w:sz="2" w:space="0"/>
          <w:bottom w:val="single" w:color="auto" w:sz="2" w:space="0"/>
          <w:right w:val="single" w:color="auto" w:sz="2"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58"/>
        <w:gridCol w:w="2459"/>
        <w:gridCol w:w="2498"/>
        <w:gridCol w:w="2941"/>
      </w:tblGrid>
      <w:tr w14:paraId="32F332E4">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tblHeader/>
          <w:jc w:val="center"/>
        </w:trPr>
        <w:tc>
          <w:tcPr>
            <w:tcW w:w="958" w:type="dxa"/>
            <w:tcBorders>
              <w:top w:val="single" w:color="auto" w:sz="12" w:space="0"/>
              <w:left w:val="nil"/>
              <w:bottom w:val="single" w:color="auto" w:sz="4" w:space="0"/>
              <w:right w:val="nil"/>
            </w:tcBorders>
            <w:shd w:val="clear" w:color="auto" w:fill="auto"/>
            <w:tcMar>
              <w:top w:w="144" w:type="dxa"/>
              <w:left w:w="216" w:type="dxa"/>
              <w:bottom w:w="144" w:type="dxa"/>
              <w:right w:w="216" w:type="dxa"/>
            </w:tcMar>
            <w:vAlign w:val="center"/>
          </w:tcPr>
          <w:p w14:paraId="4CD55C9E">
            <w:pPr>
              <w:keepNext w:val="0"/>
              <w:keepLines w:val="0"/>
              <w:widowControl/>
              <w:suppressLineNumbers w:val="0"/>
              <w:snapToGrid w:val="0"/>
              <w:spacing w:before="0" w:beforeAutospacing="0" w:after="0" w:afterAutospacing="0" w:line="240" w:lineRule="auto"/>
              <w:ind w:left="0" w:leftChars="0" w:right="0" w:rightChars="0" w:firstLine="0" w:firstLineChars="0"/>
              <w:jc w:val="center"/>
              <w:outlineLvl w:val="9"/>
              <w:rPr>
                <w:rFonts w:ascii="宋体" w:hAnsi="宋体" w:eastAsia="宋体" w:cs="宋体"/>
                <w:b/>
                <w:color w:val="auto"/>
                <w:kern w:val="0"/>
                <w:sz w:val="24"/>
                <w:szCs w:val="24"/>
                <w:lang w:val="en-US" w:eastAsia="zh-CN" w:bidi="ar"/>
              </w:rPr>
            </w:pPr>
            <w:r>
              <w:rPr>
                <w:rFonts w:hint="eastAsia" w:ascii="宋体" w:hAnsi="宋体" w:eastAsia="宋体" w:cs="宋体"/>
                <w:b/>
                <w:color w:val="auto"/>
                <w:kern w:val="0"/>
                <w:sz w:val="24"/>
                <w:szCs w:val="24"/>
                <w:lang w:val="en-US" w:eastAsia="zh-CN" w:bidi="ar"/>
              </w:rPr>
              <w:t>维度</w:t>
            </w:r>
          </w:p>
        </w:tc>
        <w:tc>
          <w:tcPr>
            <w:tcW w:w="2459" w:type="dxa"/>
            <w:tcBorders>
              <w:top w:val="single" w:color="auto" w:sz="12" w:space="0"/>
              <w:left w:val="nil"/>
              <w:bottom w:val="single" w:color="auto" w:sz="4" w:space="0"/>
              <w:right w:val="nil"/>
            </w:tcBorders>
            <w:shd w:val="clear" w:color="auto" w:fill="auto"/>
            <w:tcMar>
              <w:top w:w="144" w:type="dxa"/>
              <w:left w:w="216" w:type="dxa"/>
              <w:bottom w:w="144" w:type="dxa"/>
              <w:right w:w="216" w:type="dxa"/>
            </w:tcMar>
            <w:vAlign w:val="center"/>
          </w:tcPr>
          <w:p w14:paraId="05F8398B">
            <w:pPr>
              <w:keepNext w:val="0"/>
              <w:keepLines w:val="0"/>
              <w:widowControl/>
              <w:suppressLineNumbers w:val="0"/>
              <w:snapToGrid w:val="0"/>
              <w:spacing w:before="0" w:beforeAutospacing="0" w:after="0" w:afterAutospacing="0" w:line="240" w:lineRule="auto"/>
              <w:ind w:left="0" w:leftChars="0" w:right="0" w:rightChars="0" w:firstLine="0" w:firstLineChars="0"/>
              <w:jc w:val="center"/>
              <w:outlineLvl w:val="9"/>
              <w:rPr>
                <w:rFonts w:hint="eastAsia" w:ascii="宋体" w:hAnsi="宋体" w:eastAsia="宋体" w:cs="宋体"/>
                <w:b/>
                <w:color w:val="auto"/>
                <w:kern w:val="0"/>
                <w:sz w:val="24"/>
                <w:szCs w:val="24"/>
                <w:lang w:val="en-US" w:eastAsia="zh-CN" w:bidi="ar"/>
              </w:rPr>
            </w:pPr>
            <w:r>
              <w:rPr>
                <w:rFonts w:hint="eastAsia" w:ascii="宋体" w:hAnsi="宋体" w:eastAsia="宋体" w:cs="宋体"/>
                <w:b/>
                <w:color w:val="auto"/>
                <w:kern w:val="0"/>
                <w:sz w:val="24"/>
                <w:szCs w:val="24"/>
                <w:lang w:val="en-US" w:eastAsia="zh-CN" w:bidi="ar"/>
              </w:rPr>
              <w:t>物理系统</w:t>
            </w:r>
          </w:p>
          <w:p w14:paraId="1D79905F">
            <w:pPr>
              <w:keepNext w:val="0"/>
              <w:keepLines w:val="0"/>
              <w:widowControl/>
              <w:suppressLineNumbers w:val="0"/>
              <w:snapToGrid w:val="0"/>
              <w:spacing w:before="0" w:beforeAutospacing="0" w:after="0" w:afterAutospacing="0" w:line="240" w:lineRule="auto"/>
              <w:ind w:left="0" w:leftChars="0" w:right="0" w:rightChars="0" w:firstLine="0" w:firstLineChars="0"/>
              <w:jc w:val="center"/>
              <w:outlineLvl w:val="9"/>
              <w:rPr>
                <w:rFonts w:ascii="宋体" w:hAnsi="宋体" w:eastAsia="宋体" w:cs="宋体"/>
                <w:b/>
                <w:color w:val="auto"/>
                <w:kern w:val="0"/>
                <w:sz w:val="24"/>
                <w:szCs w:val="24"/>
                <w:lang w:val="en-US" w:eastAsia="zh-CN" w:bidi="ar"/>
              </w:rPr>
            </w:pPr>
            <w:r>
              <w:rPr>
                <w:rFonts w:hint="eastAsia" w:ascii="宋体" w:hAnsi="宋体" w:eastAsia="宋体" w:cs="宋体"/>
                <w:b/>
                <w:color w:val="auto"/>
                <w:kern w:val="0"/>
                <w:sz w:val="24"/>
                <w:szCs w:val="24"/>
                <w:lang w:val="en-US" w:eastAsia="zh-CN" w:bidi="ar"/>
              </w:rPr>
              <w:t>（量子力学研究对象）</w:t>
            </w:r>
          </w:p>
        </w:tc>
        <w:tc>
          <w:tcPr>
            <w:tcW w:w="2498" w:type="dxa"/>
            <w:tcBorders>
              <w:top w:val="single" w:color="auto" w:sz="12" w:space="0"/>
              <w:left w:val="nil"/>
              <w:bottom w:val="single" w:color="auto" w:sz="4" w:space="0"/>
              <w:right w:val="nil"/>
            </w:tcBorders>
            <w:shd w:val="clear" w:color="auto" w:fill="auto"/>
            <w:tcMar>
              <w:top w:w="144" w:type="dxa"/>
              <w:left w:w="216" w:type="dxa"/>
              <w:bottom w:w="144" w:type="dxa"/>
              <w:right w:w="216" w:type="dxa"/>
            </w:tcMar>
            <w:vAlign w:val="center"/>
          </w:tcPr>
          <w:p w14:paraId="79C673A6">
            <w:pPr>
              <w:keepNext w:val="0"/>
              <w:keepLines w:val="0"/>
              <w:widowControl/>
              <w:suppressLineNumbers w:val="0"/>
              <w:snapToGrid w:val="0"/>
              <w:spacing w:before="0" w:beforeAutospacing="0" w:after="0" w:afterAutospacing="0" w:line="240" w:lineRule="auto"/>
              <w:ind w:left="0" w:leftChars="0" w:right="0" w:rightChars="0" w:firstLine="0" w:firstLineChars="0"/>
              <w:jc w:val="center"/>
              <w:outlineLvl w:val="9"/>
              <w:rPr>
                <w:rFonts w:hint="eastAsia" w:ascii="宋体" w:hAnsi="宋体" w:eastAsia="宋体" w:cs="宋体"/>
                <w:b/>
                <w:color w:val="auto"/>
                <w:kern w:val="0"/>
                <w:sz w:val="24"/>
                <w:szCs w:val="24"/>
                <w:lang w:val="en-US" w:eastAsia="zh-CN" w:bidi="ar"/>
              </w:rPr>
            </w:pPr>
            <w:r>
              <w:rPr>
                <w:rFonts w:hint="eastAsia" w:ascii="宋体" w:hAnsi="宋体" w:eastAsia="宋体" w:cs="宋体"/>
                <w:b/>
                <w:color w:val="auto"/>
                <w:kern w:val="0"/>
                <w:sz w:val="24"/>
                <w:szCs w:val="24"/>
                <w:lang w:val="en-US" w:eastAsia="zh-CN" w:bidi="ar"/>
              </w:rPr>
              <w:t>经济系统</w:t>
            </w:r>
          </w:p>
          <w:p w14:paraId="14C15373">
            <w:pPr>
              <w:keepNext w:val="0"/>
              <w:keepLines w:val="0"/>
              <w:widowControl/>
              <w:suppressLineNumbers w:val="0"/>
              <w:snapToGrid w:val="0"/>
              <w:spacing w:before="0" w:beforeAutospacing="0" w:after="0" w:afterAutospacing="0" w:line="240" w:lineRule="auto"/>
              <w:ind w:left="0" w:leftChars="0" w:right="0" w:rightChars="0" w:firstLine="0" w:firstLineChars="0"/>
              <w:jc w:val="center"/>
              <w:outlineLvl w:val="9"/>
              <w:rPr>
                <w:rFonts w:ascii="宋体" w:hAnsi="宋体" w:eastAsia="宋体" w:cs="宋体"/>
                <w:b/>
                <w:color w:val="auto"/>
                <w:kern w:val="0"/>
                <w:sz w:val="24"/>
                <w:szCs w:val="24"/>
                <w:lang w:val="en-US" w:eastAsia="zh-CN" w:bidi="ar"/>
              </w:rPr>
            </w:pPr>
            <w:r>
              <w:rPr>
                <w:rFonts w:hint="eastAsia" w:ascii="宋体" w:hAnsi="宋体" w:eastAsia="宋体" w:cs="宋体"/>
                <w:b/>
                <w:color w:val="auto"/>
                <w:kern w:val="0"/>
                <w:sz w:val="24"/>
                <w:szCs w:val="24"/>
                <w:lang w:val="en-US" w:eastAsia="zh-CN" w:bidi="ar"/>
              </w:rPr>
              <w:t>（经济学研究对象）</w:t>
            </w:r>
          </w:p>
        </w:tc>
        <w:tc>
          <w:tcPr>
            <w:tcW w:w="2941" w:type="dxa"/>
            <w:tcBorders>
              <w:top w:val="single" w:color="auto" w:sz="12" w:space="0"/>
              <w:left w:val="nil"/>
              <w:bottom w:val="single" w:color="auto" w:sz="4" w:space="0"/>
              <w:right w:val="nil"/>
            </w:tcBorders>
            <w:shd w:val="clear" w:color="auto" w:fill="auto"/>
            <w:tcMar>
              <w:top w:w="144" w:type="dxa"/>
              <w:left w:w="216" w:type="dxa"/>
              <w:bottom w:w="144" w:type="dxa"/>
              <w:right w:w="216" w:type="dxa"/>
            </w:tcMar>
            <w:vAlign w:val="center"/>
          </w:tcPr>
          <w:p w14:paraId="072CFDEC">
            <w:pPr>
              <w:keepNext w:val="0"/>
              <w:keepLines w:val="0"/>
              <w:widowControl/>
              <w:suppressLineNumbers w:val="0"/>
              <w:snapToGrid w:val="0"/>
              <w:spacing w:before="0" w:beforeAutospacing="0" w:after="0" w:afterAutospacing="0" w:line="240" w:lineRule="auto"/>
              <w:ind w:left="0" w:leftChars="0" w:right="0" w:rightChars="0" w:firstLine="0" w:firstLineChars="0"/>
              <w:jc w:val="center"/>
              <w:outlineLvl w:val="9"/>
              <w:rPr>
                <w:rFonts w:ascii="宋体" w:hAnsi="宋体" w:eastAsia="宋体" w:cs="宋体"/>
                <w:b/>
                <w:color w:val="auto"/>
                <w:kern w:val="0"/>
                <w:sz w:val="24"/>
                <w:szCs w:val="24"/>
                <w:lang w:val="en-US" w:eastAsia="zh-CN" w:bidi="ar"/>
              </w:rPr>
            </w:pPr>
            <w:r>
              <w:rPr>
                <w:rFonts w:hint="eastAsia" w:ascii="宋体" w:hAnsi="宋体" w:eastAsia="宋体" w:cs="宋体"/>
                <w:b/>
                <w:color w:val="auto"/>
                <w:kern w:val="0"/>
                <w:sz w:val="24"/>
                <w:szCs w:val="24"/>
                <w:lang w:val="en-US" w:eastAsia="zh-CN" w:bidi="ar"/>
              </w:rPr>
              <w:t>跨系统迁移的核心适配调整</w:t>
            </w:r>
          </w:p>
        </w:tc>
      </w:tr>
      <w:tr w14:paraId="7064D1D7">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58" w:type="dxa"/>
            <w:tcBorders>
              <w:top w:val="single" w:color="auto" w:sz="4" w:space="0"/>
              <w:left w:val="nil"/>
              <w:bottom w:val="nil"/>
              <w:right w:val="nil"/>
            </w:tcBorders>
            <w:shd w:val="clear" w:color="auto" w:fill="auto"/>
            <w:tcMar>
              <w:top w:w="144" w:type="dxa"/>
              <w:left w:w="216" w:type="dxa"/>
              <w:bottom w:w="144" w:type="dxa"/>
              <w:right w:w="216" w:type="dxa"/>
            </w:tcMar>
            <w:vAlign w:val="center"/>
          </w:tcPr>
          <w:p w14:paraId="083BCE5D">
            <w:pPr>
              <w:keepNext w:val="0"/>
              <w:keepLines w:val="0"/>
              <w:widowControl/>
              <w:suppressLineNumbers w:val="0"/>
              <w:snapToGrid w:val="0"/>
              <w:spacing w:before="0" w:beforeAutospacing="0" w:after="0" w:afterAutospacing="0" w:line="240" w:lineRule="auto"/>
              <w:ind w:left="0" w:leftChars="0" w:right="0" w:rightChars="0" w:firstLine="0" w:firstLineChars="0"/>
              <w:jc w:val="center"/>
              <w:outlineLvl w:val="9"/>
              <w:rPr>
                <w:rFonts w:ascii="宋体" w:eastAsia="宋体"/>
                <w:color w:val="auto"/>
                <w:sz w:val="24"/>
                <w:szCs w:val="24"/>
              </w:rPr>
            </w:pPr>
            <w:r>
              <w:rPr>
                <w:rFonts w:ascii="宋体" w:hAnsi="宋体" w:eastAsia="宋体" w:cs="宋体"/>
                <w:color w:val="auto"/>
                <w:kern w:val="0"/>
                <w:sz w:val="24"/>
                <w:szCs w:val="24"/>
                <w:lang w:val="en-US" w:eastAsia="zh-CN" w:bidi="ar"/>
              </w:rPr>
              <w:t>本体属性</w:t>
            </w:r>
          </w:p>
        </w:tc>
        <w:tc>
          <w:tcPr>
            <w:tcW w:w="2459" w:type="dxa"/>
            <w:tcBorders>
              <w:top w:val="single" w:color="auto" w:sz="4" w:space="0"/>
              <w:left w:val="nil"/>
              <w:bottom w:val="nil"/>
              <w:right w:val="nil"/>
            </w:tcBorders>
            <w:shd w:val="clear" w:color="auto" w:fill="auto"/>
            <w:tcMar>
              <w:top w:w="144" w:type="dxa"/>
              <w:left w:w="216" w:type="dxa"/>
              <w:bottom w:w="144" w:type="dxa"/>
              <w:right w:w="216" w:type="dxa"/>
            </w:tcMar>
            <w:vAlign w:val="center"/>
          </w:tcPr>
          <w:p w14:paraId="2C1C2801">
            <w:pPr>
              <w:keepNext w:val="0"/>
              <w:keepLines w:val="0"/>
              <w:widowControl/>
              <w:suppressLineNumbers w:val="0"/>
              <w:snapToGrid w:val="0"/>
              <w:spacing w:before="0" w:beforeAutospacing="0" w:after="0" w:afterAutospacing="0" w:line="240" w:lineRule="auto"/>
              <w:ind w:left="0" w:leftChars="0" w:right="0" w:rightChars="0" w:firstLine="0" w:firstLineChars="0"/>
              <w:jc w:val="left"/>
              <w:outlineLvl w:val="9"/>
              <w:rPr>
                <w:rFonts w:ascii="宋体" w:eastAsia="宋体"/>
                <w:color w:val="auto"/>
                <w:sz w:val="24"/>
                <w:szCs w:val="24"/>
              </w:rPr>
            </w:pPr>
            <w:r>
              <w:rPr>
                <w:rFonts w:ascii="宋体" w:hAnsi="宋体" w:eastAsia="宋体" w:cs="宋体"/>
                <w:color w:val="auto"/>
                <w:kern w:val="0"/>
                <w:sz w:val="24"/>
                <w:szCs w:val="24"/>
                <w:lang w:val="en-US" w:eastAsia="zh-CN" w:bidi="ar"/>
              </w:rPr>
              <w:t>无主观能动性、客观实在的微观粒子（电子、光子等）</w:t>
            </w:r>
          </w:p>
        </w:tc>
        <w:tc>
          <w:tcPr>
            <w:tcW w:w="2498" w:type="dxa"/>
            <w:tcBorders>
              <w:top w:val="single" w:color="auto" w:sz="4" w:space="0"/>
              <w:left w:val="nil"/>
              <w:bottom w:val="nil"/>
              <w:right w:val="nil"/>
            </w:tcBorders>
            <w:shd w:val="clear" w:color="auto" w:fill="auto"/>
            <w:tcMar>
              <w:top w:w="144" w:type="dxa"/>
              <w:left w:w="216" w:type="dxa"/>
              <w:bottom w:w="144" w:type="dxa"/>
              <w:right w:w="216" w:type="dxa"/>
            </w:tcMar>
            <w:vAlign w:val="center"/>
          </w:tcPr>
          <w:p w14:paraId="7AF227CE">
            <w:pPr>
              <w:keepNext w:val="0"/>
              <w:keepLines w:val="0"/>
              <w:widowControl/>
              <w:suppressLineNumbers w:val="0"/>
              <w:snapToGrid w:val="0"/>
              <w:spacing w:before="0" w:beforeAutospacing="0" w:after="0" w:afterAutospacing="0" w:line="240" w:lineRule="auto"/>
              <w:ind w:left="0" w:leftChars="0" w:right="0" w:rightChars="0" w:firstLine="0" w:firstLineChars="0"/>
              <w:jc w:val="left"/>
              <w:outlineLvl w:val="9"/>
              <w:rPr>
                <w:rFonts w:ascii="宋体" w:eastAsia="宋体"/>
                <w:color w:val="auto"/>
                <w:sz w:val="24"/>
                <w:szCs w:val="24"/>
              </w:rPr>
            </w:pPr>
            <w:r>
              <w:rPr>
                <w:rFonts w:ascii="宋体" w:hAnsi="宋体" w:eastAsia="宋体" w:cs="宋体"/>
                <w:color w:val="auto"/>
                <w:kern w:val="0"/>
                <w:sz w:val="24"/>
                <w:szCs w:val="24"/>
                <w:lang w:val="en-US" w:eastAsia="zh-CN" w:bidi="ar"/>
              </w:rPr>
              <w:t>受偏好、制度、文化影响的策略性主体（个人、企业、政府）</w:t>
            </w:r>
          </w:p>
        </w:tc>
        <w:tc>
          <w:tcPr>
            <w:tcW w:w="2941" w:type="dxa"/>
            <w:tcBorders>
              <w:top w:val="single" w:color="auto" w:sz="4" w:space="0"/>
              <w:left w:val="nil"/>
              <w:bottom w:val="nil"/>
              <w:right w:val="nil"/>
            </w:tcBorders>
            <w:shd w:val="clear" w:color="auto" w:fill="auto"/>
            <w:tcMar>
              <w:top w:w="144" w:type="dxa"/>
              <w:left w:w="216" w:type="dxa"/>
              <w:bottom w:w="144" w:type="dxa"/>
              <w:right w:w="216" w:type="dxa"/>
            </w:tcMar>
            <w:vAlign w:val="center"/>
          </w:tcPr>
          <w:p w14:paraId="25F364A7">
            <w:pPr>
              <w:keepNext w:val="0"/>
              <w:keepLines w:val="0"/>
              <w:widowControl/>
              <w:suppressLineNumbers w:val="0"/>
              <w:snapToGrid w:val="0"/>
              <w:spacing w:before="0" w:beforeAutospacing="0" w:after="0" w:afterAutospacing="0" w:line="240" w:lineRule="auto"/>
              <w:ind w:left="0" w:leftChars="0" w:right="0" w:rightChars="0" w:firstLine="0" w:firstLineChars="0"/>
              <w:jc w:val="left"/>
              <w:outlineLvl w:val="9"/>
              <w:rPr>
                <w:rFonts w:ascii="宋体" w:eastAsia="宋体"/>
                <w:color w:val="auto"/>
                <w:sz w:val="24"/>
                <w:szCs w:val="24"/>
              </w:rPr>
            </w:pPr>
            <w:r>
              <w:rPr>
                <w:rFonts w:ascii="宋体" w:hAnsi="宋体" w:eastAsia="宋体" w:cs="宋体"/>
                <w:color w:val="auto"/>
                <w:kern w:val="0"/>
                <w:sz w:val="24"/>
                <w:szCs w:val="24"/>
                <w:lang w:val="en-US" w:eastAsia="zh-CN" w:bidi="ar"/>
              </w:rPr>
              <w:t>兼容主体能动性，弱化粒子被动性假设；衔接社会属性与物理概念普适逻辑</w:t>
            </w:r>
          </w:p>
        </w:tc>
      </w:tr>
      <w:tr w14:paraId="4CFBF35B">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58" w:type="dxa"/>
            <w:tcBorders>
              <w:top w:val="nil"/>
              <w:left w:val="nil"/>
              <w:bottom w:val="nil"/>
              <w:right w:val="nil"/>
            </w:tcBorders>
            <w:shd w:val="clear" w:color="auto" w:fill="auto"/>
            <w:tcMar>
              <w:top w:w="144" w:type="dxa"/>
              <w:left w:w="216" w:type="dxa"/>
              <w:bottom w:w="144" w:type="dxa"/>
              <w:right w:w="216" w:type="dxa"/>
            </w:tcMar>
            <w:vAlign w:val="center"/>
          </w:tcPr>
          <w:p w14:paraId="79852E64">
            <w:pPr>
              <w:keepNext w:val="0"/>
              <w:keepLines w:val="0"/>
              <w:widowControl/>
              <w:suppressLineNumbers w:val="0"/>
              <w:snapToGrid w:val="0"/>
              <w:spacing w:before="0" w:beforeAutospacing="0" w:after="0" w:afterAutospacing="0" w:line="240" w:lineRule="auto"/>
              <w:ind w:left="0" w:leftChars="0" w:right="0" w:rightChars="0" w:firstLine="0" w:firstLineChars="0"/>
              <w:jc w:val="center"/>
              <w:outlineLvl w:val="9"/>
              <w:rPr>
                <w:rFonts w:ascii="宋体" w:eastAsia="宋体"/>
                <w:color w:val="auto"/>
                <w:sz w:val="24"/>
                <w:szCs w:val="24"/>
              </w:rPr>
            </w:pPr>
            <w:r>
              <w:rPr>
                <w:rFonts w:ascii="宋体" w:hAnsi="宋体" w:eastAsia="宋体" w:cs="宋体"/>
                <w:color w:val="auto"/>
                <w:kern w:val="0"/>
                <w:sz w:val="24"/>
                <w:szCs w:val="24"/>
                <w:lang w:val="en-US" w:eastAsia="zh-CN" w:bidi="ar"/>
              </w:rPr>
              <w:t>互动机制</w:t>
            </w:r>
          </w:p>
        </w:tc>
        <w:tc>
          <w:tcPr>
            <w:tcW w:w="2459" w:type="dxa"/>
            <w:tcBorders>
              <w:top w:val="nil"/>
              <w:left w:val="nil"/>
              <w:bottom w:val="nil"/>
              <w:right w:val="nil"/>
            </w:tcBorders>
            <w:shd w:val="clear" w:color="auto" w:fill="auto"/>
            <w:tcMar>
              <w:top w:w="144" w:type="dxa"/>
              <w:left w:w="216" w:type="dxa"/>
              <w:bottom w:w="144" w:type="dxa"/>
              <w:right w:w="216" w:type="dxa"/>
            </w:tcMar>
            <w:vAlign w:val="center"/>
          </w:tcPr>
          <w:p w14:paraId="3FD7C6A4">
            <w:pPr>
              <w:keepNext w:val="0"/>
              <w:keepLines w:val="0"/>
              <w:widowControl/>
              <w:suppressLineNumbers w:val="0"/>
              <w:snapToGrid w:val="0"/>
              <w:spacing w:before="0" w:beforeAutospacing="0" w:after="0" w:afterAutospacing="0" w:line="240" w:lineRule="auto"/>
              <w:ind w:left="0" w:leftChars="0" w:right="0" w:rightChars="0" w:firstLine="0" w:firstLineChars="0"/>
              <w:jc w:val="left"/>
              <w:outlineLvl w:val="9"/>
              <w:rPr>
                <w:rFonts w:ascii="宋体" w:eastAsia="宋体"/>
                <w:color w:val="auto"/>
                <w:sz w:val="24"/>
                <w:szCs w:val="24"/>
              </w:rPr>
            </w:pPr>
            <w:r>
              <w:rPr>
                <w:rFonts w:ascii="宋体" w:hAnsi="宋体" w:eastAsia="宋体" w:cs="宋体"/>
                <w:color w:val="auto"/>
                <w:kern w:val="0"/>
                <w:sz w:val="24"/>
                <w:szCs w:val="24"/>
                <w:lang w:val="en-US" w:eastAsia="zh-CN" w:bidi="ar"/>
              </w:rPr>
              <w:t>理想条件下呈对称、瞬时、非社会性特征，遵循严格物理定律</w:t>
            </w:r>
          </w:p>
        </w:tc>
        <w:tc>
          <w:tcPr>
            <w:tcW w:w="2498" w:type="dxa"/>
            <w:tcBorders>
              <w:top w:val="nil"/>
              <w:left w:val="nil"/>
              <w:bottom w:val="nil"/>
              <w:right w:val="nil"/>
            </w:tcBorders>
            <w:shd w:val="clear" w:color="auto" w:fill="auto"/>
            <w:tcMar>
              <w:top w:w="144" w:type="dxa"/>
              <w:left w:w="216" w:type="dxa"/>
              <w:bottom w:w="144" w:type="dxa"/>
              <w:right w:w="216" w:type="dxa"/>
            </w:tcMar>
            <w:vAlign w:val="center"/>
          </w:tcPr>
          <w:p w14:paraId="0EDAE74E">
            <w:pPr>
              <w:keepNext w:val="0"/>
              <w:keepLines w:val="0"/>
              <w:widowControl/>
              <w:suppressLineNumbers w:val="0"/>
              <w:snapToGrid w:val="0"/>
              <w:spacing w:before="0" w:beforeAutospacing="0" w:after="0" w:afterAutospacing="0" w:line="240" w:lineRule="auto"/>
              <w:ind w:left="0" w:leftChars="0" w:right="0" w:rightChars="0" w:firstLine="0" w:firstLineChars="0"/>
              <w:jc w:val="left"/>
              <w:outlineLvl w:val="9"/>
              <w:rPr>
                <w:rFonts w:ascii="宋体" w:eastAsia="宋体"/>
                <w:color w:val="auto"/>
                <w:sz w:val="24"/>
                <w:szCs w:val="24"/>
              </w:rPr>
            </w:pPr>
            <w:r>
              <w:rPr>
                <w:rFonts w:ascii="宋体" w:hAnsi="宋体" w:eastAsia="宋体" w:cs="宋体"/>
                <w:color w:val="auto"/>
                <w:kern w:val="0"/>
                <w:sz w:val="24"/>
                <w:szCs w:val="24"/>
                <w:lang w:val="en-US" w:eastAsia="zh-CN" w:bidi="ar"/>
              </w:rPr>
              <w:t>普遍具不对称、时滞、社会嵌入性特征，遵循博弈与契约逻辑</w:t>
            </w:r>
          </w:p>
        </w:tc>
        <w:tc>
          <w:tcPr>
            <w:tcW w:w="2941" w:type="dxa"/>
            <w:tcBorders>
              <w:top w:val="nil"/>
              <w:left w:val="nil"/>
              <w:bottom w:val="nil"/>
              <w:right w:val="nil"/>
            </w:tcBorders>
            <w:shd w:val="clear" w:color="auto" w:fill="auto"/>
            <w:tcMar>
              <w:top w:w="144" w:type="dxa"/>
              <w:left w:w="216" w:type="dxa"/>
              <w:bottom w:w="144" w:type="dxa"/>
              <w:right w:w="216" w:type="dxa"/>
            </w:tcMar>
            <w:vAlign w:val="center"/>
          </w:tcPr>
          <w:p w14:paraId="3259302C">
            <w:pPr>
              <w:keepNext w:val="0"/>
              <w:keepLines w:val="0"/>
              <w:widowControl/>
              <w:suppressLineNumbers w:val="0"/>
              <w:snapToGrid w:val="0"/>
              <w:spacing w:before="0" w:beforeAutospacing="0" w:after="0" w:afterAutospacing="0" w:line="240" w:lineRule="auto"/>
              <w:ind w:left="0" w:leftChars="0" w:right="0" w:rightChars="0" w:firstLine="0" w:firstLineChars="0"/>
              <w:jc w:val="left"/>
              <w:outlineLvl w:val="9"/>
              <w:rPr>
                <w:rFonts w:ascii="宋体" w:eastAsia="宋体"/>
                <w:color w:val="auto"/>
                <w:sz w:val="24"/>
                <w:szCs w:val="24"/>
              </w:rPr>
            </w:pPr>
            <w:r>
              <w:rPr>
                <w:rFonts w:ascii="宋体" w:hAnsi="宋体" w:eastAsia="宋体" w:cs="宋体"/>
                <w:color w:val="auto"/>
                <w:kern w:val="0"/>
                <w:sz w:val="24"/>
                <w:szCs w:val="24"/>
                <w:lang w:val="en-US" w:eastAsia="zh-CN" w:bidi="ar"/>
              </w:rPr>
              <w:t>适配社会性互动本质，修正物理性互动假设；接纳不对称性与时间滞后性</w:t>
            </w:r>
          </w:p>
        </w:tc>
      </w:tr>
      <w:tr w14:paraId="35E1A79C">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58" w:type="dxa"/>
            <w:tcBorders>
              <w:top w:val="nil"/>
              <w:left w:val="nil"/>
              <w:bottom w:val="nil"/>
              <w:right w:val="nil"/>
            </w:tcBorders>
            <w:shd w:val="clear" w:color="auto" w:fill="auto"/>
            <w:tcMar>
              <w:top w:w="144" w:type="dxa"/>
              <w:left w:w="216" w:type="dxa"/>
              <w:bottom w:w="144" w:type="dxa"/>
              <w:right w:w="216" w:type="dxa"/>
            </w:tcMar>
            <w:vAlign w:val="center"/>
          </w:tcPr>
          <w:p w14:paraId="2239D0A8">
            <w:pPr>
              <w:keepNext w:val="0"/>
              <w:keepLines w:val="0"/>
              <w:widowControl/>
              <w:suppressLineNumbers w:val="0"/>
              <w:snapToGrid w:val="0"/>
              <w:spacing w:before="0" w:beforeAutospacing="0" w:after="0" w:afterAutospacing="0" w:line="240" w:lineRule="auto"/>
              <w:ind w:left="0" w:leftChars="0" w:right="0" w:rightChars="0" w:firstLine="0" w:firstLineChars="0"/>
              <w:jc w:val="center"/>
              <w:outlineLvl w:val="9"/>
              <w:rPr>
                <w:rFonts w:ascii="宋体" w:eastAsia="宋体"/>
                <w:color w:val="auto"/>
                <w:sz w:val="24"/>
                <w:szCs w:val="24"/>
              </w:rPr>
            </w:pPr>
            <w:r>
              <w:rPr>
                <w:rFonts w:ascii="宋体" w:hAnsi="宋体" w:eastAsia="宋体" w:cs="宋体"/>
                <w:color w:val="auto"/>
                <w:kern w:val="0"/>
                <w:sz w:val="24"/>
                <w:szCs w:val="24"/>
                <w:lang w:val="en-US" w:eastAsia="zh-CN" w:bidi="ar"/>
              </w:rPr>
              <w:t>演化规律</w:t>
            </w:r>
          </w:p>
        </w:tc>
        <w:tc>
          <w:tcPr>
            <w:tcW w:w="2459" w:type="dxa"/>
            <w:tcBorders>
              <w:top w:val="nil"/>
              <w:left w:val="nil"/>
              <w:bottom w:val="nil"/>
              <w:right w:val="nil"/>
            </w:tcBorders>
            <w:shd w:val="clear" w:color="auto" w:fill="auto"/>
            <w:tcMar>
              <w:top w:w="144" w:type="dxa"/>
              <w:left w:w="216" w:type="dxa"/>
              <w:bottom w:w="144" w:type="dxa"/>
              <w:right w:w="216" w:type="dxa"/>
            </w:tcMar>
            <w:vAlign w:val="center"/>
          </w:tcPr>
          <w:p w14:paraId="7E1341B7">
            <w:pPr>
              <w:keepNext w:val="0"/>
              <w:keepLines w:val="0"/>
              <w:widowControl/>
              <w:suppressLineNumbers w:val="0"/>
              <w:snapToGrid w:val="0"/>
              <w:spacing w:before="0" w:beforeAutospacing="0" w:after="0" w:afterAutospacing="0" w:line="240" w:lineRule="auto"/>
              <w:ind w:left="0" w:leftChars="0" w:right="0" w:rightChars="0" w:firstLine="0" w:firstLineChars="0"/>
              <w:jc w:val="left"/>
              <w:outlineLvl w:val="9"/>
              <w:rPr>
                <w:rFonts w:ascii="宋体" w:eastAsia="宋体"/>
                <w:color w:val="auto"/>
                <w:sz w:val="24"/>
                <w:szCs w:val="24"/>
              </w:rPr>
            </w:pPr>
            <w:r>
              <w:rPr>
                <w:rFonts w:ascii="宋体" w:hAnsi="宋体" w:eastAsia="宋体" w:cs="宋体"/>
                <w:color w:val="auto"/>
                <w:kern w:val="0"/>
                <w:sz w:val="24"/>
                <w:szCs w:val="24"/>
                <w:lang w:val="en-US" w:eastAsia="zh-CN" w:bidi="ar"/>
              </w:rPr>
              <w:t>具可逆性、可重复性，具备精准预测基础</w:t>
            </w:r>
          </w:p>
        </w:tc>
        <w:tc>
          <w:tcPr>
            <w:tcW w:w="2498" w:type="dxa"/>
            <w:tcBorders>
              <w:top w:val="nil"/>
              <w:left w:val="nil"/>
              <w:bottom w:val="nil"/>
              <w:right w:val="nil"/>
            </w:tcBorders>
            <w:shd w:val="clear" w:color="auto" w:fill="auto"/>
            <w:tcMar>
              <w:top w:w="144" w:type="dxa"/>
              <w:left w:w="216" w:type="dxa"/>
              <w:bottom w:w="144" w:type="dxa"/>
              <w:right w:w="216" w:type="dxa"/>
            </w:tcMar>
            <w:vAlign w:val="center"/>
          </w:tcPr>
          <w:p w14:paraId="0034CF32">
            <w:pPr>
              <w:keepNext w:val="0"/>
              <w:keepLines w:val="0"/>
              <w:widowControl/>
              <w:suppressLineNumbers w:val="0"/>
              <w:snapToGrid w:val="0"/>
              <w:spacing w:before="0" w:beforeAutospacing="0" w:after="0" w:afterAutospacing="0" w:line="240" w:lineRule="auto"/>
              <w:ind w:left="0" w:leftChars="0" w:right="0" w:rightChars="0" w:firstLine="0" w:firstLineChars="0"/>
              <w:jc w:val="left"/>
              <w:outlineLvl w:val="9"/>
              <w:rPr>
                <w:rFonts w:ascii="宋体" w:eastAsia="宋体"/>
                <w:color w:val="auto"/>
                <w:sz w:val="24"/>
                <w:szCs w:val="24"/>
              </w:rPr>
            </w:pPr>
            <w:r>
              <w:rPr>
                <w:rFonts w:ascii="宋体" w:hAnsi="宋体" w:eastAsia="宋体" w:cs="宋体"/>
                <w:color w:val="auto"/>
                <w:kern w:val="0"/>
                <w:sz w:val="24"/>
                <w:szCs w:val="24"/>
                <w:lang w:val="en-US" w:eastAsia="zh-CN" w:bidi="ar"/>
              </w:rPr>
              <w:t>呈不可逆性、路径依赖特征，不确定性突出</w:t>
            </w:r>
          </w:p>
        </w:tc>
        <w:tc>
          <w:tcPr>
            <w:tcW w:w="2941" w:type="dxa"/>
            <w:tcBorders>
              <w:top w:val="nil"/>
              <w:left w:val="nil"/>
              <w:bottom w:val="nil"/>
              <w:right w:val="nil"/>
            </w:tcBorders>
            <w:shd w:val="clear" w:color="auto" w:fill="auto"/>
            <w:tcMar>
              <w:top w:w="144" w:type="dxa"/>
              <w:left w:w="216" w:type="dxa"/>
              <w:bottom w:w="144" w:type="dxa"/>
              <w:right w:w="216" w:type="dxa"/>
            </w:tcMar>
            <w:vAlign w:val="center"/>
          </w:tcPr>
          <w:p w14:paraId="33CFFCCA">
            <w:pPr>
              <w:keepNext w:val="0"/>
              <w:keepLines w:val="0"/>
              <w:widowControl/>
              <w:suppressLineNumbers w:val="0"/>
              <w:snapToGrid w:val="0"/>
              <w:spacing w:before="0" w:beforeAutospacing="0" w:after="0" w:afterAutospacing="0" w:line="240" w:lineRule="auto"/>
              <w:ind w:left="0" w:leftChars="0" w:right="0" w:rightChars="0" w:firstLine="0" w:firstLineChars="0"/>
              <w:jc w:val="left"/>
              <w:outlineLvl w:val="9"/>
              <w:rPr>
                <w:rFonts w:ascii="宋体" w:eastAsia="宋体"/>
                <w:color w:val="auto"/>
                <w:sz w:val="24"/>
                <w:szCs w:val="24"/>
              </w:rPr>
            </w:pPr>
            <w:r>
              <w:rPr>
                <w:rFonts w:ascii="宋体" w:hAnsi="宋体" w:eastAsia="宋体" w:cs="宋体"/>
                <w:color w:val="auto"/>
                <w:kern w:val="0"/>
                <w:sz w:val="24"/>
                <w:szCs w:val="24"/>
                <w:lang w:val="en-US" w:eastAsia="zh-CN" w:bidi="ar"/>
              </w:rPr>
              <w:t>尊重动态演化与路径依赖，摒弃可逆性与绝对稳定性假设</w:t>
            </w:r>
          </w:p>
        </w:tc>
      </w:tr>
      <w:tr w14:paraId="185CB71A">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58" w:type="dxa"/>
            <w:tcBorders>
              <w:top w:val="nil"/>
              <w:left w:val="nil"/>
              <w:bottom w:val="single" w:color="auto" w:sz="12" w:space="0"/>
              <w:right w:val="nil"/>
            </w:tcBorders>
            <w:shd w:val="clear" w:color="auto" w:fill="auto"/>
            <w:tcMar>
              <w:top w:w="144" w:type="dxa"/>
              <w:left w:w="216" w:type="dxa"/>
              <w:bottom w:w="144" w:type="dxa"/>
              <w:right w:w="216" w:type="dxa"/>
            </w:tcMar>
            <w:vAlign w:val="center"/>
          </w:tcPr>
          <w:p w14:paraId="37FF073B">
            <w:pPr>
              <w:keepNext w:val="0"/>
              <w:keepLines w:val="0"/>
              <w:widowControl/>
              <w:suppressLineNumbers w:val="0"/>
              <w:snapToGrid w:val="0"/>
              <w:spacing w:before="0" w:beforeAutospacing="0" w:after="0" w:afterAutospacing="0" w:line="240" w:lineRule="auto"/>
              <w:ind w:left="0" w:leftChars="0" w:right="0" w:rightChars="0" w:firstLine="0" w:firstLineChars="0"/>
              <w:jc w:val="center"/>
              <w:outlineLvl w:val="9"/>
              <w:rPr>
                <w:rFonts w:ascii="宋体" w:eastAsia="宋体"/>
                <w:color w:val="auto"/>
                <w:sz w:val="24"/>
                <w:szCs w:val="24"/>
              </w:rPr>
            </w:pPr>
            <w:r>
              <w:rPr>
                <w:rFonts w:ascii="宋体" w:hAnsi="宋体" w:eastAsia="宋体" w:cs="宋体"/>
                <w:color w:val="auto"/>
                <w:kern w:val="0"/>
                <w:sz w:val="24"/>
                <w:szCs w:val="24"/>
                <w:lang w:val="en-US" w:eastAsia="zh-CN" w:bidi="ar"/>
              </w:rPr>
              <w:t>研究目标</w:t>
            </w:r>
          </w:p>
        </w:tc>
        <w:tc>
          <w:tcPr>
            <w:tcW w:w="2459" w:type="dxa"/>
            <w:tcBorders>
              <w:top w:val="nil"/>
              <w:left w:val="nil"/>
              <w:bottom w:val="single" w:color="auto" w:sz="12" w:space="0"/>
              <w:right w:val="nil"/>
            </w:tcBorders>
            <w:shd w:val="clear" w:color="auto" w:fill="auto"/>
            <w:tcMar>
              <w:top w:w="144" w:type="dxa"/>
              <w:left w:w="216" w:type="dxa"/>
              <w:bottom w:w="144" w:type="dxa"/>
              <w:right w:w="216" w:type="dxa"/>
            </w:tcMar>
            <w:vAlign w:val="center"/>
          </w:tcPr>
          <w:p w14:paraId="57ED1B31">
            <w:pPr>
              <w:keepNext w:val="0"/>
              <w:keepLines w:val="0"/>
              <w:widowControl/>
              <w:suppressLineNumbers w:val="0"/>
              <w:snapToGrid w:val="0"/>
              <w:spacing w:before="0" w:beforeAutospacing="0" w:after="0" w:afterAutospacing="0" w:line="240" w:lineRule="auto"/>
              <w:ind w:left="0" w:leftChars="0" w:right="0" w:rightChars="0" w:firstLine="0" w:firstLineChars="0"/>
              <w:jc w:val="left"/>
              <w:outlineLvl w:val="9"/>
              <w:rPr>
                <w:rFonts w:ascii="宋体" w:eastAsia="宋体"/>
                <w:color w:val="auto"/>
                <w:sz w:val="24"/>
                <w:szCs w:val="24"/>
              </w:rPr>
            </w:pPr>
            <w:r>
              <w:rPr>
                <w:rFonts w:ascii="宋体" w:hAnsi="宋体" w:eastAsia="宋体" w:cs="宋体"/>
                <w:color w:val="auto"/>
                <w:kern w:val="0"/>
                <w:sz w:val="24"/>
                <w:szCs w:val="24"/>
                <w:lang w:val="en-US" w:eastAsia="zh-CN" w:bidi="ar"/>
              </w:rPr>
              <w:t>揭示普适性自然规律，聚焦“是什么”的事实判断</w:t>
            </w:r>
          </w:p>
        </w:tc>
        <w:tc>
          <w:tcPr>
            <w:tcW w:w="2498" w:type="dxa"/>
            <w:tcBorders>
              <w:top w:val="nil"/>
              <w:left w:val="nil"/>
              <w:bottom w:val="single" w:color="auto" w:sz="12" w:space="0"/>
              <w:right w:val="nil"/>
            </w:tcBorders>
            <w:shd w:val="clear" w:color="auto" w:fill="auto"/>
            <w:tcMar>
              <w:top w:w="144" w:type="dxa"/>
              <w:left w:w="216" w:type="dxa"/>
              <w:bottom w:w="144" w:type="dxa"/>
              <w:right w:w="216" w:type="dxa"/>
            </w:tcMar>
            <w:vAlign w:val="center"/>
          </w:tcPr>
          <w:p w14:paraId="2E0B876B">
            <w:pPr>
              <w:keepNext w:val="0"/>
              <w:keepLines w:val="0"/>
              <w:widowControl/>
              <w:suppressLineNumbers w:val="0"/>
              <w:snapToGrid w:val="0"/>
              <w:spacing w:before="0" w:beforeAutospacing="0" w:after="0" w:afterAutospacing="0" w:line="240" w:lineRule="auto"/>
              <w:ind w:left="0" w:leftChars="0" w:right="0" w:rightChars="0" w:firstLine="0" w:firstLineChars="0"/>
              <w:jc w:val="left"/>
              <w:outlineLvl w:val="9"/>
              <w:rPr>
                <w:rFonts w:ascii="宋体" w:eastAsia="宋体"/>
                <w:color w:val="auto"/>
                <w:sz w:val="24"/>
                <w:szCs w:val="24"/>
              </w:rPr>
            </w:pPr>
            <w:r>
              <w:rPr>
                <w:rFonts w:ascii="宋体" w:hAnsi="宋体" w:eastAsia="宋体" w:cs="宋体"/>
                <w:color w:val="auto"/>
                <w:kern w:val="0"/>
                <w:sz w:val="24"/>
                <w:szCs w:val="24"/>
                <w:lang w:val="en-US" w:eastAsia="zh-CN" w:bidi="ar"/>
              </w:rPr>
              <w:t>解释行为逻辑、指导实践决策，聚焦“应该如何”的价值导向</w:t>
            </w:r>
          </w:p>
        </w:tc>
        <w:tc>
          <w:tcPr>
            <w:tcW w:w="2941" w:type="dxa"/>
            <w:tcBorders>
              <w:top w:val="nil"/>
              <w:left w:val="nil"/>
              <w:bottom w:val="single" w:color="auto" w:sz="12" w:space="0"/>
              <w:right w:val="nil"/>
            </w:tcBorders>
            <w:shd w:val="clear" w:color="auto" w:fill="auto"/>
            <w:tcMar>
              <w:top w:w="144" w:type="dxa"/>
              <w:left w:w="216" w:type="dxa"/>
              <w:bottom w:w="144" w:type="dxa"/>
              <w:right w:w="216" w:type="dxa"/>
            </w:tcMar>
            <w:vAlign w:val="center"/>
          </w:tcPr>
          <w:p w14:paraId="1C1427E4">
            <w:pPr>
              <w:keepNext w:val="0"/>
              <w:keepLines w:val="0"/>
              <w:widowControl/>
              <w:suppressLineNumbers w:val="0"/>
              <w:snapToGrid w:val="0"/>
              <w:spacing w:before="0" w:beforeAutospacing="0" w:after="0" w:afterAutospacing="0" w:line="240" w:lineRule="auto"/>
              <w:ind w:left="0" w:leftChars="0" w:right="0" w:rightChars="0" w:firstLine="0" w:firstLineChars="0"/>
              <w:jc w:val="left"/>
              <w:outlineLvl w:val="9"/>
              <w:rPr>
                <w:rFonts w:ascii="宋体" w:eastAsia="宋体"/>
                <w:color w:val="auto"/>
                <w:sz w:val="24"/>
                <w:szCs w:val="24"/>
              </w:rPr>
            </w:pPr>
            <w:r>
              <w:rPr>
                <w:rFonts w:ascii="宋体" w:hAnsi="宋体" w:eastAsia="宋体" w:cs="宋体"/>
                <w:color w:val="auto"/>
                <w:kern w:val="0"/>
                <w:sz w:val="24"/>
                <w:szCs w:val="24"/>
                <w:lang w:val="en-US" w:eastAsia="zh-CN" w:bidi="ar"/>
              </w:rPr>
              <w:t>锚定经济学实践导向，避免单纯复刻物理规律探索路径</w:t>
            </w:r>
          </w:p>
        </w:tc>
      </w:tr>
    </w:tbl>
    <w:p w14:paraId="56AE952A">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（二）三维分析框架的核心构成</w:t>
      </w:r>
    </w:p>
    <w:p w14:paraId="4B4681C7">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both"/>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基于跨学科边界界定的经典理论（Galison,1997;Suppes,1962;Kuhn,1962），本文整合本体论、方法论、认识论三大维度，构建系统性分析框架，从本质适配、工具适用、目标一致三个层面界定量子概念应用边界，兼顾分析的全面性与科学性。</w:t>
      </w:r>
    </w:p>
    <w:p w14:paraId="3F4AA811">
      <w:pPr>
        <w:keepNext w:val="0"/>
        <w:keepLines w:val="0"/>
        <w:pageBreakBefore w:val="0"/>
        <w:widowControl w:val="0"/>
        <w:numPr>
          <w:ilvl w:val="0"/>
          <w:numId w:val="1"/>
        </w:numPr>
        <w:kinsoku/>
        <w:wordWrap/>
        <w:overflowPunct/>
        <w:topLinePunct w:val="0"/>
        <w:autoSpaceDE/>
        <w:autoSpaceDN/>
        <w:bidi w:val="0"/>
        <w:adjustRightInd/>
        <w:snapToGrid/>
        <w:spacing w:after="0" w:line="500" w:lineRule="exact"/>
        <w:ind w:firstLine="482" w:firstLineChars="200"/>
        <w:jc w:val="both"/>
        <w:textAlignment w:val="auto"/>
        <w:outlineLvl w:val="9"/>
        <w:rPr>
          <w:rFonts w:hint="default" w:ascii="宋体" w:hAnsi="宋体" w:eastAsia="宋体" w:cs="宋体"/>
          <w:b/>
          <w:bCs w:val="0"/>
          <w:color w:val="auto"/>
          <w:sz w:val="24"/>
          <w:szCs w:val="24"/>
          <w:lang w:val="en-US" w:eastAsia="zh-CN"/>
        </w:rPr>
      </w:pPr>
      <w:r>
        <w:rPr>
          <w:rFonts w:hint="default" w:ascii="宋体" w:hAnsi="宋体" w:eastAsia="宋体" w:cs="宋体"/>
          <w:b/>
          <w:bCs w:val="0"/>
          <w:color w:val="auto"/>
          <w:sz w:val="24"/>
          <w:szCs w:val="24"/>
          <w:lang w:val="en-US" w:eastAsia="zh-CN"/>
        </w:rPr>
        <w:t>本体论维度</w:t>
      </w:r>
    </w:p>
    <w:p w14:paraId="585A849D">
      <w:pPr>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480" w:firstLineChars="200"/>
        <w:jc w:val="both"/>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研究对象的本质适配性校验该维度聚焦量子概念与经济系统研究对象的本质适配性，核心校验其能否刻画经济系统核心属性（主体能动性、社会关联性、动态演化性），包含三个子维度：①主体属性适配性：关注量子概念是否兼容经济主体的主观能动性，例如量子叠加态“不确定性”内核与模糊偏好特征存在契合性，而量子可逆性与经济决策不可逆性存在显著冲突；②系统特性适配性：强调量子概念能否兼容经济系统的开放特性、非线性特征与路径依赖，例如量子纠缠的关联特性可通过内涵转化类比要素协同效应，而量子场论的经典封闭系统假设与经济系统开放特性存在适配矛盾；③互动本质适配性：需契合经济主体互动的策略性与社会性，例如量子观测效应可类比政策干预对市场预期的影响，而量子超距作用（Aspect et al.,1982）的“无条件瞬时关联”特征，与经济互动的时滞性、条件依赖性兼容</w:t>
      </w:r>
      <w:r>
        <w:rPr>
          <w:rFonts w:hint="eastAsia" w:ascii="宋体" w:hAnsi="宋体" w:eastAsia="宋体" w:cs="宋体"/>
          <w:b w:val="0"/>
          <w:bCs/>
          <w:color w:val="auto"/>
          <w:sz w:val="24"/>
          <w:szCs w:val="24"/>
          <w:lang w:val="en-US" w:eastAsia="zh-CN"/>
        </w:rPr>
        <w:t>较弱</w:t>
      </w:r>
      <w:r>
        <w:rPr>
          <w:rFonts w:hint="default" w:ascii="宋体" w:hAnsi="宋体" w:eastAsia="宋体" w:cs="宋体"/>
          <w:b w:val="0"/>
          <w:bCs/>
          <w:color w:val="auto"/>
          <w:sz w:val="24"/>
          <w:szCs w:val="24"/>
          <w:lang w:val="en-US" w:eastAsia="zh-CN"/>
        </w:rPr>
        <w:t>。适配性分为三级：强适配（核心子维度无冲突，次要子维度可通过合理转化适配）、弱适配（部分冲突可通过工具改造或场景限定化解）、不适配（核心冲突在现有研究条件下难以调和）。</w:t>
      </w:r>
    </w:p>
    <w:p w14:paraId="34AF7AB1">
      <w:pPr>
        <w:keepNext w:val="0"/>
        <w:keepLines w:val="0"/>
        <w:pageBreakBefore w:val="0"/>
        <w:widowControl w:val="0"/>
        <w:kinsoku/>
        <w:wordWrap/>
        <w:overflowPunct/>
        <w:topLinePunct w:val="0"/>
        <w:autoSpaceDE/>
        <w:autoSpaceDN/>
        <w:bidi w:val="0"/>
        <w:adjustRightInd/>
        <w:snapToGrid/>
        <w:spacing w:after="0" w:line="500" w:lineRule="exact"/>
        <w:ind w:firstLine="482" w:firstLineChars="200"/>
        <w:jc w:val="both"/>
        <w:textAlignment w:val="auto"/>
        <w:outlineLvl w:val="9"/>
        <w:rPr>
          <w:rFonts w:hint="default"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（2）</w:t>
      </w:r>
      <w:r>
        <w:rPr>
          <w:rFonts w:hint="default" w:ascii="宋体" w:hAnsi="宋体" w:eastAsia="宋体" w:cs="宋体"/>
          <w:b/>
          <w:bCs w:val="0"/>
          <w:color w:val="auto"/>
          <w:sz w:val="24"/>
          <w:szCs w:val="24"/>
          <w:lang w:val="en-US" w:eastAsia="zh-CN"/>
        </w:rPr>
        <w:t>方法论维度</w:t>
      </w:r>
    </w:p>
    <w:p w14:paraId="6892A70A">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both"/>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分析工具的适用条件校验该维度聚焦量子力学分析工具的适用条件，核心校验经济场景是否满足工具前提假设，且未过度扭曲经济现实核心特征，包含三个子维度：①前提假设适配性：关注物理假设能否通过合理转化成为经济假设，例如量子概率的“干涉效应”可转化为信念互动中的动态影响机制，而量子决定论的“严格规律约束”假设难以适配经济主体的自主选择特征；②数据兼容性：校验经济数据是否符合工具应用要求，例如实验经济学数据可支撑量子决策模型的参数估计，却难以满足量子场论对连续性、精准性数据的要求；③简化合理性：判断模型简化是否保留经济现象核心特征，例如量子纠缠生产函数可在简化形式中保留要素协同效应，而量子可逆性模型易扭曲经济演化的路径依赖核心特征。适配性同样分为强、弱、不适配三级，核心判断标准为工具应用是否脱离经济现实语境，是否导致关键特征失真。</w:t>
      </w:r>
    </w:p>
    <w:p w14:paraId="29337BAF">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both"/>
        <w:textAlignment w:val="auto"/>
        <w:outlineLvl w:val="9"/>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w:t>
      </w:r>
      <w:r>
        <w:rPr>
          <w:rFonts w:hint="default" w:ascii="宋体" w:hAnsi="宋体" w:eastAsia="宋体" w:cs="宋体"/>
          <w:b w:val="0"/>
          <w:bCs/>
          <w:color w:val="auto"/>
          <w:sz w:val="24"/>
          <w:szCs w:val="24"/>
          <w:lang w:val="en-US" w:eastAsia="zh-CN"/>
        </w:rPr>
        <w:t>认识论维度</w:t>
      </w:r>
    </w:p>
    <w:p w14:paraId="520D1C1B">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both"/>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学科目标的一致性校验该维度聚焦量子概念与经济学核心目标的一致性，核心校验其能否服务于经济学研究诉求，包含三个子维度：①目标契合性：是否匹配经济学“解释行为逻辑、指导实践决策”的核心诉求，而非单纯追求规律发现；②解释力提升：能否弥补传统理论局限，为复杂经济现象提供新分析视角，例如量子叠加态对偏好悖论的解释补充；③实践指导性：能否转化为可操作的分析思路或政策建议，例如量子预期模型对政策设计的优化价值。强适配需同时满足上述三方面要求；弱适配仅能提供新分析视角，但解释力提升或实践指导性有限；不适配则背离经济学核心目标或缺乏实质应用意义。</w:t>
      </w:r>
    </w:p>
    <w:p w14:paraId="1DA32E7E">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（三）边界界定的四步操作流程</w:t>
      </w:r>
    </w:p>
    <w:p w14:paraId="790EE2E1">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为提升三维分析框架的可操作性与客观性，设计四步操作流程：第一步，概念解构。系统拆解量子概念的核心内涵、物理本质、应用前提与数学工具，提炼不依赖具体物理场景的普适逻辑（如量子叠加态“多态共存-观测收敛”核心逻辑），剥离与经济系统冲突的物理细节。第二步，三维匹配。将解构后的量子概念与经济系统在本体论、方法论、认识论维度逐一比对，参照适配性分级标准，分别评定子维度与整体维度适配等级，形成初步匹配结论。第三步，边界判定。根据三维匹配结果划定应用区间：三维度均为强适配，归入强适配区间，可在对应经济场景开展深化理论建构与实证检验；两弱一强或全弱适配，归入弱适配区间，需严格限定应用条件（如特定场景范围、前提假设约束），并通过工具改造降低冲突影响；至少一维度为不适配且冲突不可调和，归入不适配区间，不建议直接迁移应用，防范理论失真与实践误导风险。第四步，校验修正。结合学界正反方研究观点开展学术对话，回应潜在质疑；依托典型经济场景（如数字经济领域要素协同案例对量子纠缠适配性的验证）交叉校验判定结果；根据校验反馈动态优化边界界定参考标准与适配性分级细则。</w:t>
      </w:r>
    </w:p>
    <w:p w14:paraId="40320E2E">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该三维框架与操作流程为量子概念在经济学中的应用边界界定提供系统性方法论支撑，核心价值体现在三方面：一是通过对比物理与经济系统本质差异，明确概念迁移的适配条件与限制，回应跨学科迁移中的还原论批判，防范量子概念的泛化滥用；二是三维度与四步骤的结构化设计，将模糊的边界判断转化为可操作的分析流程，提升相关研究的科学性与客观性；三是清晰划分强、弱、不适配区间，既为研究者提供精准应用指引，也为传统经济学与量子经济学的学术对话搭建桥梁。作为跨学科边界界定的一种分析范式，该框架可为量子经济学规范化发展提供参考，亦可为其他交叉学科研究提供“本质-工具-目标”的三维分析思路，为跨学科研究从“概念嫁接”向“理论创新”转型提供潜在路径。</w:t>
      </w:r>
    </w:p>
    <w:p w14:paraId="5249AF8C">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9"/>
        <w:rPr>
          <w:rFonts w:hint="default" w:ascii="宋体" w:hAnsi="宋体" w:eastAsia="宋体" w:cs="宋体"/>
          <w:color w:val="auto"/>
          <w:sz w:val="24"/>
          <w:szCs w:val="24"/>
          <w:lang w:val="en-US" w:eastAsia="zh-CN"/>
        </w:rPr>
      </w:pPr>
    </w:p>
    <w:p w14:paraId="5ACE6FB7">
      <w:pPr>
        <w:keepNext w:val="0"/>
        <w:keepLines w:val="0"/>
        <w:pageBreakBefore w:val="0"/>
        <w:widowControl w:val="0"/>
        <w:kinsoku/>
        <w:wordWrap/>
        <w:overflowPunct/>
        <w:topLinePunct w:val="0"/>
        <w:autoSpaceDE/>
        <w:autoSpaceDN/>
        <w:bidi w:val="0"/>
        <w:adjustRightInd/>
        <w:snapToGrid/>
        <w:spacing w:line="500" w:lineRule="exact"/>
        <w:ind w:firstLine="1807" w:firstLineChars="600"/>
        <w:jc w:val="both"/>
        <w:textAlignment w:val="auto"/>
        <w:outlineLvl w:val="9"/>
        <w:rPr>
          <w:rFonts w:hint="default" w:ascii="宋体" w:hAnsi="宋体" w:eastAsia="宋体" w:cs="宋体"/>
          <w:b w:val="0"/>
          <w:bCs/>
          <w:color w:val="auto"/>
          <w:sz w:val="24"/>
          <w:szCs w:val="24"/>
          <w:lang w:val="en-US" w:eastAsia="zh-CN"/>
        </w:rPr>
      </w:pPr>
      <w:bookmarkStart w:id="5" w:name="_Toc18804"/>
      <w:r>
        <w:rPr>
          <w:rFonts w:hint="default" w:ascii="宋体" w:hAnsi="宋体" w:eastAsia="宋体" w:cs="宋体"/>
          <w:b/>
          <w:bCs/>
          <w:color w:val="auto"/>
          <w:sz w:val="30"/>
          <w:szCs w:val="30"/>
          <w:lang w:val="en-US" w:eastAsia="zh-CN"/>
        </w:rPr>
        <w:t>四、量子概念向经济学迁移的适配性标准</w:t>
      </w:r>
      <w:bookmarkEnd w:id="5"/>
    </w:p>
    <w:p w14:paraId="1A904C0C">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both"/>
        <w:textAlignment w:val="auto"/>
        <w:outlineLvl w:val="9"/>
        <w:rPr>
          <w:rFonts w:hint="default" w:ascii="宋体" w:hAnsi="宋体" w:eastAsia="宋体" w:cs="宋体"/>
          <w:b w:val="0"/>
          <w:bCs/>
          <w:color w:val="auto"/>
          <w:sz w:val="24"/>
          <w:szCs w:val="24"/>
          <w:lang w:val="en-US" w:eastAsia="zh-CN"/>
        </w:rPr>
      </w:pPr>
    </w:p>
    <w:p w14:paraId="340FA13F">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（一）四大核心适配性原则：边界判定的统一标尺</w:t>
      </w:r>
    </w:p>
    <w:p w14:paraId="4D92D580">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bCs w:val="0"/>
          <w:color w:val="auto"/>
          <w:sz w:val="24"/>
          <w:szCs w:val="24"/>
          <w:lang w:val="en-US" w:eastAsia="zh-CN"/>
        </w:rPr>
      </w:pPr>
      <w:r>
        <w:rPr>
          <w:rFonts w:hint="default" w:ascii="宋体" w:hAnsi="宋体" w:eastAsia="宋体" w:cs="宋体"/>
          <w:b w:val="0"/>
          <w:bCs/>
          <w:color w:val="auto"/>
          <w:sz w:val="24"/>
          <w:szCs w:val="24"/>
          <w:lang w:val="en-US" w:eastAsia="zh-CN"/>
        </w:rPr>
        <w:t>基于前文三维分析框架的核心逻辑，本文提炼四大核心适配性原则，为量子概念向经济学的迁移提供兼具可操作性与可校验性的统一判定标尺。四大原则层层递进、相互支撑，核心要义在于明确：</w:t>
      </w:r>
      <w:r>
        <w:rPr>
          <w:rFonts w:hint="default" w:ascii="宋体" w:hAnsi="宋体" w:eastAsia="宋体" w:cs="宋体"/>
          <w:b/>
          <w:bCs w:val="0"/>
          <w:color w:val="auto"/>
          <w:sz w:val="24"/>
          <w:szCs w:val="24"/>
          <w:lang w:val="en-US" w:eastAsia="zh-CN"/>
        </w:rPr>
        <w:t>量子经济学并非与传统经济学构成互补关系，而是作为更具兼容性、包容性的理论体系，将传统经济学内化为自身的一种特殊情形</w:t>
      </w:r>
      <w:r>
        <w:rPr>
          <w:rFonts w:hint="default" w:ascii="宋体" w:hAnsi="宋体" w:eastAsia="宋体" w:cs="宋体"/>
          <w:b w:val="0"/>
          <w:bCs/>
          <w:color w:val="auto"/>
          <w:sz w:val="24"/>
          <w:szCs w:val="24"/>
          <w:lang w:val="en-US" w:eastAsia="zh-CN"/>
        </w:rPr>
        <w:t>—</w:t>
      </w:r>
      <w:r>
        <w:rPr>
          <w:rFonts w:hint="default" w:ascii="宋体" w:hAnsi="宋体" w:eastAsia="宋体" w:cs="宋体"/>
          <w:b/>
          <w:bCs w:val="0"/>
          <w:color w:val="auto"/>
          <w:sz w:val="24"/>
          <w:szCs w:val="24"/>
          <w:lang w:val="en-US" w:eastAsia="zh-CN"/>
        </w:rPr>
        <w:t>—即“观测行为发生后，系统状态坍缩至确定性结果”的简化形态；其不仅能完整包容传统经济学的核心结论，更能突破传统理论的适用边界，形成更具一般性的分析范式，量子化建模与分析具备更强的普适解释力。</w:t>
      </w:r>
    </w:p>
    <w:p w14:paraId="25EA5591">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（1）本质契合原则：迁移的前提基础</w:t>
      </w:r>
    </w:p>
    <w:p w14:paraId="5A763999">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本质契合原则的核心要求是，量子概念的普适性核心逻辑与经济系统的本质属性具有“内在同构性”，这种同构性决定了量子经济学的包容性与一般性——其可覆盖经济系统“未观测（叠加态）”与“已观测（坍缩态）”的全状态，而传统经济学仅能局限于“已观测（坍缩态）”的特殊场景。这一原则的核心是实现“去物理化提炼+经济化适配”：剥离量子概念的微观粒子属性，提炼其关于“状态叠加—观测坍缩—演化动态”的普适逻辑，既与经济系统的完整运行规律精准对接，又能自然包容传统经济学的分析范畴。</w:t>
      </w:r>
    </w:p>
    <w:p w14:paraId="3CB43AE2">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具体而言，传统经济学对“经济主体偏好明确、决策确定、市场状态可精准刻画”的核心假设，本质是量子经济学“观测行为充分发生、系统从多态叠加态坍缩至单一确定态”的特殊情形；而量子经济学的“叠加态”核心逻辑，可覆盖传统经济学未能触及的“决策前偏好多元共存、市场状态模糊不确定、行为演化动态未定”等更普遍场景，具备更强的理论一般性。例如，量子叠加态“多态共存—观测坍缩”逻辑，既能解释经济主体模糊决策中的偏好叠加状态，也能自然容纳传统经济学“明确偏好”这一坍缩后的特殊结果；反观量子隧穿效应“粒子被动穿越能量势垒”的物理本质，与企业创新“主动突破技术壁垒”的核心逻辑缺乏同构性，仅能形成表面类比，难以满足本质契合要求，自然不属于有效迁移范畴。</w:t>
      </w:r>
    </w:p>
    <w:p w14:paraId="3CC77CE5">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（2）方法论普适原则：迁移的价值核心</w:t>
      </w:r>
    </w:p>
    <w:p w14:paraId="4C36EA20">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bCs w:val="0"/>
          <w:color w:val="auto"/>
          <w:sz w:val="24"/>
          <w:szCs w:val="24"/>
          <w:lang w:val="en-US" w:eastAsia="zh-CN"/>
        </w:rPr>
      </w:pPr>
      <w:r>
        <w:rPr>
          <w:rFonts w:hint="default" w:ascii="宋体" w:hAnsi="宋体" w:eastAsia="宋体" w:cs="宋体"/>
          <w:b w:val="0"/>
          <w:bCs/>
          <w:color w:val="auto"/>
          <w:sz w:val="24"/>
          <w:szCs w:val="24"/>
          <w:lang w:val="en-US" w:eastAsia="zh-CN"/>
        </w:rPr>
        <w:t>方法论普适原则要求，量子概念的应用需构建更具一般性的分析工具，将传统经济学的方法论内化为自身在特定条件下的简化形式，而非与传统形成互补分工。传统经济学以经典物理思想为内核，依赖线性化、确定性、均衡化的分析方法，</w:t>
      </w:r>
      <w:r>
        <w:rPr>
          <w:rFonts w:hint="default" w:ascii="宋体" w:hAnsi="宋体" w:eastAsia="宋体" w:cs="宋体"/>
          <w:b/>
          <w:bCs w:val="0"/>
          <w:color w:val="auto"/>
          <w:sz w:val="24"/>
          <w:szCs w:val="24"/>
          <w:lang w:val="en-US" w:eastAsia="zh-CN"/>
        </w:rPr>
        <w:t>其本质是量子经济学在“观测充分、不确定性完全消解、系统坍缩至确定态”下的简化方法论；而量子经济学的分析工具，可突破传统局限，覆盖“不确定性存续（叠加态）”与“不确定性消解（坍缩态）”全场景，具备更强的普适性。</w:t>
      </w:r>
    </w:p>
    <w:p w14:paraId="0335472B">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例如，传统经典概率模型无法解释的阿莱斯悖论、埃尔斯伯格悖论，量子概率模型通过相位干涉效应可实现精准阐释，而传统概率模型的结论，仅是量子概率模型在“相位干涉消失、叠加态坍缩”后的特例；柯布-道格拉斯生产函数的线性化假设，仅能刻画要素投入的确定性关联，而量子纠缠模型可量化要素间的非线性协同效应，传统生产函数的结论，实则是量子纠缠模型在“协同效应稳定、状态确定”后的简化结果。反之，若用量子模型复刻传统经济学已覆盖的确定性场景，并非多余，而是可验证量子模型的包容性——其既能复现传统结论，又能拓展至传统无法处理的复杂场景，彰显其方法论的一般性优势。这一原则的核心是“包容与超越”：量子经济学并非对传统经济学的补充，而是通过更具一般性的方法论，实现对传统理论的包容与升级，传统方法论仅是量子方法论的特殊简化形态。</w:t>
      </w:r>
    </w:p>
    <w:p w14:paraId="5255E7E9">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（3）理论兼容原则：迁移的逻辑保障</w:t>
      </w:r>
    </w:p>
    <w:p w14:paraId="1EDBF443">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理论兼容原则强调，量子概念的应用需构建逻辑自洽的包容性理论体系，将传统经济学的核心理论根基内化为自身的特殊推论，而非形成对立或渐进互补。经济学的核心根基（价值理论、有限理性假设、制度分析、路径依赖理论等），是长期实践检验形成的理论共识，量子经济学的理论构建并非对其颠覆，而是通过更具一般性的逻辑框架，将这些共识转化为“观测坍缩后”的必然推论，实现理论体系的兼容与升级。</w:t>
      </w:r>
    </w:p>
    <w:p w14:paraId="1790BE95">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例如，</w:t>
      </w:r>
      <w:r>
        <w:rPr>
          <w:rFonts w:hint="default" w:ascii="宋体" w:hAnsi="宋体" w:eastAsia="宋体" w:cs="宋体"/>
          <w:b/>
          <w:bCs w:val="0"/>
          <w:color w:val="auto"/>
          <w:sz w:val="24"/>
          <w:szCs w:val="24"/>
          <w:lang w:val="en-US" w:eastAsia="zh-CN"/>
        </w:rPr>
        <w:t>传统经济学的“有限理性”假设，仅刻画了“决策结果确定”的表层特征；量子决策模型则将其拓展为“观测前偏好多元叠加（有限理性的潜在形态）—观测后状态坍缩（有限理性的显性结果）”的完整逻辑链条，既包容了“有限理性”的核心内涵，又细化了其形成机制，实现了对传统理论的深化与超越</w:t>
      </w:r>
      <w:r>
        <w:rPr>
          <w:rFonts w:hint="default" w:ascii="宋体" w:hAnsi="宋体" w:eastAsia="宋体" w:cs="宋体"/>
          <w:b w:val="0"/>
          <w:bCs/>
          <w:color w:val="auto"/>
          <w:sz w:val="24"/>
          <w:szCs w:val="24"/>
          <w:lang w:val="en-US" w:eastAsia="zh-CN"/>
        </w:rPr>
        <w:t>；新结构经济学的要素禀赋理论，聚焦要素初始配置的确定性格局，而量子协同增长模型可进一步刻画要素配置从“叠加态（多配置可能性）”到“坍缩态（确定配置）”的演化过程，要素禀赋理论的结论，正是量子模型在“配置状态确定”后的特殊推论。反之，若用量子概念否定经济主体的自由意志或制度的核心作用，则会破坏理论逻辑的包容性，违背该原则的核心要求。</w:t>
      </w:r>
    </w:p>
    <w:p w14:paraId="50FC3032">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（4）实证可检验原则：迁移的科学属性核心保障</w:t>
      </w:r>
    </w:p>
    <w:p w14:paraId="32A93075">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实证可检验原则是科学属性的核心保障，要求量子概念的迁移需转化为可证伪的一般性理论模型，既能兼容传统模型的实证结论，又能通过更广泛的场景校验其普适性。可证伪性是科学理论的重要特征，量子经济学若要获得学界广泛认可，需证明其不仅能包容传统经济学的实证成果，更能在传统理论无法覆盖的场景中实现有效检验，彰显其“一般性”优势。</w:t>
      </w:r>
    </w:p>
    <w:p w14:paraId="689CD658">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例如，量子观测效应模型可通过事件研究法，量化政策宣告（观测行为）对市场利率、股票价格的“叠加态演化—坍缩定态”全过程效应，既能复现传统政策效应分析的结论（坍缩后的确定结果），又能解释传统模型无法说明的短期波动（叠加态演化阶段）；量子决策模型可通过实验经济学数据校准概率幅与相位差，既能验证传统决策模型在“确定选择”场景下的结论，又能精准刻画“模糊决策—确定选择”的动态过程。反之，量子场论在经济学中的隐喻性应用，其“场强”“耦合系数”等核心参数难以转化为可观测的经济指标，缺乏实证检验的可行性，属于缺乏实质科学属性的概念嫁接。这一原则的核心是“可操作化+普适性”：模型参数具备校准可能，理论结论既能被验证或推翻，又能包容传统实证成果，通过更广泛的场景检验彰显其作为一般理论体系的科学价值。</w:t>
      </w:r>
    </w:p>
    <w:p w14:paraId="707B0BE0">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（二）量子核心概念的适配性初判</w:t>
      </w:r>
    </w:p>
    <w:p w14:paraId="3714D439">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基于上述四大适配性原则，本文对量子力学核心概念进行初步筛选与适配性评级，形成表</w:t>
      </w:r>
      <w:r>
        <w:rPr>
          <w:rFonts w:hint="eastAsia" w:ascii="宋体" w:hAnsi="宋体" w:eastAsia="宋体" w:cs="宋体"/>
          <w:b w:val="0"/>
          <w:bCs/>
          <w:color w:val="auto"/>
          <w:sz w:val="24"/>
          <w:szCs w:val="24"/>
          <w:lang w:val="en-US" w:eastAsia="zh-CN"/>
        </w:rPr>
        <w:t>2</w:t>
      </w:r>
      <w:r>
        <w:rPr>
          <w:rFonts w:hint="default" w:ascii="宋体" w:hAnsi="宋体" w:eastAsia="宋体" w:cs="宋体"/>
          <w:b w:val="0"/>
          <w:bCs/>
          <w:color w:val="auto"/>
          <w:sz w:val="24"/>
          <w:szCs w:val="24"/>
          <w:lang w:val="en-US" w:eastAsia="zh-CN"/>
        </w:rPr>
        <w:t>。需明确的是，此次初判为基于概念核心内涵的定性判断，聚焦“是否具备迁移潜力”，未涉及具体应用场景的精细边界，后续需结合前文“本体论-方法论-认识论”三维分析框架进一步细化校验。初判核心逻辑为：强适配概念需同时满足四大原则；弱适配概念仅部分满足（如本质契合度不足但理论兼容，或实证可检验性较弱）；不适配概念则与至少一项原则存在难以调和的冲突。</w:t>
      </w:r>
    </w:p>
    <w:p w14:paraId="09909C1E">
      <w:pPr>
        <w:keepNext w:val="0"/>
        <w:keepLines w:val="0"/>
        <w:pageBreakBefore w:val="0"/>
        <w:widowControl w:val="0"/>
        <w:kinsoku/>
        <w:wordWrap/>
        <w:overflowPunct/>
        <w:topLinePunct w:val="0"/>
        <w:autoSpaceDE/>
        <w:autoSpaceDN/>
        <w:bidi w:val="0"/>
        <w:adjustRightInd/>
        <w:snapToGrid/>
        <w:spacing w:after="0" w:line="240" w:lineRule="auto"/>
        <w:ind w:firstLine="0" w:firstLineChars="0"/>
        <w:jc w:val="left"/>
        <w:textAlignment w:val="auto"/>
        <w:outlineLvl w:val="9"/>
        <w:rPr>
          <w:rFonts w:hint="default" w:ascii="宋体" w:hAnsi="宋体" w:eastAsia="宋体" w:cs="宋体"/>
          <w:b/>
          <w:bCs w:val="0"/>
          <w:color w:val="auto"/>
          <w:sz w:val="24"/>
          <w:szCs w:val="24"/>
          <w:lang w:val="en-US" w:eastAsia="zh-CN"/>
        </w:rPr>
      </w:pPr>
    </w:p>
    <w:p w14:paraId="369234A2">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42F35575">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06B42B73">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0C80BFE8">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71D99F87">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55D57D21">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3FD14157">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76D2C760">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76F50D2E">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3ACE3045">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7F511EF7">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2C75E6F3">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5F1E086D">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6158C8E7">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04E2A6C8">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0EC3182A">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3EEE6E82">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659F5892">
      <w:pPr>
        <w:keepNext w:val="0"/>
        <w:keepLines w:val="0"/>
        <w:pageBreakBefore w:val="0"/>
        <w:widowControl w:val="0"/>
        <w:kinsoku/>
        <w:wordWrap/>
        <w:overflowPunct/>
        <w:topLinePunct w:val="0"/>
        <w:autoSpaceDE/>
        <w:autoSpaceDN/>
        <w:bidi w:val="0"/>
        <w:adjustRightInd/>
        <w:snapToGrid/>
        <w:spacing w:after="0" w:line="500" w:lineRule="exact"/>
        <w:jc w:val="left"/>
        <w:textAlignment w:val="auto"/>
        <w:outlineLvl w:val="9"/>
        <w:rPr>
          <w:rFonts w:hint="default" w:ascii="宋体" w:hAnsi="宋体" w:eastAsia="宋体" w:cs="宋体"/>
          <w:b/>
          <w:bCs w:val="0"/>
          <w:color w:val="auto"/>
          <w:sz w:val="24"/>
          <w:szCs w:val="24"/>
          <w:lang w:val="en-US" w:eastAsia="zh-CN"/>
        </w:rPr>
      </w:pPr>
    </w:p>
    <w:p w14:paraId="46AE48ED">
      <w:pPr>
        <w:keepNext w:val="0"/>
        <w:keepLines w:val="0"/>
        <w:pageBreakBefore w:val="0"/>
        <w:widowControl w:val="0"/>
        <w:kinsoku/>
        <w:wordWrap/>
        <w:overflowPunct/>
        <w:topLinePunct w:val="0"/>
        <w:autoSpaceDE/>
        <w:autoSpaceDN/>
        <w:bidi w:val="0"/>
        <w:adjustRightInd/>
        <w:snapToGrid/>
        <w:spacing w:after="0" w:line="500" w:lineRule="exact"/>
        <w:ind w:firstLine="1687" w:firstLineChars="700"/>
        <w:jc w:val="left"/>
        <w:textAlignment w:val="auto"/>
        <w:outlineLvl w:val="9"/>
        <w:rPr>
          <w:rFonts w:hint="default" w:ascii="宋体" w:hAnsi="宋体" w:eastAsia="宋体" w:cs="宋体"/>
          <w:b/>
          <w:bCs w:val="0"/>
          <w:color w:val="auto"/>
          <w:sz w:val="24"/>
          <w:szCs w:val="24"/>
          <w:lang w:val="en-US" w:eastAsia="zh-CN"/>
        </w:rPr>
      </w:pPr>
    </w:p>
    <w:p w14:paraId="298650B1">
      <w:pPr>
        <w:keepNext w:val="0"/>
        <w:keepLines w:val="0"/>
        <w:pageBreakBefore w:val="0"/>
        <w:widowControl w:val="0"/>
        <w:kinsoku/>
        <w:wordWrap/>
        <w:overflowPunct/>
        <w:topLinePunct w:val="0"/>
        <w:autoSpaceDE/>
        <w:autoSpaceDN/>
        <w:bidi w:val="0"/>
        <w:adjustRightInd/>
        <w:snapToGrid/>
        <w:spacing w:after="0" w:line="240" w:lineRule="auto"/>
        <w:ind w:firstLine="2650" w:firstLineChars="1100"/>
        <w:jc w:val="left"/>
        <w:textAlignment w:val="auto"/>
        <w:outlineLvl w:val="9"/>
        <w:rPr>
          <w:rFonts w:hint="default" w:ascii="宋体" w:hAnsi="宋体" w:eastAsia="宋体" w:cs="宋体"/>
          <w:b/>
          <w:bCs w:val="0"/>
          <w:color w:val="auto"/>
          <w:sz w:val="24"/>
          <w:szCs w:val="24"/>
          <w:lang w:val="en-US" w:eastAsia="zh-CN"/>
        </w:rPr>
      </w:pPr>
      <w:r>
        <w:rPr>
          <w:rFonts w:hint="default" w:ascii="宋体" w:hAnsi="宋体" w:eastAsia="宋体" w:cs="宋体"/>
          <w:b/>
          <w:bCs w:val="0"/>
          <w:color w:val="auto"/>
          <w:sz w:val="24"/>
          <w:szCs w:val="24"/>
          <w:lang w:val="en-US" w:eastAsia="zh-CN"/>
        </w:rPr>
        <w:t>表</w:t>
      </w:r>
      <w:r>
        <w:rPr>
          <w:rFonts w:hint="eastAsia" w:ascii="宋体" w:hAnsi="宋体" w:eastAsia="宋体" w:cs="宋体"/>
          <w:b/>
          <w:bCs w:val="0"/>
          <w:color w:val="auto"/>
          <w:sz w:val="24"/>
          <w:szCs w:val="24"/>
          <w:lang w:val="en-US" w:eastAsia="zh-CN"/>
        </w:rPr>
        <w:t>2：</w:t>
      </w:r>
      <w:r>
        <w:rPr>
          <w:rFonts w:hint="default" w:ascii="宋体" w:hAnsi="宋体" w:eastAsia="宋体" w:cs="宋体"/>
          <w:b/>
          <w:bCs w:val="0"/>
          <w:color w:val="auto"/>
          <w:sz w:val="24"/>
          <w:szCs w:val="24"/>
          <w:lang w:val="en-US" w:eastAsia="zh-CN"/>
        </w:rPr>
        <w:t>量子核心概念的适配性初判</w:t>
      </w:r>
    </w:p>
    <w:tbl>
      <w:tblPr>
        <w:tblStyle w:val="4"/>
        <w:tblW w:w="8537" w:type="dxa"/>
        <w:jc w:val="center"/>
        <w:tblBorders>
          <w:top w:val="single" w:color="auto" w:sz="4" w:space="0"/>
          <w:left w:val="single" w:color="auto" w:sz="2" w:space="0"/>
          <w:bottom w:val="single" w:color="auto" w:sz="2" w:space="0"/>
          <w:right w:val="single" w:color="auto" w:sz="2"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72"/>
        <w:gridCol w:w="2922"/>
        <w:gridCol w:w="1085"/>
        <w:gridCol w:w="3558"/>
      </w:tblGrid>
      <w:tr w14:paraId="7A74953B">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1299" w:hRule="atLeast"/>
          <w:jc w:val="center"/>
        </w:trPr>
        <w:tc>
          <w:tcPr>
            <w:tcW w:w="972" w:type="dxa"/>
            <w:tcBorders>
              <w:top w:val="single" w:color="auto" w:sz="12" w:space="0"/>
              <w:left w:val="nil"/>
              <w:bottom w:val="single" w:color="auto" w:sz="4" w:space="0"/>
              <w:right w:val="nil"/>
            </w:tcBorders>
            <w:shd w:val="clear" w:color="auto" w:fill="auto"/>
            <w:tcMar>
              <w:top w:w="144" w:type="dxa"/>
              <w:left w:w="216" w:type="dxa"/>
              <w:bottom w:w="144" w:type="dxa"/>
              <w:right w:w="216" w:type="dxa"/>
            </w:tcMar>
            <w:vAlign w:val="center"/>
          </w:tcPr>
          <w:p w14:paraId="4920A555">
            <w:pPr>
              <w:keepNext/>
              <w:keepLines w:val="0"/>
              <w:widowControl/>
              <w:suppressLineNumbers w:val="0"/>
              <w:snapToGrid w:val="0"/>
              <w:spacing w:before="0" w:beforeAutospacing="0" w:after="0" w:afterAutospacing="0" w:line="336" w:lineRule="atLeast"/>
              <w:ind w:left="0" w:leftChars="0" w:right="0" w:rightChars="0" w:firstLine="0" w:firstLineChars="0"/>
              <w:jc w:val="center"/>
              <w:outlineLvl w:val="9"/>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量子核心概念</w:t>
            </w:r>
          </w:p>
        </w:tc>
        <w:tc>
          <w:tcPr>
            <w:tcW w:w="2922" w:type="dxa"/>
            <w:tcBorders>
              <w:top w:val="single" w:color="auto" w:sz="12" w:space="0"/>
              <w:left w:val="nil"/>
              <w:bottom w:val="single" w:color="auto" w:sz="4" w:space="0"/>
              <w:right w:val="nil"/>
            </w:tcBorders>
            <w:shd w:val="clear" w:color="auto" w:fill="auto"/>
            <w:tcMar>
              <w:top w:w="144" w:type="dxa"/>
              <w:left w:w="216" w:type="dxa"/>
              <w:bottom w:w="144" w:type="dxa"/>
              <w:right w:w="216" w:type="dxa"/>
            </w:tcMar>
            <w:vAlign w:val="center"/>
          </w:tcPr>
          <w:p w14:paraId="18222B5E">
            <w:pPr>
              <w:keepNext/>
              <w:keepLines w:val="0"/>
              <w:widowControl/>
              <w:suppressLineNumbers w:val="0"/>
              <w:snapToGrid w:val="0"/>
              <w:spacing w:before="0" w:beforeAutospacing="0" w:after="0" w:afterAutospacing="0" w:line="336" w:lineRule="atLeast"/>
              <w:ind w:left="0" w:leftChars="0" w:right="0" w:rightChars="0" w:firstLine="0" w:firstLineChars="0"/>
              <w:jc w:val="center"/>
              <w:outlineLvl w:val="9"/>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核心内涵</w:t>
            </w:r>
          </w:p>
        </w:tc>
        <w:tc>
          <w:tcPr>
            <w:tcW w:w="1085" w:type="dxa"/>
            <w:tcBorders>
              <w:top w:val="single" w:color="auto" w:sz="12" w:space="0"/>
              <w:left w:val="nil"/>
              <w:bottom w:val="single" w:color="auto" w:sz="4" w:space="0"/>
              <w:right w:val="nil"/>
            </w:tcBorders>
            <w:shd w:val="clear" w:color="auto" w:fill="auto"/>
            <w:tcMar>
              <w:top w:w="144" w:type="dxa"/>
              <w:left w:w="216" w:type="dxa"/>
              <w:bottom w:w="144" w:type="dxa"/>
              <w:right w:w="216" w:type="dxa"/>
            </w:tcMar>
            <w:vAlign w:val="center"/>
          </w:tcPr>
          <w:p w14:paraId="51BE247D">
            <w:pPr>
              <w:keepNext/>
              <w:keepLines w:val="0"/>
              <w:widowControl/>
              <w:suppressLineNumbers w:val="0"/>
              <w:snapToGrid w:val="0"/>
              <w:spacing w:before="0" w:beforeAutospacing="0" w:after="0" w:afterAutospacing="0" w:line="336" w:lineRule="atLeast"/>
              <w:ind w:left="0" w:leftChars="0" w:right="0" w:rightChars="0" w:firstLine="0" w:firstLineChars="0"/>
              <w:jc w:val="center"/>
              <w:outlineLvl w:val="9"/>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适配性初判</w:t>
            </w:r>
          </w:p>
        </w:tc>
        <w:tc>
          <w:tcPr>
            <w:tcW w:w="3558" w:type="dxa"/>
            <w:tcBorders>
              <w:top w:val="single" w:color="auto" w:sz="12" w:space="0"/>
              <w:left w:val="nil"/>
              <w:bottom w:val="single" w:color="auto" w:sz="4" w:space="0"/>
              <w:right w:val="nil"/>
            </w:tcBorders>
            <w:shd w:val="clear" w:color="auto" w:fill="auto"/>
            <w:tcMar>
              <w:top w:w="144" w:type="dxa"/>
              <w:left w:w="216" w:type="dxa"/>
              <w:bottom w:w="144" w:type="dxa"/>
              <w:right w:w="216" w:type="dxa"/>
            </w:tcMar>
            <w:vAlign w:val="center"/>
          </w:tcPr>
          <w:p w14:paraId="2F71107B">
            <w:pPr>
              <w:keepNext/>
              <w:keepLines w:val="0"/>
              <w:widowControl/>
              <w:suppressLineNumbers w:val="0"/>
              <w:snapToGrid w:val="0"/>
              <w:spacing w:before="0" w:beforeAutospacing="0" w:after="0" w:afterAutospacing="0" w:line="336" w:lineRule="atLeast"/>
              <w:ind w:left="0" w:leftChars="0" w:right="0" w:rightChars="0" w:firstLine="0" w:firstLineChars="0"/>
              <w:jc w:val="center"/>
              <w:outlineLvl w:val="9"/>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核心依据</w:t>
            </w:r>
          </w:p>
        </w:tc>
      </w:tr>
      <w:tr w14:paraId="4132AC0C">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1609" w:hRule="atLeast"/>
          <w:jc w:val="center"/>
        </w:trPr>
        <w:tc>
          <w:tcPr>
            <w:tcW w:w="972" w:type="dxa"/>
            <w:tcBorders>
              <w:top w:val="single" w:color="auto" w:sz="4" w:space="0"/>
              <w:left w:val="nil"/>
              <w:bottom w:val="nil"/>
              <w:right w:val="nil"/>
            </w:tcBorders>
            <w:shd w:val="clear" w:color="auto" w:fill="auto"/>
            <w:tcMar>
              <w:top w:w="144" w:type="dxa"/>
              <w:left w:w="216" w:type="dxa"/>
              <w:bottom w:w="144" w:type="dxa"/>
              <w:right w:w="216" w:type="dxa"/>
            </w:tcMar>
            <w:vAlign w:val="center"/>
          </w:tcPr>
          <w:p w14:paraId="783E3912">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叠加态</w:t>
            </w:r>
          </w:p>
        </w:tc>
        <w:tc>
          <w:tcPr>
            <w:tcW w:w="2922" w:type="dxa"/>
            <w:tcBorders>
              <w:top w:val="single" w:color="auto" w:sz="4" w:space="0"/>
              <w:left w:val="nil"/>
              <w:bottom w:val="nil"/>
              <w:right w:val="nil"/>
            </w:tcBorders>
            <w:shd w:val="clear" w:color="auto" w:fill="auto"/>
            <w:tcMar>
              <w:top w:w="144" w:type="dxa"/>
              <w:left w:w="216" w:type="dxa"/>
              <w:bottom w:w="144" w:type="dxa"/>
              <w:right w:w="216" w:type="dxa"/>
            </w:tcMar>
            <w:vAlign w:val="center"/>
          </w:tcPr>
          <w:p w14:paraId="77775450">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系统同时存在于多个基态的线性组合，观测后坍缩至某一确定基态</w:t>
            </w:r>
          </w:p>
        </w:tc>
        <w:tc>
          <w:tcPr>
            <w:tcW w:w="1085" w:type="dxa"/>
            <w:tcBorders>
              <w:top w:val="single" w:color="auto" w:sz="4" w:space="0"/>
              <w:left w:val="nil"/>
              <w:bottom w:val="nil"/>
              <w:right w:val="nil"/>
            </w:tcBorders>
            <w:shd w:val="clear" w:color="auto" w:fill="auto"/>
            <w:tcMar>
              <w:top w:w="144" w:type="dxa"/>
              <w:left w:w="216" w:type="dxa"/>
              <w:bottom w:w="144" w:type="dxa"/>
              <w:right w:w="216" w:type="dxa"/>
            </w:tcMar>
            <w:vAlign w:val="center"/>
          </w:tcPr>
          <w:p w14:paraId="3265C34D">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强适配</w:t>
            </w:r>
          </w:p>
        </w:tc>
        <w:tc>
          <w:tcPr>
            <w:tcW w:w="3558" w:type="dxa"/>
            <w:tcBorders>
              <w:top w:val="single" w:color="auto" w:sz="4" w:space="0"/>
              <w:left w:val="nil"/>
              <w:bottom w:val="nil"/>
              <w:right w:val="nil"/>
            </w:tcBorders>
            <w:shd w:val="clear" w:color="auto" w:fill="auto"/>
            <w:tcMar>
              <w:top w:w="144" w:type="dxa"/>
              <w:left w:w="216" w:type="dxa"/>
              <w:bottom w:w="144" w:type="dxa"/>
              <w:right w:w="216" w:type="dxa"/>
            </w:tcMar>
            <w:vAlign w:val="center"/>
          </w:tcPr>
          <w:p w14:paraId="190896DC">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与模糊决策内在同构，可弥补确定性模型局限，兼容有限理性假设，实验数据可实现参数校准</w:t>
            </w:r>
          </w:p>
        </w:tc>
      </w:tr>
      <w:tr w14:paraId="0D2F7356">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1270" w:hRule="atLeast"/>
          <w:jc w:val="center"/>
        </w:trPr>
        <w:tc>
          <w:tcPr>
            <w:tcW w:w="972" w:type="dxa"/>
            <w:tcBorders>
              <w:top w:val="nil"/>
              <w:left w:val="nil"/>
              <w:bottom w:val="nil"/>
              <w:right w:val="nil"/>
            </w:tcBorders>
            <w:shd w:val="clear" w:color="auto" w:fill="auto"/>
            <w:tcMar>
              <w:top w:w="144" w:type="dxa"/>
              <w:left w:w="216" w:type="dxa"/>
              <w:bottom w:w="144" w:type="dxa"/>
              <w:right w:w="216" w:type="dxa"/>
            </w:tcMar>
            <w:vAlign w:val="center"/>
          </w:tcPr>
          <w:p w14:paraId="3BAF1F09">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纠缠</w:t>
            </w:r>
          </w:p>
        </w:tc>
        <w:tc>
          <w:tcPr>
            <w:tcW w:w="2922" w:type="dxa"/>
            <w:tcBorders>
              <w:top w:val="nil"/>
              <w:left w:val="nil"/>
              <w:bottom w:val="nil"/>
              <w:right w:val="nil"/>
            </w:tcBorders>
            <w:shd w:val="clear" w:color="auto" w:fill="auto"/>
            <w:tcMar>
              <w:top w:w="144" w:type="dxa"/>
              <w:left w:w="216" w:type="dxa"/>
              <w:bottom w:w="144" w:type="dxa"/>
              <w:right w:w="216" w:type="dxa"/>
            </w:tcMar>
            <w:vAlign w:val="center"/>
          </w:tcPr>
          <w:p w14:paraId="15E0911C">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多粒子状态不可分割为单粒子独立状态，存在非局域关联特性</w:t>
            </w:r>
          </w:p>
        </w:tc>
        <w:tc>
          <w:tcPr>
            <w:tcW w:w="1085" w:type="dxa"/>
            <w:tcBorders>
              <w:top w:val="nil"/>
              <w:left w:val="nil"/>
              <w:bottom w:val="nil"/>
              <w:right w:val="nil"/>
            </w:tcBorders>
            <w:shd w:val="clear" w:color="auto" w:fill="auto"/>
            <w:tcMar>
              <w:top w:w="144" w:type="dxa"/>
              <w:left w:w="216" w:type="dxa"/>
              <w:bottom w:w="144" w:type="dxa"/>
              <w:right w:w="216" w:type="dxa"/>
            </w:tcMar>
            <w:vAlign w:val="center"/>
          </w:tcPr>
          <w:p w14:paraId="1E6DAF9C">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强适配</w:t>
            </w:r>
          </w:p>
        </w:tc>
        <w:tc>
          <w:tcPr>
            <w:tcW w:w="3558" w:type="dxa"/>
            <w:tcBorders>
              <w:top w:val="nil"/>
              <w:left w:val="nil"/>
              <w:bottom w:val="nil"/>
              <w:right w:val="nil"/>
            </w:tcBorders>
            <w:shd w:val="clear" w:color="auto" w:fill="auto"/>
            <w:tcMar>
              <w:top w:w="144" w:type="dxa"/>
              <w:left w:w="216" w:type="dxa"/>
              <w:bottom w:w="144" w:type="dxa"/>
              <w:right w:w="216" w:type="dxa"/>
            </w:tcMar>
            <w:vAlign w:val="center"/>
          </w:tcPr>
          <w:p w14:paraId="746D3E02">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与要素协同效应内在同构，突破线性化分析局限，兼容新增长理论，面板数据可量化效应</w:t>
            </w:r>
          </w:p>
        </w:tc>
      </w:tr>
      <w:tr w14:paraId="0F90C709">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1599" w:hRule="atLeast"/>
          <w:jc w:val="center"/>
        </w:trPr>
        <w:tc>
          <w:tcPr>
            <w:tcW w:w="972" w:type="dxa"/>
            <w:tcBorders>
              <w:top w:val="nil"/>
              <w:left w:val="nil"/>
              <w:bottom w:val="nil"/>
              <w:right w:val="nil"/>
            </w:tcBorders>
            <w:shd w:val="clear" w:color="auto" w:fill="auto"/>
            <w:tcMar>
              <w:top w:w="144" w:type="dxa"/>
              <w:left w:w="216" w:type="dxa"/>
              <w:bottom w:w="144" w:type="dxa"/>
              <w:right w:w="216" w:type="dxa"/>
            </w:tcMar>
            <w:vAlign w:val="center"/>
          </w:tcPr>
          <w:p w14:paraId="646019AD">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观测效应</w:t>
            </w:r>
          </w:p>
        </w:tc>
        <w:tc>
          <w:tcPr>
            <w:tcW w:w="2922" w:type="dxa"/>
            <w:tcBorders>
              <w:top w:val="nil"/>
              <w:left w:val="nil"/>
              <w:bottom w:val="nil"/>
              <w:right w:val="nil"/>
            </w:tcBorders>
            <w:shd w:val="clear" w:color="auto" w:fill="auto"/>
            <w:tcMar>
              <w:top w:w="144" w:type="dxa"/>
              <w:left w:w="216" w:type="dxa"/>
              <w:bottom w:w="144" w:type="dxa"/>
              <w:right w:w="216" w:type="dxa"/>
            </w:tcMar>
            <w:vAlign w:val="center"/>
          </w:tcPr>
          <w:p w14:paraId="514E7736">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观测行为与系统产生互动并改变系统状态，观测者与系统构成有机整体</w:t>
            </w:r>
          </w:p>
        </w:tc>
        <w:tc>
          <w:tcPr>
            <w:tcW w:w="1085" w:type="dxa"/>
            <w:tcBorders>
              <w:top w:val="nil"/>
              <w:left w:val="nil"/>
              <w:bottom w:val="nil"/>
              <w:right w:val="nil"/>
            </w:tcBorders>
            <w:shd w:val="clear" w:color="auto" w:fill="auto"/>
            <w:tcMar>
              <w:top w:w="144" w:type="dxa"/>
              <w:left w:w="216" w:type="dxa"/>
              <w:bottom w:w="144" w:type="dxa"/>
              <w:right w:w="216" w:type="dxa"/>
            </w:tcMar>
            <w:vAlign w:val="center"/>
          </w:tcPr>
          <w:p w14:paraId="30399B06">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强适配</w:t>
            </w:r>
          </w:p>
        </w:tc>
        <w:tc>
          <w:tcPr>
            <w:tcW w:w="3558" w:type="dxa"/>
            <w:tcBorders>
              <w:top w:val="nil"/>
              <w:left w:val="nil"/>
              <w:bottom w:val="nil"/>
              <w:right w:val="nil"/>
            </w:tcBorders>
            <w:shd w:val="clear" w:color="auto" w:fill="auto"/>
            <w:tcMar>
              <w:top w:w="144" w:type="dxa"/>
              <w:left w:w="216" w:type="dxa"/>
              <w:bottom w:w="144" w:type="dxa"/>
              <w:right w:w="216" w:type="dxa"/>
            </w:tcMar>
            <w:vAlign w:val="center"/>
          </w:tcPr>
          <w:p w14:paraId="6696854F">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与政策干预、预期传导内在同构，弥补中性观测假设缺陷，兼容宏观调控理论，事件研究可检验</w:t>
            </w:r>
          </w:p>
        </w:tc>
      </w:tr>
      <w:tr w14:paraId="21C78F14">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1599" w:hRule="atLeast"/>
          <w:jc w:val="center"/>
        </w:trPr>
        <w:tc>
          <w:tcPr>
            <w:tcW w:w="972" w:type="dxa"/>
            <w:tcBorders>
              <w:top w:val="nil"/>
              <w:left w:val="nil"/>
              <w:bottom w:val="nil"/>
              <w:right w:val="nil"/>
            </w:tcBorders>
            <w:shd w:val="clear" w:color="auto" w:fill="auto"/>
            <w:tcMar>
              <w:top w:w="144" w:type="dxa"/>
              <w:left w:w="216" w:type="dxa"/>
              <w:bottom w:w="144" w:type="dxa"/>
              <w:right w:w="216" w:type="dxa"/>
            </w:tcMar>
            <w:vAlign w:val="center"/>
          </w:tcPr>
          <w:p w14:paraId="58A6AB58">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波函数坍缩</w:t>
            </w:r>
          </w:p>
        </w:tc>
        <w:tc>
          <w:tcPr>
            <w:tcW w:w="2922" w:type="dxa"/>
            <w:tcBorders>
              <w:top w:val="nil"/>
              <w:left w:val="nil"/>
              <w:bottom w:val="nil"/>
              <w:right w:val="nil"/>
            </w:tcBorders>
            <w:shd w:val="clear" w:color="auto" w:fill="auto"/>
            <w:tcMar>
              <w:top w:w="144" w:type="dxa"/>
              <w:left w:w="216" w:type="dxa"/>
              <w:bottom w:w="144" w:type="dxa"/>
              <w:right w:w="216" w:type="dxa"/>
            </w:tcMar>
            <w:vAlign w:val="center"/>
          </w:tcPr>
          <w:p w14:paraId="389902A7">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观测触发叠加态向确定态转化，不确定性向确定性收敛</w:t>
            </w:r>
          </w:p>
        </w:tc>
        <w:tc>
          <w:tcPr>
            <w:tcW w:w="1085" w:type="dxa"/>
            <w:tcBorders>
              <w:top w:val="nil"/>
              <w:left w:val="nil"/>
              <w:bottom w:val="nil"/>
              <w:right w:val="nil"/>
            </w:tcBorders>
            <w:shd w:val="clear" w:color="auto" w:fill="auto"/>
            <w:tcMar>
              <w:top w:w="144" w:type="dxa"/>
              <w:left w:w="216" w:type="dxa"/>
              <w:bottom w:w="144" w:type="dxa"/>
              <w:right w:w="216" w:type="dxa"/>
            </w:tcMar>
            <w:vAlign w:val="center"/>
          </w:tcPr>
          <w:p w14:paraId="45EFA6D1">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强适配</w:t>
            </w:r>
          </w:p>
        </w:tc>
        <w:tc>
          <w:tcPr>
            <w:tcW w:w="3558" w:type="dxa"/>
            <w:tcBorders>
              <w:top w:val="nil"/>
              <w:left w:val="nil"/>
              <w:bottom w:val="nil"/>
              <w:right w:val="nil"/>
            </w:tcBorders>
            <w:shd w:val="clear" w:color="auto" w:fill="auto"/>
            <w:tcMar>
              <w:top w:w="144" w:type="dxa"/>
              <w:left w:w="216" w:type="dxa"/>
              <w:bottom w:w="144" w:type="dxa"/>
              <w:right w:w="216" w:type="dxa"/>
            </w:tcMar>
            <w:vAlign w:val="center"/>
          </w:tcPr>
          <w:p w14:paraId="5BD2C431">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与信念更新、决策执行过程同构，可解释不确定性转化机制，兼容行为经济学，实验可验证</w:t>
            </w:r>
          </w:p>
        </w:tc>
      </w:tr>
      <w:tr w14:paraId="5E84E765">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1599" w:hRule="atLeast"/>
          <w:jc w:val="center"/>
        </w:trPr>
        <w:tc>
          <w:tcPr>
            <w:tcW w:w="972" w:type="dxa"/>
            <w:tcBorders>
              <w:top w:val="nil"/>
              <w:left w:val="nil"/>
              <w:bottom w:val="nil"/>
              <w:right w:val="nil"/>
            </w:tcBorders>
            <w:shd w:val="clear" w:color="auto" w:fill="auto"/>
            <w:tcMar>
              <w:top w:w="144" w:type="dxa"/>
              <w:left w:w="216" w:type="dxa"/>
              <w:bottom w:w="144" w:type="dxa"/>
              <w:right w:w="216" w:type="dxa"/>
            </w:tcMar>
            <w:vAlign w:val="center"/>
          </w:tcPr>
          <w:p w14:paraId="518C69C2">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量子概率</w:t>
            </w:r>
          </w:p>
        </w:tc>
        <w:tc>
          <w:tcPr>
            <w:tcW w:w="2922" w:type="dxa"/>
            <w:tcBorders>
              <w:top w:val="nil"/>
              <w:left w:val="nil"/>
              <w:bottom w:val="nil"/>
              <w:right w:val="nil"/>
            </w:tcBorders>
            <w:shd w:val="clear" w:color="auto" w:fill="auto"/>
            <w:tcMar>
              <w:top w:w="144" w:type="dxa"/>
              <w:left w:w="216" w:type="dxa"/>
              <w:bottom w:w="144" w:type="dxa"/>
              <w:right w:w="216" w:type="dxa"/>
            </w:tcMar>
            <w:vAlign w:val="center"/>
          </w:tcPr>
          <w:p w14:paraId="3794A915">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含相位干涉效应的概率理论，区别于经典概率的独立叠加逻辑</w:t>
            </w:r>
          </w:p>
        </w:tc>
        <w:tc>
          <w:tcPr>
            <w:tcW w:w="1085" w:type="dxa"/>
            <w:tcBorders>
              <w:top w:val="nil"/>
              <w:left w:val="nil"/>
              <w:bottom w:val="nil"/>
              <w:right w:val="nil"/>
            </w:tcBorders>
            <w:shd w:val="clear" w:color="auto" w:fill="auto"/>
            <w:tcMar>
              <w:top w:w="144" w:type="dxa"/>
              <w:left w:w="216" w:type="dxa"/>
              <w:bottom w:w="144" w:type="dxa"/>
              <w:right w:w="216" w:type="dxa"/>
            </w:tcMar>
            <w:vAlign w:val="center"/>
          </w:tcPr>
          <w:p w14:paraId="1C715898">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强适配</w:t>
            </w:r>
          </w:p>
        </w:tc>
        <w:tc>
          <w:tcPr>
            <w:tcW w:w="3558" w:type="dxa"/>
            <w:tcBorders>
              <w:top w:val="nil"/>
              <w:left w:val="nil"/>
              <w:bottom w:val="nil"/>
              <w:right w:val="nil"/>
            </w:tcBorders>
            <w:shd w:val="clear" w:color="auto" w:fill="auto"/>
            <w:tcMar>
              <w:top w:w="144" w:type="dxa"/>
              <w:left w:w="216" w:type="dxa"/>
              <w:bottom w:w="144" w:type="dxa"/>
              <w:right w:w="216" w:type="dxa"/>
            </w:tcMar>
            <w:vAlign w:val="center"/>
          </w:tcPr>
          <w:p w14:paraId="4C219800">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与模糊信念形成机制同构，可解释偏好悖论，兼容期望效用理论，实验数据可验证干涉效应</w:t>
            </w:r>
          </w:p>
        </w:tc>
      </w:tr>
      <w:tr w14:paraId="54A6208C">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1599" w:hRule="atLeast"/>
          <w:jc w:val="center"/>
        </w:trPr>
        <w:tc>
          <w:tcPr>
            <w:tcW w:w="972" w:type="dxa"/>
            <w:tcBorders>
              <w:top w:val="nil"/>
              <w:left w:val="nil"/>
              <w:bottom w:val="nil"/>
              <w:right w:val="nil"/>
            </w:tcBorders>
            <w:shd w:val="clear" w:color="auto" w:fill="auto"/>
            <w:tcMar>
              <w:top w:w="144" w:type="dxa"/>
              <w:left w:w="216" w:type="dxa"/>
              <w:bottom w:w="144" w:type="dxa"/>
              <w:right w:w="216" w:type="dxa"/>
            </w:tcMar>
            <w:vAlign w:val="center"/>
          </w:tcPr>
          <w:p w14:paraId="096BCEF7">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量子隧穿</w:t>
            </w:r>
          </w:p>
        </w:tc>
        <w:tc>
          <w:tcPr>
            <w:tcW w:w="2922" w:type="dxa"/>
            <w:tcBorders>
              <w:top w:val="nil"/>
              <w:left w:val="nil"/>
              <w:bottom w:val="nil"/>
              <w:right w:val="nil"/>
            </w:tcBorders>
            <w:shd w:val="clear" w:color="auto" w:fill="auto"/>
            <w:tcMar>
              <w:top w:w="144" w:type="dxa"/>
              <w:left w:w="216" w:type="dxa"/>
              <w:bottom w:w="144" w:type="dxa"/>
              <w:right w:w="216" w:type="dxa"/>
            </w:tcMar>
            <w:vAlign w:val="center"/>
          </w:tcPr>
          <w:p w14:paraId="391BF80E">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粒子在能量低于势垒高度时，以一定概率穿越势垒</w:t>
            </w:r>
          </w:p>
        </w:tc>
        <w:tc>
          <w:tcPr>
            <w:tcW w:w="1085" w:type="dxa"/>
            <w:tcBorders>
              <w:top w:val="nil"/>
              <w:left w:val="nil"/>
              <w:bottom w:val="nil"/>
              <w:right w:val="nil"/>
            </w:tcBorders>
            <w:shd w:val="clear" w:color="auto" w:fill="auto"/>
            <w:tcMar>
              <w:top w:w="144" w:type="dxa"/>
              <w:left w:w="216" w:type="dxa"/>
              <w:bottom w:w="144" w:type="dxa"/>
              <w:right w:w="216" w:type="dxa"/>
            </w:tcMar>
            <w:vAlign w:val="center"/>
          </w:tcPr>
          <w:p w14:paraId="783D4B4F">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弱适配</w:t>
            </w:r>
          </w:p>
        </w:tc>
        <w:tc>
          <w:tcPr>
            <w:tcW w:w="3558" w:type="dxa"/>
            <w:tcBorders>
              <w:top w:val="nil"/>
              <w:left w:val="nil"/>
              <w:bottom w:val="nil"/>
              <w:right w:val="nil"/>
            </w:tcBorders>
            <w:shd w:val="clear" w:color="auto" w:fill="auto"/>
            <w:tcMar>
              <w:top w:w="144" w:type="dxa"/>
              <w:left w:w="216" w:type="dxa"/>
              <w:bottom w:w="144" w:type="dxa"/>
              <w:right w:w="216" w:type="dxa"/>
            </w:tcMar>
            <w:vAlign w:val="center"/>
          </w:tcPr>
          <w:p w14:paraId="7BBBDFC7">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仅表面类比“突破行为”，核心逻辑同构性不足，方法论补充价值有限，核心参数难以精准量化</w:t>
            </w:r>
          </w:p>
        </w:tc>
      </w:tr>
      <w:tr w14:paraId="2D5D51C7">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1270" w:hRule="atLeast"/>
          <w:jc w:val="center"/>
        </w:trPr>
        <w:tc>
          <w:tcPr>
            <w:tcW w:w="972" w:type="dxa"/>
            <w:tcBorders>
              <w:top w:val="nil"/>
              <w:left w:val="nil"/>
              <w:bottom w:val="nil"/>
              <w:right w:val="nil"/>
            </w:tcBorders>
            <w:shd w:val="clear" w:color="auto" w:fill="auto"/>
            <w:tcMar>
              <w:top w:w="144" w:type="dxa"/>
              <w:left w:w="216" w:type="dxa"/>
              <w:bottom w:w="144" w:type="dxa"/>
              <w:right w:w="216" w:type="dxa"/>
            </w:tcMar>
            <w:vAlign w:val="center"/>
          </w:tcPr>
          <w:p w14:paraId="7BFEB88C">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量子场论</w:t>
            </w:r>
          </w:p>
        </w:tc>
        <w:tc>
          <w:tcPr>
            <w:tcW w:w="2922" w:type="dxa"/>
            <w:tcBorders>
              <w:top w:val="nil"/>
              <w:left w:val="nil"/>
              <w:bottom w:val="nil"/>
              <w:right w:val="nil"/>
            </w:tcBorders>
            <w:shd w:val="clear" w:color="auto" w:fill="auto"/>
            <w:tcMar>
              <w:top w:w="144" w:type="dxa"/>
              <w:left w:w="216" w:type="dxa"/>
              <w:bottom w:w="144" w:type="dxa"/>
              <w:right w:w="216" w:type="dxa"/>
            </w:tcMar>
            <w:vAlign w:val="center"/>
          </w:tcPr>
          <w:p w14:paraId="23A1932E">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描述粒子在场域中的相互作用，场域塑造粒子且粒子反作用于场域</w:t>
            </w:r>
          </w:p>
        </w:tc>
        <w:tc>
          <w:tcPr>
            <w:tcW w:w="1085" w:type="dxa"/>
            <w:tcBorders>
              <w:top w:val="nil"/>
              <w:left w:val="nil"/>
              <w:bottom w:val="nil"/>
              <w:right w:val="nil"/>
            </w:tcBorders>
            <w:shd w:val="clear" w:color="auto" w:fill="auto"/>
            <w:tcMar>
              <w:top w:w="144" w:type="dxa"/>
              <w:left w:w="216" w:type="dxa"/>
              <w:bottom w:w="144" w:type="dxa"/>
              <w:right w:w="216" w:type="dxa"/>
            </w:tcMar>
            <w:vAlign w:val="center"/>
          </w:tcPr>
          <w:p w14:paraId="3F495122">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弱适配</w:t>
            </w:r>
          </w:p>
        </w:tc>
        <w:tc>
          <w:tcPr>
            <w:tcW w:w="3558" w:type="dxa"/>
            <w:tcBorders>
              <w:top w:val="nil"/>
              <w:left w:val="nil"/>
              <w:bottom w:val="nil"/>
              <w:right w:val="nil"/>
            </w:tcBorders>
            <w:shd w:val="clear" w:color="auto" w:fill="auto"/>
            <w:tcMar>
              <w:top w:w="144" w:type="dxa"/>
              <w:left w:w="216" w:type="dxa"/>
              <w:bottom w:w="144" w:type="dxa"/>
              <w:right w:w="216" w:type="dxa"/>
            </w:tcMar>
            <w:vAlign w:val="center"/>
          </w:tcPr>
          <w:p w14:paraId="36D0A91C">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表面类比“场域互动关系”，数学工具迁移难度较大，理论兼容但实证可操作性较弱</w:t>
            </w:r>
          </w:p>
        </w:tc>
      </w:tr>
      <w:tr w14:paraId="6099DD56">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612" w:hRule="atLeast"/>
          <w:jc w:val="center"/>
        </w:trPr>
        <w:tc>
          <w:tcPr>
            <w:tcW w:w="972" w:type="dxa"/>
            <w:tcBorders>
              <w:top w:val="nil"/>
              <w:left w:val="nil"/>
              <w:bottom w:val="nil"/>
              <w:right w:val="nil"/>
            </w:tcBorders>
            <w:shd w:val="clear" w:color="auto" w:fill="auto"/>
            <w:tcMar>
              <w:top w:w="144" w:type="dxa"/>
              <w:left w:w="216" w:type="dxa"/>
              <w:bottom w:w="144" w:type="dxa"/>
              <w:right w:w="216" w:type="dxa"/>
            </w:tcMar>
            <w:vAlign w:val="center"/>
          </w:tcPr>
          <w:p w14:paraId="06340A21">
            <w:pPr>
              <w:keepNext/>
              <w:keepLines w:val="0"/>
              <w:widowControl/>
              <w:suppressLineNumbers w:val="0"/>
              <w:snapToGrid w:val="0"/>
              <w:spacing w:before="0" w:beforeAutospacing="0" w:after="0" w:afterAutospacing="0" w:line="336" w:lineRule="atLeast"/>
              <w:ind w:left="0" w:leftChars="0" w:right="0" w:rightChars="0" w:firstLine="0" w:firstLineChars="0"/>
              <w:jc w:val="center"/>
              <w:outlineLvl w:val="9"/>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量子超距作用</w:t>
            </w:r>
          </w:p>
        </w:tc>
        <w:tc>
          <w:tcPr>
            <w:tcW w:w="2922" w:type="dxa"/>
            <w:tcBorders>
              <w:top w:val="nil"/>
              <w:left w:val="nil"/>
              <w:bottom w:val="nil"/>
              <w:right w:val="nil"/>
            </w:tcBorders>
            <w:shd w:val="clear" w:color="auto" w:fill="auto"/>
            <w:tcMar>
              <w:top w:w="144" w:type="dxa"/>
              <w:left w:w="216" w:type="dxa"/>
              <w:bottom w:w="144" w:type="dxa"/>
              <w:right w:w="216" w:type="dxa"/>
            </w:tcMar>
            <w:vAlign w:val="center"/>
          </w:tcPr>
          <w:p w14:paraId="2A44416E">
            <w:pPr>
              <w:keepNext/>
              <w:keepLines w:val="0"/>
              <w:widowControl/>
              <w:suppressLineNumbers w:val="0"/>
              <w:snapToGrid w:val="0"/>
              <w:spacing w:before="0" w:beforeAutospacing="0" w:after="0" w:afterAutospacing="0" w:line="336" w:lineRule="atLeast"/>
              <w:ind w:left="0" w:leftChars="0" w:right="0" w:rightChars="0" w:firstLine="0" w:firstLineChars="0"/>
              <w:jc w:val="center"/>
              <w:outlineLvl w:val="9"/>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纠缠粒子间不受空间距离限制的瞬时关联，无需中介载体</w:t>
            </w:r>
          </w:p>
        </w:tc>
        <w:tc>
          <w:tcPr>
            <w:tcW w:w="1085" w:type="dxa"/>
            <w:tcBorders>
              <w:top w:val="nil"/>
              <w:left w:val="nil"/>
              <w:bottom w:val="nil"/>
              <w:right w:val="nil"/>
            </w:tcBorders>
            <w:shd w:val="clear" w:color="auto" w:fill="auto"/>
            <w:tcMar>
              <w:top w:w="144" w:type="dxa"/>
              <w:left w:w="216" w:type="dxa"/>
              <w:bottom w:w="144" w:type="dxa"/>
              <w:right w:w="216" w:type="dxa"/>
            </w:tcMar>
            <w:vAlign w:val="center"/>
          </w:tcPr>
          <w:p w14:paraId="4B7736F6">
            <w:pPr>
              <w:keepNext/>
              <w:keepLines w:val="0"/>
              <w:widowControl/>
              <w:suppressLineNumbers w:val="0"/>
              <w:snapToGrid w:val="0"/>
              <w:spacing w:before="0" w:beforeAutospacing="0" w:after="0" w:afterAutospacing="0" w:line="336" w:lineRule="atLeast"/>
              <w:ind w:left="0" w:leftChars="0" w:right="0" w:rightChars="0" w:firstLine="0" w:firstLineChars="0"/>
              <w:jc w:val="center"/>
              <w:outlineLvl w:val="9"/>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弱适配</w:t>
            </w:r>
          </w:p>
        </w:tc>
        <w:tc>
          <w:tcPr>
            <w:tcW w:w="3558" w:type="dxa"/>
            <w:tcBorders>
              <w:top w:val="nil"/>
              <w:left w:val="nil"/>
              <w:bottom w:val="nil"/>
              <w:right w:val="nil"/>
            </w:tcBorders>
            <w:shd w:val="clear" w:color="auto" w:fill="auto"/>
            <w:tcMar>
              <w:top w:w="144" w:type="dxa"/>
              <w:left w:w="216" w:type="dxa"/>
              <w:bottom w:w="144" w:type="dxa"/>
              <w:right w:w="216" w:type="dxa"/>
            </w:tcMar>
            <w:vAlign w:val="center"/>
          </w:tcPr>
          <w:p w14:paraId="757FF60E">
            <w:pPr>
              <w:keepNext/>
              <w:keepLines w:val="0"/>
              <w:widowControl/>
              <w:suppressLineNumbers w:val="0"/>
              <w:snapToGrid w:val="0"/>
              <w:spacing w:before="0" w:beforeAutospacing="0" w:after="0" w:afterAutospacing="0" w:line="336" w:lineRule="atLeast"/>
              <w:ind w:left="0" w:leftChars="0" w:right="0" w:rightChars="0" w:firstLine="0" w:firstLineChars="0"/>
              <w:jc w:val="center"/>
              <w:outlineLvl w:val="9"/>
              <w:rPr>
                <w:rFonts w:hint="default"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与经济互动的时滞性、条件依赖性</w:t>
            </w:r>
            <w:r>
              <w:rPr>
                <w:rFonts w:hint="eastAsia" w:ascii="宋体" w:hAnsi="宋体" w:eastAsia="宋体" w:cs="宋体"/>
                <w:color w:val="auto"/>
                <w:kern w:val="0"/>
                <w:sz w:val="24"/>
                <w:szCs w:val="24"/>
                <w:lang w:val="en-US" w:eastAsia="zh-CN" w:bidi="ar"/>
              </w:rPr>
              <w:t>有关，超距有一定的条件限制</w:t>
            </w:r>
          </w:p>
        </w:tc>
      </w:tr>
      <w:tr w14:paraId="0215C97D">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1270" w:hRule="atLeast"/>
          <w:jc w:val="center"/>
        </w:trPr>
        <w:tc>
          <w:tcPr>
            <w:tcW w:w="972" w:type="dxa"/>
            <w:tcBorders>
              <w:top w:val="nil"/>
              <w:left w:val="nil"/>
              <w:bottom w:val="nil"/>
              <w:right w:val="nil"/>
            </w:tcBorders>
            <w:shd w:val="clear" w:color="auto" w:fill="auto"/>
            <w:tcMar>
              <w:top w:w="144" w:type="dxa"/>
              <w:left w:w="216" w:type="dxa"/>
              <w:bottom w:w="144" w:type="dxa"/>
              <w:right w:w="216" w:type="dxa"/>
            </w:tcMar>
            <w:vAlign w:val="center"/>
          </w:tcPr>
          <w:p w14:paraId="51A9AAC1">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量子可逆性</w:t>
            </w:r>
          </w:p>
        </w:tc>
        <w:tc>
          <w:tcPr>
            <w:tcW w:w="2922" w:type="dxa"/>
            <w:tcBorders>
              <w:top w:val="nil"/>
              <w:left w:val="nil"/>
              <w:bottom w:val="nil"/>
              <w:right w:val="nil"/>
            </w:tcBorders>
            <w:shd w:val="clear" w:color="auto" w:fill="auto"/>
            <w:tcMar>
              <w:top w:w="144" w:type="dxa"/>
              <w:left w:w="216" w:type="dxa"/>
              <w:bottom w:w="144" w:type="dxa"/>
              <w:right w:w="216" w:type="dxa"/>
            </w:tcMar>
            <w:vAlign w:val="center"/>
          </w:tcPr>
          <w:p w14:paraId="39571358">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物理过程具有时间可逆性，时间反演下物理定律保持不变</w:t>
            </w:r>
          </w:p>
        </w:tc>
        <w:tc>
          <w:tcPr>
            <w:tcW w:w="1085" w:type="dxa"/>
            <w:tcBorders>
              <w:top w:val="nil"/>
              <w:left w:val="nil"/>
              <w:bottom w:val="nil"/>
              <w:right w:val="nil"/>
            </w:tcBorders>
            <w:shd w:val="clear" w:color="auto" w:fill="auto"/>
            <w:tcMar>
              <w:top w:w="144" w:type="dxa"/>
              <w:left w:w="216" w:type="dxa"/>
              <w:bottom w:w="144" w:type="dxa"/>
              <w:right w:w="216" w:type="dxa"/>
            </w:tcMar>
            <w:vAlign w:val="center"/>
          </w:tcPr>
          <w:p w14:paraId="3373B17A">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不适配</w:t>
            </w:r>
          </w:p>
        </w:tc>
        <w:tc>
          <w:tcPr>
            <w:tcW w:w="3558" w:type="dxa"/>
            <w:tcBorders>
              <w:top w:val="nil"/>
              <w:left w:val="nil"/>
              <w:bottom w:val="nil"/>
              <w:right w:val="nil"/>
            </w:tcBorders>
            <w:shd w:val="clear" w:color="auto" w:fill="auto"/>
            <w:tcMar>
              <w:top w:w="144" w:type="dxa"/>
              <w:left w:w="216" w:type="dxa"/>
              <w:bottom w:w="144" w:type="dxa"/>
              <w:right w:w="216" w:type="dxa"/>
            </w:tcMar>
            <w:vAlign w:val="center"/>
          </w:tcPr>
          <w:p w14:paraId="19E1E881">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与经济系统路径依赖、决策不可逆本质冲突，无方法论补充价值，与制度变迁理论相悖</w:t>
            </w:r>
          </w:p>
        </w:tc>
      </w:tr>
      <w:tr w14:paraId="4BE29022">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2257" w:hRule="atLeast"/>
          <w:jc w:val="center"/>
        </w:trPr>
        <w:tc>
          <w:tcPr>
            <w:tcW w:w="972" w:type="dxa"/>
            <w:tcBorders>
              <w:top w:val="nil"/>
              <w:left w:val="nil"/>
              <w:bottom w:val="nil"/>
              <w:right w:val="nil"/>
            </w:tcBorders>
            <w:shd w:val="clear" w:color="auto" w:fill="auto"/>
            <w:tcMar>
              <w:top w:w="144" w:type="dxa"/>
              <w:left w:w="216" w:type="dxa"/>
              <w:bottom w:w="144" w:type="dxa"/>
              <w:right w:w="216" w:type="dxa"/>
            </w:tcMar>
            <w:vAlign w:val="center"/>
          </w:tcPr>
          <w:p w14:paraId="65B3BB6A">
            <w:pPr>
              <w:keepNext/>
              <w:keepLines w:val="0"/>
              <w:widowControl/>
              <w:suppressLineNumbers w:val="0"/>
              <w:snapToGrid w:val="0"/>
              <w:spacing w:before="0" w:beforeAutospacing="0" w:after="0" w:afterAutospacing="0" w:line="336" w:lineRule="atLeast"/>
              <w:ind w:left="0" w:right="0" w:firstLine="0"/>
              <w:jc w:val="center"/>
              <w:outlineLvl w:val="9"/>
              <w:rPr>
                <w:rFonts w:ascii="宋体" w:hAnsi="宋体" w:eastAsia="宋体" w:cs="宋体"/>
                <w:color w:val="auto"/>
                <w:kern w:val="0"/>
                <w:sz w:val="24"/>
                <w:szCs w:val="24"/>
                <w:lang w:val="en-US" w:eastAsia="zh-CN" w:bidi="ar"/>
              </w:rPr>
            </w:pPr>
            <w:r>
              <w:rPr>
                <w:rFonts w:hint="eastAsia" w:ascii="宋体" w:hAnsi="宋体" w:eastAsia="宋体" w:cs="宋体"/>
                <w:color w:val="auto"/>
                <w:sz w:val="24"/>
                <w:szCs w:val="24"/>
              </w:rPr>
              <w:t>量子全同粒子假设</w:t>
            </w:r>
          </w:p>
        </w:tc>
        <w:tc>
          <w:tcPr>
            <w:tcW w:w="2922" w:type="dxa"/>
            <w:tcBorders>
              <w:top w:val="nil"/>
              <w:left w:val="nil"/>
              <w:bottom w:val="nil"/>
              <w:right w:val="nil"/>
            </w:tcBorders>
            <w:shd w:val="clear" w:color="auto" w:fill="auto"/>
            <w:tcMar>
              <w:top w:w="144" w:type="dxa"/>
              <w:left w:w="216" w:type="dxa"/>
              <w:bottom w:w="144" w:type="dxa"/>
              <w:right w:w="216" w:type="dxa"/>
            </w:tcMar>
            <w:vAlign w:val="center"/>
          </w:tcPr>
          <w:p w14:paraId="0C9A0C6F">
            <w:pPr>
              <w:keepNext/>
              <w:keepLines w:val="0"/>
              <w:widowControl/>
              <w:suppressLineNumbers w:val="0"/>
              <w:snapToGrid w:val="0"/>
              <w:spacing w:before="0" w:beforeAutospacing="0" w:after="0" w:afterAutospacing="0" w:line="336" w:lineRule="atLeast"/>
              <w:ind w:left="0" w:right="0" w:firstLine="0"/>
              <w:jc w:val="center"/>
              <w:outlineLvl w:val="9"/>
              <w:rPr>
                <w:rFonts w:hint="eastAsia" w:ascii="宋体" w:hAnsi="宋体" w:eastAsia="宋体" w:cs="宋体"/>
                <w:color w:val="auto"/>
                <w:kern w:val="0"/>
                <w:sz w:val="24"/>
                <w:szCs w:val="24"/>
                <w:lang w:val="en-US" w:eastAsia="zh-CN" w:bidi="ar"/>
              </w:rPr>
            </w:pPr>
            <w:r>
              <w:rPr>
                <w:rFonts w:hint="eastAsia" w:ascii="Arial" w:hAnsi="Arial" w:eastAsia="宋体" w:cs="Arial"/>
                <w:i w:val="0"/>
                <w:iCs w:val="0"/>
                <w:caps w:val="0"/>
                <w:color w:val="auto"/>
                <w:spacing w:val="0"/>
                <w:sz w:val="24"/>
                <w:szCs w:val="24"/>
                <w:shd w:val="clear" w:fill="FFFFFF"/>
                <w:lang w:eastAsia="zh-CN"/>
              </w:rPr>
              <w:t>在全同粒子（如电子、质子等）组成的体系中，任意两个全同粒子调换不改变体系状态，即无法区分全同粒子间的差异。</w:t>
            </w:r>
          </w:p>
        </w:tc>
        <w:tc>
          <w:tcPr>
            <w:tcW w:w="1085" w:type="dxa"/>
            <w:tcBorders>
              <w:top w:val="nil"/>
              <w:left w:val="nil"/>
              <w:bottom w:val="nil"/>
              <w:right w:val="nil"/>
            </w:tcBorders>
            <w:shd w:val="clear" w:color="auto" w:fill="auto"/>
            <w:tcMar>
              <w:top w:w="144" w:type="dxa"/>
              <w:left w:w="216" w:type="dxa"/>
              <w:bottom w:w="144" w:type="dxa"/>
              <w:right w:w="216" w:type="dxa"/>
            </w:tcMar>
            <w:vAlign w:val="center"/>
          </w:tcPr>
          <w:p w14:paraId="3ACF3114">
            <w:pPr>
              <w:keepNext/>
              <w:keepLines w:val="0"/>
              <w:widowControl/>
              <w:suppressLineNumbers w:val="0"/>
              <w:snapToGrid w:val="0"/>
              <w:spacing w:before="0" w:beforeAutospacing="0" w:after="0" w:afterAutospacing="0" w:line="336" w:lineRule="atLeast"/>
              <w:ind w:left="0" w:right="0" w:firstLine="0"/>
              <w:jc w:val="center"/>
              <w:outlineLvl w:val="9"/>
              <w:rPr>
                <w:rFonts w:hint="default"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不适配</w:t>
            </w:r>
          </w:p>
        </w:tc>
        <w:tc>
          <w:tcPr>
            <w:tcW w:w="3558" w:type="dxa"/>
            <w:tcBorders>
              <w:top w:val="nil"/>
              <w:left w:val="nil"/>
              <w:bottom w:val="nil"/>
              <w:right w:val="nil"/>
            </w:tcBorders>
            <w:shd w:val="clear" w:color="auto" w:fill="auto"/>
            <w:tcMar>
              <w:top w:w="144" w:type="dxa"/>
              <w:left w:w="216" w:type="dxa"/>
              <w:bottom w:w="144" w:type="dxa"/>
              <w:right w:w="216" w:type="dxa"/>
            </w:tcMar>
            <w:vAlign w:val="center"/>
          </w:tcPr>
          <w:p w14:paraId="46BA9C89">
            <w:pPr>
              <w:keepNext/>
              <w:keepLines w:val="0"/>
              <w:widowControl/>
              <w:suppressLineNumbers w:val="0"/>
              <w:snapToGrid w:val="0"/>
              <w:spacing w:before="0" w:beforeAutospacing="0" w:after="0" w:afterAutospacing="0" w:line="336" w:lineRule="atLeast"/>
              <w:ind w:left="0" w:right="0" w:firstLine="0"/>
              <w:jc w:val="center"/>
              <w:outlineLvl w:val="9"/>
              <w:rPr>
                <w:rFonts w:ascii="宋体" w:hAnsi="宋体" w:eastAsia="宋体" w:cs="宋体"/>
                <w:color w:val="auto"/>
                <w:kern w:val="0"/>
                <w:sz w:val="24"/>
                <w:szCs w:val="24"/>
                <w:lang w:val="en-US" w:eastAsia="zh-CN" w:bidi="ar"/>
              </w:rPr>
            </w:pPr>
            <w:r>
              <w:rPr>
                <w:rFonts w:hint="eastAsia" w:ascii="宋体" w:hAnsi="宋体" w:eastAsia="宋体" w:cs="宋体"/>
                <w:color w:val="auto"/>
                <w:sz w:val="24"/>
                <w:szCs w:val="24"/>
              </w:rPr>
              <w:t>量子全同粒子假设与经济主体异质性的冲突，本质是物理粒子同质化与经济主体差异化的根本对立</w:t>
            </w:r>
          </w:p>
        </w:tc>
      </w:tr>
      <w:tr w14:paraId="2BEB705B">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1270" w:hRule="atLeast"/>
          <w:jc w:val="center"/>
        </w:trPr>
        <w:tc>
          <w:tcPr>
            <w:tcW w:w="972" w:type="dxa"/>
            <w:tcBorders>
              <w:top w:val="nil"/>
              <w:left w:val="nil"/>
              <w:bottom w:val="nil"/>
              <w:right w:val="nil"/>
            </w:tcBorders>
            <w:shd w:val="clear" w:color="auto" w:fill="auto"/>
            <w:tcMar>
              <w:top w:w="144" w:type="dxa"/>
              <w:left w:w="216" w:type="dxa"/>
              <w:bottom w:w="144" w:type="dxa"/>
              <w:right w:w="216" w:type="dxa"/>
            </w:tcMar>
            <w:vAlign w:val="center"/>
          </w:tcPr>
          <w:p w14:paraId="1A527B47">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量子决定论</w:t>
            </w:r>
          </w:p>
        </w:tc>
        <w:tc>
          <w:tcPr>
            <w:tcW w:w="2922" w:type="dxa"/>
            <w:tcBorders>
              <w:top w:val="nil"/>
              <w:left w:val="nil"/>
              <w:bottom w:val="nil"/>
              <w:right w:val="nil"/>
            </w:tcBorders>
            <w:shd w:val="clear" w:color="auto" w:fill="auto"/>
            <w:tcMar>
              <w:top w:w="144" w:type="dxa"/>
              <w:left w:w="216" w:type="dxa"/>
              <w:bottom w:w="144" w:type="dxa"/>
              <w:right w:w="216" w:type="dxa"/>
            </w:tcMar>
            <w:vAlign w:val="center"/>
          </w:tcPr>
          <w:p w14:paraId="25E69A4B">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粒子状态由初始条件与物理定律完全决定，行为具有严格规律性</w:t>
            </w:r>
          </w:p>
        </w:tc>
        <w:tc>
          <w:tcPr>
            <w:tcW w:w="1085" w:type="dxa"/>
            <w:tcBorders>
              <w:top w:val="nil"/>
              <w:left w:val="nil"/>
              <w:bottom w:val="nil"/>
              <w:right w:val="nil"/>
            </w:tcBorders>
            <w:shd w:val="clear" w:color="auto" w:fill="auto"/>
            <w:tcMar>
              <w:top w:w="144" w:type="dxa"/>
              <w:left w:w="216" w:type="dxa"/>
              <w:bottom w:w="144" w:type="dxa"/>
              <w:right w:w="216" w:type="dxa"/>
            </w:tcMar>
            <w:vAlign w:val="center"/>
          </w:tcPr>
          <w:p w14:paraId="5CC1B86E">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不适配</w:t>
            </w:r>
          </w:p>
        </w:tc>
        <w:tc>
          <w:tcPr>
            <w:tcW w:w="3558" w:type="dxa"/>
            <w:tcBorders>
              <w:top w:val="nil"/>
              <w:left w:val="nil"/>
              <w:bottom w:val="nil"/>
              <w:right w:val="nil"/>
            </w:tcBorders>
            <w:shd w:val="clear" w:color="auto" w:fill="auto"/>
            <w:tcMar>
              <w:top w:w="144" w:type="dxa"/>
              <w:left w:w="216" w:type="dxa"/>
              <w:bottom w:w="144" w:type="dxa"/>
              <w:right w:w="216" w:type="dxa"/>
            </w:tcMar>
            <w:vAlign w:val="center"/>
          </w:tcPr>
          <w:p w14:paraId="28BBA826">
            <w:pPr>
              <w:keepNext/>
              <w:keepLines w:val="0"/>
              <w:widowControl/>
              <w:suppressLineNumbers w:val="0"/>
              <w:snapToGrid w:val="0"/>
              <w:spacing w:before="0" w:beforeAutospacing="0" w:after="0" w:afterAutospacing="0" w:line="336" w:lineRule="atLeast"/>
              <w:ind w:left="0" w:right="0" w:firstLine="0"/>
              <w:jc w:val="center"/>
              <w:outlineLvl w:val="9"/>
              <w:rPr>
                <w:color w:val="auto"/>
                <w:sz w:val="24"/>
                <w:szCs w:val="24"/>
              </w:rPr>
            </w:pPr>
            <w:r>
              <w:rPr>
                <w:rFonts w:ascii="宋体" w:hAnsi="宋体" w:eastAsia="宋体" w:cs="宋体"/>
                <w:color w:val="auto"/>
                <w:kern w:val="0"/>
                <w:sz w:val="24"/>
                <w:szCs w:val="24"/>
                <w:lang w:val="en-US" w:eastAsia="zh-CN" w:bidi="ar"/>
              </w:rPr>
              <w:t>否定经济主体自由意志与创新能动性，陷入机械论误区，与企业家理论、创新理论冲突</w:t>
            </w:r>
          </w:p>
        </w:tc>
      </w:tr>
    </w:tbl>
    <w:p w14:paraId="622EFA3D">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outlineLvl w:val="9"/>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注：该表只展示了部分。</w:t>
      </w:r>
    </w:p>
    <w:p w14:paraId="6473AB4D">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outlineLvl w:val="9"/>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该适配性初判表为后续研究提供基础支撑：强适配概念可直接进入具体经济场景开展细化的理论建构与实证检验；弱适配概念需明确应用条件边界与工具改造方向，通过场景限定或方法优化提升适配性；不适配概念则应划定相对不适配的研究范畴，避免学术资源的无效消耗。这一初步筛选既为量子概念与经济学的深度融合指明核心方向，也为量子经济学规避“概念泛化”“物理崇拜”等误区提供参考，为量子经济学聚焦核心议题、通过理论创新与实证检验获得主流学界认可提供支撑。</w:t>
      </w:r>
    </w:p>
    <w:p w14:paraId="3D007FEE">
      <w:pPr>
        <w:numPr>
          <w:ilvl w:val="0"/>
          <w:numId w:val="0"/>
        </w:numPr>
        <w:spacing w:after="220" w:line="240" w:lineRule="atLeast"/>
        <w:outlineLvl w:val="9"/>
        <w:rPr>
          <w:color w:val="auto"/>
        </w:rPr>
      </w:pPr>
    </w:p>
    <w:p w14:paraId="70711933">
      <w:pPr>
        <w:keepNext w:val="0"/>
        <w:keepLines w:val="0"/>
        <w:pageBreakBefore w:val="0"/>
        <w:widowControl w:val="0"/>
        <w:kinsoku/>
        <w:wordWrap/>
        <w:overflowPunct/>
        <w:topLinePunct w:val="0"/>
        <w:autoSpaceDE/>
        <w:autoSpaceDN/>
        <w:bidi w:val="0"/>
        <w:adjustRightInd/>
        <w:snapToGrid/>
        <w:spacing w:line="500" w:lineRule="exact"/>
        <w:ind w:firstLine="1807" w:firstLineChars="600"/>
        <w:jc w:val="both"/>
        <w:textAlignment w:val="auto"/>
        <w:outlineLvl w:val="9"/>
        <w:rPr>
          <w:rFonts w:hint="default" w:ascii="宋体" w:hAnsi="宋体" w:eastAsia="宋体" w:cs="宋体"/>
          <w:b/>
          <w:bCs w:val="0"/>
          <w:color w:val="auto"/>
          <w:sz w:val="30"/>
          <w:szCs w:val="30"/>
          <w:lang w:val="en-US" w:eastAsia="zh-CN"/>
        </w:rPr>
      </w:pPr>
      <w:bookmarkStart w:id="6" w:name="五_量子概念的经济强适配场景_理论契合与实践赋能"/>
      <w:r>
        <w:rPr>
          <w:rFonts w:hint="default" w:ascii="宋体" w:hAnsi="宋体" w:eastAsia="宋体" w:cs="宋体"/>
          <w:b/>
          <w:bCs w:val="0"/>
          <w:color w:val="auto"/>
          <w:sz w:val="30"/>
          <w:szCs w:val="30"/>
          <w:lang w:val="en-US" w:eastAsia="zh-CN"/>
        </w:rPr>
        <w:t>五、强适配</w:t>
      </w:r>
      <w:r>
        <w:rPr>
          <w:rFonts w:hint="eastAsia" w:ascii="宋体" w:hAnsi="宋体" w:eastAsia="宋体" w:cs="宋体"/>
          <w:b/>
          <w:bCs w:val="0"/>
          <w:color w:val="auto"/>
          <w:sz w:val="30"/>
          <w:szCs w:val="30"/>
          <w:lang w:val="en-US" w:eastAsia="zh-CN"/>
        </w:rPr>
        <w:t>区间</w:t>
      </w:r>
      <w:r>
        <w:rPr>
          <w:rFonts w:hint="default" w:ascii="宋体" w:hAnsi="宋体" w:eastAsia="宋体" w:cs="宋体"/>
          <w:b/>
          <w:bCs w:val="0"/>
          <w:color w:val="auto"/>
          <w:sz w:val="30"/>
          <w:szCs w:val="30"/>
          <w:lang w:val="en-US" w:eastAsia="zh-CN"/>
        </w:rPr>
        <w:t>：理论契合与实践赋能</w:t>
      </w:r>
      <w:bookmarkEnd w:id="6"/>
    </w:p>
    <w:p w14:paraId="54A84B34">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b w:val="0"/>
          <w:bCs/>
          <w:color w:val="auto"/>
          <w:sz w:val="24"/>
          <w:szCs w:val="24"/>
          <w:lang w:val="en-US" w:eastAsia="zh-CN"/>
        </w:rPr>
      </w:pPr>
      <w:bookmarkStart w:id="7" w:name="一_强适配区间的核心界定原则"/>
    </w:p>
    <w:bookmarkEnd w:id="7"/>
    <w:p w14:paraId="08A9993A">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强适配区间的核心界定是：量子概念剥离具体物理属性后，其“多态共存、非局域关联、互动塑造”的普适逻辑，与经济系统“不确定性、关联性、动态性”的核心特征形成内在同构。</w:t>
      </w:r>
    </w:p>
    <w:p w14:paraId="534D8095">
      <w:pPr>
        <w:keepNext w:val="0"/>
        <w:keepLines w:val="0"/>
        <w:pageBreakBefore w:val="0"/>
        <w:kinsoku/>
        <w:wordWrap/>
        <w:overflowPunct/>
        <w:topLinePunct w:val="0"/>
        <w:autoSpaceDE/>
        <w:autoSpaceDN/>
        <w:bidi w:val="0"/>
        <w:adjustRightInd/>
        <w:snapToGrid/>
        <w:spacing w:after="0" w:line="500" w:lineRule="exact"/>
        <w:ind w:firstLine="482" w:firstLineChars="200"/>
        <w:jc w:val="left"/>
        <w:textAlignment w:val="auto"/>
        <w:outlineLvl w:val="9"/>
        <w:rPr>
          <w:rFonts w:hint="eastAsia" w:ascii="宋体" w:hAnsi="宋体" w:eastAsia="宋体" w:cs="宋体"/>
          <w:color w:val="auto"/>
          <w:sz w:val="24"/>
          <w:szCs w:val="24"/>
        </w:rPr>
      </w:pPr>
      <w:bookmarkStart w:id="8" w:name="bm_1_叠加态_模糊决策的补充解析框架"/>
      <w:r>
        <w:rPr>
          <w:rFonts w:hint="eastAsia" w:ascii="宋体" w:hAnsi="宋体" w:eastAsia="宋体" w:cs="宋体"/>
          <w:b/>
          <w:color w:val="auto"/>
          <w:sz w:val="24"/>
          <w:szCs w:val="24"/>
        </w:rPr>
        <w:t>（</w:t>
      </w:r>
      <w:r>
        <w:rPr>
          <w:rFonts w:hint="eastAsia" w:ascii="宋体" w:hAnsi="宋体" w:eastAsia="宋体" w:cs="宋体"/>
          <w:b/>
          <w:color w:val="auto"/>
          <w:sz w:val="24"/>
          <w:szCs w:val="24"/>
          <w:lang w:val="en-US" w:eastAsia="zh-CN"/>
        </w:rPr>
        <w:t>一</w:t>
      </w:r>
      <w:r>
        <w:rPr>
          <w:rFonts w:hint="eastAsia" w:ascii="宋体" w:hAnsi="宋体" w:eastAsia="宋体" w:cs="宋体"/>
          <w:b/>
          <w:color w:val="auto"/>
          <w:sz w:val="24"/>
          <w:szCs w:val="24"/>
        </w:rPr>
        <w:t>）叠加态：模糊决策的补充解析框架</w:t>
      </w:r>
      <w:bookmarkEnd w:id="8"/>
    </w:p>
    <w:p w14:paraId="76854398">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在模糊决策场景中，传统决策理论以“理性人假设”为基石，假设经济主体偏好明确、决策是确定性效用最大化过程</w:t>
      </w:r>
      <w:r>
        <w:rPr>
          <w:rFonts w:hint="eastAsia" w:ascii="宋体" w:hAnsi="宋体" w:eastAsia="宋体" w:cs="宋体"/>
          <w:b/>
          <w:bCs/>
          <w:color w:val="auto"/>
          <w:sz w:val="24"/>
          <w:szCs w:val="24"/>
        </w:rPr>
        <w:t>（von Neumann&amp;Morgenstern,1944）</w:t>
      </w:r>
      <w:r>
        <w:rPr>
          <w:rFonts w:hint="eastAsia" w:ascii="宋体" w:hAnsi="宋体" w:eastAsia="宋体" w:cs="宋体"/>
          <w:color w:val="auto"/>
          <w:sz w:val="24"/>
          <w:szCs w:val="24"/>
        </w:rPr>
        <w:t>。但现实经济场景中，“既认可A品牌质量又青睐B品牌价格”“既倾向储蓄又考虑消费”的模糊决策普遍存在，阿莱斯悖论、埃尔斯伯格悖论等经典难题，一定程度上暴露了传统理论在解释不确定性决策时的局限（Allais,1953;Ellsberg,1961）。量子叠加态“多基态共存-观测坍缩”的核心逻辑，与这类模糊决策现象形成内在同构，可为其提供更精细的解析框架。核心模型及参数的经济含义界定如下，重点突出经济可解释性，规避物理概念的直接套用：</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偏好叠加态波函数：</w:t>
      </w:r>
    </w:p>
    <w:p w14:paraId="61D189EB">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m:oMathPara>
        <m:oMath>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ψ</m:t>
          </m:r>
          <m:r>
            <m:rPr>
              <m:sty m:val="p"/>
            </m:rPr>
            <w:rPr>
              <w:rFonts w:hint="eastAsia" w:ascii="Cambria Math" w:hAnsi="Cambria Math" w:eastAsia="宋体" w:cs="宋体"/>
              <w:color w:val="auto"/>
              <w:sz w:val="24"/>
              <w:szCs w:val="24"/>
            </w:rPr>
            <m:t>⟩=</m:t>
          </m:r>
          <m:nary>
            <m:naryPr>
              <m:chr m:val="∑"/>
              <m:grow m:val="1"/>
              <m:limLoc m:val="undOvr"/>
              <m:ctrlPr>
                <w:rPr>
                  <w:rFonts w:hint="eastAsia" w:ascii="Cambria Math" w:hAnsi="Cambria Math" w:eastAsia="宋体" w:cs="宋体"/>
                  <w:color w:val="auto"/>
                  <w:sz w:val="24"/>
                  <w:szCs w:val="24"/>
                </w:rPr>
              </m:ctrlPr>
            </m:naryPr>
            <m:sub>
              <m:r>
                <m:rPr/>
                <w:rPr>
                  <w:rFonts w:hint="eastAsia" w:ascii="Cambria Math" w:hAnsi="Cambria Math" w:eastAsia="宋体" w:cs="宋体"/>
                  <w:color w:val="auto"/>
                  <w:sz w:val="24"/>
                  <w:szCs w:val="24"/>
                </w:rPr>
                <m:t>i</m:t>
              </m:r>
              <m:r>
                <m:rPr>
                  <m:sty m:val="p"/>
                </m:rPr>
                <w:rPr>
                  <w:rFonts w:hint="eastAsia" w:ascii="Cambria Math" w:hAnsi="Cambria Math" w:eastAsia="宋体" w:cs="宋体"/>
                  <w:color w:val="auto"/>
                  <w:sz w:val="24"/>
                  <w:szCs w:val="24"/>
                </w:rPr>
                <m:t>=1</m:t>
              </m:r>
              <m:ctrlPr>
                <w:rPr>
                  <w:rFonts w:hint="eastAsia" w:ascii="Cambria Math" w:hAnsi="Cambria Math" w:eastAsia="宋体" w:cs="宋体"/>
                  <w:color w:val="auto"/>
                  <w:sz w:val="24"/>
                  <w:szCs w:val="24"/>
                </w:rPr>
              </m:ctrlPr>
            </m:sub>
            <m:sup>
              <m:r>
                <m:rPr/>
                <w:rPr>
                  <w:rFonts w:hint="eastAsia" w:ascii="Cambria Math" w:hAnsi="Cambria Math" w:eastAsia="宋体" w:cs="宋体"/>
                  <w:color w:val="auto"/>
                  <w:sz w:val="24"/>
                  <w:szCs w:val="24"/>
                </w:rPr>
                <m:t>n</m:t>
              </m:r>
              <m:ctrlPr>
                <w:rPr>
                  <w:rFonts w:hint="eastAsia" w:ascii="Cambria Math" w:hAnsi="Cambria Math" w:eastAsia="宋体" w:cs="宋体"/>
                  <w:color w:val="auto"/>
                  <w:sz w:val="24"/>
                  <w:szCs w:val="24"/>
                </w:rPr>
              </m:ctrlPr>
            </m:sup>
            <m:e>
              <m:r>
                <m:rPr>
                  <m:sty m:val="p"/>
                </m:rPr>
                <w:rPr>
                  <w:rFonts w:hint="eastAsia" w:ascii="Cambria Math" w:hAnsi="Cambria Math" w:eastAsia="宋体" w:cs="宋体"/>
                  <w:color w:val="auto"/>
                  <w:sz w:val="24"/>
                  <w:szCs w:val="24"/>
                </w:rPr>
                <m:t> </m:t>
              </m:r>
              <m:ctrlPr>
                <w:rPr>
                  <w:rFonts w:hint="eastAsia" w:ascii="Cambria Math" w:hAnsi="Cambria Math" w:eastAsia="宋体" w:cs="宋体"/>
                  <w:color w:val="auto"/>
                  <w:sz w:val="24"/>
                  <w:szCs w:val="24"/>
                </w:rPr>
              </m:ctrlPr>
            </m:e>
          </m:nary>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α</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s</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oMath>
      </m:oMathPara>
      <w:r>
        <w:rPr>
          <w:rFonts w:hint="eastAsia" w:ascii="宋体" w:hAnsi="宋体" w:eastAsia="宋体" w:cs="宋体"/>
          <w:color w:val="auto"/>
          <w:sz w:val="24"/>
          <w:szCs w:val="24"/>
        </w:rPr>
        <w:br w:type="textWrapping"/>
      </w:r>
    </w:p>
    <w:p w14:paraId="60ADE580">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m:oMath>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ψ</m:t>
        </m:r>
        <m:r>
          <m:rPr>
            <m:sty m:val="p"/>
          </m:rPr>
          <w:rPr>
            <w:rFonts w:hint="eastAsia" w:ascii="Cambria Math" w:hAnsi="Cambria Math" w:eastAsia="宋体" w:cs="宋体"/>
            <w:color w:val="auto"/>
            <w:sz w:val="24"/>
            <w:szCs w:val="24"/>
          </w:rPr>
          <m:t>⟩</m:t>
        </m:r>
      </m:oMath>
      <w:r>
        <w:rPr>
          <w:rFonts w:hint="eastAsia" w:ascii="宋体" w:hAnsi="宋体" w:eastAsia="宋体" w:cs="宋体"/>
          <w:color w:val="auto"/>
          <w:sz w:val="24"/>
          <w:szCs w:val="24"/>
        </w:rPr>
        <w:t>：决策前主体的偏好叠加态（量子态向量），表征偏好未明确前的模糊共存状态；</w:t>
      </w:r>
      <m:oMath>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s</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oMath>
      <w:r>
        <w:rPr>
          <w:rFonts w:hint="eastAsia" w:ascii="宋体" w:hAnsi="宋体" w:eastAsia="宋体" w:cs="宋体"/>
          <w:color w:val="auto"/>
          <w:sz w:val="24"/>
          <w:szCs w:val="24"/>
        </w:rPr>
        <w:t>：第</w:t>
      </w:r>
      <m:oMath>
        <m:r>
          <m:rPr/>
          <w:rPr>
            <w:rFonts w:hint="eastAsia" w:ascii="Cambria Math" w:hAnsi="Cambria Math" w:eastAsia="宋体" w:cs="宋体"/>
            <w:color w:val="auto"/>
            <w:sz w:val="24"/>
            <w:szCs w:val="24"/>
          </w:rPr>
          <m:t>i</m:t>
        </m:r>
      </m:oMath>
      <w:r>
        <w:rPr>
          <w:rFonts w:hint="eastAsia" w:ascii="宋体" w:hAnsi="宋体" w:eastAsia="宋体" w:cs="宋体"/>
          <w:color w:val="auto"/>
          <w:sz w:val="24"/>
          <w:szCs w:val="24"/>
        </w:rPr>
        <w:t>种偏好基态（如“选择品牌A”“选择品牌B”“储蓄”“消费”），构成正交归一基组（满足</w:t>
      </w:r>
      <m:oMath>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s</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s</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j</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δ</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ij</m:t>
            </m:r>
            <m:ctrlPr>
              <w:rPr>
                <w:rFonts w:hint="eastAsia" w:ascii="Cambria Math" w:hAnsi="Cambria Math" w:eastAsia="宋体" w:cs="宋体"/>
                <w:color w:val="auto"/>
                <w:sz w:val="24"/>
                <w:szCs w:val="24"/>
              </w:rPr>
            </m:ctrlPr>
          </m:sub>
        </m:sSub>
      </m:oMath>
      <w:r>
        <w:rPr>
          <w:rFonts w:hint="eastAsia" w:ascii="宋体" w:hAnsi="宋体" w:eastAsia="宋体" w:cs="宋体"/>
          <w:color w:val="auto"/>
          <w:sz w:val="24"/>
          <w:szCs w:val="24"/>
        </w:rPr>
        <w:t>，</w:t>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δ</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ij</m:t>
            </m:r>
            <m:ctrlPr>
              <w:rPr>
                <w:rFonts w:hint="eastAsia" w:ascii="Cambria Math" w:hAnsi="Cambria Math" w:eastAsia="宋体" w:cs="宋体"/>
                <w:color w:val="auto"/>
                <w:sz w:val="24"/>
                <w:szCs w:val="24"/>
              </w:rPr>
            </m:ctrlPr>
          </m:sub>
        </m:sSub>
      </m:oMath>
      <w:r>
        <w:rPr>
          <w:rFonts w:hint="eastAsia" w:ascii="宋体" w:hAnsi="宋体" w:eastAsia="宋体" w:cs="宋体"/>
          <w:color w:val="auto"/>
          <w:sz w:val="24"/>
          <w:szCs w:val="24"/>
        </w:rPr>
        <w:t>为克罗内克函数，即不同基态互不重叠，确保偏好分类的互斥性）；</w:t>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α</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oMath>
      <w:r>
        <w:rPr>
          <w:rFonts w:hint="eastAsia" w:ascii="宋体" w:hAnsi="宋体" w:eastAsia="宋体" w:cs="宋体"/>
          <w:color w:val="auto"/>
          <w:sz w:val="24"/>
          <w:szCs w:val="24"/>
        </w:rPr>
        <w:t>：概率幅（复数），反映主体对第</w:t>
      </w:r>
      <m:oMath>
        <m:r>
          <m:rPr/>
          <w:rPr>
            <w:rFonts w:hint="eastAsia" w:ascii="Cambria Math" w:hAnsi="Cambria Math" w:eastAsia="宋体" w:cs="宋体"/>
            <w:color w:val="auto"/>
            <w:sz w:val="24"/>
            <w:szCs w:val="24"/>
          </w:rPr>
          <m:t>i</m:t>
        </m:r>
      </m:oMath>
      <w:r>
        <w:rPr>
          <w:rFonts w:hint="eastAsia" w:ascii="宋体" w:hAnsi="宋体" w:eastAsia="宋体" w:cs="宋体"/>
          <w:color w:val="auto"/>
          <w:sz w:val="24"/>
          <w:szCs w:val="24"/>
        </w:rPr>
        <w:t>种偏好的信念强度，满足归一化条件</w:t>
      </w:r>
      <m:oMath>
        <m:nary>
          <m:naryPr>
            <m:chr m:val="∑"/>
            <m:grow m:val="1"/>
            <m:limLoc m:val="undOvr"/>
            <m:ctrlPr>
              <w:rPr>
                <w:rFonts w:hint="eastAsia" w:ascii="Cambria Math" w:hAnsi="Cambria Math" w:eastAsia="宋体" w:cs="宋体"/>
                <w:color w:val="auto"/>
                <w:sz w:val="24"/>
                <w:szCs w:val="24"/>
              </w:rPr>
            </m:ctrlPr>
          </m:naryPr>
          <m:sub>
            <m:r>
              <m:rPr/>
              <w:rPr>
                <w:rFonts w:hint="eastAsia" w:ascii="Cambria Math" w:hAnsi="Cambria Math" w:eastAsia="宋体" w:cs="宋体"/>
                <w:color w:val="auto"/>
                <w:sz w:val="24"/>
                <w:szCs w:val="24"/>
              </w:rPr>
              <m:t>i</m:t>
            </m:r>
            <m:r>
              <m:rPr>
                <m:sty m:val="p"/>
              </m:rPr>
              <w:rPr>
                <w:rFonts w:hint="eastAsia" w:ascii="Cambria Math" w:hAnsi="Cambria Math" w:eastAsia="宋体" w:cs="宋体"/>
                <w:color w:val="auto"/>
                <w:sz w:val="24"/>
                <w:szCs w:val="24"/>
              </w:rPr>
              <m:t>=1</m:t>
            </m:r>
            <m:ctrlPr>
              <w:rPr>
                <w:rFonts w:hint="eastAsia" w:ascii="Cambria Math" w:hAnsi="Cambria Math" w:eastAsia="宋体" w:cs="宋体"/>
                <w:color w:val="auto"/>
                <w:sz w:val="24"/>
                <w:szCs w:val="24"/>
              </w:rPr>
            </m:ctrlPr>
          </m:sub>
          <m:sup>
            <m:r>
              <m:rPr/>
              <w:rPr>
                <w:rFonts w:hint="eastAsia" w:ascii="Cambria Math" w:hAnsi="Cambria Math" w:eastAsia="宋体" w:cs="宋体"/>
                <w:color w:val="auto"/>
                <w:sz w:val="24"/>
                <w:szCs w:val="24"/>
              </w:rPr>
              <m:t>n</m:t>
            </m:r>
            <m:ctrlPr>
              <w:rPr>
                <w:rFonts w:hint="eastAsia" w:ascii="Cambria Math" w:hAnsi="Cambria Math" w:eastAsia="宋体" w:cs="宋体"/>
                <w:color w:val="auto"/>
                <w:sz w:val="24"/>
                <w:szCs w:val="24"/>
              </w:rPr>
            </m:ctrlPr>
          </m:sup>
          <m:e>
            <m:r>
              <m:rPr>
                <m:sty m:val="p"/>
              </m:rPr>
              <w:rPr>
                <w:rFonts w:hint="eastAsia" w:ascii="Cambria Math" w:hAnsi="Cambria Math" w:eastAsia="宋体" w:cs="宋体"/>
                <w:color w:val="auto"/>
                <w:sz w:val="24"/>
                <w:szCs w:val="24"/>
              </w:rPr>
              <m:t> </m:t>
            </m:r>
            <m:ctrlPr>
              <w:rPr>
                <w:rFonts w:hint="eastAsia" w:ascii="Cambria Math" w:hAnsi="Cambria Math" w:eastAsia="宋体" w:cs="宋体"/>
                <w:color w:val="auto"/>
                <w:sz w:val="24"/>
                <w:szCs w:val="24"/>
              </w:rPr>
            </m:ctrlPr>
          </m:e>
        </m:nary>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α</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sSup>
          <m:sSupPr>
            <m:ctrlPr>
              <w:rPr>
                <w:rFonts w:hint="eastAsia" w:ascii="Cambria Math" w:hAnsi="Cambria Math" w:eastAsia="宋体" w:cs="宋体"/>
                <w:color w:val="auto"/>
                <w:sz w:val="24"/>
                <w:szCs w:val="24"/>
              </w:rPr>
            </m:ctrlPr>
          </m:sSupPr>
          <m:e>
            <m:r>
              <m:rPr>
                <m:sty m:val="p"/>
              </m:rPr>
              <w:rPr>
                <w:rFonts w:hint="eastAsia" w:ascii="Cambria Math" w:hAnsi="Cambria Math" w:eastAsia="宋体" w:cs="宋体"/>
                <w:color w:val="auto"/>
                <w:sz w:val="24"/>
                <w:szCs w:val="24"/>
              </w:rPr>
              <m:t>|</m:t>
            </m:r>
            <m:ctrlPr>
              <w:rPr>
                <w:rFonts w:hint="eastAsia" w:ascii="Cambria Math" w:hAnsi="Cambria Math" w:eastAsia="宋体" w:cs="宋体"/>
                <w:color w:val="auto"/>
                <w:sz w:val="24"/>
                <w:szCs w:val="24"/>
              </w:rPr>
            </m:ctrlPr>
          </m:e>
          <m:sup>
            <m:r>
              <m:rPr>
                <m:sty m:val="p"/>
              </m:rPr>
              <w:rPr>
                <w:rFonts w:hint="eastAsia" w:ascii="Cambria Math" w:hAnsi="Cambria Math" w:eastAsia="宋体" w:cs="宋体"/>
                <w:color w:val="auto"/>
                <w:sz w:val="24"/>
                <w:szCs w:val="24"/>
              </w:rPr>
              <m:t>2</m:t>
            </m:r>
            <m:ctrlPr>
              <w:rPr>
                <w:rFonts w:hint="eastAsia" w:ascii="Cambria Math" w:hAnsi="Cambria Math" w:eastAsia="宋体" w:cs="宋体"/>
                <w:color w:val="auto"/>
                <w:sz w:val="24"/>
                <w:szCs w:val="24"/>
              </w:rPr>
            </m:ctrlPr>
          </m:sup>
        </m:sSup>
        <m:r>
          <m:rPr>
            <m:sty m:val="p"/>
          </m:rPr>
          <w:rPr>
            <w:rFonts w:hint="eastAsia" w:ascii="Cambria Math" w:hAnsi="Cambria Math" w:eastAsia="宋体" w:cs="宋体"/>
            <w:color w:val="auto"/>
            <w:sz w:val="24"/>
            <w:szCs w:val="24"/>
          </w:rPr>
          <m:t>=1</m:t>
        </m:r>
      </m:oMath>
      <w:r>
        <w:rPr>
          <w:rFonts w:hint="eastAsia" w:ascii="宋体" w:hAnsi="宋体" w:eastAsia="宋体" w:cs="宋体"/>
          <w:color w:val="auto"/>
          <w:sz w:val="24"/>
          <w:szCs w:val="24"/>
        </w:rPr>
        <w:t>（</w:t>
      </w:r>
      <m:oMath>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α</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sSup>
          <m:sSupPr>
            <m:ctrlPr>
              <w:rPr>
                <w:rFonts w:hint="eastAsia" w:ascii="Cambria Math" w:hAnsi="Cambria Math" w:eastAsia="宋体" w:cs="宋体"/>
                <w:color w:val="auto"/>
                <w:sz w:val="24"/>
                <w:szCs w:val="24"/>
              </w:rPr>
            </m:ctrlPr>
          </m:sSupPr>
          <m:e>
            <m:r>
              <m:rPr>
                <m:sty m:val="p"/>
              </m:rPr>
              <w:rPr>
                <w:rFonts w:hint="eastAsia" w:ascii="Cambria Math" w:hAnsi="Cambria Math" w:eastAsia="宋体" w:cs="宋体"/>
                <w:color w:val="auto"/>
                <w:sz w:val="24"/>
                <w:szCs w:val="24"/>
              </w:rPr>
              <m:t>|</m:t>
            </m:r>
            <m:ctrlPr>
              <w:rPr>
                <w:rFonts w:hint="eastAsia" w:ascii="Cambria Math" w:hAnsi="Cambria Math" w:eastAsia="宋体" w:cs="宋体"/>
                <w:color w:val="auto"/>
                <w:sz w:val="24"/>
                <w:szCs w:val="24"/>
              </w:rPr>
            </m:ctrlPr>
          </m:e>
          <m:sup>
            <m:r>
              <m:rPr>
                <m:sty m:val="p"/>
              </m:rPr>
              <w:rPr>
                <w:rFonts w:hint="eastAsia" w:ascii="Cambria Math" w:hAnsi="Cambria Math" w:eastAsia="宋体" w:cs="宋体"/>
                <w:color w:val="auto"/>
                <w:sz w:val="24"/>
                <w:szCs w:val="24"/>
              </w:rPr>
              <m:t>2</m:t>
            </m:r>
            <m:ctrlPr>
              <w:rPr>
                <w:rFonts w:hint="eastAsia" w:ascii="Cambria Math" w:hAnsi="Cambria Math" w:eastAsia="宋体" w:cs="宋体"/>
                <w:color w:val="auto"/>
                <w:sz w:val="24"/>
                <w:szCs w:val="24"/>
              </w:rPr>
            </m:ctrlPr>
          </m:sup>
        </m:sSup>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α</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sSubSup>
          <m:sSubSupPr>
            <m:ctrlPr>
              <w:rPr>
                <w:rFonts w:hint="eastAsia" w:ascii="Cambria Math" w:hAnsi="Cambria Math" w:eastAsia="宋体" w:cs="宋体"/>
                <w:color w:val="auto"/>
                <w:sz w:val="24"/>
                <w:szCs w:val="24"/>
              </w:rPr>
            </m:ctrlPr>
          </m:sSubSupPr>
          <m:e>
            <m:r>
              <m:rPr/>
              <w:rPr>
                <w:rFonts w:hint="eastAsia" w:ascii="Cambria Math" w:hAnsi="Cambria Math" w:eastAsia="宋体" w:cs="宋体"/>
                <w:color w:val="auto"/>
                <w:sz w:val="24"/>
                <w:szCs w:val="24"/>
              </w:rPr>
              <m:t>α</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up>
            <m:r>
              <m:rPr>
                <m:sty m:val="p"/>
              </m:rPr>
              <w:rPr>
                <w:rFonts w:hint="eastAsia" w:ascii="Cambria Math" w:hAnsi="Cambria Math" w:eastAsia="宋体" w:cs="宋体"/>
                <w:color w:val="auto"/>
                <w:sz w:val="24"/>
                <w:szCs w:val="24"/>
              </w:rPr>
              <m:t>∗</m:t>
            </m:r>
            <m:ctrlPr>
              <w:rPr>
                <w:rFonts w:hint="eastAsia" w:ascii="Cambria Math" w:hAnsi="Cambria Math" w:eastAsia="宋体" w:cs="宋体"/>
                <w:color w:val="auto"/>
                <w:sz w:val="24"/>
                <w:szCs w:val="24"/>
              </w:rPr>
            </m:ctrlPr>
          </m:sup>
        </m:sSubSup>
      </m:oMath>
      <w:r>
        <w:rPr>
          <w:rFonts w:hint="eastAsia" w:ascii="宋体" w:hAnsi="宋体" w:eastAsia="宋体" w:cs="宋体"/>
          <w:color w:val="auto"/>
          <w:sz w:val="24"/>
          <w:szCs w:val="24"/>
        </w:rPr>
        <w:t>，</w:t>
      </w:r>
      <m:oMath>
        <m:sSubSup>
          <m:sSubSupPr>
            <m:ctrlPr>
              <w:rPr>
                <w:rFonts w:hint="eastAsia" w:ascii="Cambria Math" w:hAnsi="Cambria Math" w:eastAsia="宋体" w:cs="宋体"/>
                <w:color w:val="auto"/>
                <w:sz w:val="24"/>
                <w:szCs w:val="24"/>
              </w:rPr>
            </m:ctrlPr>
          </m:sSubSupPr>
          <m:e>
            <m:r>
              <m:rPr/>
              <w:rPr>
                <w:rFonts w:hint="eastAsia" w:ascii="Cambria Math" w:hAnsi="Cambria Math" w:eastAsia="宋体" w:cs="宋体"/>
                <w:color w:val="auto"/>
                <w:sz w:val="24"/>
                <w:szCs w:val="24"/>
              </w:rPr>
              <m:t>α</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up>
            <m:r>
              <m:rPr>
                <m:sty m:val="p"/>
              </m:rPr>
              <w:rPr>
                <w:rFonts w:hint="eastAsia" w:ascii="Cambria Math" w:hAnsi="Cambria Math" w:eastAsia="宋体" w:cs="宋体"/>
                <w:color w:val="auto"/>
                <w:sz w:val="24"/>
                <w:szCs w:val="24"/>
              </w:rPr>
              <m:t>∗</m:t>
            </m:r>
            <m:ctrlPr>
              <w:rPr>
                <w:rFonts w:hint="eastAsia" w:ascii="Cambria Math" w:hAnsi="Cambria Math" w:eastAsia="宋体" w:cs="宋体"/>
                <w:color w:val="auto"/>
                <w:sz w:val="24"/>
                <w:szCs w:val="24"/>
              </w:rPr>
            </m:ctrlPr>
          </m:sup>
        </m:sSubSup>
      </m:oMath>
      <w:r>
        <w:rPr>
          <w:rFonts w:hint="eastAsia" w:ascii="宋体" w:hAnsi="宋体" w:eastAsia="宋体" w:cs="宋体"/>
          <w:color w:val="auto"/>
          <w:sz w:val="24"/>
          <w:szCs w:val="24"/>
        </w:rPr>
        <w:t>为</w:t>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α</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oMath>
      <w:r>
        <w:rPr>
          <w:rFonts w:hint="eastAsia" w:ascii="宋体" w:hAnsi="宋体" w:eastAsia="宋体" w:cs="宋体"/>
          <w:color w:val="auto"/>
          <w:sz w:val="24"/>
          <w:szCs w:val="24"/>
        </w:rPr>
        <w:t>的共轭复数，对应未受外部干预时选择该偏好的先验概率）。</w:t>
      </w:r>
    </w:p>
    <w:p w14:paraId="4798D985">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观测后决策概率（含偏好干涉效应）：</w:t>
      </w:r>
    </w:p>
    <w:p w14:paraId="03D4E575">
      <w:pPr>
        <w:keepNext w:val="0"/>
        <w:keepLines w:val="0"/>
        <w:pageBreakBefore w:val="0"/>
        <w:kinsoku/>
        <w:wordWrap/>
        <w:overflowPunct/>
        <w:topLinePunct w:val="0"/>
        <w:autoSpaceDE/>
        <w:autoSpaceDN/>
        <w:bidi w:val="0"/>
        <w:adjustRightInd/>
        <w:snapToGrid/>
        <w:spacing w:after="0" w:line="500" w:lineRule="exact"/>
        <w:ind w:firstLine="2160" w:firstLineChars="900"/>
        <w:jc w:val="left"/>
        <w:textAlignment w:val="auto"/>
        <w:outlineLvl w:val="9"/>
        <w:rPr>
          <w:rFonts w:hint="eastAsia" w:ascii="宋体" w:hAnsi="宋体" w:eastAsia="宋体" w:cs="宋体"/>
          <w:color w:val="auto"/>
          <w:sz w:val="24"/>
          <w:szCs w:val="24"/>
        </w:rPr>
      </w:pPr>
      <m:oMathPara>
        <m:oMath>
          <m:r>
            <m:rPr/>
            <w:rPr>
              <w:rFonts w:hint="eastAsia" w:ascii="Cambria Math" w:hAnsi="Cambria Math" w:eastAsia="宋体" w:cs="宋体"/>
              <w:color w:val="auto"/>
              <w:sz w:val="24"/>
              <w:szCs w:val="24"/>
            </w:rPr>
            <m:t>P</m:t>
          </m:r>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s</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s</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ψ</m:t>
          </m:r>
          <m:r>
            <m:rPr>
              <m:sty m:val="p"/>
            </m:rPr>
            <w:rPr>
              <w:rFonts w:hint="eastAsia" w:ascii="Cambria Math" w:hAnsi="Cambria Math" w:eastAsia="宋体" w:cs="宋体"/>
              <w:color w:val="auto"/>
              <w:sz w:val="24"/>
              <w:szCs w:val="24"/>
            </w:rPr>
            <m:t>⟩</m:t>
          </m:r>
          <m:sSup>
            <m:sSupPr>
              <m:ctrlPr>
                <w:rPr>
                  <w:rFonts w:hint="eastAsia" w:ascii="Cambria Math" w:hAnsi="Cambria Math" w:eastAsia="宋体" w:cs="宋体"/>
                  <w:color w:val="auto"/>
                  <w:sz w:val="24"/>
                  <w:szCs w:val="24"/>
                </w:rPr>
              </m:ctrlPr>
            </m:sSupPr>
            <m:e>
              <m:r>
                <m:rPr>
                  <m:sty m:val="p"/>
                </m:rPr>
                <w:rPr>
                  <w:rFonts w:hint="eastAsia" w:ascii="Cambria Math" w:hAnsi="Cambria Math" w:eastAsia="宋体" w:cs="宋体"/>
                  <w:color w:val="auto"/>
                  <w:sz w:val="24"/>
                  <w:szCs w:val="24"/>
                </w:rPr>
                <m:t>|</m:t>
              </m:r>
              <m:ctrlPr>
                <w:rPr>
                  <w:rFonts w:hint="eastAsia" w:ascii="Cambria Math" w:hAnsi="Cambria Math" w:eastAsia="宋体" w:cs="宋体"/>
                  <w:color w:val="auto"/>
                  <w:sz w:val="24"/>
                  <w:szCs w:val="24"/>
                </w:rPr>
              </m:ctrlPr>
            </m:e>
            <m:sup>
              <m:r>
                <m:rPr>
                  <m:sty m:val="p"/>
                </m:rPr>
                <w:rPr>
                  <w:rFonts w:hint="eastAsia" w:ascii="Cambria Math" w:hAnsi="Cambria Math" w:eastAsia="宋体" w:cs="宋体"/>
                  <w:color w:val="auto"/>
                  <w:sz w:val="24"/>
                  <w:szCs w:val="24"/>
                </w:rPr>
                <m:t>2</m:t>
              </m:r>
              <m:ctrlPr>
                <w:rPr>
                  <w:rFonts w:hint="eastAsia" w:ascii="Cambria Math" w:hAnsi="Cambria Math" w:eastAsia="宋体" w:cs="宋体"/>
                  <w:color w:val="auto"/>
                  <w:sz w:val="24"/>
                  <w:szCs w:val="24"/>
                </w:rPr>
              </m:ctrlPr>
            </m:sup>
          </m:sSup>
          <m:r>
            <m:rPr>
              <m:sty m:val="p"/>
            </m:rPr>
            <w:rPr>
              <w:rFonts w:hint="eastAsia" w:ascii="Cambria Math" w:hAnsi="Cambria Math" w:eastAsia="宋体" w:cs="宋体"/>
              <w:color w:val="auto"/>
              <w:sz w:val="24"/>
              <w:szCs w:val="24"/>
            </w:rPr>
            <m:t>=</m:t>
          </m:r>
          <m:sSup>
            <m:sSupPr>
              <m:ctrlPr>
                <w:rPr>
                  <w:rFonts w:hint="eastAsia" w:ascii="Cambria Math" w:hAnsi="Cambria Math" w:eastAsia="宋体" w:cs="宋体"/>
                  <w:color w:val="auto"/>
                  <w:sz w:val="24"/>
                  <w:szCs w:val="24"/>
                </w:rPr>
              </m:ctrlPr>
            </m:sSupPr>
            <m:e>
              <m:d>
                <m:dPr>
                  <m:begChr m:val="|"/>
                  <m:endChr m:val="|"/>
                  <m:ctrlPr>
                    <w:rPr>
                      <w:rFonts w:hint="eastAsia" w:ascii="Cambria Math" w:hAnsi="Cambria Math" w:eastAsia="宋体" w:cs="宋体"/>
                      <w:color w:val="auto"/>
                      <w:sz w:val="24"/>
                      <w:szCs w:val="24"/>
                    </w:rPr>
                  </m:ctrlPr>
                </m:dPr>
                <m:e>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α</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nary>
                    <m:naryPr>
                      <m:chr m:val="∑"/>
                      <m:grow m:val="1"/>
                      <m:limLoc m:val="undOvr"/>
                      <m:supHide m:val="1"/>
                      <m:ctrlPr>
                        <w:rPr>
                          <w:rFonts w:hint="eastAsia" w:ascii="Cambria Math" w:hAnsi="Cambria Math" w:eastAsia="宋体" w:cs="宋体"/>
                          <w:color w:val="auto"/>
                          <w:sz w:val="24"/>
                          <w:szCs w:val="24"/>
                        </w:rPr>
                      </m:ctrlPr>
                    </m:naryPr>
                    <m:sub>
                      <m:r>
                        <m:rPr/>
                        <w:rPr>
                          <w:rFonts w:hint="eastAsia" w:ascii="Cambria Math" w:hAnsi="Cambria Math" w:eastAsia="宋体" w:cs="宋体"/>
                          <w:color w:val="auto"/>
                          <w:sz w:val="24"/>
                          <w:szCs w:val="24"/>
                        </w:rPr>
                        <m:t>j</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up>
                      <m:ctrlPr>
                        <w:rPr>
                          <w:rFonts w:hint="eastAsia" w:ascii="Cambria Math" w:hAnsi="Cambria Math" w:eastAsia="宋体" w:cs="宋体"/>
                          <w:color w:val="auto"/>
                          <w:sz w:val="24"/>
                          <w:szCs w:val="24"/>
                        </w:rPr>
                      </m:ctrlPr>
                    </m:sup>
                    <m:e>
                      <m:r>
                        <m:rPr>
                          <m:sty m:val="p"/>
                        </m:rPr>
                        <w:rPr>
                          <w:rFonts w:hint="eastAsia" w:ascii="Cambria Math" w:hAnsi="Cambria Math" w:eastAsia="宋体" w:cs="宋体"/>
                          <w:color w:val="auto"/>
                          <w:sz w:val="24"/>
                          <w:szCs w:val="24"/>
                        </w:rPr>
                        <m:t> </m:t>
                      </m:r>
                      <m:ctrlPr>
                        <w:rPr>
                          <w:rFonts w:hint="eastAsia" w:ascii="Cambria Math" w:hAnsi="Cambria Math" w:eastAsia="宋体" w:cs="宋体"/>
                          <w:color w:val="auto"/>
                          <w:sz w:val="24"/>
                          <w:szCs w:val="24"/>
                        </w:rPr>
                      </m:ctrlPr>
                    </m:e>
                  </m:nary>
                  <m:r>
                    <m:rPr>
                      <m:sty m:val="p"/>
                    </m:rPr>
                    <w:rPr>
                      <w:rFonts w:hint="eastAsia" w:ascii="Cambria Math" w:hAnsi="Cambria Math" w:eastAsia="宋体" w:cs="宋体"/>
                      <w:color w:val="auto"/>
                      <w:sz w:val="24"/>
                      <w:szCs w:val="24"/>
                    </w:rPr>
                    <m:t> </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α</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j</m:t>
                      </m:r>
                      <m:ctrlPr>
                        <w:rPr>
                          <w:rFonts w:hint="eastAsia" w:ascii="Cambria Math" w:hAnsi="Cambria Math" w:eastAsia="宋体" w:cs="宋体"/>
                          <w:color w:val="auto"/>
                          <w:sz w:val="24"/>
                          <w:szCs w:val="24"/>
                        </w:rPr>
                      </m:ctrlPr>
                    </m:sub>
                  </m:sSub>
                  <m:sSup>
                    <m:sSupPr>
                      <m:ctrlPr>
                        <w:rPr>
                          <w:rFonts w:hint="eastAsia" w:ascii="Cambria Math" w:hAnsi="Cambria Math" w:eastAsia="宋体" w:cs="宋体"/>
                          <w:color w:val="auto"/>
                          <w:sz w:val="24"/>
                          <w:szCs w:val="24"/>
                        </w:rPr>
                      </m:ctrlPr>
                    </m:sSupPr>
                    <m:e>
                      <m:r>
                        <m:rPr/>
                        <w:rPr>
                          <w:rFonts w:hint="eastAsia" w:ascii="Cambria Math" w:hAnsi="Cambria Math" w:eastAsia="宋体" w:cs="宋体"/>
                          <w:color w:val="auto"/>
                          <w:sz w:val="24"/>
                          <w:szCs w:val="24"/>
                        </w:rPr>
                        <m:t>e</m:t>
                      </m:r>
                      <m:ctrlPr>
                        <w:rPr>
                          <w:rFonts w:hint="eastAsia" w:ascii="Cambria Math" w:hAnsi="Cambria Math" w:eastAsia="宋体" w:cs="宋体"/>
                          <w:color w:val="auto"/>
                          <w:sz w:val="24"/>
                          <w:szCs w:val="24"/>
                        </w:rPr>
                      </m:ctrlPr>
                    </m:e>
                    <m:sup>
                      <m:r>
                        <m:rPr/>
                        <w:rPr>
                          <w:rFonts w:hint="eastAsia" w:ascii="Cambria Math" w:hAnsi="Cambria Math" w:eastAsia="宋体" w:cs="宋体"/>
                          <w:color w:val="auto"/>
                          <w:sz w:val="24"/>
                          <w:szCs w:val="24"/>
                        </w:rPr>
                        <m:t>i</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ϕ</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ij</m:t>
                          </m:r>
                          <m:ctrlPr>
                            <w:rPr>
                              <w:rFonts w:hint="eastAsia" w:ascii="Cambria Math" w:hAnsi="Cambria Math" w:eastAsia="宋体" w:cs="宋体"/>
                              <w:color w:val="auto"/>
                              <w:sz w:val="24"/>
                              <w:szCs w:val="24"/>
                            </w:rPr>
                          </m:ctrlPr>
                        </m:sub>
                      </m:sSub>
                      <m:ctrlPr>
                        <w:rPr>
                          <w:rFonts w:hint="eastAsia" w:ascii="Cambria Math" w:hAnsi="Cambria Math" w:eastAsia="宋体" w:cs="宋体"/>
                          <w:color w:val="auto"/>
                          <w:sz w:val="24"/>
                          <w:szCs w:val="24"/>
                        </w:rPr>
                      </m:ctrlPr>
                    </m:sup>
                  </m:sSup>
                  <m:ctrlPr>
                    <w:rPr>
                      <w:rFonts w:hint="eastAsia" w:ascii="Cambria Math" w:hAnsi="Cambria Math" w:eastAsia="宋体" w:cs="宋体"/>
                      <w:color w:val="auto"/>
                      <w:sz w:val="24"/>
                      <w:szCs w:val="24"/>
                    </w:rPr>
                  </m:ctrlPr>
                </m:e>
              </m:d>
              <m:ctrlPr>
                <w:rPr>
                  <w:rFonts w:hint="eastAsia" w:ascii="Cambria Math" w:hAnsi="Cambria Math" w:eastAsia="宋体" w:cs="宋体"/>
                  <w:color w:val="auto"/>
                  <w:sz w:val="24"/>
                  <w:szCs w:val="24"/>
                </w:rPr>
              </m:ctrlPr>
            </m:e>
            <m:sup>
              <m:r>
                <m:rPr>
                  <m:sty m:val="p"/>
                </m:rPr>
                <w:rPr>
                  <w:rFonts w:hint="eastAsia" w:ascii="Cambria Math" w:hAnsi="Cambria Math" w:eastAsia="宋体" w:cs="宋体"/>
                  <w:color w:val="auto"/>
                  <w:sz w:val="24"/>
                  <w:szCs w:val="24"/>
                </w:rPr>
                <m:t>2</m:t>
              </m:r>
              <m:ctrlPr>
                <w:rPr>
                  <w:rFonts w:hint="eastAsia" w:ascii="Cambria Math" w:hAnsi="Cambria Math" w:eastAsia="宋体" w:cs="宋体"/>
                  <w:color w:val="auto"/>
                  <w:sz w:val="24"/>
                  <w:szCs w:val="24"/>
                </w:rPr>
              </m:ctrlPr>
            </m:sup>
          </m:sSup>
        </m:oMath>
      </m:oMathPara>
      <w:r>
        <w:rPr>
          <w:rFonts w:hint="eastAsia" w:ascii="宋体" w:hAnsi="宋体" w:eastAsia="宋体" w:cs="宋体"/>
          <w:color w:val="auto"/>
          <w:sz w:val="24"/>
          <w:szCs w:val="24"/>
        </w:rPr>
        <w:br w:type="textWrapping"/>
      </w:r>
    </w:p>
    <w:p w14:paraId="37841C06">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m:oMath>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s</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ψ</m:t>
        </m:r>
        <m:r>
          <m:rPr>
            <m:sty m:val="p"/>
          </m:rPr>
          <w:rPr>
            <w:rFonts w:hint="eastAsia" w:ascii="Cambria Math" w:hAnsi="Cambria Math" w:eastAsia="宋体" w:cs="宋体"/>
            <w:color w:val="auto"/>
            <w:sz w:val="24"/>
            <w:szCs w:val="24"/>
          </w:rPr>
          <m:t>⟩</m:t>
        </m:r>
      </m:oMath>
      <w:r>
        <w:rPr>
          <w:rFonts w:hint="eastAsia" w:ascii="宋体" w:hAnsi="宋体" w:eastAsia="宋体" w:cs="宋体"/>
          <w:color w:val="auto"/>
          <w:sz w:val="24"/>
          <w:szCs w:val="24"/>
        </w:rPr>
        <w:t>：观测后偏好态在</w:t>
      </w:r>
      <m:oMath>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s</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oMath>
      <w:r>
        <w:rPr>
          <w:rFonts w:hint="eastAsia" w:ascii="宋体" w:hAnsi="宋体" w:eastAsia="宋体" w:cs="宋体"/>
          <w:color w:val="auto"/>
          <w:sz w:val="24"/>
          <w:szCs w:val="24"/>
        </w:rPr>
        <w:t>基态的投影（量子内积），表征该偏好被最终选中的潜在概率；</w:t>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ϕ</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ij</m:t>
            </m:r>
            <m:ctrlPr>
              <w:rPr>
                <w:rFonts w:hint="eastAsia" w:ascii="Cambria Math" w:hAnsi="Cambria Math" w:eastAsia="宋体" w:cs="宋体"/>
                <w:color w:val="auto"/>
                <w:sz w:val="24"/>
                <w:szCs w:val="24"/>
              </w:rPr>
            </m:ctrlPr>
          </m:sub>
        </m:sSub>
      </m:oMath>
      <w:r>
        <w:rPr>
          <w:rFonts w:hint="eastAsia" w:ascii="宋体" w:hAnsi="宋体" w:eastAsia="宋体" w:cs="宋体"/>
          <w:color w:val="auto"/>
          <w:sz w:val="24"/>
          <w:szCs w:val="24"/>
        </w:rPr>
        <w:t>：偏好基态</w:t>
      </w:r>
      <m:oMath>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s</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oMath>
      <w:r>
        <w:rPr>
          <w:rFonts w:hint="eastAsia" w:ascii="宋体" w:hAnsi="宋体" w:eastAsia="宋体" w:cs="宋体"/>
          <w:color w:val="auto"/>
          <w:sz w:val="24"/>
          <w:szCs w:val="24"/>
        </w:rPr>
        <w:t>与</w:t>
      </w:r>
      <m:oMath>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s</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j</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oMath>
      <w:r>
        <w:rPr>
          <w:rFonts w:hint="eastAsia" w:ascii="宋体" w:hAnsi="宋体" w:eastAsia="宋体" w:cs="宋体"/>
          <w:color w:val="auto"/>
          <w:sz w:val="24"/>
          <w:szCs w:val="24"/>
        </w:rPr>
        <w:t>的相位差（取值</w:t>
      </w:r>
      <m:oMath>
        <m:r>
          <m:rPr>
            <m:sty m:val="p"/>
          </m:rPr>
          <w:rPr>
            <w:rFonts w:hint="eastAsia" w:ascii="Cambria Math" w:hAnsi="Cambria Math" w:eastAsia="宋体" w:cs="宋体"/>
            <w:color w:val="auto"/>
            <w:sz w:val="24"/>
            <w:szCs w:val="24"/>
          </w:rPr>
          <m:t>[0,2</m:t>
        </m:r>
        <m:r>
          <m:rPr/>
          <w:rPr>
            <w:rFonts w:hint="eastAsia" w:ascii="Cambria Math" w:hAnsi="Cambria Math" w:eastAsia="宋体" w:cs="宋体"/>
            <w:color w:val="auto"/>
            <w:sz w:val="24"/>
            <w:szCs w:val="24"/>
          </w:rPr>
          <m:t>π</m:t>
        </m:r>
        <m:r>
          <m:rPr>
            <m:sty m:val="p"/>
          </m:rPr>
          <w:rPr>
            <w:rFonts w:hint="eastAsia" w:ascii="Cambria Math" w:hAnsi="Cambria Math" w:eastAsia="宋体" w:cs="宋体"/>
            <w:color w:val="auto"/>
            <w:sz w:val="24"/>
            <w:szCs w:val="24"/>
          </w:rPr>
          <m:t>)</m:t>
        </m:r>
      </m:oMath>
      <w:r>
        <w:rPr>
          <w:rFonts w:hint="eastAsia" w:ascii="宋体" w:hAnsi="宋体" w:eastAsia="宋体" w:cs="宋体"/>
          <w:color w:val="auto"/>
          <w:sz w:val="24"/>
          <w:szCs w:val="24"/>
        </w:rPr>
        <w:t>），反映偏好间的动态交互影响：</w:t>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ϕ</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ij</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=0</m:t>
        </m:r>
      </m:oMath>
      <w:r>
        <w:rPr>
          <w:rFonts w:hint="eastAsia" w:ascii="宋体" w:hAnsi="宋体" w:eastAsia="宋体" w:cs="宋体"/>
          <w:color w:val="auto"/>
          <w:sz w:val="24"/>
          <w:szCs w:val="24"/>
        </w:rPr>
        <w:t>时呈现相长干涉（偏好相互强化），</w:t>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ϕ</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ij</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π</m:t>
        </m:r>
      </m:oMath>
      <w:r>
        <w:rPr>
          <w:rFonts w:hint="eastAsia" w:ascii="宋体" w:hAnsi="宋体" w:eastAsia="宋体" w:cs="宋体"/>
          <w:color w:val="auto"/>
          <w:sz w:val="24"/>
          <w:szCs w:val="24"/>
        </w:rPr>
        <w:t>时呈现相消干涉（偏好相互抑制），</w:t>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ϕ</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ij</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π</m:t>
        </m:r>
        <m:r>
          <m:rPr>
            <m:sty m:val="p"/>
          </m:rPr>
          <w:rPr>
            <w:rFonts w:hint="eastAsia" w:ascii="Cambria Math" w:hAnsi="Cambria Math" w:eastAsia="宋体" w:cs="宋体"/>
            <w:color w:val="auto"/>
            <w:sz w:val="24"/>
            <w:szCs w:val="24"/>
          </w:rPr>
          <m:t>/2</m:t>
        </m:r>
      </m:oMath>
      <w:r>
        <w:rPr>
          <w:rFonts w:hint="eastAsia" w:ascii="宋体" w:hAnsi="宋体" w:eastAsia="宋体" w:cs="宋体"/>
          <w:color w:val="auto"/>
          <w:sz w:val="24"/>
          <w:szCs w:val="24"/>
        </w:rPr>
        <w:t>时退化为经典概率（无明显干涉效应，与传统决策模型结果一致）。</w:t>
      </w:r>
    </w:p>
    <w:p w14:paraId="57FFF7AA">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针对学界关于“物理概念包装”的质疑，核心回应在于量子干涉效应的独特分析价值：传统模糊集理论（Zadeh,1965）虽能描述偏好的模糊性，但难以量化不同偏好间此消彼长的动态关联；而相位差</w:t>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ϕ</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ij</m:t>
            </m:r>
            <m:ctrlPr>
              <w:rPr>
                <w:rFonts w:hint="eastAsia" w:ascii="Cambria Math" w:hAnsi="Cambria Math" w:eastAsia="宋体" w:cs="宋体"/>
                <w:color w:val="auto"/>
                <w:sz w:val="24"/>
                <w:szCs w:val="24"/>
              </w:rPr>
            </m:ctrlPr>
          </m:sub>
        </m:sSub>
      </m:oMath>
      <w:r>
        <w:rPr>
          <w:rFonts w:hint="eastAsia" w:ascii="宋体" w:hAnsi="宋体" w:eastAsia="宋体" w:cs="宋体"/>
          <w:color w:val="auto"/>
          <w:sz w:val="24"/>
          <w:szCs w:val="24"/>
        </w:rPr>
        <w:t>可精准刻画这种互动关系，例如消费者对“性价比”与“品牌力”的偏好权衡，可通过干涉效应量化呈现。</w:t>
      </w:r>
    </w:p>
    <w:p w14:paraId="3DFF2BF6">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该模型并未否定理性内涵，而是将理性从“确定性最大化”拓展为“不确定性下的信念优化”，与有限理性理论（Simon,1955）高度兼容。在消费者品牌选择、投资者资产配置、企业技术路线决策等场景中，偏好叠加态可在外部信息（如产品体验、政策信号、市场反馈）触发下发生坍缩，干涉效应直接影响决策概率，为企业精准制定营销策略、投资者优化风险对冲策略提供新的分析视角。</w:t>
      </w:r>
    </w:p>
    <w:p w14:paraId="5B3DD433">
      <w:pPr>
        <w:keepNext w:val="0"/>
        <w:keepLines w:val="0"/>
        <w:pageBreakBefore w:val="0"/>
        <w:kinsoku/>
        <w:wordWrap/>
        <w:overflowPunct/>
        <w:topLinePunct w:val="0"/>
        <w:autoSpaceDE/>
        <w:autoSpaceDN/>
        <w:bidi w:val="0"/>
        <w:adjustRightInd/>
        <w:snapToGrid/>
        <w:spacing w:after="0" w:line="500" w:lineRule="exact"/>
        <w:ind w:firstLine="482" w:firstLineChars="200"/>
        <w:jc w:val="left"/>
        <w:textAlignment w:val="auto"/>
        <w:outlineLvl w:val="9"/>
        <w:rPr>
          <w:rFonts w:hint="eastAsia" w:ascii="宋体" w:hAnsi="宋体" w:eastAsia="宋体" w:cs="宋体"/>
          <w:color w:val="auto"/>
          <w:sz w:val="24"/>
          <w:szCs w:val="24"/>
        </w:rPr>
      </w:pPr>
      <w:bookmarkStart w:id="9" w:name="bm_2_量子纠缠_要素协同的非线性补充量化路径"/>
      <w:r>
        <w:rPr>
          <w:rFonts w:hint="eastAsia" w:ascii="宋体" w:hAnsi="宋体" w:eastAsia="宋体" w:cs="宋体"/>
          <w:b/>
          <w:color w:val="auto"/>
          <w:sz w:val="24"/>
          <w:szCs w:val="24"/>
        </w:rPr>
        <w:t>（</w:t>
      </w:r>
      <w:r>
        <w:rPr>
          <w:rFonts w:hint="eastAsia" w:ascii="宋体" w:hAnsi="宋体" w:eastAsia="宋体" w:cs="宋体"/>
          <w:b/>
          <w:color w:val="auto"/>
          <w:sz w:val="24"/>
          <w:szCs w:val="24"/>
          <w:lang w:val="en-US" w:eastAsia="zh-CN"/>
        </w:rPr>
        <w:t>二</w:t>
      </w:r>
      <w:r>
        <w:rPr>
          <w:rFonts w:hint="eastAsia" w:ascii="宋体" w:hAnsi="宋体" w:eastAsia="宋体" w:cs="宋体"/>
          <w:b/>
          <w:color w:val="auto"/>
          <w:sz w:val="24"/>
          <w:szCs w:val="24"/>
        </w:rPr>
        <w:t>）量子纠缠：要素协同的非线性补充量化路径</w:t>
      </w:r>
      <w:bookmarkEnd w:id="9"/>
    </w:p>
    <w:p w14:paraId="02628C94">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传统生产理论以柯布-道格拉斯生产函数为代表，假设资本、劳动、技术等要素的贡献线性可分（Cobb&amp;Douglas,1928），将“1+1&gt;2”的协同效应笼统归入“索洛残差”（即全要素生产率中未被传统要素解释的部分），难以精准量化与机制解析。</w:t>
      </w:r>
    </w:p>
    <w:p w14:paraId="2030689A">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量子纠缠“非局域关联、不可分割”的核心内涵，与要素协同的本质高度契合——经济学中虽不存在量子级别的“粒子纠缠”，但存在“无显性中间变量、跨空间/跨部门的高效关联或直接影响”，这类现象的本质是“隐性传导载体（信息、预期、信任、数字网络）的高效传递”，表现为“看似无中介，实则有隐性载体”，与量子非局域性的“关联非局域性”逻辑同构，可为要素协同提供非线性补充量化路径。核心模型及参数解释如下：</w:t>
      </w:r>
    </w:p>
    <w:p w14:paraId="62A89933">
      <w:pPr>
        <w:keepNext w:val="0"/>
        <w:keepLines w:val="0"/>
        <w:pageBreakBefore w:val="0"/>
        <w:kinsoku/>
        <w:wordWrap/>
        <w:overflowPunct/>
        <w:topLinePunct w:val="0"/>
        <w:autoSpaceDE/>
        <w:autoSpaceDN/>
        <w:bidi w:val="0"/>
        <w:adjustRightInd/>
        <w:snapToGrid/>
        <w:spacing w:after="0" w:line="500" w:lineRule="exact"/>
        <w:ind w:left="698" w:leftChars="218" w:hanging="240" w:hangingChars="1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要素纠缠态波函数：</w:t>
      </w:r>
    </w:p>
    <w:p w14:paraId="4BFCAE60">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m:oMathPara>
        <m:oMath>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K</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A</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L</m:t>
          </m:r>
          <m:r>
            <m:rPr>
              <m:sty m:val="p"/>
            </m:rPr>
            <w:rPr>
              <w:rFonts w:hint="eastAsia" w:ascii="Cambria Math" w:hAnsi="Cambria Math" w:eastAsia="宋体" w:cs="宋体"/>
              <w:color w:val="auto"/>
              <w:sz w:val="24"/>
              <w:szCs w:val="24"/>
            </w:rPr>
            <m:t>⟩=</m:t>
          </m:r>
          <m:nary>
            <m:naryPr>
              <m:chr m:val="∑"/>
              <m:grow m:val="1"/>
              <m:limLoc m:val="undOvr"/>
              <m:ctrlPr>
                <w:rPr>
                  <w:rFonts w:hint="eastAsia" w:ascii="Cambria Math" w:hAnsi="Cambria Math" w:eastAsia="宋体" w:cs="宋体"/>
                  <w:color w:val="auto"/>
                  <w:sz w:val="24"/>
                  <w:szCs w:val="24"/>
                </w:rPr>
              </m:ctrlPr>
            </m:naryPr>
            <m:sub>
              <m:r>
                <m:rPr/>
                <w:rPr>
                  <w:rFonts w:hint="eastAsia" w:ascii="Cambria Math" w:hAnsi="Cambria Math" w:eastAsia="宋体" w:cs="宋体"/>
                  <w:color w:val="auto"/>
                  <w:sz w:val="24"/>
                  <w:szCs w:val="24"/>
                </w:rPr>
                <m:t>i</m:t>
              </m:r>
              <m:r>
                <m:rPr>
                  <m:sty m:val="p"/>
                </m:rPr>
                <w:rPr>
                  <w:rFonts w:hint="eastAsia" w:ascii="Cambria Math" w:hAnsi="Cambria Math" w:eastAsia="宋体" w:cs="宋体"/>
                  <w:color w:val="auto"/>
                  <w:sz w:val="24"/>
                  <w:szCs w:val="24"/>
                </w:rPr>
                <m:t>=1</m:t>
              </m:r>
              <m:ctrlPr>
                <w:rPr>
                  <w:rFonts w:hint="eastAsia" w:ascii="Cambria Math" w:hAnsi="Cambria Math" w:eastAsia="宋体" w:cs="宋体"/>
                  <w:color w:val="auto"/>
                  <w:sz w:val="24"/>
                  <w:szCs w:val="24"/>
                </w:rPr>
              </m:ctrlPr>
            </m:sub>
            <m:sup>
              <m:r>
                <m:rPr/>
                <w:rPr>
                  <w:rFonts w:hint="eastAsia" w:ascii="Cambria Math" w:hAnsi="Cambria Math" w:eastAsia="宋体" w:cs="宋体"/>
                  <w:color w:val="auto"/>
                  <w:sz w:val="24"/>
                  <w:szCs w:val="24"/>
                </w:rPr>
                <m:t>n</m:t>
              </m:r>
              <m:ctrlPr>
                <w:rPr>
                  <w:rFonts w:hint="eastAsia" w:ascii="Cambria Math" w:hAnsi="Cambria Math" w:eastAsia="宋体" w:cs="宋体"/>
                  <w:color w:val="auto"/>
                  <w:sz w:val="24"/>
                  <w:szCs w:val="24"/>
                </w:rPr>
              </m:ctrlPr>
            </m:sup>
            <m:e>
              <m:r>
                <m:rPr>
                  <m:sty m:val="p"/>
                </m:rPr>
                <w:rPr>
                  <w:rFonts w:hint="eastAsia" w:ascii="Cambria Math" w:hAnsi="Cambria Math" w:eastAsia="宋体" w:cs="宋体"/>
                  <w:color w:val="auto"/>
                  <w:sz w:val="24"/>
                  <w:szCs w:val="24"/>
                </w:rPr>
                <m:t> </m:t>
              </m:r>
              <m:ctrlPr>
                <w:rPr>
                  <w:rFonts w:hint="eastAsia" w:ascii="Cambria Math" w:hAnsi="Cambria Math" w:eastAsia="宋体" w:cs="宋体"/>
                  <w:color w:val="auto"/>
                  <w:sz w:val="24"/>
                  <w:szCs w:val="24"/>
                </w:rPr>
              </m:ctrlPr>
            </m:e>
          </m:nary>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λ</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K</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A</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L</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oMath>
      </m:oMathPara>
      <w:r>
        <w:rPr>
          <w:rFonts w:hint="eastAsia" w:ascii="宋体" w:hAnsi="宋体" w:eastAsia="宋体" w:cs="宋体"/>
          <w:color w:val="auto"/>
          <w:sz w:val="24"/>
          <w:szCs w:val="24"/>
        </w:rPr>
        <w:br w:type="textWrapping"/>
      </w:r>
      <m:oMath>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K</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A</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L</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oMath>
      <w:r>
        <w:rPr>
          <w:rFonts w:hint="eastAsia" w:ascii="宋体" w:hAnsi="宋体" w:eastAsia="宋体" w:cs="宋体"/>
          <w:color w:val="auto"/>
          <w:sz w:val="24"/>
          <w:szCs w:val="24"/>
        </w:rPr>
        <w:t>：第</w:t>
      </w:r>
      <m:oMath>
        <m:r>
          <m:rPr/>
          <w:rPr>
            <w:rFonts w:hint="eastAsia" w:ascii="Cambria Math" w:hAnsi="Cambria Math" w:eastAsia="宋体" w:cs="宋体"/>
            <w:color w:val="auto"/>
            <w:sz w:val="24"/>
            <w:szCs w:val="24"/>
          </w:rPr>
          <m:t>i</m:t>
        </m:r>
      </m:oMath>
      <w:r>
        <w:rPr>
          <w:rFonts w:hint="eastAsia" w:ascii="宋体" w:hAnsi="宋体" w:eastAsia="宋体" w:cs="宋体"/>
          <w:color w:val="auto"/>
          <w:sz w:val="24"/>
          <w:szCs w:val="24"/>
        </w:rPr>
        <w:t>种配置模式下资本、技术、劳动的单要素态（正交归一），表征单一要素的具体配置状态；</w:t>
      </w:r>
      <m:oMath>
        <m:r>
          <m:rPr>
            <m:sty m:val="p"/>
          </m:rPr>
          <w:rPr>
            <w:rFonts w:hint="eastAsia" w:ascii="Cambria Math" w:hAnsi="Cambria Math" w:eastAsia="宋体" w:cs="宋体"/>
            <w:color w:val="auto"/>
            <w:sz w:val="24"/>
            <w:szCs w:val="24"/>
          </w:rPr>
          <m:t>⊗</m:t>
        </m:r>
      </m:oMath>
      <w:r>
        <w:rPr>
          <w:rFonts w:hint="eastAsia" w:ascii="宋体" w:hAnsi="宋体" w:eastAsia="宋体" w:cs="宋体"/>
          <w:color w:val="auto"/>
          <w:sz w:val="24"/>
          <w:szCs w:val="24"/>
        </w:rPr>
        <w:t>：量子直积符号，表征要素间不可分割的协同关联（区别于传统线性叠加关系，突出协同效应的整体性）；</w:t>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λ</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oMath>
      <w:r>
        <w:rPr>
          <w:rFonts w:hint="eastAsia" w:ascii="宋体" w:hAnsi="宋体" w:eastAsia="宋体" w:cs="宋体"/>
          <w:color w:val="auto"/>
          <w:sz w:val="24"/>
          <w:szCs w:val="24"/>
        </w:rPr>
        <w:t>：纠缠系数（复数），反映第</w:t>
      </w:r>
      <m:oMath>
        <m:r>
          <m:rPr/>
          <w:rPr>
            <w:rFonts w:hint="eastAsia" w:ascii="Cambria Math" w:hAnsi="Cambria Math" w:eastAsia="宋体" w:cs="宋体"/>
            <w:color w:val="auto"/>
            <w:sz w:val="24"/>
            <w:szCs w:val="24"/>
          </w:rPr>
          <m:t>i</m:t>
        </m:r>
      </m:oMath>
      <w:r>
        <w:rPr>
          <w:rFonts w:hint="eastAsia" w:ascii="宋体" w:hAnsi="宋体" w:eastAsia="宋体" w:cs="宋体"/>
          <w:color w:val="auto"/>
          <w:sz w:val="24"/>
          <w:szCs w:val="24"/>
        </w:rPr>
        <w:t>种配置模式的协同权重与关联强度，满足归一化条件</w:t>
      </w:r>
      <m:oMath>
        <m:nary>
          <m:naryPr>
            <m:chr m:val="∑"/>
            <m:grow m:val="1"/>
            <m:limLoc m:val="undOvr"/>
            <m:ctrlPr>
              <w:rPr>
                <w:rFonts w:hint="eastAsia" w:ascii="Cambria Math" w:hAnsi="Cambria Math" w:eastAsia="宋体" w:cs="宋体"/>
                <w:color w:val="auto"/>
                <w:sz w:val="24"/>
                <w:szCs w:val="24"/>
              </w:rPr>
            </m:ctrlPr>
          </m:naryPr>
          <m:sub>
            <m:r>
              <m:rPr/>
              <w:rPr>
                <w:rFonts w:hint="eastAsia" w:ascii="Cambria Math" w:hAnsi="Cambria Math" w:eastAsia="宋体" w:cs="宋体"/>
                <w:color w:val="auto"/>
                <w:sz w:val="24"/>
                <w:szCs w:val="24"/>
              </w:rPr>
              <m:t>i</m:t>
            </m:r>
            <m:r>
              <m:rPr>
                <m:sty m:val="p"/>
              </m:rPr>
              <w:rPr>
                <w:rFonts w:hint="eastAsia" w:ascii="Cambria Math" w:hAnsi="Cambria Math" w:eastAsia="宋体" w:cs="宋体"/>
                <w:color w:val="auto"/>
                <w:sz w:val="24"/>
                <w:szCs w:val="24"/>
              </w:rPr>
              <m:t>=1</m:t>
            </m:r>
            <m:ctrlPr>
              <w:rPr>
                <w:rFonts w:hint="eastAsia" w:ascii="Cambria Math" w:hAnsi="Cambria Math" w:eastAsia="宋体" w:cs="宋体"/>
                <w:color w:val="auto"/>
                <w:sz w:val="24"/>
                <w:szCs w:val="24"/>
              </w:rPr>
            </m:ctrlPr>
          </m:sub>
          <m:sup>
            <m:r>
              <m:rPr/>
              <w:rPr>
                <w:rFonts w:hint="eastAsia" w:ascii="Cambria Math" w:hAnsi="Cambria Math" w:eastAsia="宋体" w:cs="宋体"/>
                <w:color w:val="auto"/>
                <w:sz w:val="24"/>
                <w:szCs w:val="24"/>
              </w:rPr>
              <m:t>n</m:t>
            </m:r>
            <m:ctrlPr>
              <w:rPr>
                <w:rFonts w:hint="eastAsia" w:ascii="Cambria Math" w:hAnsi="Cambria Math" w:eastAsia="宋体" w:cs="宋体"/>
                <w:color w:val="auto"/>
                <w:sz w:val="24"/>
                <w:szCs w:val="24"/>
              </w:rPr>
            </m:ctrlPr>
          </m:sup>
          <m:e>
            <m:r>
              <m:rPr>
                <m:sty m:val="p"/>
              </m:rPr>
              <w:rPr>
                <w:rFonts w:hint="eastAsia" w:ascii="Cambria Math" w:hAnsi="Cambria Math" w:eastAsia="宋体" w:cs="宋体"/>
                <w:color w:val="auto"/>
                <w:sz w:val="24"/>
                <w:szCs w:val="24"/>
              </w:rPr>
              <m:t> </m:t>
            </m:r>
            <m:ctrlPr>
              <w:rPr>
                <w:rFonts w:hint="eastAsia" w:ascii="Cambria Math" w:hAnsi="Cambria Math" w:eastAsia="宋体" w:cs="宋体"/>
                <w:color w:val="auto"/>
                <w:sz w:val="24"/>
                <w:szCs w:val="24"/>
              </w:rPr>
            </m:ctrlPr>
          </m:e>
        </m:nary>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λ</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sSup>
          <m:sSupPr>
            <m:ctrlPr>
              <w:rPr>
                <w:rFonts w:hint="eastAsia" w:ascii="Cambria Math" w:hAnsi="Cambria Math" w:eastAsia="宋体" w:cs="宋体"/>
                <w:color w:val="auto"/>
                <w:sz w:val="24"/>
                <w:szCs w:val="24"/>
              </w:rPr>
            </m:ctrlPr>
          </m:sSupPr>
          <m:e>
            <m:r>
              <m:rPr>
                <m:sty m:val="p"/>
              </m:rPr>
              <w:rPr>
                <w:rFonts w:hint="eastAsia" w:ascii="Cambria Math" w:hAnsi="Cambria Math" w:eastAsia="宋体" w:cs="宋体"/>
                <w:color w:val="auto"/>
                <w:sz w:val="24"/>
                <w:szCs w:val="24"/>
              </w:rPr>
              <m:t>|</m:t>
            </m:r>
            <m:ctrlPr>
              <w:rPr>
                <w:rFonts w:hint="eastAsia" w:ascii="Cambria Math" w:hAnsi="Cambria Math" w:eastAsia="宋体" w:cs="宋体"/>
                <w:color w:val="auto"/>
                <w:sz w:val="24"/>
                <w:szCs w:val="24"/>
              </w:rPr>
            </m:ctrlPr>
          </m:e>
          <m:sup>
            <m:r>
              <m:rPr>
                <m:sty m:val="p"/>
              </m:rPr>
              <w:rPr>
                <w:rFonts w:hint="eastAsia" w:ascii="Cambria Math" w:hAnsi="Cambria Math" w:eastAsia="宋体" w:cs="宋体"/>
                <w:color w:val="auto"/>
                <w:sz w:val="24"/>
                <w:szCs w:val="24"/>
              </w:rPr>
              <m:t>2</m:t>
            </m:r>
            <m:ctrlPr>
              <w:rPr>
                <w:rFonts w:hint="eastAsia" w:ascii="Cambria Math" w:hAnsi="Cambria Math" w:eastAsia="宋体" w:cs="宋体"/>
                <w:color w:val="auto"/>
                <w:sz w:val="24"/>
                <w:szCs w:val="24"/>
              </w:rPr>
            </m:ctrlPr>
          </m:sup>
        </m:sSup>
        <m:r>
          <m:rPr>
            <m:sty m:val="p"/>
          </m:rPr>
          <w:rPr>
            <w:rFonts w:hint="eastAsia" w:ascii="Cambria Math" w:hAnsi="Cambria Math" w:eastAsia="宋体" w:cs="宋体"/>
            <w:color w:val="auto"/>
            <w:sz w:val="24"/>
            <w:szCs w:val="24"/>
          </w:rPr>
          <m:t>=1</m:t>
        </m:r>
      </m:oMath>
      <w:r>
        <w:rPr>
          <w:rFonts w:hint="eastAsia" w:ascii="宋体" w:hAnsi="宋体" w:eastAsia="宋体" w:cs="宋体"/>
          <w:color w:val="auto"/>
          <w:sz w:val="24"/>
          <w:szCs w:val="24"/>
        </w:rPr>
        <w:t>，</w:t>
      </w:r>
      <m:oMath>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λ</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sSup>
          <m:sSupPr>
            <m:ctrlPr>
              <w:rPr>
                <w:rFonts w:hint="eastAsia" w:ascii="Cambria Math" w:hAnsi="Cambria Math" w:eastAsia="宋体" w:cs="宋体"/>
                <w:color w:val="auto"/>
                <w:sz w:val="24"/>
                <w:szCs w:val="24"/>
              </w:rPr>
            </m:ctrlPr>
          </m:sSupPr>
          <m:e>
            <m:r>
              <m:rPr>
                <m:sty m:val="p"/>
              </m:rPr>
              <w:rPr>
                <w:rFonts w:hint="eastAsia" w:ascii="Cambria Math" w:hAnsi="Cambria Math" w:eastAsia="宋体" w:cs="宋体"/>
                <w:color w:val="auto"/>
                <w:sz w:val="24"/>
                <w:szCs w:val="24"/>
              </w:rPr>
              <m:t>|</m:t>
            </m:r>
            <m:ctrlPr>
              <w:rPr>
                <w:rFonts w:hint="eastAsia" w:ascii="Cambria Math" w:hAnsi="Cambria Math" w:eastAsia="宋体" w:cs="宋体"/>
                <w:color w:val="auto"/>
                <w:sz w:val="24"/>
                <w:szCs w:val="24"/>
              </w:rPr>
            </m:ctrlPr>
          </m:e>
          <m:sup>
            <m:r>
              <m:rPr>
                <m:sty m:val="p"/>
              </m:rPr>
              <w:rPr>
                <w:rFonts w:hint="eastAsia" w:ascii="Cambria Math" w:hAnsi="Cambria Math" w:eastAsia="宋体" w:cs="宋体"/>
                <w:color w:val="auto"/>
                <w:sz w:val="24"/>
                <w:szCs w:val="24"/>
              </w:rPr>
              <m:t>2</m:t>
            </m:r>
            <m:ctrlPr>
              <w:rPr>
                <w:rFonts w:hint="eastAsia" w:ascii="Cambria Math" w:hAnsi="Cambria Math" w:eastAsia="宋体" w:cs="宋体"/>
                <w:color w:val="auto"/>
                <w:sz w:val="24"/>
                <w:szCs w:val="24"/>
              </w:rPr>
            </m:ctrlPr>
          </m:sup>
        </m:sSup>
      </m:oMath>
      <w:r>
        <w:rPr>
          <w:rFonts w:hint="eastAsia" w:ascii="宋体" w:hAnsi="宋体" w:eastAsia="宋体" w:cs="宋体"/>
          <w:color w:val="auto"/>
          <w:sz w:val="24"/>
          <w:szCs w:val="24"/>
        </w:rPr>
        <w:t>越大，对应配置模式的协同效应越显著。</w:t>
      </w:r>
    </w:p>
    <w:p w14:paraId="41E85012">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量子生产函数（兼顾经典贡献与协同效应）：</w:t>
      </w:r>
    </w:p>
    <w:p w14:paraId="25518247">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m:oMathPara>
        <m:oMath>
          <m:r>
            <m:rPr/>
            <w:rPr>
              <w:rFonts w:hint="eastAsia" w:ascii="Cambria Math" w:hAnsi="Cambria Math" w:eastAsia="宋体" w:cs="宋体"/>
              <w:color w:val="auto"/>
              <w:sz w:val="24"/>
              <w:szCs w:val="24"/>
            </w:rPr>
            <m:t>Y</m:t>
          </m:r>
          <m:r>
            <m:rPr>
              <m:sty m:val="p"/>
            </m:rPr>
            <w:rPr>
              <w:rFonts w:hint="eastAsia" w:ascii="Cambria Math" w:hAnsi="Cambria Math" w:eastAsia="宋体" w:cs="宋体"/>
              <w:color w:val="auto"/>
              <w:sz w:val="24"/>
              <w:szCs w:val="24"/>
            </w:rPr>
            <m:t>=</m:t>
          </m:r>
          <m:r>
            <m:rPr>
              <m:nor/>
              <m:sty m:val="p"/>
            </m:rPr>
            <w:rPr>
              <w:rFonts w:hint="eastAsia" w:ascii="Cambria Math" w:hAnsi="Cambria Math" w:eastAsia="宋体" w:cs="宋体"/>
              <w:color w:val="auto"/>
              <w:sz w:val="24"/>
              <w:szCs w:val="24"/>
            </w:rPr>
            <m:t>Re</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K</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A</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L</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Y</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K</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A</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L</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K</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A</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L</m:t>
          </m:r>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Y</m:t>
              </m:r>
              <m:ctrlPr>
                <w:rPr>
                  <w:rFonts w:hint="eastAsia" w:ascii="Cambria Math" w:hAnsi="Cambria Math" w:eastAsia="宋体" w:cs="宋体"/>
                  <w:color w:val="auto"/>
                  <w:sz w:val="24"/>
                  <w:szCs w:val="24"/>
                </w:rPr>
              </m:ctrlPr>
            </m:e>
            <m:sub>
              <m:r>
                <m:rPr>
                  <m:nor/>
                  <m:sty m:val="p"/>
                </m:rPr>
                <w:rPr>
                  <w:rFonts w:hint="eastAsia" w:ascii="Cambria Math" w:hAnsi="Cambria Math" w:eastAsia="宋体" w:cs="宋体"/>
                  <w:b w:val="0"/>
                  <w:i w:val="0"/>
                  <w:color w:val="auto"/>
                  <w:sz w:val="24"/>
                  <w:szCs w:val="24"/>
                </w:rPr>
                <m:t>classical</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Y</m:t>
              </m:r>
              <m:ctrlPr>
                <w:rPr>
                  <w:rFonts w:hint="eastAsia" w:ascii="Cambria Math" w:hAnsi="Cambria Math" w:eastAsia="宋体" w:cs="宋体"/>
                  <w:color w:val="auto"/>
                  <w:sz w:val="24"/>
                  <w:szCs w:val="24"/>
                </w:rPr>
              </m:ctrlPr>
            </m:e>
            <m:sub>
              <m:r>
                <m:rPr>
                  <m:nor/>
                  <m:sty m:val="p"/>
                </m:rPr>
                <w:rPr>
                  <w:rFonts w:hint="eastAsia" w:ascii="Cambria Math" w:hAnsi="Cambria Math" w:eastAsia="宋体" w:cs="宋体"/>
                  <w:b w:val="0"/>
                  <w:i w:val="0"/>
                  <w:color w:val="auto"/>
                  <w:sz w:val="24"/>
                  <w:szCs w:val="24"/>
                </w:rPr>
                <m:t>quantum</m:t>
              </m:r>
              <m:ctrlPr>
                <w:rPr>
                  <w:rFonts w:hint="eastAsia" w:ascii="Cambria Math" w:hAnsi="Cambria Math" w:eastAsia="宋体" w:cs="宋体"/>
                  <w:color w:val="auto"/>
                  <w:sz w:val="24"/>
                  <w:szCs w:val="24"/>
                </w:rPr>
              </m:ctrlPr>
            </m:sub>
          </m:sSub>
        </m:oMath>
      </m:oMathPara>
    </w:p>
    <w:p w14:paraId="3AE1C3D9">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Y</m:t>
            </m:r>
            <m:ctrlPr>
              <w:rPr>
                <w:rFonts w:hint="eastAsia" w:ascii="Cambria Math" w:hAnsi="Cambria Math" w:eastAsia="宋体" w:cs="宋体"/>
                <w:color w:val="auto"/>
                <w:sz w:val="24"/>
                <w:szCs w:val="24"/>
              </w:rPr>
            </m:ctrlPr>
          </m:e>
          <m:sub>
            <m:r>
              <m:rPr>
                <m:nor/>
                <m:sty m:val="p"/>
              </m:rPr>
              <w:rPr>
                <w:rFonts w:hint="eastAsia" w:ascii="Cambria Math" w:hAnsi="Cambria Math" w:eastAsia="宋体" w:cs="宋体"/>
                <w:b w:val="0"/>
                <w:i w:val="0"/>
                <w:color w:val="auto"/>
                <w:sz w:val="24"/>
                <w:szCs w:val="24"/>
              </w:rPr>
              <m:t>classical</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A</m:t>
        </m:r>
        <m:sSup>
          <m:sSupPr>
            <m:ctrlPr>
              <w:rPr>
                <w:rFonts w:hint="eastAsia" w:ascii="Cambria Math" w:hAnsi="Cambria Math" w:eastAsia="宋体" w:cs="宋体"/>
                <w:color w:val="auto"/>
                <w:sz w:val="24"/>
                <w:szCs w:val="24"/>
              </w:rPr>
            </m:ctrlPr>
          </m:sSupPr>
          <m:e>
            <m:r>
              <m:rPr/>
              <w:rPr>
                <w:rFonts w:hint="eastAsia" w:ascii="Cambria Math" w:hAnsi="Cambria Math" w:eastAsia="宋体" w:cs="宋体"/>
                <w:color w:val="auto"/>
                <w:sz w:val="24"/>
                <w:szCs w:val="24"/>
              </w:rPr>
              <m:t>K</m:t>
            </m:r>
            <m:ctrlPr>
              <w:rPr>
                <w:rFonts w:hint="eastAsia" w:ascii="Cambria Math" w:hAnsi="Cambria Math" w:eastAsia="宋体" w:cs="宋体"/>
                <w:color w:val="auto"/>
                <w:sz w:val="24"/>
                <w:szCs w:val="24"/>
              </w:rPr>
            </m:ctrlPr>
          </m:e>
          <m:sup>
            <m:r>
              <m:rPr/>
              <w:rPr>
                <w:rFonts w:hint="eastAsia" w:ascii="Cambria Math" w:hAnsi="Cambria Math" w:eastAsia="宋体" w:cs="宋体"/>
                <w:color w:val="auto"/>
                <w:sz w:val="24"/>
                <w:szCs w:val="24"/>
              </w:rPr>
              <m:t>α</m:t>
            </m:r>
            <m:ctrlPr>
              <w:rPr>
                <w:rFonts w:hint="eastAsia" w:ascii="Cambria Math" w:hAnsi="Cambria Math" w:eastAsia="宋体" w:cs="宋体"/>
                <w:color w:val="auto"/>
                <w:sz w:val="24"/>
                <w:szCs w:val="24"/>
              </w:rPr>
            </m:ctrlPr>
          </m:sup>
        </m:sSup>
        <m:sSup>
          <m:sSupPr>
            <m:ctrlPr>
              <w:rPr>
                <w:rFonts w:hint="eastAsia" w:ascii="Cambria Math" w:hAnsi="Cambria Math" w:eastAsia="宋体" w:cs="宋体"/>
                <w:color w:val="auto"/>
                <w:sz w:val="24"/>
                <w:szCs w:val="24"/>
              </w:rPr>
            </m:ctrlPr>
          </m:sSupPr>
          <m:e>
            <m:r>
              <m:rPr/>
              <w:rPr>
                <w:rFonts w:hint="eastAsia" w:ascii="Cambria Math" w:hAnsi="Cambria Math" w:eastAsia="宋体" w:cs="宋体"/>
                <w:color w:val="auto"/>
                <w:sz w:val="24"/>
                <w:szCs w:val="24"/>
              </w:rPr>
              <m:t>L</m:t>
            </m:r>
            <m:ctrlPr>
              <w:rPr>
                <w:rFonts w:hint="eastAsia" w:ascii="Cambria Math" w:hAnsi="Cambria Math" w:eastAsia="宋体" w:cs="宋体"/>
                <w:color w:val="auto"/>
                <w:sz w:val="24"/>
                <w:szCs w:val="24"/>
              </w:rPr>
            </m:ctrlPr>
          </m:e>
          <m:sup>
            <m:r>
              <m:rPr/>
              <w:rPr>
                <w:rFonts w:hint="eastAsia" w:ascii="Cambria Math" w:hAnsi="Cambria Math" w:eastAsia="宋体" w:cs="宋体"/>
                <w:color w:val="auto"/>
                <w:sz w:val="24"/>
                <w:szCs w:val="24"/>
              </w:rPr>
              <m:t>β</m:t>
            </m:r>
            <m:ctrlPr>
              <w:rPr>
                <w:rFonts w:hint="eastAsia" w:ascii="Cambria Math" w:hAnsi="Cambria Math" w:eastAsia="宋体" w:cs="宋体"/>
                <w:color w:val="auto"/>
                <w:sz w:val="24"/>
                <w:szCs w:val="24"/>
              </w:rPr>
            </m:ctrlPr>
          </m:sup>
        </m:sSup>
      </m:oMath>
      <w:r>
        <w:rPr>
          <w:rFonts w:hint="eastAsia" w:ascii="宋体" w:hAnsi="宋体" w:eastAsia="宋体" w:cs="宋体"/>
          <w:color w:val="auto"/>
          <w:sz w:val="24"/>
          <w:szCs w:val="24"/>
        </w:rPr>
        <w:t>：经典项，表征要素独立贡献（与柯布-道格拉斯生产函数形式一致，</w:t>
      </w:r>
      <m:oMath>
        <m:r>
          <m:rPr/>
          <w:rPr>
            <w:rFonts w:hint="eastAsia" w:ascii="Cambria Math" w:hAnsi="Cambria Math" w:eastAsia="宋体" w:cs="宋体"/>
            <w:color w:val="auto"/>
            <w:sz w:val="24"/>
            <w:szCs w:val="24"/>
          </w:rPr>
          <m:t>A</m:t>
        </m:r>
      </m:oMath>
      <w:r>
        <w:rPr>
          <w:rFonts w:hint="eastAsia" w:ascii="宋体" w:hAnsi="宋体" w:eastAsia="宋体" w:cs="宋体"/>
          <w:color w:val="auto"/>
          <w:sz w:val="24"/>
          <w:szCs w:val="24"/>
        </w:rPr>
        <w:t>为全要素生产率，</w:t>
      </w:r>
      <m:oMath>
        <m:r>
          <m:rPr/>
          <w:rPr>
            <w:rFonts w:hint="eastAsia" w:ascii="Cambria Math" w:hAnsi="Cambria Math" w:eastAsia="宋体" w:cs="宋体"/>
            <w:color w:val="auto"/>
            <w:sz w:val="24"/>
            <w:szCs w:val="24"/>
          </w:rPr>
          <m:t>α</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β</m:t>
        </m:r>
      </m:oMath>
      <w:r>
        <w:rPr>
          <w:rFonts w:hint="eastAsia" w:ascii="宋体" w:hAnsi="宋体" w:eastAsia="宋体" w:cs="宋体"/>
          <w:color w:val="auto"/>
          <w:sz w:val="24"/>
          <w:szCs w:val="24"/>
        </w:rPr>
        <w:t>为要素产出弹性），确保理论兼容性；</w:t>
      </w:r>
      <w:r>
        <w:rPr>
          <w:rFonts w:hint="eastAsia" w:ascii="宋体" w:hAnsi="宋体" w:eastAsia="宋体" w:cs="宋体"/>
          <w:color w:val="auto"/>
          <w:sz w:val="24"/>
          <w:szCs w:val="24"/>
        </w:rPr>
        <w:br w:type="textWrapping"/>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Y</m:t>
            </m:r>
            <m:ctrlPr>
              <w:rPr>
                <w:rFonts w:hint="eastAsia" w:ascii="Cambria Math" w:hAnsi="Cambria Math" w:eastAsia="宋体" w:cs="宋体"/>
                <w:color w:val="auto"/>
                <w:sz w:val="24"/>
                <w:szCs w:val="24"/>
              </w:rPr>
            </m:ctrlPr>
          </m:e>
          <m:sub>
            <m:r>
              <m:rPr>
                <m:nor/>
                <m:sty m:val="p"/>
              </m:rPr>
              <w:rPr>
                <w:rFonts w:hint="eastAsia" w:ascii="Cambria Math" w:hAnsi="Cambria Math" w:eastAsia="宋体" w:cs="宋体"/>
                <w:b w:val="0"/>
                <w:i w:val="0"/>
                <w:color w:val="auto"/>
                <w:sz w:val="24"/>
                <w:szCs w:val="24"/>
              </w:rPr>
              <m:t>quantum</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r>
          <m:rPr>
            <m:nor/>
            <m:sty m:val="p"/>
          </m:rPr>
          <w:rPr>
            <w:rFonts w:hint="eastAsia" w:ascii="Cambria Math" w:hAnsi="Cambria Math" w:eastAsia="宋体" w:cs="宋体"/>
            <w:color w:val="auto"/>
            <w:sz w:val="24"/>
            <w:szCs w:val="24"/>
          </w:rPr>
          <m:t>Re</m:t>
        </m:r>
        <m:d>
          <m:dPr>
            <m:ctrlPr>
              <w:rPr>
                <w:rFonts w:hint="eastAsia" w:ascii="Cambria Math" w:hAnsi="Cambria Math" w:eastAsia="宋体" w:cs="宋体"/>
                <w:color w:val="auto"/>
                <w:sz w:val="24"/>
                <w:szCs w:val="24"/>
              </w:rPr>
            </m:ctrlPr>
          </m:dPr>
          <m:e>
            <m:nary>
              <m:naryPr>
                <m:chr m:val="∑"/>
                <m:grow m:val="1"/>
                <m:limLoc m:val="undOvr"/>
                <m:supHide m:val="1"/>
                <m:ctrlPr>
                  <w:rPr>
                    <w:rFonts w:hint="eastAsia" w:ascii="Cambria Math" w:hAnsi="Cambria Math" w:eastAsia="宋体" w:cs="宋体"/>
                    <w:color w:val="auto"/>
                    <w:sz w:val="24"/>
                    <w:szCs w:val="24"/>
                  </w:rPr>
                </m:ctrlPr>
              </m:naryPr>
              <m:sub>
                <m:r>
                  <m:rPr/>
                  <w:rPr>
                    <w:rFonts w:hint="eastAsia" w:ascii="Cambria Math" w:hAnsi="Cambria Math" w:eastAsia="宋体" w:cs="宋体"/>
                    <w:color w:val="auto"/>
                    <w:sz w:val="24"/>
                    <w:szCs w:val="24"/>
                  </w:rPr>
                  <m:t>i</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j</m:t>
                </m:r>
                <m:ctrlPr>
                  <w:rPr>
                    <w:rFonts w:hint="eastAsia" w:ascii="Cambria Math" w:hAnsi="Cambria Math" w:eastAsia="宋体" w:cs="宋体"/>
                    <w:color w:val="auto"/>
                    <w:sz w:val="24"/>
                    <w:szCs w:val="24"/>
                  </w:rPr>
                </m:ctrlPr>
              </m:sub>
              <m:sup>
                <m:ctrlPr>
                  <w:rPr>
                    <w:rFonts w:hint="eastAsia" w:ascii="Cambria Math" w:hAnsi="Cambria Math" w:eastAsia="宋体" w:cs="宋体"/>
                    <w:color w:val="auto"/>
                    <w:sz w:val="24"/>
                    <w:szCs w:val="24"/>
                  </w:rPr>
                </m:ctrlPr>
              </m:sup>
              <m:e>
                <m:r>
                  <m:rPr>
                    <m:sty m:val="p"/>
                  </m:rPr>
                  <w:rPr>
                    <w:rFonts w:hint="eastAsia" w:ascii="Cambria Math" w:hAnsi="Cambria Math" w:eastAsia="宋体" w:cs="宋体"/>
                    <w:color w:val="auto"/>
                    <w:sz w:val="24"/>
                    <w:szCs w:val="24"/>
                  </w:rPr>
                  <m:t> </m:t>
                </m:r>
                <m:ctrlPr>
                  <w:rPr>
                    <w:rFonts w:hint="eastAsia" w:ascii="Cambria Math" w:hAnsi="Cambria Math" w:eastAsia="宋体" w:cs="宋体"/>
                    <w:color w:val="auto"/>
                    <w:sz w:val="24"/>
                    <w:szCs w:val="24"/>
                  </w:rPr>
                </m:ctrlPr>
              </m:e>
            </m:nary>
            <m:r>
              <m:rPr>
                <m:sty m:val="p"/>
              </m:rPr>
              <w:rPr>
                <w:rFonts w:hint="eastAsia" w:ascii="Cambria Math" w:hAnsi="Cambria Math" w:eastAsia="宋体" w:cs="宋体"/>
                <w:color w:val="auto"/>
                <w:sz w:val="24"/>
                <w:szCs w:val="24"/>
              </w:rPr>
              <m:t> </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λ</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sSubSup>
              <m:sSubSupPr>
                <m:ctrlPr>
                  <w:rPr>
                    <w:rFonts w:hint="eastAsia" w:ascii="Cambria Math" w:hAnsi="Cambria Math" w:eastAsia="宋体" w:cs="宋体"/>
                    <w:color w:val="auto"/>
                    <w:sz w:val="24"/>
                    <w:szCs w:val="24"/>
                  </w:rPr>
                </m:ctrlPr>
              </m:sSubSupPr>
              <m:e>
                <m:r>
                  <m:rPr/>
                  <w:rPr>
                    <w:rFonts w:hint="eastAsia" w:ascii="Cambria Math" w:hAnsi="Cambria Math" w:eastAsia="宋体" w:cs="宋体"/>
                    <w:color w:val="auto"/>
                    <w:sz w:val="24"/>
                    <w:szCs w:val="24"/>
                  </w:rPr>
                  <m:t>λ</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j</m:t>
                </m:r>
                <m:ctrlPr>
                  <w:rPr>
                    <w:rFonts w:hint="eastAsia" w:ascii="Cambria Math" w:hAnsi="Cambria Math" w:eastAsia="宋体" w:cs="宋体"/>
                    <w:color w:val="auto"/>
                    <w:sz w:val="24"/>
                    <w:szCs w:val="24"/>
                  </w:rPr>
                </m:ctrlPr>
              </m:sub>
              <m:sup>
                <m:r>
                  <m:rPr>
                    <m:sty m:val="p"/>
                  </m:rPr>
                  <w:rPr>
                    <w:rFonts w:hint="eastAsia" w:ascii="Cambria Math" w:hAnsi="Cambria Math" w:eastAsia="宋体" w:cs="宋体"/>
                    <w:color w:val="auto"/>
                    <w:sz w:val="24"/>
                    <w:szCs w:val="24"/>
                  </w:rPr>
                  <m:t>∗</m:t>
                </m:r>
                <m:ctrlPr>
                  <w:rPr>
                    <w:rFonts w:hint="eastAsia" w:ascii="Cambria Math" w:hAnsi="Cambria Math" w:eastAsia="宋体" w:cs="宋体"/>
                    <w:color w:val="auto"/>
                    <w:sz w:val="24"/>
                    <w:szCs w:val="24"/>
                  </w:rPr>
                </m:ctrlPr>
              </m:sup>
            </m:sSubSup>
            <m:sSubSup>
              <m:sSubSupPr>
                <m:ctrlPr>
                  <w:rPr>
                    <w:rFonts w:hint="eastAsia" w:ascii="Cambria Math" w:hAnsi="Cambria Math" w:eastAsia="宋体" w:cs="宋体"/>
                    <w:color w:val="auto"/>
                    <w:sz w:val="24"/>
                    <w:szCs w:val="24"/>
                  </w:rPr>
                </m:ctrlPr>
              </m:sSubSupPr>
              <m:e>
                <m:r>
                  <m:rPr/>
                  <w:rPr>
                    <w:rFonts w:hint="eastAsia" w:ascii="Cambria Math" w:hAnsi="Cambria Math" w:eastAsia="宋体" w:cs="宋体"/>
                    <w:color w:val="auto"/>
                    <w:sz w:val="24"/>
                    <w:szCs w:val="24"/>
                  </w:rPr>
                  <m:t>K</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up>
                <m:r>
                  <m:rPr/>
                  <w:rPr>
                    <w:rFonts w:hint="eastAsia" w:ascii="Cambria Math" w:hAnsi="Cambria Math" w:eastAsia="宋体" w:cs="宋体"/>
                    <w:color w:val="auto"/>
                    <w:sz w:val="24"/>
                    <w:szCs w:val="24"/>
                  </w:rPr>
                  <m:t>α</m:t>
                </m:r>
                <m:ctrlPr>
                  <w:rPr>
                    <w:rFonts w:hint="eastAsia" w:ascii="Cambria Math" w:hAnsi="Cambria Math" w:eastAsia="宋体" w:cs="宋体"/>
                    <w:color w:val="auto"/>
                    <w:sz w:val="24"/>
                    <w:szCs w:val="24"/>
                  </w:rPr>
                </m:ctrlPr>
              </m:sup>
            </m:sSubSup>
            <m:sSubSup>
              <m:sSubSupPr>
                <m:ctrlPr>
                  <w:rPr>
                    <w:rFonts w:hint="eastAsia" w:ascii="Cambria Math" w:hAnsi="Cambria Math" w:eastAsia="宋体" w:cs="宋体"/>
                    <w:color w:val="auto"/>
                    <w:sz w:val="24"/>
                    <w:szCs w:val="24"/>
                  </w:rPr>
                </m:ctrlPr>
              </m:sSubSupPr>
              <m:e>
                <m:r>
                  <m:rPr/>
                  <w:rPr>
                    <w:rFonts w:hint="eastAsia" w:ascii="Cambria Math" w:hAnsi="Cambria Math" w:eastAsia="宋体" w:cs="宋体"/>
                    <w:color w:val="auto"/>
                    <w:sz w:val="24"/>
                    <w:szCs w:val="24"/>
                  </w:rPr>
                  <m:t>A</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j</m:t>
                </m:r>
                <m:ctrlPr>
                  <w:rPr>
                    <w:rFonts w:hint="eastAsia" w:ascii="Cambria Math" w:hAnsi="Cambria Math" w:eastAsia="宋体" w:cs="宋体"/>
                    <w:color w:val="auto"/>
                    <w:sz w:val="24"/>
                    <w:szCs w:val="24"/>
                  </w:rPr>
                </m:ctrlPr>
              </m:sub>
              <m:sup>
                <m:r>
                  <m:rPr/>
                  <w:rPr>
                    <w:rFonts w:hint="eastAsia" w:ascii="Cambria Math" w:hAnsi="Cambria Math" w:eastAsia="宋体" w:cs="宋体"/>
                    <w:color w:val="auto"/>
                    <w:sz w:val="24"/>
                    <w:szCs w:val="24"/>
                  </w:rPr>
                  <m:t>γ</m:t>
                </m:r>
                <m:ctrlPr>
                  <w:rPr>
                    <w:rFonts w:hint="eastAsia" w:ascii="Cambria Math" w:hAnsi="Cambria Math" w:eastAsia="宋体" w:cs="宋体"/>
                    <w:color w:val="auto"/>
                    <w:sz w:val="24"/>
                    <w:szCs w:val="24"/>
                  </w:rPr>
                </m:ctrlPr>
              </m:sup>
            </m:sSubSup>
            <m:sSubSup>
              <m:sSubSupPr>
                <m:ctrlPr>
                  <w:rPr>
                    <w:rFonts w:hint="eastAsia" w:ascii="Cambria Math" w:hAnsi="Cambria Math" w:eastAsia="宋体" w:cs="宋体"/>
                    <w:color w:val="auto"/>
                    <w:sz w:val="24"/>
                    <w:szCs w:val="24"/>
                  </w:rPr>
                </m:ctrlPr>
              </m:sSubSupPr>
              <m:e>
                <m:r>
                  <m:rPr/>
                  <w:rPr>
                    <w:rFonts w:hint="eastAsia" w:ascii="Cambria Math" w:hAnsi="Cambria Math" w:eastAsia="宋体" w:cs="宋体"/>
                    <w:color w:val="auto"/>
                    <w:sz w:val="24"/>
                    <w:szCs w:val="24"/>
                  </w:rPr>
                  <m:t>L</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up>
                <m:r>
                  <m:rPr/>
                  <w:rPr>
                    <w:rFonts w:hint="eastAsia" w:ascii="Cambria Math" w:hAnsi="Cambria Math" w:eastAsia="宋体" w:cs="宋体"/>
                    <w:color w:val="auto"/>
                    <w:sz w:val="24"/>
                    <w:szCs w:val="24"/>
                  </w:rPr>
                  <m:t>β</m:t>
                </m:r>
                <m:ctrlPr>
                  <w:rPr>
                    <w:rFonts w:hint="eastAsia" w:ascii="Cambria Math" w:hAnsi="Cambria Math" w:eastAsia="宋体" w:cs="宋体"/>
                    <w:color w:val="auto"/>
                    <w:sz w:val="24"/>
                    <w:szCs w:val="24"/>
                  </w:rPr>
                </m:ctrlPr>
              </m:sup>
            </m:sSubSup>
            <m:sSup>
              <m:sSupPr>
                <m:ctrlPr>
                  <w:rPr>
                    <w:rFonts w:hint="eastAsia" w:ascii="Cambria Math" w:hAnsi="Cambria Math" w:eastAsia="宋体" w:cs="宋体"/>
                    <w:color w:val="auto"/>
                    <w:sz w:val="24"/>
                    <w:szCs w:val="24"/>
                  </w:rPr>
                </m:ctrlPr>
              </m:sSupPr>
              <m:e>
                <m:r>
                  <m:rPr/>
                  <w:rPr>
                    <w:rFonts w:hint="eastAsia" w:ascii="Cambria Math" w:hAnsi="Cambria Math" w:eastAsia="宋体" w:cs="宋体"/>
                    <w:color w:val="auto"/>
                    <w:sz w:val="24"/>
                    <w:szCs w:val="24"/>
                  </w:rPr>
                  <m:t>e</m:t>
                </m:r>
                <m:ctrlPr>
                  <w:rPr>
                    <w:rFonts w:hint="eastAsia" w:ascii="Cambria Math" w:hAnsi="Cambria Math" w:eastAsia="宋体" w:cs="宋体"/>
                    <w:color w:val="auto"/>
                    <w:sz w:val="24"/>
                    <w:szCs w:val="24"/>
                  </w:rPr>
                </m:ctrlPr>
              </m:e>
              <m:sup>
                <m:r>
                  <m:rPr/>
                  <w:rPr>
                    <w:rFonts w:hint="eastAsia" w:ascii="Cambria Math" w:hAnsi="Cambria Math" w:eastAsia="宋体" w:cs="宋体"/>
                    <w:color w:val="auto"/>
                    <w:sz w:val="24"/>
                    <w:szCs w:val="24"/>
                  </w:rPr>
                  <m:t>i</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ϕ</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ij</m:t>
                    </m:r>
                    <m:ctrlPr>
                      <w:rPr>
                        <w:rFonts w:hint="eastAsia" w:ascii="Cambria Math" w:hAnsi="Cambria Math" w:eastAsia="宋体" w:cs="宋体"/>
                        <w:color w:val="auto"/>
                        <w:sz w:val="24"/>
                        <w:szCs w:val="24"/>
                      </w:rPr>
                    </m:ctrlPr>
                  </m:sub>
                </m:sSub>
                <m:ctrlPr>
                  <w:rPr>
                    <w:rFonts w:hint="eastAsia" w:ascii="Cambria Math" w:hAnsi="Cambria Math" w:eastAsia="宋体" w:cs="宋体"/>
                    <w:color w:val="auto"/>
                    <w:sz w:val="24"/>
                    <w:szCs w:val="24"/>
                  </w:rPr>
                </m:ctrlPr>
              </m:sup>
            </m:sSup>
            <m:ctrlPr>
              <w:rPr>
                <w:rFonts w:hint="eastAsia" w:ascii="Cambria Math" w:hAnsi="Cambria Math" w:eastAsia="宋体" w:cs="宋体"/>
                <w:color w:val="auto"/>
                <w:sz w:val="24"/>
                <w:szCs w:val="24"/>
              </w:rPr>
            </m:ctrlPr>
          </m:e>
        </m:d>
      </m:oMath>
      <w:r>
        <w:rPr>
          <w:rFonts w:hint="eastAsia" w:ascii="宋体" w:hAnsi="宋体" w:eastAsia="宋体" w:cs="宋体"/>
          <w:color w:val="auto"/>
          <w:sz w:val="24"/>
          <w:szCs w:val="24"/>
        </w:rPr>
        <w:t>：量子项，表征纠缠协同效应（</w:t>
      </w:r>
      <m:oMath>
        <m:r>
          <m:rPr>
            <m:nor/>
            <m:sty m:val="p"/>
          </m:rPr>
          <w:rPr>
            <w:rFonts w:hint="eastAsia" w:ascii="Cambria Math" w:hAnsi="Cambria Math" w:eastAsia="宋体" w:cs="宋体"/>
            <w:b w:val="0"/>
            <w:i w:val="0"/>
            <w:color w:val="auto"/>
            <w:sz w:val="24"/>
            <w:szCs w:val="24"/>
          </w:rPr>
          <m:t>Re</m:t>
        </m:r>
        <m:r>
          <m:rPr>
            <m:sty m:val="p"/>
          </m:rPr>
          <w:rPr>
            <w:rFonts w:hint="eastAsia" w:ascii="Cambria Math" w:hAnsi="Cambria Math" w:eastAsia="宋体" w:cs="宋体"/>
            <w:color w:val="auto"/>
            <w:sz w:val="24"/>
            <w:szCs w:val="24"/>
          </w:rPr>
          <m:t>[⋅]</m:t>
        </m:r>
      </m:oMath>
      <w:r>
        <w:rPr>
          <w:rFonts w:hint="eastAsia" w:ascii="宋体" w:hAnsi="宋体" w:eastAsia="宋体" w:cs="宋体"/>
          <w:color w:val="auto"/>
          <w:sz w:val="24"/>
          <w:szCs w:val="24"/>
        </w:rPr>
        <w:t>取复数实部，确保产出具有经济可解释性；</w:t>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ϕ</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ij</m:t>
            </m:r>
            <m:ctrlPr>
              <w:rPr>
                <w:rFonts w:hint="eastAsia" w:ascii="Cambria Math" w:hAnsi="Cambria Math" w:eastAsia="宋体" w:cs="宋体"/>
                <w:color w:val="auto"/>
                <w:sz w:val="24"/>
                <w:szCs w:val="24"/>
              </w:rPr>
            </m:ctrlPr>
          </m:sub>
        </m:sSub>
      </m:oMath>
      <w:r>
        <w:rPr>
          <w:rFonts w:hint="eastAsia" w:ascii="宋体" w:hAnsi="宋体" w:eastAsia="宋体" w:cs="宋体"/>
          <w:color w:val="auto"/>
          <w:sz w:val="24"/>
          <w:szCs w:val="24"/>
        </w:rPr>
        <w:t>为不同配置模式间的相位差，反映模式兼容性；</w:t>
      </w:r>
      <m:oMath>
        <m:r>
          <m:rPr/>
          <w:rPr>
            <w:rFonts w:hint="eastAsia" w:ascii="Cambria Math" w:hAnsi="Cambria Math" w:eastAsia="宋体" w:cs="宋体"/>
            <w:color w:val="auto"/>
            <w:sz w:val="24"/>
            <w:szCs w:val="24"/>
          </w:rPr>
          <m:t>γ</m:t>
        </m:r>
      </m:oMath>
      <w:r>
        <w:rPr>
          <w:rFonts w:hint="eastAsia" w:ascii="宋体" w:hAnsi="宋体" w:eastAsia="宋体" w:cs="宋体"/>
          <w:color w:val="auto"/>
          <w:sz w:val="24"/>
          <w:szCs w:val="24"/>
        </w:rPr>
        <w:t>为技术要素的协同弹性）；特殊情形：当</w:t>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λ</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i</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=1</m:t>
        </m:r>
      </m:oMath>
      <w:r>
        <w:rPr>
          <w:rFonts w:hint="eastAsia" w:ascii="宋体" w:hAnsi="宋体" w:eastAsia="宋体" w:cs="宋体"/>
          <w:color w:val="auto"/>
          <w:sz w:val="24"/>
          <w:szCs w:val="24"/>
        </w:rPr>
        <w:t>、</w:t>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λ</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j</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=0</m:t>
        </m:r>
      </m:oMath>
      <w:r>
        <w:rPr>
          <w:rFonts w:hint="eastAsia" w:ascii="宋体" w:hAnsi="宋体" w:eastAsia="宋体" w:cs="宋体"/>
          <w:color w:val="auto"/>
          <w:sz w:val="24"/>
          <w:szCs w:val="24"/>
        </w:rPr>
        <w:t>（无纠缠状态，要素无协同）时，</w:t>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Y</m:t>
            </m:r>
            <m:ctrlPr>
              <w:rPr>
                <w:rFonts w:hint="eastAsia" w:ascii="Cambria Math" w:hAnsi="Cambria Math" w:eastAsia="宋体" w:cs="宋体"/>
                <w:color w:val="auto"/>
                <w:sz w:val="24"/>
                <w:szCs w:val="24"/>
              </w:rPr>
            </m:ctrlPr>
          </m:e>
          <m:sub>
            <m:r>
              <m:rPr>
                <m:nor/>
                <m:sty m:val="p"/>
              </m:rPr>
              <w:rPr>
                <w:rFonts w:hint="eastAsia" w:ascii="Cambria Math" w:hAnsi="Cambria Math" w:eastAsia="宋体" w:cs="宋体"/>
                <w:b w:val="0"/>
                <w:i w:val="0"/>
                <w:color w:val="auto"/>
                <w:sz w:val="24"/>
                <w:szCs w:val="24"/>
              </w:rPr>
              <m:t>quantum</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=0</m:t>
        </m:r>
      </m:oMath>
      <w:r>
        <w:rPr>
          <w:rFonts w:hint="eastAsia" w:ascii="宋体" w:hAnsi="宋体" w:eastAsia="宋体" w:cs="宋体"/>
          <w:color w:val="auto"/>
          <w:sz w:val="24"/>
          <w:szCs w:val="24"/>
        </w:rPr>
        <w:t>，公式退化为经典生产函数，体现与传统理论的兼容特性。</w:t>
      </w:r>
    </w:p>
    <w:p w14:paraId="4EB3E8D2">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该模型与传统协同学（Haken,1977）的差异在于，突破了传统理论多为定性描述或线性化量化的局限，实现了协同效应的非线性动态量化；与要素禀赋理论（林毅夫,201</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）呈互补关系——要素禀赋决定要素初始配置基态，量子纠缠效应刻画配置效率的提升空间。</w:t>
      </w:r>
    </w:p>
    <w:p w14:paraId="3012BBDF">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纠缠系数可解读为“要素协同效率系数”，可通过企业微观面板数据、行业投入产出数据进行校准。数字经济中资本-技术-数据的闭环协同是典型应用案例：三者通过纠缠形成“资本赋能技术研发、技术提升数据价值、数据优化资本配置”的非线性互动，量子项</w:t>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Y</m:t>
            </m:r>
            <m:ctrlPr>
              <w:rPr>
                <w:rFonts w:hint="eastAsia" w:ascii="Cambria Math" w:hAnsi="Cambria Math" w:eastAsia="宋体" w:cs="宋体"/>
                <w:color w:val="auto"/>
                <w:sz w:val="24"/>
                <w:szCs w:val="24"/>
              </w:rPr>
            </m:ctrlPr>
          </m:e>
          <m:sub>
            <m:r>
              <m:rPr>
                <m:nor/>
                <m:sty m:val="p"/>
              </m:rPr>
              <w:rPr>
                <w:rFonts w:hint="eastAsia" w:ascii="Cambria Math" w:hAnsi="Cambria Math" w:eastAsia="宋体" w:cs="宋体"/>
                <w:b w:val="0"/>
                <w:i w:val="0"/>
                <w:color w:val="auto"/>
                <w:sz w:val="24"/>
                <w:szCs w:val="24"/>
              </w:rPr>
              <m:t>quantum</m:t>
            </m:r>
            <m:ctrlPr>
              <w:rPr>
                <w:rFonts w:hint="eastAsia" w:ascii="Cambria Math" w:hAnsi="Cambria Math" w:eastAsia="宋体" w:cs="宋体"/>
                <w:color w:val="auto"/>
                <w:sz w:val="24"/>
                <w:szCs w:val="24"/>
              </w:rPr>
            </m:ctrlPr>
          </m:sub>
        </m:sSub>
      </m:oMath>
      <w:r>
        <w:rPr>
          <w:rFonts w:hint="eastAsia" w:ascii="宋体" w:hAnsi="宋体" w:eastAsia="宋体" w:cs="宋体"/>
          <w:color w:val="auto"/>
          <w:sz w:val="24"/>
          <w:szCs w:val="24"/>
        </w:rPr>
        <w:t>可量化这类协同带来的额外产出，为数据要素市场化改革、产业协同政策制定提供理论支撑与量化工具。</w:t>
      </w:r>
    </w:p>
    <w:p w14:paraId="0E48BF5C">
      <w:pPr>
        <w:keepNext w:val="0"/>
        <w:keepLines w:val="0"/>
        <w:pageBreakBefore w:val="0"/>
        <w:kinsoku/>
        <w:wordWrap/>
        <w:overflowPunct/>
        <w:topLinePunct w:val="0"/>
        <w:autoSpaceDE/>
        <w:autoSpaceDN/>
        <w:bidi w:val="0"/>
        <w:adjustRightInd/>
        <w:snapToGrid/>
        <w:spacing w:after="0" w:line="500" w:lineRule="exact"/>
        <w:ind w:firstLine="482" w:firstLineChars="200"/>
        <w:jc w:val="left"/>
        <w:textAlignment w:val="auto"/>
        <w:outlineLvl w:val="9"/>
        <w:rPr>
          <w:rFonts w:hint="eastAsia" w:ascii="宋体" w:hAnsi="宋体" w:eastAsia="宋体" w:cs="宋体"/>
          <w:color w:val="auto"/>
          <w:sz w:val="24"/>
          <w:szCs w:val="24"/>
        </w:rPr>
      </w:pPr>
      <w:bookmarkStart w:id="10" w:name="bm_3_观测效应_预期传导的动态机制补充分析"/>
      <w:r>
        <w:rPr>
          <w:rFonts w:hint="eastAsia" w:ascii="宋体" w:hAnsi="宋体" w:eastAsia="宋体" w:cs="宋体"/>
          <w:b/>
          <w:color w:val="auto"/>
          <w:sz w:val="24"/>
          <w:szCs w:val="24"/>
        </w:rPr>
        <w:t>（</w:t>
      </w:r>
      <w:r>
        <w:rPr>
          <w:rFonts w:hint="eastAsia" w:ascii="宋体" w:hAnsi="宋体" w:eastAsia="宋体" w:cs="宋体"/>
          <w:b/>
          <w:color w:val="auto"/>
          <w:sz w:val="24"/>
          <w:szCs w:val="24"/>
          <w:lang w:val="en-US" w:eastAsia="zh-CN"/>
        </w:rPr>
        <w:t>三</w:t>
      </w:r>
      <w:r>
        <w:rPr>
          <w:rFonts w:hint="eastAsia" w:ascii="宋体" w:hAnsi="宋体" w:eastAsia="宋体" w:cs="宋体"/>
          <w:b/>
          <w:color w:val="auto"/>
          <w:sz w:val="24"/>
          <w:szCs w:val="24"/>
        </w:rPr>
        <w:t>）观测效应：预期传导的动态机制补充分析</w:t>
      </w:r>
      <w:bookmarkEnd w:id="10"/>
    </w:p>
    <w:p w14:paraId="3A5D05CC">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传统经济学多坚持“观测中性”假设，认为观测仅客观记录经济事实，却忽视了央行政策宣告、经济数据发布、权威解读等行为对主体预期的主动塑造作用——观测行为本身并非被动记录，而是会通过信号传递改变市场主体的信念与决策，这一特征与量子观测效应“观测者与系统互动改变状态”的逻辑高度契合，可为预期传导机制分析提供新的理论视角。预期叠加态波函数：</w:t>
      </w:r>
    </w:p>
    <w:p w14:paraId="21CBFAAC">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hAnsi="Cambria Math" w:eastAsia="宋体" w:cs="宋体"/>
          <w:b w:val="0"/>
          <w:i w:val="0"/>
          <w:color w:val="auto"/>
          <w:sz w:val="24"/>
          <w:szCs w:val="24"/>
        </w:rPr>
      </w:pPr>
      <m:oMathPara>
        <m:oMath>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ψ</m:t>
              </m:r>
              <m:ctrlPr>
                <w:rPr>
                  <w:rFonts w:hint="eastAsia" w:ascii="Cambria Math" w:hAnsi="Cambria Math" w:eastAsia="宋体" w:cs="宋体"/>
                  <w:color w:val="auto"/>
                  <w:sz w:val="24"/>
                  <w:szCs w:val="24"/>
                </w:rPr>
              </m:ctrlPr>
            </m:e>
            <m:sub>
              <m:r>
                <m:rPr>
                  <m:nor/>
                  <m:sty m:val="p"/>
                </m:rPr>
                <w:rPr>
                  <w:rFonts w:hint="eastAsia" w:ascii="Cambria Math" w:hAnsi="Cambria Math" w:eastAsia="宋体" w:cs="宋体"/>
                  <w:b w:val="0"/>
                  <w:i w:val="0"/>
                  <w:color w:val="auto"/>
                  <w:sz w:val="24"/>
                  <w:szCs w:val="24"/>
                </w:rPr>
                <m:t>exp</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nary>
            <m:naryPr>
              <m:chr m:val="∑"/>
              <m:grow m:val="1"/>
              <m:limLoc m:val="undOvr"/>
              <m:ctrlPr>
                <w:rPr>
                  <w:rFonts w:hint="eastAsia" w:ascii="Cambria Math" w:hAnsi="Cambria Math" w:eastAsia="宋体" w:cs="宋体"/>
                  <w:color w:val="auto"/>
                  <w:sz w:val="24"/>
                  <w:szCs w:val="24"/>
                </w:rPr>
              </m:ctrlPr>
            </m:naryPr>
            <m:sub>
              <m:r>
                <m:rPr/>
                <w:rPr>
                  <w:rFonts w:hint="eastAsia" w:ascii="Cambria Math" w:hAnsi="Cambria Math" w:eastAsia="宋体" w:cs="宋体"/>
                  <w:color w:val="auto"/>
                  <w:sz w:val="24"/>
                  <w:szCs w:val="24"/>
                </w:rPr>
                <m:t>t</m:t>
              </m:r>
              <m:r>
                <m:rPr>
                  <m:sty m:val="p"/>
                </m:rPr>
                <w:rPr>
                  <w:rFonts w:hint="eastAsia" w:ascii="Cambria Math" w:hAnsi="Cambria Math" w:eastAsia="宋体" w:cs="宋体"/>
                  <w:color w:val="auto"/>
                  <w:sz w:val="24"/>
                  <w:szCs w:val="24"/>
                </w:rPr>
                <m:t>=1</m:t>
              </m:r>
              <m:ctrlPr>
                <w:rPr>
                  <w:rFonts w:hint="eastAsia" w:ascii="Cambria Math" w:hAnsi="Cambria Math" w:eastAsia="宋体" w:cs="宋体"/>
                  <w:color w:val="auto"/>
                  <w:sz w:val="24"/>
                  <w:szCs w:val="24"/>
                </w:rPr>
              </m:ctrlPr>
            </m:sub>
            <m:sup>
              <m:r>
                <m:rPr/>
                <w:rPr>
                  <w:rFonts w:hint="eastAsia" w:ascii="Cambria Math" w:hAnsi="Cambria Math" w:eastAsia="宋体" w:cs="宋体"/>
                  <w:color w:val="auto"/>
                  <w:sz w:val="24"/>
                  <w:szCs w:val="24"/>
                </w:rPr>
                <m:t>q</m:t>
              </m:r>
              <m:ctrlPr>
                <w:rPr>
                  <w:rFonts w:hint="eastAsia" w:ascii="Cambria Math" w:hAnsi="Cambria Math" w:eastAsia="宋体" w:cs="宋体"/>
                  <w:color w:val="auto"/>
                  <w:sz w:val="24"/>
                  <w:szCs w:val="24"/>
                </w:rPr>
              </m:ctrlPr>
            </m:sup>
            <m:e>
              <m:r>
                <m:rPr>
                  <m:sty m:val="p"/>
                </m:rPr>
                <w:rPr>
                  <w:rFonts w:hint="eastAsia" w:ascii="Cambria Math" w:hAnsi="Cambria Math" w:eastAsia="宋体" w:cs="宋体"/>
                  <w:color w:val="auto"/>
                  <w:sz w:val="24"/>
                  <w:szCs w:val="24"/>
                </w:rPr>
                <m:t> </m:t>
              </m:r>
              <m:ctrlPr>
                <w:rPr>
                  <w:rFonts w:hint="eastAsia" w:ascii="Cambria Math" w:hAnsi="Cambria Math" w:eastAsia="宋体" w:cs="宋体"/>
                  <w:color w:val="auto"/>
                  <w:sz w:val="24"/>
                  <w:szCs w:val="24"/>
                </w:rPr>
              </m:ctrlPr>
            </m:e>
          </m:nary>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β</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t</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x</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t</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oMath>
      </m:oMathPara>
    </w:p>
    <w:p w14:paraId="246BB443">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hAnsi="Cambria Math" w:eastAsia="宋体" w:cs="宋体"/>
          <w:b w:val="0"/>
          <w:i w:val="0"/>
          <w:color w:val="auto"/>
          <w:sz w:val="24"/>
          <w:szCs w:val="24"/>
        </w:rPr>
      </w:pPr>
    </w:p>
    <w:p w14:paraId="31D2F1AA">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m:oMath>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ψ</m:t>
            </m:r>
            <m:ctrlPr>
              <w:rPr>
                <w:rFonts w:hint="eastAsia" w:ascii="Cambria Math" w:hAnsi="Cambria Math" w:eastAsia="宋体" w:cs="宋体"/>
                <w:color w:val="auto"/>
                <w:sz w:val="24"/>
                <w:szCs w:val="24"/>
              </w:rPr>
            </m:ctrlPr>
          </m:e>
          <m:sub>
            <m:r>
              <m:rPr>
                <m:nor/>
                <m:sty m:val="p"/>
              </m:rPr>
              <w:rPr>
                <w:rFonts w:hint="eastAsia" w:ascii="Cambria Math" w:hAnsi="Cambria Math" w:eastAsia="宋体" w:cs="宋体"/>
                <w:b w:val="0"/>
                <w:i w:val="0"/>
                <w:color w:val="auto"/>
                <w:sz w:val="24"/>
                <w:szCs w:val="24"/>
              </w:rPr>
              <m:t>exp</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oMath>
      <w:r>
        <w:rPr>
          <w:rFonts w:hint="eastAsia" w:ascii="宋体" w:hAnsi="宋体" w:eastAsia="宋体" w:cs="宋体"/>
          <w:color w:val="auto"/>
          <w:sz w:val="24"/>
          <w:szCs w:val="24"/>
        </w:rPr>
        <w:t>：观测前市场对经济变量（如利率、通胀率、政策方向）的预期叠加态，表征预期未明确前的模糊状态；</w:t>
      </w:r>
      <m:oMath>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x</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t</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oMath>
      <w:r>
        <w:rPr>
          <w:rFonts w:hint="eastAsia" w:ascii="宋体" w:hAnsi="宋体" w:eastAsia="宋体" w:cs="宋体"/>
          <w:color w:val="auto"/>
          <w:sz w:val="24"/>
          <w:szCs w:val="24"/>
        </w:rPr>
        <w:t>：经济变量的第</w:t>
      </w:r>
      <m:oMath>
        <m:r>
          <m:rPr/>
          <w:rPr>
            <w:rFonts w:hint="eastAsia" w:ascii="Cambria Math" w:hAnsi="Cambria Math" w:eastAsia="宋体" w:cs="宋体"/>
            <w:color w:val="auto"/>
            <w:sz w:val="24"/>
            <w:szCs w:val="24"/>
          </w:rPr>
          <m:t>t</m:t>
        </m:r>
      </m:oMath>
      <w:r>
        <w:rPr>
          <w:rFonts w:hint="eastAsia" w:ascii="宋体" w:hAnsi="宋体" w:eastAsia="宋体" w:cs="宋体"/>
          <w:color w:val="auto"/>
          <w:sz w:val="24"/>
          <w:szCs w:val="24"/>
        </w:rPr>
        <w:t>种可能结果（如“加息”“维持不变”“降息”“通胀上涨”“通胀稳定”），构成正交归一基组；</w:t>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β</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t</m:t>
            </m:r>
            <m:ctrlPr>
              <w:rPr>
                <w:rFonts w:hint="eastAsia" w:ascii="Cambria Math" w:hAnsi="Cambria Math" w:eastAsia="宋体" w:cs="宋体"/>
                <w:color w:val="auto"/>
                <w:sz w:val="24"/>
                <w:szCs w:val="24"/>
              </w:rPr>
            </m:ctrlPr>
          </m:sub>
        </m:sSub>
      </m:oMath>
      <w:r>
        <w:rPr>
          <w:rFonts w:hint="eastAsia" w:ascii="宋体" w:hAnsi="宋体" w:eastAsia="宋体" w:cs="宋体"/>
          <w:color w:val="auto"/>
          <w:sz w:val="24"/>
          <w:szCs w:val="24"/>
        </w:rPr>
        <w:t>：预期概率幅（复数），反映市场对第</w:t>
      </w:r>
      <m:oMath>
        <m:r>
          <m:rPr/>
          <w:rPr>
            <w:rFonts w:hint="eastAsia" w:ascii="Cambria Math" w:hAnsi="Cambria Math" w:eastAsia="宋体" w:cs="宋体"/>
            <w:color w:val="auto"/>
            <w:sz w:val="24"/>
            <w:szCs w:val="24"/>
          </w:rPr>
          <m:t>t</m:t>
        </m:r>
      </m:oMath>
      <w:r>
        <w:rPr>
          <w:rFonts w:hint="eastAsia" w:ascii="宋体" w:hAnsi="宋体" w:eastAsia="宋体" w:cs="宋体"/>
          <w:color w:val="auto"/>
          <w:sz w:val="24"/>
          <w:szCs w:val="24"/>
        </w:rPr>
        <w:t>种结果的信念强度，满足归一化条件</w:t>
      </w:r>
      <m:oMath>
        <m:nary>
          <m:naryPr>
            <m:chr m:val="∑"/>
            <m:grow m:val="1"/>
            <m:limLoc m:val="undOvr"/>
            <m:ctrlPr>
              <w:rPr>
                <w:rFonts w:hint="eastAsia" w:ascii="Cambria Math" w:hAnsi="Cambria Math" w:eastAsia="宋体" w:cs="宋体"/>
                <w:color w:val="auto"/>
                <w:sz w:val="24"/>
                <w:szCs w:val="24"/>
              </w:rPr>
            </m:ctrlPr>
          </m:naryPr>
          <m:sub>
            <m:r>
              <m:rPr/>
              <w:rPr>
                <w:rFonts w:hint="eastAsia" w:ascii="Cambria Math" w:hAnsi="Cambria Math" w:eastAsia="宋体" w:cs="宋体"/>
                <w:color w:val="auto"/>
                <w:sz w:val="24"/>
                <w:szCs w:val="24"/>
              </w:rPr>
              <m:t>t</m:t>
            </m:r>
            <m:r>
              <m:rPr>
                <m:sty m:val="p"/>
              </m:rPr>
              <w:rPr>
                <w:rFonts w:hint="eastAsia" w:ascii="Cambria Math" w:hAnsi="Cambria Math" w:eastAsia="宋体" w:cs="宋体"/>
                <w:color w:val="auto"/>
                <w:sz w:val="24"/>
                <w:szCs w:val="24"/>
              </w:rPr>
              <m:t>=1</m:t>
            </m:r>
            <m:ctrlPr>
              <w:rPr>
                <w:rFonts w:hint="eastAsia" w:ascii="Cambria Math" w:hAnsi="Cambria Math" w:eastAsia="宋体" w:cs="宋体"/>
                <w:color w:val="auto"/>
                <w:sz w:val="24"/>
                <w:szCs w:val="24"/>
              </w:rPr>
            </m:ctrlPr>
          </m:sub>
          <m:sup>
            <m:r>
              <m:rPr/>
              <w:rPr>
                <w:rFonts w:hint="eastAsia" w:ascii="Cambria Math" w:hAnsi="Cambria Math" w:eastAsia="宋体" w:cs="宋体"/>
                <w:color w:val="auto"/>
                <w:sz w:val="24"/>
                <w:szCs w:val="24"/>
              </w:rPr>
              <m:t>q</m:t>
            </m:r>
            <m:ctrlPr>
              <w:rPr>
                <w:rFonts w:hint="eastAsia" w:ascii="Cambria Math" w:hAnsi="Cambria Math" w:eastAsia="宋体" w:cs="宋体"/>
                <w:color w:val="auto"/>
                <w:sz w:val="24"/>
                <w:szCs w:val="24"/>
              </w:rPr>
            </m:ctrlPr>
          </m:sup>
          <m:e>
            <m:r>
              <m:rPr>
                <m:sty m:val="p"/>
              </m:rPr>
              <w:rPr>
                <w:rFonts w:hint="eastAsia" w:ascii="Cambria Math" w:hAnsi="Cambria Math" w:eastAsia="宋体" w:cs="宋体"/>
                <w:color w:val="auto"/>
                <w:sz w:val="24"/>
                <w:szCs w:val="24"/>
              </w:rPr>
              <m:t> </m:t>
            </m:r>
            <m:ctrlPr>
              <w:rPr>
                <w:rFonts w:hint="eastAsia" w:ascii="Cambria Math" w:hAnsi="Cambria Math" w:eastAsia="宋体" w:cs="宋体"/>
                <w:color w:val="auto"/>
                <w:sz w:val="24"/>
                <w:szCs w:val="24"/>
              </w:rPr>
            </m:ctrlPr>
          </m:e>
        </m:nary>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β</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t</m:t>
            </m:r>
            <m:ctrlPr>
              <w:rPr>
                <w:rFonts w:hint="eastAsia" w:ascii="Cambria Math" w:hAnsi="Cambria Math" w:eastAsia="宋体" w:cs="宋体"/>
                <w:color w:val="auto"/>
                <w:sz w:val="24"/>
                <w:szCs w:val="24"/>
              </w:rPr>
            </m:ctrlPr>
          </m:sub>
        </m:sSub>
        <m:sSup>
          <m:sSupPr>
            <m:ctrlPr>
              <w:rPr>
                <w:rFonts w:hint="eastAsia" w:ascii="Cambria Math" w:hAnsi="Cambria Math" w:eastAsia="宋体" w:cs="宋体"/>
                <w:color w:val="auto"/>
                <w:sz w:val="24"/>
                <w:szCs w:val="24"/>
              </w:rPr>
            </m:ctrlPr>
          </m:sSupPr>
          <m:e>
            <m:r>
              <m:rPr>
                <m:sty m:val="p"/>
              </m:rPr>
              <w:rPr>
                <w:rFonts w:hint="eastAsia" w:ascii="Cambria Math" w:hAnsi="Cambria Math" w:eastAsia="宋体" w:cs="宋体"/>
                <w:color w:val="auto"/>
                <w:sz w:val="24"/>
                <w:szCs w:val="24"/>
              </w:rPr>
              <m:t>|</m:t>
            </m:r>
            <m:ctrlPr>
              <w:rPr>
                <w:rFonts w:hint="eastAsia" w:ascii="Cambria Math" w:hAnsi="Cambria Math" w:eastAsia="宋体" w:cs="宋体"/>
                <w:color w:val="auto"/>
                <w:sz w:val="24"/>
                <w:szCs w:val="24"/>
              </w:rPr>
            </m:ctrlPr>
          </m:e>
          <m:sup>
            <m:r>
              <m:rPr>
                <m:sty m:val="p"/>
              </m:rPr>
              <w:rPr>
                <w:rFonts w:hint="eastAsia" w:ascii="Cambria Math" w:hAnsi="Cambria Math" w:eastAsia="宋体" w:cs="宋体"/>
                <w:color w:val="auto"/>
                <w:sz w:val="24"/>
                <w:szCs w:val="24"/>
              </w:rPr>
              <m:t>2</m:t>
            </m:r>
            <m:ctrlPr>
              <w:rPr>
                <w:rFonts w:hint="eastAsia" w:ascii="Cambria Math" w:hAnsi="Cambria Math" w:eastAsia="宋体" w:cs="宋体"/>
                <w:color w:val="auto"/>
                <w:sz w:val="24"/>
                <w:szCs w:val="24"/>
              </w:rPr>
            </m:ctrlPr>
          </m:sup>
        </m:sSup>
        <m:r>
          <m:rPr>
            <m:sty m:val="p"/>
          </m:rPr>
          <w:rPr>
            <w:rFonts w:hint="eastAsia" w:ascii="Cambria Math" w:hAnsi="Cambria Math" w:eastAsia="宋体" w:cs="宋体"/>
            <w:color w:val="auto"/>
            <w:sz w:val="24"/>
            <w:szCs w:val="24"/>
          </w:rPr>
          <m:t>=1</m:t>
        </m:r>
      </m:oMath>
      <w:r>
        <w:rPr>
          <w:rFonts w:hint="eastAsia" w:ascii="宋体" w:hAnsi="宋体" w:eastAsia="宋体" w:cs="宋体"/>
          <w:color w:val="auto"/>
          <w:sz w:val="24"/>
          <w:szCs w:val="24"/>
        </w:rPr>
        <w:t>，</w:t>
      </w:r>
      <m:oMath>
        <m:r>
          <m:rPr>
            <m:sty m:val="p"/>
          </m:rPr>
          <w:rPr>
            <w:rFonts w:hint="eastAsia" w:ascii="Cambria Math" w:hAnsi="Cambria Math" w:eastAsia="宋体" w:cs="宋体"/>
            <w:color w:val="auto"/>
            <w:sz w:val="24"/>
            <w:szCs w:val="24"/>
          </w:rPr>
          <m:t>|</m:t>
        </m:r>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β</m:t>
            </m:r>
            <m:ctrlPr>
              <w:rPr>
                <w:rFonts w:hint="eastAsia" w:ascii="Cambria Math" w:hAnsi="Cambria Math" w:eastAsia="宋体" w:cs="宋体"/>
                <w:color w:val="auto"/>
                <w:sz w:val="24"/>
                <w:szCs w:val="24"/>
              </w:rPr>
            </m:ctrlPr>
          </m:e>
          <m:sub>
            <m:r>
              <m:rPr/>
              <w:rPr>
                <w:rFonts w:hint="eastAsia" w:ascii="Cambria Math" w:hAnsi="Cambria Math" w:eastAsia="宋体" w:cs="宋体"/>
                <w:color w:val="auto"/>
                <w:sz w:val="24"/>
                <w:szCs w:val="24"/>
              </w:rPr>
              <m:t>t</m:t>
            </m:r>
            <m:ctrlPr>
              <w:rPr>
                <w:rFonts w:hint="eastAsia" w:ascii="Cambria Math" w:hAnsi="Cambria Math" w:eastAsia="宋体" w:cs="宋体"/>
                <w:color w:val="auto"/>
                <w:sz w:val="24"/>
                <w:szCs w:val="24"/>
              </w:rPr>
            </m:ctrlPr>
          </m:sub>
        </m:sSub>
        <m:sSup>
          <m:sSupPr>
            <m:ctrlPr>
              <w:rPr>
                <w:rFonts w:hint="eastAsia" w:ascii="Cambria Math" w:hAnsi="Cambria Math" w:eastAsia="宋体" w:cs="宋体"/>
                <w:color w:val="auto"/>
                <w:sz w:val="24"/>
                <w:szCs w:val="24"/>
              </w:rPr>
            </m:ctrlPr>
          </m:sSupPr>
          <m:e>
            <m:r>
              <m:rPr>
                <m:sty m:val="p"/>
              </m:rPr>
              <w:rPr>
                <w:rFonts w:hint="eastAsia" w:ascii="Cambria Math" w:hAnsi="Cambria Math" w:eastAsia="宋体" w:cs="宋体"/>
                <w:color w:val="auto"/>
                <w:sz w:val="24"/>
                <w:szCs w:val="24"/>
              </w:rPr>
              <m:t>|</m:t>
            </m:r>
            <m:ctrlPr>
              <w:rPr>
                <w:rFonts w:hint="eastAsia" w:ascii="Cambria Math" w:hAnsi="Cambria Math" w:eastAsia="宋体" w:cs="宋体"/>
                <w:color w:val="auto"/>
                <w:sz w:val="24"/>
                <w:szCs w:val="24"/>
              </w:rPr>
            </m:ctrlPr>
          </m:e>
          <m:sup>
            <m:r>
              <m:rPr>
                <m:sty m:val="p"/>
              </m:rPr>
              <w:rPr>
                <w:rFonts w:hint="eastAsia" w:ascii="Cambria Math" w:hAnsi="Cambria Math" w:eastAsia="宋体" w:cs="宋体"/>
                <w:color w:val="auto"/>
                <w:sz w:val="24"/>
                <w:szCs w:val="24"/>
              </w:rPr>
              <m:t>2</m:t>
            </m:r>
            <m:ctrlPr>
              <w:rPr>
                <w:rFonts w:hint="eastAsia" w:ascii="Cambria Math" w:hAnsi="Cambria Math" w:eastAsia="宋体" w:cs="宋体"/>
                <w:color w:val="auto"/>
                <w:sz w:val="24"/>
                <w:szCs w:val="24"/>
              </w:rPr>
            </m:ctrlPr>
          </m:sup>
        </m:sSup>
      </m:oMath>
      <w:r>
        <w:rPr>
          <w:rFonts w:hint="eastAsia" w:ascii="宋体" w:hAnsi="宋体" w:eastAsia="宋体" w:cs="宋体"/>
          <w:color w:val="auto"/>
          <w:sz w:val="24"/>
          <w:szCs w:val="24"/>
        </w:rPr>
        <w:t>为未观测时的信念概率。</w:t>
      </w:r>
    </w:p>
    <w:p w14:paraId="3602EC34">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预期坍缩与演化：</w:t>
      </w:r>
    </w:p>
    <w:p w14:paraId="43245285">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m:oMathPara>
        <m:oMath>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x</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t</m:t>
          </m:r>
          <m:r>
            <m:rPr>
              <m:sty m:val="p"/>
            </m:rPr>
            <w:rPr>
              <w:rFonts w:hint="eastAsia" w:ascii="Cambria Math" w:hAnsi="Cambria Math" w:eastAsia="宋体" w:cs="宋体"/>
              <w:color w:val="auto"/>
              <w:sz w:val="24"/>
              <w:szCs w:val="24"/>
            </w:rPr>
            <m:t>+Δ</m:t>
          </m:r>
          <m:r>
            <m:rPr/>
            <w:rPr>
              <w:rFonts w:hint="eastAsia" w:ascii="Cambria Math" w:hAnsi="Cambria Math" w:eastAsia="宋体" w:cs="宋体"/>
              <w:color w:val="auto"/>
              <w:sz w:val="24"/>
              <w:szCs w:val="24"/>
            </w:rPr>
            <m:t>t</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U</m:t>
          </m:r>
          <m:r>
            <m:rPr>
              <m:sty m:val="p"/>
            </m:rPr>
            <w:rPr>
              <w:rFonts w:hint="eastAsia" w:ascii="Cambria Math" w:hAnsi="Cambria Math" w:eastAsia="宋体" w:cs="宋体"/>
              <w:color w:val="auto"/>
              <w:sz w:val="24"/>
              <w:szCs w:val="24"/>
            </w:rPr>
            <m:t>|</m:t>
          </m:r>
          <m:sSup>
            <m:sSupPr>
              <m:ctrlPr>
                <w:rPr>
                  <w:rFonts w:hint="eastAsia" w:ascii="Cambria Math" w:hAnsi="Cambria Math" w:eastAsia="宋体" w:cs="宋体"/>
                  <w:color w:val="auto"/>
                  <w:sz w:val="24"/>
                  <w:szCs w:val="24"/>
                </w:rPr>
              </m:ctrlPr>
            </m:sSupPr>
            <m:e>
              <m:r>
                <m:rPr/>
                <w:rPr>
                  <w:rFonts w:hint="eastAsia" w:ascii="Cambria Math" w:hAnsi="Cambria Math" w:eastAsia="宋体" w:cs="宋体"/>
                  <w:color w:val="auto"/>
                  <w:sz w:val="24"/>
                  <w:szCs w:val="24"/>
                </w:rPr>
                <m:t>x</m:t>
              </m:r>
              <m:ctrlPr>
                <w:rPr>
                  <w:rFonts w:hint="eastAsia" w:ascii="Cambria Math" w:hAnsi="Cambria Math" w:eastAsia="宋体" w:cs="宋体"/>
                  <w:color w:val="auto"/>
                  <w:sz w:val="24"/>
                  <w:szCs w:val="24"/>
                </w:rPr>
              </m:ctrlPr>
            </m:e>
            <m:sup>
              <m:r>
                <m:rPr>
                  <m:sty m:val="p"/>
                </m:rPr>
                <w:rPr>
                  <w:rFonts w:hint="eastAsia" w:ascii="Cambria Math" w:hAnsi="Cambria Math" w:eastAsia="宋体" w:cs="宋体"/>
                  <w:color w:val="auto"/>
                  <w:sz w:val="24"/>
                  <w:szCs w:val="24"/>
                </w:rPr>
                <m:t>∗</m:t>
              </m:r>
              <m:ctrlPr>
                <w:rPr>
                  <w:rFonts w:hint="eastAsia" w:ascii="Cambria Math" w:hAnsi="Cambria Math" w:eastAsia="宋体" w:cs="宋体"/>
                  <w:color w:val="auto"/>
                  <w:sz w:val="24"/>
                  <w:szCs w:val="24"/>
                </w:rPr>
              </m:ctrlPr>
            </m:sup>
          </m:sSup>
          <m:r>
            <m:rPr>
              <m:sty m:val="p"/>
            </m:rPr>
            <w:rPr>
              <w:rFonts w:hint="eastAsia" w:ascii="Cambria Math" w:hAnsi="Cambria Math" w:eastAsia="宋体" w:cs="宋体"/>
              <w:color w:val="auto"/>
              <w:sz w:val="24"/>
              <w:szCs w:val="24"/>
            </w:rPr>
            <m:t>⟩</m:t>
          </m:r>
        </m:oMath>
      </m:oMathPara>
    </w:p>
    <w:p w14:paraId="53615E68">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m:oMath>
        <m:r>
          <m:rPr>
            <m:sty m:val="p"/>
          </m:rPr>
          <w:rPr>
            <w:rFonts w:hint="eastAsia" w:ascii="Cambria Math" w:hAnsi="Cambria Math" w:eastAsia="宋体" w:cs="宋体"/>
            <w:color w:val="auto"/>
            <w:sz w:val="24"/>
            <w:szCs w:val="24"/>
          </w:rPr>
          <m:t>|</m:t>
        </m:r>
        <m:sSup>
          <m:sSupPr>
            <m:ctrlPr>
              <w:rPr>
                <w:rFonts w:hint="eastAsia" w:ascii="Cambria Math" w:hAnsi="Cambria Math" w:eastAsia="宋体" w:cs="宋体"/>
                <w:color w:val="auto"/>
                <w:sz w:val="24"/>
                <w:szCs w:val="24"/>
              </w:rPr>
            </m:ctrlPr>
          </m:sSupPr>
          <m:e>
            <m:r>
              <m:rPr/>
              <w:rPr>
                <w:rFonts w:hint="eastAsia" w:ascii="Cambria Math" w:hAnsi="Cambria Math" w:eastAsia="宋体" w:cs="宋体"/>
                <w:color w:val="auto"/>
                <w:sz w:val="24"/>
                <w:szCs w:val="24"/>
              </w:rPr>
              <m:t>x</m:t>
            </m:r>
            <m:ctrlPr>
              <w:rPr>
                <w:rFonts w:hint="eastAsia" w:ascii="Cambria Math" w:hAnsi="Cambria Math" w:eastAsia="宋体" w:cs="宋体"/>
                <w:color w:val="auto"/>
                <w:sz w:val="24"/>
                <w:szCs w:val="24"/>
              </w:rPr>
            </m:ctrlPr>
          </m:e>
          <m:sup>
            <m:r>
              <m:rPr>
                <m:sty m:val="p"/>
              </m:rPr>
              <w:rPr>
                <w:rFonts w:hint="eastAsia" w:ascii="Cambria Math" w:hAnsi="Cambria Math" w:eastAsia="宋体" w:cs="宋体"/>
                <w:color w:val="auto"/>
                <w:sz w:val="24"/>
                <w:szCs w:val="24"/>
              </w:rPr>
              <m:t>∗</m:t>
            </m:r>
            <m:ctrlPr>
              <w:rPr>
                <w:rFonts w:hint="eastAsia" w:ascii="Cambria Math" w:hAnsi="Cambria Math" w:eastAsia="宋体" w:cs="宋体"/>
                <w:color w:val="auto"/>
                <w:sz w:val="24"/>
                <w:szCs w:val="24"/>
              </w:rPr>
            </m:ctrlPr>
          </m:sup>
        </m:sSup>
        <m:r>
          <m:rPr>
            <m:sty m:val="p"/>
          </m:rPr>
          <w:rPr>
            <w:rFonts w:hint="eastAsia" w:ascii="Cambria Math" w:hAnsi="Cambria Math" w:eastAsia="宋体" w:cs="宋体"/>
            <w:color w:val="auto"/>
            <w:sz w:val="24"/>
            <w:szCs w:val="24"/>
          </w:rPr>
          <m:t>⟩</m:t>
        </m:r>
      </m:oMath>
      <w:r>
        <w:rPr>
          <w:rFonts w:hint="eastAsia" w:ascii="宋体" w:hAnsi="宋体" w:eastAsia="宋体" w:cs="宋体"/>
          <w:color w:val="auto"/>
          <w:sz w:val="24"/>
          <w:szCs w:val="24"/>
        </w:rPr>
        <w:t>：观测后坍缩的确定预期态（如政策宣告后的“降准”确定态、数据发布后的“通胀稳定”确定态），表征预期模糊性的降低；</w:t>
      </w:r>
      <w:r>
        <w:rPr>
          <w:rFonts w:hint="eastAsia" w:ascii="宋体" w:hAnsi="宋体" w:eastAsia="宋体" w:cs="宋体"/>
          <w:color w:val="auto"/>
          <w:sz w:val="24"/>
          <w:szCs w:val="24"/>
        </w:rPr>
        <w:br w:type="textWrapping"/>
      </w:r>
      <m:oMath>
        <m:r>
          <m:rPr/>
          <w:rPr>
            <w:rFonts w:hint="eastAsia" w:ascii="Cambria Math" w:hAnsi="Cambria Math" w:eastAsia="宋体" w:cs="宋体"/>
            <w:color w:val="auto"/>
            <w:sz w:val="24"/>
            <w:szCs w:val="24"/>
          </w:rPr>
          <m:t>U</m:t>
        </m:r>
        <m:r>
          <m:rPr>
            <m:sty m:val="p"/>
          </m:rPr>
          <w:rPr>
            <w:rFonts w:hint="eastAsia" w:ascii="Cambria Math" w:hAnsi="Cambria Math" w:eastAsia="宋体" w:cs="宋体"/>
            <w:color w:val="auto"/>
            <w:sz w:val="24"/>
            <w:szCs w:val="24"/>
          </w:rPr>
          <m:t>=</m:t>
        </m:r>
        <m:sSup>
          <m:sSupPr>
            <m:ctrlPr>
              <w:rPr>
                <w:rFonts w:hint="eastAsia" w:ascii="Cambria Math" w:hAnsi="Cambria Math" w:eastAsia="宋体" w:cs="宋体"/>
                <w:color w:val="auto"/>
                <w:sz w:val="24"/>
                <w:szCs w:val="24"/>
              </w:rPr>
            </m:ctrlPr>
          </m:sSupPr>
          <m:e>
            <m:r>
              <m:rPr/>
              <w:rPr>
                <w:rFonts w:hint="eastAsia" w:ascii="Cambria Math" w:hAnsi="Cambria Math" w:eastAsia="宋体" w:cs="宋体"/>
                <w:color w:val="auto"/>
                <w:sz w:val="24"/>
                <w:szCs w:val="24"/>
              </w:rPr>
              <m:t>e</m:t>
            </m:r>
            <m:ctrlPr>
              <w:rPr>
                <w:rFonts w:hint="eastAsia" w:ascii="Cambria Math" w:hAnsi="Cambria Math" w:eastAsia="宋体" w:cs="宋体"/>
                <w:color w:val="auto"/>
                <w:sz w:val="24"/>
                <w:szCs w:val="24"/>
              </w:rPr>
            </m:ctrlPr>
          </m:e>
          <m:sup>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iH</m:t>
            </m:r>
            <m:r>
              <m:rPr>
                <m:sty m:val="p"/>
              </m:rPr>
              <w:rPr>
                <w:rFonts w:hint="eastAsia" w:ascii="Cambria Math" w:hAnsi="Cambria Math" w:eastAsia="宋体" w:cs="宋体"/>
                <w:color w:val="auto"/>
                <w:sz w:val="24"/>
                <w:szCs w:val="24"/>
              </w:rPr>
              <m:t>Δ</m:t>
            </m:r>
            <m:r>
              <m:rPr/>
              <w:rPr>
                <w:rFonts w:hint="eastAsia" w:ascii="Cambria Math" w:hAnsi="Cambria Math" w:eastAsia="宋体" w:cs="宋体"/>
                <w:color w:val="auto"/>
                <w:sz w:val="24"/>
                <w:szCs w:val="24"/>
              </w:rPr>
              <m:t>t</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ℏ</m:t>
            </m:r>
            <m:ctrlPr>
              <w:rPr>
                <w:rFonts w:hint="eastAsia" w:ascii="Cambria Math" w:hAnsi="Cambria Math" w:eastAsia="宋体" w:cs="宋体"/>
                <w:color w:val="auto"/>
                <w:sz w:val="24"/>
                <w:szCs w:val="24"/>
              </w:rPr>
            </m:ctrlPr>
          </m:sup>
        </m:sSup>
      </m:oMath>
      <w:r>
        <w:rPr>
          <w:rFonts w:hint="eastAsia" w:ascii="宋体" w:hAnsi="宋体" w:eastAsia="宋体" w:cs="宋体"/>
          <w:color w:val="auto"/>
          <w:sz w:val="24"/>
          <w:szCs w:val="24"/>
        </w:rPr>
        <w:t>：幺正演化算子（量子力学中保证概率守恒的核心算子，此处保留其数学性质，适配经济变量的概率约束）；</w:t>
      </w:r>
      <m:oMath>
        <m:r>
          <m:rPr/>
          <w:rPr>
            <w:rFonts w:hint="eastAsia" w:ascii="Cambria Math" w:hAnsi="Cambria Math" w:eastAsia="宋体" w:cs="宋体"/>
            <w:color w:val="auto"/>
            <w:sz w:val="24"/>
            <w:szCs w:val="24"/>
          </w:rPr>
          <m:t>H</m:t>
        </m:r>
      </m:oMath>
      <w:r>
        <w:rPr>
          <w:rFonts w:hint="eastAsia" w:ascii="宋体" w:hAnsi="宋体" w:eastAsia="宋体" w:cs="宋体"/>
          <w:color w:val="auto"/>
          <w:sz w:val="24"/>
          <w:szCs w:val="24"/>
        </w:rPr>
        <w:t>：经济系统“哈密顿量”，刻画预期对经济变量的驱动作用（可通过政策强度、市场敏感度、信息透明度等指标校准，具有明确经济含义）；</w:t>
      </w:r>
      <m:oMath>
        <m:r>
          <m:rPr/>
          <w:rPr>
            <w:rFonts w:hint="eastAsia" w:ascii="Cambria Math" w:hAnsi="Cambria Math" w:eastAsia="宋体" w:cs="宋体"/>
            <w:color w:val="auto"/>
            <w:sz w:val="24"/>
            <w:szCs w:val="24"/>
          </w:rPr>
          <m:t>ℏ</m:t>
        </m:r>
      </m:oMath>
      <w:r>
        <w:rPr>
          <w:rFonts w:hint="eastAsia" w:ascii="宋体" w:hAnsi="宋体" w:eastAsia="宋体" w:cs="宋体"/>
          <w:color w:val="auto"/>
          <w:sz w:val="24"/>
          <w:szCs w:val="24"/>
        </w:rPr>
        <w:t>：约化普朗克常数（仅保留其数学形式，经无量纲化处理后视为“预期传导系数”，量化预期向实际经济变量转化的效率）；</w:t>
      </w:r>
      <m:oMath>
        <m:r>
          <m:rPr>
            <m:sty m:val="p"/>
          </m:rPr>
          <w:rPr>
            <w:rFonts w:hint="eastAsia" w:ascii="Cambria Math" w:hAnsi="Cambria Math" w:eastAsia="宋体" w:cs="宋体"/>
            <w:color w:val="auto"/>
            <w:sz w:val="24"/>
            <w:szCs w:val="24"/>
          </w:rPr>
          <m:t>Δ</m:t>
        </m:r>
        <m:r>
          <m:rPr/>
          <w:rPr>
            <w:rFonts w:hint="eastAsia" w:ascii="Cambria Math" w:hAnsi="Cambria Math" w:eastAsia="宋体" w:cs="宋体"/>
            <w:color w:val="auto"/>
            <w:sz w:val="24"/>
            <w:szCs w:val="24"/>
          </w:rPr>
          <m:t>t</m:t>
        </m:r>
      </m:oMath>
      <w:r>
        <w:rPr>
          <w:rFonts w:hint="eastAsia" w:ascii="宋体" w:hAnsi="宋体" w:eastAsia="宋体" w:cs="宋体"/>
          <w:color w:val="auto"/>
          <w:sz w:val="24"/>
          <w:szCs w:val="24"/>
        </w:rPr>
        <w:t>：观测后时间间隔，反映预期从确定态向实际经济行为转化的速度（如政策预期转化为投资行为的时间）。</w:t>
      </w:r>
    </w:p>
    <w:p w14:paraId="5D716B10">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该模型与传统预期管理理论（Woodford,2003）的区别在于，后者聚焦预期的“水平变化”（如预期通胀率的高低），而量子模型更侧重刻画预期的“不确定性动态转化”（如从模糊预期到确定预期的过程），可解释相同政策在不同预期环境下的效果差异——例如，在预期高度模糊（叠加态分散）时，政策观测的坍缩效应更显著，政策传导效率相对更高。</w:t>
      </w:r>
    </w:p>
    <w:p w14:paraId="66F6B777">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需要明确的是，观测行为并非加剧不确定性，而是通过传递明确信号降低预期模糊性；观测者可明确界定为“权威信息发布者”（如央行、统计局、行业协会），效应强度可通过预期变化幅度、市场行为调整速度等指标量化。中国货币政策宣告的传导过程印证了这一逻辑：政策发布作为观测行为触发市场预期坍缩，推动金融机构调整信贷规模、企业优化投资计划、消费者改变消费决策，为政策预期管理的精准化提供更具针对性的分析工具。</w:t>
      </w:r>
    </w:p>
    <w:p w14:paraId="295C6D5F">
      <w:pPr>
        <w:keepNext w:val="0"/>
        <w:keepLines w:val="0"/>
        <w:pageBreakBefore w:val="0"/>
        <w:kinsoku/>
        <w:wordWrap/>
        <w:overflowPunct/>
        <w:topLinePunct w:val="0"/>
        <w:autoSpaceDE/>
        <w:autoSpaceDN/>
        <w:bidi w:val="0"/>
        <w:adjustRightInd/>
        <w:snapToGrid/>
        <w:spacing w:after="0" w:line="500" w:lineRule="exact"/>
        <w:ind w:firstLine="482" w:firstLineChars="200"/>
        <w:jc w:val="left"/>
        <w:textAlignment w:val="auto"/>
        <w:outlineLvl w:val="9"/>
        <w:rPr>
          <w:rFonts w:hint="eastAsia" w:ascii="宋体" w:hAnsi="宋体" w:eastAsia="宋体" w:cs="宋体"/>
          <w:color w:val="auto"/>
          <w:sz w:val="24"/>
          <w:szCs w:val="24"/>
        </w:rPr>
      </w:pPr>
      <w:bookmarkStart w:id="11" w:name="三_强适配场景的共性逻辑与学术价值"/>
      <w:r>
        <w:rPr>
          <w:rFonts w:hint="eastAsia" w:ascii="宋体" w:hAnsi="宋体" w:eastAsia="宋体" w:cs="宋体"/>
          <w:b/>
          <w:color w:val="auto"/>
          <w:sz w:val="24"/>
          <w:szCs w:val="24"/>
        </w:rPr>
        <w:t>（</w:t>
      </w:r>
      <w:r>
        <w:rPr>
          <w:rFonts w:hint="eastAsia" w:ascii="宋体" w:hAnsi="宋体" w:eastAsia="宋体" w:cs="宋体"/>
          <w:b/>
          <w:color w:val="auto"/>
          <w:sz w:val="24"/>
          <w:szCs w:val="24"/>
          <w:lang w:val="en-US" w:eastAsia="zh-CN"/>
        </w:rPr>
        <w:t>四</w:t>
      </w:r>
      <w:r>
        <w:rPr>
          <w:rFonts w:hint="eastAsia" w:ascii="宋体" w:hAnsi="宋体" w:eastAsia="宋体" w:cs="宋体"/>
          <w:b/>
          <w:color w:val="auto"/>
          <w:sz w:val="24"/>
          <w:szCs w:val="24"/>
        </w:rPr>
        <w:t>）强适配场景的共性逻辑与学术价值</w:t>
      </w:r>
      <w:bookmarkEnd w:id="11"/>
    </w:p>
    <w:p w14:paraId="5CFB1F56">
      <w:pPr>
        <w:keepNext w:val="0"/>
        <w:keepLines w:val="0"/>
        <w:pageBreakBefore w:val="0"/>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大强适配场景的共同逻辑在于，从量子概念中提炼普适性思维工具与数学框架，将抽象物理符号转化为具有明确经济含义的参数，实现与经济现象本质的有效对接。这种跨学科互补尝试具有三重学术价值：其一，保留传统经济学合理内核，通过“特殊条件下退化为经典模型”的设计，确保理论体系的延续性，避免对现有理论的颠覆式冲击；其二，在传统理论力所不及的领域实现边际改进，针对不确定性决策、非线性协同、动态预期传导等复杂问题，提供更精细的量化工具与机制解析；其三，搭建跨学科对话桥梁，既为量子理论在社会科学中的应用提供规范路径，也为经济学应对复杂现实挑战拓展方法论边界。</w:t>
      </w:r>
    </w:p>
    <w:p w14:paraId="653B7407">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需要强调的是，这类应用并非“物理概念的生硬嫁接”，而是基于本质特征同构的理论拓展，其价值最终体现在解释力与实践指导性的边际提升上——既不夸大量子概念的作用，也不否定传统理论的意义，而是通过互补协同，为理解复杂经济系统提供更具深度的理论视角与实践路径。</w:t>
      </w:r>
    </w:p>
    <w:p w14:paraId="20C489B4">
      <w:pPr>
        <w:keepNext w:val="0"/>
        <w:keepLines w:val="0"/>
        <w:pageBreakBefore w:val="0"/>
        <w:widowControl/>
        <w:kinsoku/>
        <w:wordWrap/>
        <w:overflowPunct/>
        <w:topLinePunct w:val="0"/>
        <w:autoSpaceDE/>
        <w:autoSpaceDN/>
        <w:bidi w:val="0"/>
        <w:adjustRightInd/>
        <w:snapToGrid/>
        <w:spacing w:after="0" w:line="500" w:lineRule="exact"/>
        <w:textAlignment w:val="auto"/>
        <w:outlineLvl w:val="9"/>
        <w:rPr>
          <w:rFonts w:hint="eastAsia" w:ascii="宋体" w:hAnsi="宋体" w:eastAsia="宋体" w:cs="宋体"/>
          <w:color w:val="auto"/>
          <w:sz w:val="24"/>
          <w:szCs w:val="24"/>
        </w:rPr>
      </w:pPr>
    </w:p>
    <w:p w14:paraId="658AFEC0">
      <w:pPr>
        <w:keepNext w:val="0"/>
        <w:keepLines w:val="0"/>
        <w:pageBreakBefore w:val="0"/>
        <w:widowControl/>
        <w:kinsoku/>
        <w:wordWrap/>
        <w:overflowPunct/>
        <w:topLinePunct w:val="0"/>
        <w:autoSpaceDE/>
        <w:autoSpaceDN/>
        <w:bidi w:val="0"/>
        <w:adjustRightInd/>
        <w:snapToGrid/>
        <w:spacing w:after="0" w:line="500" w:lineRule="exact"/>
        <w:ind w:firstLine="602" w:firstLineChars="200"/>
        <w:jc w:val="center"/>
        <w:textAlignment w:val="auto"/>
        <w:outlineLvl w:val="9"/>
        <w:rPr>
          <w:rFonts w:hint="eastAsia" w:ascii="宋体" w:hAnsi="宋体" w:eastAsia="宋体" w:cs="宋体"/>
          <w:color w:val="auto"/>
          <w:sz w:val="24"/>
          <w:szCs w:val="24"/>
        </w:rPr>
      </w:pPr>
      <w:r>
        <w:rPr>
          <w:rFonts w:hint="eastAsia" w:ascii="宋体" w:hAnsi="宋体" w:eastAsia="宋体" w:cs="宋体"/>
          <w:b/>
          <w:bCs/>
          <w:color w:val="auto"/>
          <w:sz w:val="30"/>
          <w:szCs w:val="30"/>
        </w:rPr>
        <w:t>六、弱适配区间：量子概念的条件性应用边界</w:t>
      </w:r>
    </w:p>
    <w:p w14:paraId="3DD7D275">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p>
    <w:p w14:paraId="0193F8C7">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（一）弱适配区间的核心界定标准</w:t>
      </w:r>
    </w:p>
    <w:p w14:paraId="77737D01">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弱适配区间的核心界定为：量子概念与经济系统可实现部分表面特征契合，但物理内核与经济系统的本质属性、核心逻辑存在显著差异，需通过严格场景限定、核心内涵隐喻化转化或分析逻辑重构等方式化解矛盾，方可实现有限度、有条件的应用。此类场景暂无法形成普适性理论框架，亦难以提供具备突破性价值的分析工具，但其学术价值可体现为思维启发与视角补充——在传统理论分析基础上，为经济现象解读提供差异化切入维度，并非否定其应用可行性，而是明确其“条件约束下的补充角色”，与强适配区间“本质同构、方法论互补”的核心特征形成清晰区分。</w:t>
      </w:r>
    </w:p>
    <w:p w14:paraId="54D59CA3">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界定弱适配区间的关键判断维度包括三方面：其一，本质属性契合度有限，量子概念的物理内核与经济系统的社会属性、主体能动性特征存在客观差异，需通过隐喻转化实现表层对接；其二，方法论适配性受约束，量子概念的数学工具或分析逻辑难以直接迁移，需经大幅简化或适应性改造，虽可能损失部分分析精度，但可保留核心作用逻辑；其三，替代效应客观存在，传统经济学已形成成熟的理论框架或分析工具，量子概念的应用并非突破传统理论边界，而是在既有分析基础上提供补充视角，丰富解读维度。</w:t>
      </w:r>
    </w:p>
    <w:p w14:paraId="21740895">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（二）典型场景的条件性应用与适配逻辑</w:t>
      </w:r>
    </w:p>
    <w:p w14:paraId="4C2CAD5D">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量子隧穿：经济突破行为的补充分析视角</w:t>
      </w:r>
    </w:p>
    <w:p w14:paraId="0CFB1AC1">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量子隧穿现象可作为理解经济领域“突破行为”的补充分析视角，其核心逻辑可通过隐喻转化实现条件性应用。量子隧穿的核心内涵是：微观粒子在自身能量（E）低于势垒高度（U）时，借助量子波动性以非零概率穿越势垒的量子效应，其核心特征可概括为“低概率突破高阻力约束”。该效应的隧穿概率经典表达式为</w:t>
      </w:r>
      <m:oMath>
        <m:r>
          <m:rPr/>
          <w:rPr>
            <w:rFonts w:hint="eastAsia" w:ascii="Cambria Math" w:hAnsi="Cambria Math" w:eastAsia="宋体" w:cs="宋体"/>
            <w:color w:val="auto"/>
            <w:sz w:val="24"/>
            <w:szCs w:val="24"/>
          </w:rPr>
          <m:t>P</m:t>
        </m:r>
        <m:r>
          <m:rPr>
            <m:sty m:val="p"/>
          </m:rPr>
          <w:rPr>
            <w:rFonts w:hint="eastAsia" w:ascii="Cambria Math" w:hAnsi="Cambria Math" w:eastAsia="宋体" w:cs="宋体"/>
            <w:color w:val="auto"/>
            <w:sz w:val="24"/>
            <w:szCs w:val="24"/>
          </w:rPr>
          <m:t>∝</m:t>
        </m:r>
        <m:sSup>
          <m:sSupPr>
            <m:ctrlPr>
              <w:rPr>
                <w:rFonts w:hint="eastAsia" w:ascii="Cambria Math" w:hAnsi="Cambria Math" w:eastAsia="宋体" w:cs="宋体"/>
                <w:color w:val="auto"/>
                <w:sz w:val="24"/>
                <w:szCs w:val="24"/>
              </w:rPr>
            </m:ctrlPr>
          </m:sSupPr>
          <m:e>
            <m:r>
              <m:rPr/>
              <w:rPr>
                <w:rFonts w:hint="eastAsia" w:ascii="Cambria Math" w:hAnsi="Cambria Math" w:eastAsia="宋体" w:cs="宋体"/>
                <w:color w:val="auto"/>
                <w:sz w:val="24"/>
                <w:szCs w:val="24"/>
              </w:rPr>
              <m:t>e</m:t>
            </m:r>
            <m:ctrlPr>
              <w:rPr>
                <w:rFonts w:hint="eastAsia" w:ascii="Cambria Math" w:hAnsi="Cambria Math" w:eastAsia="宋体" w:cs="宋体"/>
                <w:color w:val="auto"/>
                <w:sz w:val="24"/>
                <w:szCs w:val="24"/>
              </w:rPr>
            </m:ctrlPr>
          </m:e>
          <m:sup>
            <m:r>
              <m:rPr>
                <m:sty m:val="p"/>
              </m:rPr>
              <w:rPr>
                <w:rFonts w:hint="eastAsia" w:ascii="Cambria Math" w:hAnsi="Cambria Math" w:eastAsia="宋体" w:cs="宋体"/>
                <w:color w:val="auto"/>
                <w:sz w:val="24"/>
                <w:szCs w:val="24"/>
              </w:rPr>
              <m:t>−2</m:t>
            </m:r>
            <m:r>
              <m:rPr/>
              <w:rPr>
                <w:rFonts w:hint="eastAsia" w:ascii="Cambria Math" w:hAnsi="Cambria Math" w:eastAsia="宋体" w:cs="宋体"/>
                <w:color w:val="auto"/>
                <w:sz w:val="24"/>
                <w:szCs w:val="24"/>
              </w:rPr>
              <m:t>κd</m:t>
            </m:r>
            <m:ctrlPr>
              <w:rPr>
                <w:rFonts w:hint="eastAsia" w:ascii="Cambria Math" w:hAnsi="Cambria Math" w:eastAsia="宋体" w:cs="宋体"/>
                <w:color w:val="auto"/>
                <w:sz w:val="24"/>
                <w:szCs w:val="24"/>
              </w:rPr>
            </m:ctrlPr>
          </m:sup>
        </m:sSup>
      </m:oMath>
      <w:r>
        <w:rPr>
          <w:rFonts w:hint="eastAsia" w:ascii="宋体" w:hAnsi="宋体" w:eastAsia="宋体" w:cs="宋体"/>
          <w:color w:val="auto"/>
          <w:sz w:val="24"/>
          <w:szCs w:val="24"/>
        </w:rPr>
        <w:t>，其中</w:t>
      </w:r>
      <m:oMath>
        <m:r>
          <m:rPr/>
          <w:rPr>
            <w:rFonts w:hint="eastAsia" w:ascii="Cambria Math" w:hAnsi="Cambria Math" w:eastAsia="宋体" w:cs="宋体"/>
            <w:color w:val="auto"/>
            <w:sz w:val="24"/>
            <w:szCs w:val="24"/>
          </w:rPr>
          <m:t>κ</m:t>
        </m:r>
        <m:r>
          <m:rPr>
            <m:sty m:val="p"/>
          </m:rPr>
          <w:rPr>
            <w:rFonts w:hint="eastAsia" w:ascii="Cambria Math" w:hAnsi="Cambria Math" w:eastAsia="宋体" w:cs="宋体"/>
            <w:color w:val="auto"/>
            <w:sz w:val="24"/>
            <w:szCs w:val="24"/>
          </w:rPr>
          <m:t>=</m:t>
        </m:r>
        <m:rad>
          <m:radPr>
            <m:degHide m:val="1"/>
            <m:ctrlPr>
              <w:rPr>
                <w:rFonts w:hint="eastAsia" w:ascii="Cambria Math" w:hAnsi="Cambria Math" w:eastAsia="宋体" w:cs="宋体"/>
                <w:color w:val="auto"/>
                <w:sz w:val="24"/>
                <w:szCs w:val="24"/>
              </w:rPr>
            </m:ctrlPr>
          </m:radPr>
          <m:deg>
            <m:ctrlPr>
              <w:rPr>
                <w:rFonts w:hint="eastAsia" w:ascii="Cambria Math" w:hAnsi="Cambria Math" w:eastAsia="宋体" w:cs="宋体"/>
                <w:color w:val="auto"/>
                <w:sz w:val="24"/>
                <w:szCs w:val="24"/>
              </w:rPr>
            </m:ctrlPr>
          </m:deg>
          <m:e>
            <m:f>
              <m:fPr>
                <m:ctrlPr>
                  <w:rPr>
                    <w:rFonts w:hint="eastAsia" w:ascii="Cambria Math" w:hAnsi="Cambria Math" w:eastAsia="宋体" w:cs="宋体"/>
                    <w:color w:val="auto"/>
                    <w:sz w:val="24"/>
                    <w:szCs w:val="24"/>
                  </w:rPr>
                </m:ctrlPr>
              </m:fPr>
              <m:num>
                <m:r>
                  <m:rPr>
                    <m:sty m:val="p"/>
                  </m:rPr>
                  <w:rPr>
                    <w:rFonts w:hint="eastAsia" w:ascii="Cambria Math" w:hAnsi="Cambria Math" w:eastAsia="宋体" w:cs="宋体"/>
                    <w:color w:val="auto"/>
                    <w:sz w:val="24"/>
                    <w:szCs w:val="24"/>
                  </w:rPr>
                  <m:t>2</m:t>
                </m:r>
                <m:r>
                  <m:rPr/>
                  <w:rPr>
                    <w:rFonts w:hint="eastAsia" w:ascii="Cambria Math" w:hAnsi="Cambria Math" w:eastAsia="宋体" w:cs="宋体"/>
                    <w:color w:val="auto"/>
                    <w:sz w:val="24"/>
                    <w:szCs w:val="24"/>
                  </w:rPr>
                  <m:t>m</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U</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E</m:t>
                </m:r>
                <m:r>
                  <m:rPr>
                    <m:sty m:val="p"/>
                  </m:rPr>
                  <w:rPr>
                    <w:rFonts w:hint="eastAsia" w:ascii="Cambria Math" w:hAnsi="Cambria Math" w:eastAsia="宋体" w:cs="宋体"/>
                    <w:color w:val="auto"/>
                    <w:sz w:val="24"/>
                    <w:szCs w:val="24"/>
                  </w:rPr>
                  <m:t>)</m:t>
                </m:r>
                <m:ctrlPr>
                  <w:rPr>
                    <w:rFonts w:hint="eastAsia" w:ascii="Cambria Math" w:hAnsi="Cambria Math" w:eastAsia="宋体" w:cs="宋体"/>
                    <w:color w:val="auto"/>
                    <w:sz w:val="24"/>
                    <w:szCs w:val="24"/>
                  </w:rPr>
                </m:ctrlPr>
              </m:num>
              <m:den>
                <m:sSup>
                  <m:sSupPr>
                    <m:ctrlPr>
                      <w:rPr>
                        <w:rFonts w:hint="eastAsia" w:ascii="Cambria Math" w:hAnsi="Cambria Math" w:eastAsia="宋体" w:cs="宋体"/>
                        <w:color w:val="auto"/>
                        <w:sz w:val="24"/>
                        <w:szCs w:val="24"/>
                      </w:rPr>
                    </m:ctrlPr>
                  </m:sSupPr>
                  <m:e>
                    <m:r>
                      <m:rPr/>
                      <w:rPr>
                        <w:rFonts w:hint="eastAsia" w:ascii="Cambria Math" w:hAnsi="Cambria Math" w:eastAsia="宋体" w:cs="宋体"/>
                        <w:color w:val="auto"/>
                        <w:sz w:val="24"/>
                        <w:szCs w:val="24"/>
                      </w:rPr>
                      <m:t>ℏ</m:t>
                    </m:r>
                    <m:ctrlPr>
                      <w:rPr>
                        <w:rFonts w:hint="eastAsia" w:ascii="Cambria Math" w:hAnsi="Cambria Math" w:eastAsia="宋体" w:cs="宋体"/>
                        <w:color w:val="auto"/>
                        <w:sz w:val="24"/>
                        <w:szCs w:val="24"/>
                      </w:rPr>
                    </m:ctrlPr>
                  </m:e>
                  <m:sup>
                    <m:r>
                      <m:rPr>
                        <m:sty m:val="p"/>
                      </m:rPr>
                      <w:rPr>
                        <w:rFonts w:hint="eastAsia" w:ascii="Cambria Math" w:hAnsi="Cambria Math" w:eastAsia="宋体" w:cs="宋体"/>
                        <w:color w:val="auto"/>
                        <w:sz w:val="24"/>
                        <w:szCs w:val="24"/>
                      </w:rPr>
                      <m:t>2</m:t>
                    </m:r>
                    <m:ctrlPr>
                      <w:rPr>
                        <w:rFonts w:hint="eastAsia" w:ascii="Cambria Math" w:hAnsi="Cambria Math" w:eastAsia="宋体" w:cs="宋体"/>
                        <w:color w:val="auto"/>
                        <w:sz w:val="24"/>
                        <w:szCs w:val="24"/>
                      </w:rPr>
                    </m:ctrlPr>
                  </m:sup>
                </m:sSup>
                <m:ctrlPr>
                  <w:rPr>
                    <w:rFonts w:hint="eastAsia" w:ascii="Cambria Math" w:hAnsi="Cambria Math" w:eastAsia="宋体" w:cs="宋体"/>
                    <w:color w:val="auto"/>
                    <w:sz w:val="24"/>
                    <w:szCs w:val="24"/>
                  </w:rPr>
                </m:ctrlPr>
              </m:den>
            </m:f>
            <m:ctrlPr>
              <w:rPr>
                <w:rFonts w:hint="eastAsia" w:ascii="Cambria Math" w:hAnsi="Cambria Math" w:eastAsia="宋体" w:cs="宋体"/>
                <w:color w:val="auto"/>
                <w:sz w:val="24"/>
                <w:szCs w:val="24"/>
              </w:rPr>
            </m:ctrlPr>
          </m:e>
        </m:rad>
      </m:oMath>
      <w:r>
        <w:rPr>
          <w:rFonts w:hint="eastAsia" w:ascii="宋体" w:hAnsi="宋体" w:eastAsia="宋体" w:cs="宋体"/>
          <w:color w:val="auto"/>
          <w:sz w:val="24"/>
          <w:szCs w:val="24"/>
        </w:rPr>
        <w:t>（m为粒子质量，</w:t>
      </w:r>
      <m:oMath>
        <m:r>
          <m:rPr/>
          <w:rPr>
            <w:rFonts w:hint="eastAsia" w:ascii="Cambria Math" w:hAnsi="Cambria Math" w:eastAsia="宋体" w:cs="宋体"/>
            <w:color w:val="auto"/>
            <w:sz w:val="24"/>
            <w:szCs w:val="24"/>
          </w:rPr>
          <m:t>ℏ</m:t>
        </m:r>
      </m:oMath>
      <w:r>
        <w:rPr>
          <w:rFonts w:hint="eastAsia" w:ascii="宋体" w:hAnsi="宋体" w:eastAsia="宋体" w:cs="宋体"/>
          <w:color w:val="auto"/>
          <w:sz w:val="24"/>
          <w:szCs w:val="24"/>
        </w:rPr>
        <w:t>为约化普朗克常数，d为势垒宽度），该式可有效刻画隧穿概率与粒子特性、势垒参数间的量化关系。量子隧穿“低概率突破约束”的核心特征，可与企业突破技术瓶颈、区域摆脱发展困境等经济“突破行为”形成隐喻性关联：经济场景中的技术壁垒、资源约束、制度障碍等阻力因素可对应量子隧穿中的“势垒”，经济主体（企业、区域等）的技术研发能力、资源禀赋水平、创新活力等核心竞争力可对应微观粒子的“能量”。基于这一隐喻关联，可构建简化分析模型</w:t>
      </w:r>
      <m:oMath>
        <m:sSub>
          <m:sSubPr>
            <m:ctrlPr>
              <w:rPr>
                <w:rFonts w:hint="eastAsia" w:ascii="Cambria Math" w:hAnsi="Cambria Math" w:eastAsia="宋体" w:cs="宋体"/>
                <w:color w:val="auto"/>
                <w:sz w:val="24"/>
                <w:szCs w:val="24"/>
              </w:rPr>
            </m:ctrlPr>
          </m:sSubPr>
          <m:e>
            <m:r>
              <m:rPr/>
              <w:rPr>
                <w:rFonts w:hint="eastAsia" w:ascii="Cambria Math" w:hAnsi="Cambria Math" w:eastAsia="宋体" w:cs="宋体"/>
                <w:color w:val="auto"/>
                <w:sz w:val="24"/>
                <w:szCs w:val="24"/>
              </w:rPr>
              <m:t>P</m:t>
            </m:r>
            <m:ctrlPr>
              <w:rPr>
                <w:rFonts w:hint="eastAsia" w:ascii="Cambria Math" w:hAnsi="Cambria Math" w:eastAsia="宋体" w:cs="宋体"/>
                <w:color w:val="auto"/>
                <w:sz w:val="24"/>
                <w:szCs w:val="24"/>
              </w:rPr>
            </m:ctrlPr>
          </m:e>
          <m:sub>
            <m:r>
              <m:rPr>
                <m:nor/>
                <m:sty m:val="p"/>
              </m:rPr>
              <w:rPr>
                <w:rFonts w:hint="eastAsia" w:ascii="Cambria Math" w:hAnsi="Cambria Math" w:eastAsia="宋体" w:cs="宋体"/>
                <w:b w:val="0"/>
                <w:i w:val="0"/>
                <w:color w:val="auto"/>
                <w:sz w:val="24"/>
                <w:szCs w:val="24"/>
              </w:rPr>
              <m:t>突破</m:t>
            </m:r>
            <m:ctrlPr>
              <w:rPr>
                <w:rFonts w:hint="eastAsia" w:ascii="Cambria Math" w:hAnsi="Cambria Math" w:eastAsia="宋体" w:cs="宋体"/>
                <w:color w:val="auto"/>
                <w:sz w:val="24"/>
                <w:szCs w:val="24"/>
              </w:rPr>
            </m:ctrlPr>
          </m:sub>
        </m:sSub>
        <m:r>
          <m:rPr>
            <m:sty m:val="p"/>
          </m:rPr>
          <w:rPr>
            <w:rFonts w:hint="eastAsia" w:ascii="Cambria Math" w:hAnsi="Cambria Math" w:eastAsia="宋体" w:cs="宋体"/>
            <w:color w:val="auto"/>
            <w:sz w:val="24"/>
            <w:szCs w:val="24"/>
          </w:rPr>
          <m:t>=</m:t>
        </m:r>
        <m:sSup>
          <m:sSupPr>
            <m:ctrlPr>
              <w:rPr>
                <w:rFonts w:hint="eastAsia" w:ascii="Cambria Math" w:hAnsi="Cambria Math" w:eastAsia="宋体" w:cs="宋体"/>
                <w:color w:val="auto"/>
                <w:sz w:val="24"/>
                <w:szCs w:val="24"/>
              </w:rPr>
            </m:ctrlPr>
          </m:sSupPr>
          <m:e>
            <m:r>
              <m:rPr/>
              <w:rPr>
                <w:rFonts w:hint="eastAsia" w:ascii="Cambria Math" w:hAnsi="Cambria Math" w:eastAsia="宋体" w:cs="宋体"/>
                <w:color w:val="auto"/>
                <w:sz w:val="24"/>
                <w:szCs w:val="24"/>
              </w:rPr>
              <m:t>e</m:t>
            </m:r>
            <m:ctrlPr>
              <w:rPr>
                <w:rFonts w:hint="eastAsia" w:ascii="Cambria Math" w:hAnsi="Cambria Math" w:eastAsia="宋体" w:cs="宋体"/>
                <w:color w:val="auto"/>
                <w:sz w:val="24"/>
                <w:szCs w:val="24"/>
              </w:rPr>
            </m:ctrlPr>
          </m:e>
          <m:sup>
            <m:r>
              <m:rPr>
                <m:sty m:val="p"/>
              </m:rPr>
              <w:rPr>
                <w:rFonts w:hint="eastAsia" w:ascii="Cambria Math" w:hAnsi="Cambria Math" w:eastAsia="宋体" w:cs="宋体"/>
                <w:color w:val="auto"/>
                <w:sz w:val="24"/>
                <w:szCs w:val="24"/>
              </w:rPr>
              <m:t>−2</m:t>
            </m:r>
            <m:r>
              <m:rPr/>
              <w:rPr>
                <w:rFonts w:hint="eastAsia" w:ascii="Cambria Math" w:hAnsi="Cambria Math" w:eastAsia="宋体" w:cs="宋体"/>
                <w:color w:val="auto"/>
                <w:sz w:val="24"/>
                <w:szCs w:val="24"/>
              </w:rPr>
              <m:t>κ</m:t>
            </m:r>
            <m:r>
              <m:rPr>
                <m:sty m:val="p"/>
              </m:rPr>
              <w:rPr>
                <w:rFonts w:hint="eastAsia" w:ascii="Cambria Math" w:hAnsi="Cambria Math" w:eastAsia="宋体" w:cs="宋体"/>
                <w:color w:val="auto"/>
                <w:sz w:val="24"/>
                <w:szCs w:val="24"/>
              </w:rPr>
              <m:t>⋅</m:t>
            </m:r>
            <m:r>
              <m:rPr>
                <m:nor/>
                <m:sty m:val="p"/>
              </m:rPr>
              <w:rPr>
                <w:rFonts w:hint="eastAsia" w:ascii="Cambria Math" w:hAnsi="Cambria Math" w:eastAsia="宋体" w:cs="宋体"/>
                <w:color w:val="auto"/>
                <w:sz w:val="24"/>
                <w:szCs w:val="24"/>
              </w:rPr>
              <m:t>Barrier</m:t>
            </m:r>
            <m:r>
              <m:rPr>
                <m:sty m:val="p"/>
              </m:rPr>
              <w:rPr>
                <w:rFonts w:hint="eastAsia" w:ascii="Cambria Math" w:hAnsi="Cambria Math" w:eastAsia="宋体" w:cs="宋体"/>
                <w:color w:val="auto"/>
                <w:sz w:val="24"/>
                <w:szCs w:val="24"/>
              </w:rPr>
              <m:t>⋅</m:t>
            </m:r>
            <m:r>
              <m:rPr/>
              <w:rPr>
                <w:rFonts w:hint="eastAsia" w:ascii="Cambria Math" w:hAnsi="Cambria Math" w:eastAsia="宋体" w:cs="宋体"/>
                <w:color w:val="auto"/>
                <w:sz w:val="24"/>
                <w:szCs w:val="24"/>
              </w:rPr>
              <m:t>θ</m:t>
            </m:r>
            <m:r>
              <m:rPr>
                <m:sty m:val="p"/>
              </m:rPr>
              <w:rPr>
                <w:rFonts w:hint="eastAsia" w:ascii="Cambria Math" w:hAnsi="Cambria Math" w:eastAsia="宋体" w:cs="宋体"/>
                <w:color w:val="auto"/>
                <w:sz w:val="24"/>
                <w:szCs w:val="24"/>
              </w:rPr>
              <m:t>/</m:t>
            </m:r>
            <m:r>
              <m:rPr>
                <m:nor/>
                <m:sty m:val="p"/>
              </m:rPr>
              <w:rPr>
                <w:rFonts w:hint="eastAsia" w:ascii="Cambria Math" w:hAnsi="Cambria Math" w:eastAsia="宋体" w:cs="宋体"/>
                <w:color w:val="auto"/>
                <w:sz w:val="24"/>
                <w:szCs w:val="24"/>
              </w:rPr>
              <m:t>Ability</m:t>
            </m:r>
            <m:ctrlPr>
              <w:rPr>
                <w:rFonts w:hint="eastAsia" w:ascii="Cambria Math" w:hAnsi="Cambria Math" w:eastAsia="宋体" w:cs="宋体"/>
                <w:color w:val="auto"/>
                <w:sz w:val="24"/>
                <w:szCs w:val="24"/>
              </w:rPr>
            </m:ctrlPr>
          </m:sup>
        </m:sSup>
      </m:oMath>
      <w:r>
        <w:rPr>
          <w:rFonts w:hint="eastAsia" w:ascii="宋体" w:hAnsi="宋体" w:eastAsia="宋体" w:cs="宋体"/>
          <w:color w:val="auto"/>
          <w:sz w:val="24"/>
          <w:szCs w:val="24"/>
        </w:rPr>
        <w:t>，其中Barrier表征经济壁垒综合强度（含技术、资源、制度等维度加权），Ability表征经济主体核心能力水平，θ为制度环境调节系数（取值范围0&lt;θ≤1，制度适配性越强则θ越趋近于1），该模型可直观呈现核心影响因素对突破概率的作用方向及边际效应特征。</w:t>
      </w:r>
    </w:p>
    <w:p w14:paraId="349ECCF1">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需明确的是，量子隧穿与经济突破存在本质差异，隐喻应用需严格界定边界：量子隧穿的不确定性源于微观粒子的波粒二象性，其发生机制由量子力学客观规律主导，不涉及主体主观能动性；而经济突破的不确定性源于经济主体创新动机差异、市场需求动态变化、多主体间策略互动等主客观因素的复杂交织，本质是经济主体主动决策与外部环境动态适配的结果，其过程兼具路径依赖性与主观能动性。</w:t>
      </w:r>
    </w:p>
    <w:p w14:paraId="318C8A43">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方法论层面需正视局限：经济壁垒强度、主体能力水平等核心变量难以像物理参数那样精准量化，需通过代理变量或定性评估弱化精度不足的影响；经济突破往往涉及多主体协同与多因素动态互动，需结合传统理论完善分析框架。实践中，可将量子隧穿的隐喻视角与传统创新理论（Schumpeter,1934）、资源基础观（Barney,1991）结合——前者直观呈现“壁垒-能力”的核心作用逻辑，后者深入解析突破的动机机制与影响因素，二者互补可提升分析的全面性。这种应用并非替代传统理论，而是通过差异化视角强化对“低概率突破”现象的解读，为政策制定提供“降低壁垒强度、提升主体能力、优化制度环境”的清晰方向。</w:t>
      </w:r>
    </w:p>
    <w:p w14:paraId="5B547E9B">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量子超距作用：经济非局域关联的辅助解读工具</w:t>
      </w:r>
    </w:p>
    <w:p w14:paraId="01E492E6">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量子超距作用可作为理解经济非局域关联的辅助工具，在严格场景限定下实现有效应用。量子超距作用的核心是纠缠粒子间不受空间距离限制的瞬时关联（Einstein et al.,1935），其“无中介、非局域”的表层特征，可与全球股市瞬时联动、数字信息即时传导、市场情绪快速扩散等经济现象形成部分契合——数字技术赋能下，经济系统确实存在不依赖直接接触的远程快速关联。</w:t>
      </w:r>
    </w:p>
    <w:p w14:paraId="69758F43">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基于此，可构建简化逻辑：经济关联载体（资本、信息、技术、市场情绪等）对应量子纠缠粒子，关联强度可简化为I关联=g⋅e⁻ʸ⋅ᴰ⋅ᶜ（其中g为基础关联系数，D为空间或结构距离，C为载体关联性，γ为调节系数），隐喻核心影响因素的作用机制。需明确的是，经济非局域关联与量子超距作用存在本质差异：前者是“有条件的非局域性”，依赖数字交易网络、即时通信技术、社会网络连接等中介载体，是技术与制度赋能的结果；后者是粒子间无条件的瞬时关联，源于量子纠缠的本质属性。</w:t>
      </w:r>
    </w:p>
    <w:p w14:paraId="50124E0F">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方法论层面需强化约束：经济关联的耦合系数、情绪扩散强度等变量难以精准量化，需结合传统计量工具提升客观性；经济关联处于开放系统中，受政策干预、市场摩擦等多重因素干扰，需通过场景限定（如数字经济领域的瞬时关联场景）弱化干扰。应用中，可将量子超距作用的隐喻逻辑与金融传染效应模型、信号传递理论、空间计量经济学方法结合——前者直观呈现非局域关联的“距离-强度”关系，后者精准解析关联的形成机制与影响效果，二者协同可丰富对经济远程联动现象的解读维度。这种应用可有效辅助理解数字经济时代的关联特征，为跨区域协同、风险防控提供“强化载体关联性、优化传输渠道、降低距离约束”的分析视角。</w:t>
      </w:r>
    </w:p>
    <w:p w14:paraId="137E5D3F">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（三）弱适配区间的核心特征与应用原则</w:t>
      </w:r>
    </w:p>
    <w:p w14:paraId="2978BF81">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核心共性特征</w:t>
      </w:r>
    </w:p>
    <w:p w14:paraId="016B0D48">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弱适配区间的典型场景呈现鲜明共性特征：其一，隐喻性与补充性主导，量子概念与经济系统仅实现表面特征类比，需通过隐喻转化对接核心逻辑，核心价值在于补充传统理论的分析视角，而非构建独立范式；其二，条件依赖性极强，应用需严格限定场景边界（如数字技术赋能的瞬时关联、单一主体的突破行为），并通过简化假设弱化本质差异的影响；其三，互补性显著，需与传统经济学成熟理论、分析工具结合使用，依托多视角交叉验证提升分析有效性；其四，理论创新贡献相对有限，暂无法衍生出新的理论洞见或分析范式，但可通过差异化视角强化对特定经济现象的解读，丰富学科研究维度。</w:t>
      </w:r>
    </w:p>
    <w:p w14:paraId="27107A4C">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边界约束与应用原则</w:t>
      </w:r>
    </w:p>
    <w:p w14:paraId="32484F10">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弱适配区间的界定，核心是明确量子概念的合理应用路径，而非否定其应用价值——量子概念可作为有效的思维启发与补充分析工具，为特定经济现象提供差异化解读，但需遵循严格的边界约束与应用原则，确保分析立足经济系统本质特征。</w:t>
      </w:r>
    </w:p>
    <w:p w14:paraId="7FAE91BF">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第一，问题导向原则。坚持“以经济问题为核心”，若传统理论已能充分解释现象、解决问题，无需强行嫁接量子概念；仅在传统理论对特定现象（如低概率突破、远程快速关联）的解读存在视角局限时，可尝试引入量子概念作为补充。第二，严格条件约束原则。应用需清晰界定适用场景的边界条件，明确量子概念的内涵转化方式（隐喻化、简化处理）与核心变量的量化逻辑，避免模糊适用范围或夸大应用价值；同时正视方法论局限，不回避参数量化精度不足等问题。第三，互补协同原则。明确量子概念的角色是“补充视角”而非“替代工具”，应用过程中需与传统经济学理论、计量方法深度结合，通过“量子隐喻提供直观逻辑+传统理论解析本质机制+计量工具保障实证严谨”的协同框架，提升研究的全面性与可靠性。</w:t>
      </w:r>
    </w:p>
    <w:p w14:paraId="35895A3E">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综上，弱适配区间为量子概念在经济学中的应用提供了清晰的边界指引：既规避了“概念泛化”“物理崇拜”的学术误区，又充分发挥其思维启发与视角补充的价值，确保研究始终立足经济现实需求，在传统理论与跨学科探索之间形成有效协同，为量子概念的合理应用与经济学研究的多元化发展提供支撑。</w:t>
      </w:r>
    </w:p>
    <w:p w14:paraId="2D0230F0">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p>
    <w:p w14:paraId="377DF132">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p>
    <w:p w14:paraId="102BA383">
      <w:pPr>
        <w:keepNext w:val="0"/>
        <w:keepLines w:val="0"/>
        <w:pageBreakBefore w:val="0"/>
        <w:widowControl/>
        <w:kinsoku/>
        <w:wordWrap/>
        <w:overflowPunct/>
        <w:topLinePunct w:val="0"/>
        <w:autoSpaceDE/>
        <w:autoSpaceDN/>
        <w:bidi w:val="0"/>
        <w:adjustRightInd/>
        <w:snapToGrid/>
        <w:spacing w:after="0" w:line="500" w:lineRule="exact"/>
        <w:ind w:firstLine="602" w:firstLineChars="200"/>
        <w:jc w:val="center"/>
        <w:textAlignment w:val="auto"/>
        <w:outlineLvl w:val="9"/>
        <w:rPr>
          <w:rFonts w:hint="eastAsia" w:ascii="宋体" w:hAnsi="宋体" w:eastAsia="宋体" w:cs="宋体"/>
          <w:color w:val="auto"/>
          <w:sz w:val="24"/>
          <w:szCs w:val="24"/>
        </w:rPr>
      </w:pPr>
      <w:r>
        <w:rPr>
          <w:rFonts w:hint="eastAsia" w:ascii="宋体" w:hAnsi="宋体" w:eastAsia="宋体" w:cs="宋体"/>
          <w:b/>
          <w:bCs/>
          <w:color w:val="auto"/>
          <w:sz w:val="30"/>
          <w:szCs w:val="30"/>
        </w:rPr>
        <w:t>七、不适配区间：量子概念的应用边界划定</w:t>
      </w:r>
    </w:p>
    <w:p w14:paraId="08D63CCD">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p>
    <w:p w14:paraId="030AC6A2">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（一）不适配区间的核心界定标准</w:t>
      </w:r>
    </w:p>
    <w:p w14:paraId="7A151B63">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不适配区间的核心界定为：量子概念的物理本质与经济系统的核心属性存在难以调和的根本矛盾，此类矛盾无法通过隐喻映射、逻辑重构或场景简化实现有效迁移。该类场景中，强行嫁接量子概念可能导致理论逻辑偏差、与经济现实脱节，甚至引发误导性政策后果。</w:t>
      </w:r>
    </w:p>
    <w:p w14:paraId="247EB737">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界定不适配区间的关键判断维度包括三方面：其一，本质属性完全对立，量子概念的物理内核与经济系统的历史不可逆性、主体能动性、关联异质性等核心特征存在根本冲突；其二，矛盾不可调和，现有学术方法无法化解二者的本质差异，任何形式的概念迁移都会破坏理论逻辑的自洽性或脱离现实；其三，潜在风险显著，强行应用不仅无法提升理论解释力，还可能产生理论误导或实践层面的政策风险。其冲突集中体现在时间维度、关联维度、主体维度三个核心层面，以下结合具体逻辑与现实案例展开分析，明确量子概念在经济学应用中的合理边界。</w:t>
      </w:r>
    </w:p>
    <w:p w14:paraId="502CCC73">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（二）三大核心冲突维度的分析</w:t>
      </w:r>
    </w:p>
    <w:p w14:paraId="56991624">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时间维度：量子可逆性与经济路径依赖的本质对立</w:t>
      </w:r>
    </w:p>
    <w:p w14:paraId="2F5409D3">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量子可逆性与经济路径依赖的冲突，本质是物理时间对称性与经济历史不可逆性的根本对立。量子力学的时间可逆性意味着物理过程在时间反演变换下保持不变，逆过程与正过程具有同等物理可行性，不存在“历史锁定”效应；而经济系统的核心特征之一是路径依赖（North,1990），时间不可逆性贯穿经济演化全程，构成经济系统的本质属性。</w:t>
      </w:r>
    </w:p>
    <w:p w14:paraId="6CAB7831">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具体来看，经济系统的不可逆性体现在三方面：其一，决策实施的不可逆影响——企业投资、消费者选择、政府政策等经济行为一旦发生，便会产生连锁反应，资源配置状态、利益分配格局难以完全恢复至初始状态；其二，演化轨迹的历史锁定效应——经济系统的发展受关键历史事件、制度惯性的影响，形成“一步依赖一步”的递进轨迹，无法脱离历史基础随意切换演化路径；其三，制度文化的积累性特征——制度规则、文化观念的形成是长期历史积累的结果，即便出现调整也仅能在现有基础上优化完善，难以彻底逆转至初始状态。</w:t>
      </w:r>
    </w:p>
    <w:p w14:paraId="1C5F9F08">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中国市场化转型的实践轨迹即为典型例证：改革遵循“农村到城市、价格到产权、局部到整体”的递进逻辑，形成的市场机制、产权制度、要素配置模式已深度嵌入经济运行体系，成为经济持续发展的制度基础，难以逆转至计划经济时期的初始状态。若强行套用量子可逆性解释经济现象，可能陷入历史虚无主义的认知误区，忽视历史积累与制度惯性的核心作用；在政策层面，还可能误导政策制定者频繁调整政策方向，无视政策实施的不可逆影响，进而造成资源浪费与市场预期紊乱。</w:t>
      </w:r>
    </w:p>
    <w:p w14:paraId="742E3106">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关联维度：量子全同粒子假设与经济主体异质性的本质对立</w:t>
      </w:r>
    </w:p>
    <w:p w14:paraId="4F8E623B">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量子全同粒子假设与经济主体异质性的冲突，本质是物理粒子同质化与经济主体差异化的根本对立，这一矛盾直接颠覆经济关联的核心逻辑。量子力学的核心假设之一是“全同粒子性”——同类微观粒子（如电子、光子）不具备个体差异，无法通过任何物理测量手段区分，其关联行为仅由统一的量子态决定，不受个体特征影响；而经济系统中，所有关联行为的核心前提是“主体异质性”，经济主体（个人、企业、区域）的偏好、能力、资源禀赋、策略选择存在显著差异，异质性既是经济关联产生的根源（如分工、交易、合作均源于差异互补），也是经济系统演化的核心动力。</w:t>
      </w:r>
    </w:p>
    <w:p w14:paraId="33D34935">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具体来看，经济主体异质性体现在三方面：其一，个体特征异质性——个人的收入水平、风险偏好、认知能力存在差异，企业的技术水平、资源规模、治理结构各不相同，区域的要素禀赋、产业基础、制度环境存在分化；其二，行为策略异质性——面对同一市场信号，不同主体会基于自身特征做出差异化决策（如同样的利率调整，中小企业与大型企业的投资反应截然不同）；其三，关联动机异质性——经济关联的本质是异质性主体的差异互补，如劳动力与资本的结合、技术与市场的对接、区域间的产业协作，均以异质性为前提，同质化主体间难以形成可持续的关联价值。</w:t>
      </w:r>
    </w:p>
    <w:p w14:paraId="6F9BA25E">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若强行将量子全同粒子假设套用于经济分析，会人为消解经济主体的异质性特征，构建“同质化主体”的错误模型，导致对经济关联本质的误读——例如忽视企业异质性会高估政策传导的统一性，忽视区域异质性会误导区域协调发展政策的制定。在理论层面，这种假设会背离经济学关于“主体异质性”的基本前提（Stiglitz,1981），破坏理论逻辑的自洽性；在政策层面，可能导致政策制定者采取“一刀切”的调控措施，无视主体差异带来的政策效果分化，进而引发资源错配或政策失灵。</w:t>
      </w:r>
    </w:p>
    <w:p w14:paraId="3EC45A88">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主体维度：量子系统规律约束性与经济主体自由意志的根本对立</w:t>
      </w:r>
    </w:p>
    <w:p w14:paraId="70EBDE13">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量子系统的规律约束性与经济主体自由意志的冲突，根源是物理机械性与经济能动性的本质差异。量子力学虽包含不确定性，但微观粒子的运动始终严格遵循薛定谔方程、测不准原理等物理规律，其行为模式具有明确的规律约束性，不存在自主选择的空间；而经济系统的核心是人的活动，经济主体（个人、企业、政府）具有自由意志与主观能动性，这是经济系统活力与创新的核心来源。</w:t>
      </w:r>
    </w:p>
    <w:p w14:paraId="0488046B">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经济主体的能动性具体体现为三方面：其一，决策的自主选择性——经济决策并非由初始条件完全决定，而是受偏好、信念、认知水平、文化背景等多重因素影响，主体具有自主判断与选择的空间；其二，行为的创造性突破——企业家创新、制度变革、技术革新等经济行为，往往突破现有约束条件，创造全新的经济模式、产品服务或制度规则，难以用固定规律完全预测；其三，互动的策略性动态性——经济主体间的竞争、合作、博弈具有显著的策略性与动态调整特征，构成经济系统演化的核心动力。</w:t>
      </w:r>
    </w:p>
    <w:p w14:paraId="687A9154">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企业家创新行为的不可完全预测性即为明证：无论是智能手机的技术革新、共享经济的商业模式创新，还是数字平台的生态构建，均源于企业家的创造性思维与冒险精神，而非物理定律支配下的必然结果。若强行将量子系统的规律约束性套用于经济分析，易陷入机械论的认知误区，忽视主体的创造性与经济系统的活力，导致经济学失去对创新与增长核心动力的解释能力；在政策层面，可能误导政策制定者过度强调“规律主导”，忽视对企业家精神、创新激励机制的培育，进而抑制经济系统的内生增长动力。</w:t>
      </w:r>
    </w:p>
    <w:p w14:paraId="290428E4">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（三）不适配区间的共性特征与应用启示</w:t>
      </w:r>
    </w:p>
    <w:p w14:paraId="0CCD2DBD">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核心共性特征</w:t>
      </w:r>
    </w:p>
    <w:p w14:paraId="69FD924A">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不适配区间的三大冲突维度虽聚焦领域不同，但呈现出鲜明的共性特征：其一，本质冲突的不可调和性。矛盾并非源于表面特征的差异，而是植根于物理系统的全同性、机械性、时间对称性，与经济系统的主体异质性、能动性、历史不可逆性的核心对立，这种对立无法通过学术方法的优化实现有效化解。其二，潜在风险的多重性。强行应用量子概念不仅会导致理论逻辑偏差、与经济现实脱节，还可能引发误导性的政策后果，损害市场活力、造成资源浪费或破坏发展的历史连续性。其三，替代价值缺失。传统经济学已形成覆盖相关场景的成熟理论框架——路径依赖理论（North,1990）、主体异质性理论（Stiglitz,1981）、创新理论（Schumpeter,1934）等已能充分解释经济系统的历史特征、关联模式与主体行为，量子概念的应用不仅无法补充现有理论的解释缺口，反而可能破坏其科学性与严谨性。</w:t>
      </w:r>
    </w:p>
    <w:p w14:paraId="5818B687">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应用启示</w:t>
      </w:r>
    </w:p>
    <w:p w14:paraId="78FFDFC0">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不适配区间的存在，为量子经济学研究划定了清晰的应用边界，也为相关学术研究提供了重要启示：一是始终坚持“经济本质优先”原则。经济学研究应立足经济系统的核心属性，以“问题导向”而非“概念导向”开展研究，量子概念的应用需以“不与经济本质属性冲突”为前提，不可为追求概念创新而忽视现实逻辑。二是树立“辩证迁移”思维。在承认经济系统存在不确定性、复杂关联性等特征的同时，需清晰区分其与量子概念的本质差异，避免因表面特征相似而强行嫁接，陷入“物理崇拜”的学术误区。三是强化“风险审慎”意识。对于量子概念与经济系统存在根本冲突的场景，应明确划定应用边界，避免理论误导与实践风险；在政策相关研究中，更需坚守现实逻辑，不盲目套用物理概念推导政策建议。</w:t>
      </w:r>
    </w:p>
    <w:p w14:paraId="2BA9F473">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综上，不适配区间的界定并非否定量子经济学的学术价值，而是通过明确应用边界，引导相关研究回归经济本质与现实需求，避免概念泛化与逻辑偏差，推动量子经济学在科学、严谨的轨道上实现健康发展。</w:t>
      </w:r>
    </w:p>
    <w:p w14:paraId="5182D1AA">
      <w:pPr>
        <w:keepNext w:val="0"/>
        <w:keepLines w:val="0"/>
        <w:pageBreakBefore w:val="0"/>
        <w:widowControl/>
        <w:kinsoku/>
        <w:wordWrap/>
        <w:overflowPunct/>
        <w:topLinePunct w:val="0"/>
        <w:autoSpaceDE/>
        <w:autoSpaceDN/>
        <w:bidi w:val="0"/>
        <w:adjustRightInd/>
        <w:snapToGrid/>
        <w:spacing w:after="0" w:line="500" w:lineRule="exact"/>
        <w:textAlignment w:val="auto"/>
        <w:outlineLvl w:val="9"/>
        <w:rPr>
          <w:rFonts w:hint="eastAsia" w:ascii="宋体" w:hAnsi="宋体" w:eastAsia="宋体" w:cs="宋体"/>
          <w:color w:val="auto"/>
          <w:sz w:val="24"/>
          <w:szCs w:val="24"/>
        </w:rPr>
      </w:pPr>
    </w:p>
    <w:p w14:paraId="2D37AB96">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p>
    <w:p w14:paraId="7EAE9BB0">
      <w:pPr>
        <w:keepNext w:val="0"/>
        <w:keepLines w:val="0"/>
        <w:pageBreakBefore w:val="0"/>
        <w:widowControl/>
        <w:kinsoku/>
        <w:wordWrap/>
        <w:overflowPunct/>
        <w:topLinePunct w:val="0"/>
        <w:autoSpaceDE/>
        <w:autoSpaceDN/>
        <w:bidi w:val="0"/>
        <w:adjustRightInd/>
        <w:snapToGrid/>
        <w:spacing w:after="0" w:line="500" w:lineRule="exact"/>
        <w:textAlignment w:val="auto"/>
        <w:outlineLvl w:val="9"/>
        <w:rPr>
          <w:rFonts w:hint="eastAsia" w:ascii="宋体" w:hAnsi="宋体" w:eastAsia="宋体" w:cs="宋体"/>
          <w:color w:val="auto"/>
          <w:sz w:val="24"/>
          <w:szCs w:val="24"/>
        </w:rPr>
      </w:pPr>
    </w:p>
    <w:p w14:paraId="7A4F7897">
      <w:pPr>
        <w:keepNext w:val="0"/>
        <w:keepLines w:val="0"/>
        <w:pageBreakBefore w:val="0"/>
        <w:widowControl/>
        <w:kinsoku/>
        <w:wordWrap/>
        <w:overflowPunct/>
        <w:topLinePunct w:val="0"/>
        <w:autoSpaceDE/>
        <w:autoSpaceDN/>
        <w:bidi w:val="0"/>
        <w:adjustRightInd/>
        <w:snapToGrid/>
        <w:spacing w:after="0" w:line="500" w:lineRule="exact"/>
        <w:ind w:firstLine="3313" w:firstLineChars="1100"/>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lang w:val="en-US" w:eastAsia="zh-CN"/>
        </w:rPr>
        <w:t>八、</w:t>
      </w:r>
      <w:r>
        <w:rPr>
          <w:rFonts w:hint="eastAsia" w:ascii="宋体" w:hAnsi="宋体" w:eastAsia="宋体" w:cs="宋体"/>
          <w:b/>
          <w:bCs/>
          <w:color w:val="auto"/>
          <w:sz w:val="30"/>
          <w:szCs w:val="30"/>
        </w:rPr>
        <w:t>研究结论及展望</w:t>
      </w:r>
    </w:p>
    <w:p w14:paraId="5DE56CDC">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p>
    <w:p w14:paraId="094684C9">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本研究围绕量子概念在经济学中的应用边界展开系统性探索，核心结论如下：基于“本体论-方法论-认识论”三维分析框架，可有效解构量子概念与经济系统的适配性逻辑，其应用边界本质是物理概念核心内涵与经济系统本质属性的适配程度校验。研究明确划分出强适配、弱适配及不适配三类场景：强适配场景可实现量子概念与经济本质的同构对接，形成兼具解释力与操作性的分析工具；弱适配场景需通过隐喻转化、场景限定实现有限应用，核心价值在于思维启发；不适配场景因物理内核与经济属性存在不可调和冲突，强行应用易引发理论偏差与实践风险。这一界定既破解了当前“泛化应用”与“过度批判”的双重困境，也明确了量子经济学作为传统经济学补充而非替代的核心定位，为两大理论体系的良性对话提供学理支撑。</w:t>
      </w:r>
    </w:p>
    <w:p w14:paraId="03F95B5B">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理论层面，未来可从三方面深化研究：其一，完善三维分析框架的量化维度，结合机器学习、大数据技术构建适配性动态评估模型，提升边界界定的精准度与客观性；其二，聚焦不同量子概念的差异化适配机制，深入探究叠加态、纠缠等概念在数字经济、行为决策等细分领域的应用边界，丰富量子经济学的理论体系；其三，加强与科学哲学、学科分类学的交叉融合，探索跨学科概念迁移的通用逻辑，为其他交叉学科的边界界定提供方法论借鉴。同时，需进一步厘清量子经济学与传统经济学的理论衔接点，推动二者在复杂经济问题分析中的协同互补。</w:t>
      </w:r>
    </w:p>
    <w:p w14:paraId="788BA89A">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实践层面，研究成果的落地需兼顾引导性与审慎性：对研究者而言，应依托三维框架精准定位研究场景，避免无效的概念嫁接，聚焦强适配领域开展实证创新；对政策制定者而言，需明确量子模型在经济预测、政策评估中的适用范围，规避不适配场景带来的决策风险，同时借助弱适配场景的思维启发优化政策设计。未来随着数字经济的深入发展与数据可得性的提升，可进一步挖掘量子概念在复杂经济网络、动态演化等领域的应用价值，推动量子经济学在科学严谨的轨道上实现规范化发展，为破解传统经济学难以应对的复杂经济问题提供新路径。</w:t>
      </w:r>
    </w:p>
    <w:p w14:paraId="1166BBE2">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p>
    <w:p w14:paraId="0B64553C">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p>
    <w:p w14:paraId="0DD3461B">
      <w:pPr>
        <w:keepNext w:val="0"/>
        <w:keepLines w:val="0"/>
        <w:pageBreakBefore w:val="0"/>
        <w:widowControl/>
        <w:kinsoku/>
        <w:wordWrap/>
        <w:overflowPunct/>
        <w:topLinePunct w:val="0"/>
        <w:autoSpaceDE/>
        <w:autoSpaceDN/>
        <w:bidi w:val="0"/>
        <w:adjustRightInd/>
        <w:snapToGrid/>
        <w:spacing w:after="0" w:line="500" w:lineRule="exact"/>
        <w:ind w:firstLine="480" w:firstLineChars="200"/>
        <w:textAlignment w:val="auto"/>
        <w:outlineLvl w:val="9"/>
        <w:rPr>
          <w:rFonts w:hint="eastAsia" w:ascii="宋体" w:hAnsi="宋体" w:eastAsia="宋体" w:cs="宋体"/>
          <w:color w:val="auto"/>
          <w:sz w:val="24"/>
          <w:szCs w:val="24"/>
        </w:rPr>
      </w:pPr>
    </w:p>
    <w:p w14:paraId="6706F5B2">
      <w:pPr>
        <w:keepNext w:val="0"/>
        <w:keepLines w:val="0"/>
        <w:pageBreakBefore w:val="0"/>
        <w:kinsoku/>
        <w:overflowPunct/>
        <w:topLinePunct w:val="0"/>
        <w:autoSpaceDE/>
        <w:autoSpaceDN/>
        <w:bidi w:val="0"/>
        <w:adjustRightInd/>
        <w:snapToGrid/>
        <w:spacing w:line="500" w:lineRule="exact"/>
        <w:ind w:firstLine="420" w:firstLineChars="200"/>
        <w:textAlignment w:val="auto"/>
        <w:outlineLvl w:val="9"/>
        <w:rPr>
          <w:rFonts w:hint="default" w:ascii="Times New Roman" w:hAnsi="Times New Roman" w:eastAsia="宋体" w:cs="Times New Roman"/>
          <w:color w:val="auto"/>
          <w:sz w:val="24"/>
          <w:szCs w:val="24"/>
        </w:rPr>
      </w:pPr>
      <w:r>
        <w:rPr>
          <w:rFonts w:ascii="Georgia" w:hAnsi="Georgia" w:eastAsia="Georgia" w:cs="Georgia"/>
          <w:b/>
          <w:bCs/>
          <w:color w:val="auto"/>
        </w:rPr>
        <w:t>参考文献：</w:t>
      </w:r>
    </w:p>
    <w:p w14:paraId="0FABC80C">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[1]Arrow,K.J.Methodological individualism and social knowledge[J].American Economic Review,1994,84(2):1-9.</w:t>
      </w:r>
    </w:p>
    <w:p w14:paraId="4A9734A4">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[2]Bagarello,F.Quantum dynamics for classical systems:With applications of the number operator[M].New York:Wiley,2012.</w:t>
      </w:r>
    </w:p>
    <w:p w14:paraId="790F6B8A">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[3]Baaquie,B.E.Quantum finance:Path integrals and Hamiltonians for options and interest rates[M].Cambridge:Cambridge University Press,2004.</w:t>
      </w:r>
    </w:p>
    <w:p w14:paraId="26015378">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[4]Busemeyer,J.R.,Bruza,P.D.Quantum models of cognition and decision[M].Cambridge:Cambridge University Press,2012.</w:t>
      </w:r>
    </w:p>
    <w:p w14:paraId="4B576986">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[5]Haven,E.,Khrennikov,A.Quantum social science[M].Cambridge:Cambridge University Press,2013.</w:t>
      </w:r>
    </w:p>
    <w:p w14:paraId="71768E0C">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[6]Khrennikov,A.Classical and quantum mechanics on information spaces with applications to cognitive,psychological,social and anomalous phenomena[J].Foundations of Physics,1999,29(7):1065-1098.</w:t>
      </w:r>
    </w:p>
    <w:p w14:paraId="5AA1EADA">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[7]Orrell,D.(2015).A quantum theory of money and value.Orrell D(2016)A quantum theory of money and value.Economic Thought,5(2),19-36.</w:t>
      </w:r>
    </w:p>
    <w:p w14:paraId="2867A4B1">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[8]Pothos,E.M.,Busemeyer,J.R.A quantum probability explanation for violations of'rational'decision theory[J].Proceedings of the Royal Society B:Biological Sciences,2009,276(1665):2171-2178.</w:t>
      </w:r>
    </w:p>
    <w:p w14:paraId="260C6FEC">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[9]Galison,P.Image and logic:A material culture of microphysics[M].Chicago:University of Chicago Press,1997.</w:t>
      </w:r>
    </w:p>
    <w:p w14:paraId="2F8D8548">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[10]Suppes,P.Models of data[M]//Nagel,E.,Suppes,P.,Tarski,A.Logic,methodology and philosophy of science:Proceedings of the 1960 International Congress.Stanford:Stanford University Press,1966:252-261.</w:t>
      </w:r>
    </w:p>
    <w:p w14:paraId="0FACAE40">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[11]Kuhn,T.S.The structure of scientific revolutions[M].3rd ed.Chicago:University of Chicago Press,1996[1962].</w:t>
      </w:r>
    </w:p>
    <w:p w14:paraId="126B7BB9">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[12]Von Neumann,J.,Morgenstern,O.Theory of games and economic behavior[M].Princeton:Princeton University Press,1944[2007].</w:t>
      </w:r>
    </w:p>
    <w:p w14:paraId="5C76193A">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[13]Allais,M.Le comportement de l'homme rationnel devant le risque:Critique des postulats et axiomes de l'ecole americaine[J].Econometrica,1953,21(4):503-546.</w:t>
      </w:r>
    </w:p>
    <w:p w14:paraId="5125C11D">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[14]Ellsberg,D.Risk,ambiguity,and the Savage axioms[J].Quarterly Journal of Economics,1961,75(4):643-669.</w:t>
      </w:r>
    </w:p>
    <w:p w14:paraId="25598B74">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[15]Zadeh,L.A.Fuzzy sets[J].Information and Control,1965,8(3):338-353.</w:t>
      </w:r>
    </w:p>
    <w:p w14:paraId="195A7DE6">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[16]Simon,H.A.A behavioral model of rational choice[J].Quarterly Journal of Economics,1955,69(1):99-118.</w:t>
      </w:r>
    </w:p>
    <w:p w14:paraId="0A7AA9B9">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[17]Cobb,C.W.,Douglas,P.H.A theory of production[J].American Economic Review,1928,18(1):139-165.</w:t>
      </w:r>
    </w:p>
    <w:p w14:paraId="519F9F39">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[18]Woodford,M.Interest and prices:Foundations of a theory of monetary policy[M].Princeton:Princeton University Press,2003.</w:t>
      </w:r>
    </w:p>
    <w:p w14:paraId="03081347">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[19]Schumpeter,J.A.The theory of economic development:An inquiry into profits,capital,credit,interest,and the business cycle[M].Translated by Opie R.Cambridge,MA:Harvard University Press,1934.</w:t>
      </w:r>
    </w:p>
    <w:p w14:paraId="0FD329C4">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[20]Barney,J.B.Firm resources and sustained competitive advantage[J].Journal of Management,1991,17(1):99-120.</w:t>
      </w:r>
    </w:p>
    <w:p w14:paraId="7C702F80">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[21]Einstein,A.,Podolsky,B.,Rosen,N.Can quantum-mechanical description of physical reality be considered complete?[J].Physical Review,1935,47(10):777-780.</w:t>
      </w:r>
    </w:p>
    <w:p w14:paraId="7796E93A">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[22]North,D.C.Institutions,institutional change and economic performance[M].Cambridge:Cambridge University Press,1990.</w:t>
      </w:r>
    </w:p>
    <w:p w14:paraId="2C59977E">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[23]Stiglitz,J.E.The theory of"screening,"education,and the distribution of income[J].American Economic Review,1975,65(3):283-300.</w:t>
      </w:r>
    </w:p>
    <w:p w14:paraId="07EEE454">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val="en-US" w:eastAsia="zh-CN"/>
        </w:rPr>
        <w:t>[24]</w:t>
      </w:r>
      <w:r>
        <w:rPr>
          <w:rFonts w:hint="default" w:ascii="Times New Roman" w:hAnsi="Times New Roman" w:eastAsia="宋体" w:cs="Times New Roman"/>
          <w:color w:val="auto"/>
          <w:sz w:val="24"/>
          <w:szCs w:val="24"/>
        </w:rPr>
        <w:t>Hooker C. Ilya Prigogine, From Being to Becoming: Time and Complexity in the Physical Sciences. San Francisco: W. H. Freeman and Company (1980), xix + 272 pp. $25.00 (paper $12.50). Philosophy of Science. 1984;51(2):355-357. doi:10.1086/289186</w:t>
      </w:r>
    </w:p>
    <w:p w14:paraId="017EAD99">
      <w:pPr>
        <w:keepNext w:val="0"/>
        <w:keepLines w:val="0"/>
        <w:pageBreakBefore w:val="0"/>
        <w:widowControl/>
        <w:kinsoku/>
        <w:wordWrap w:val="0"/>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lang w:val="en-US" w:eastAsia="zh-CN"/>
        </w:rPr>
        <w:t>25</w:t>
      </w:r>
      <w:r>
        <w:rPr>
          <w:rFonts w:hint="default" w:ascii="Times New Roman" w:hAnsi="Times New Roman" w:eastAsia="宋体" w:cs="Times New Roman"/>
          <w:color w:val="auto"/>
          <w:sz w:val="24"/>
          <w:szCs w:val="24"/>
        </w:rPr>
        <w:t>]林毅夫.新结构经济学——重构发展经济学的框架[J].经济学(季刊),2011,10(01):1-32.</w:t>
      </w:r>
    </w:p>
    <w:p w14:paraId="7BB2A3D3">
      <w:pPr>
        <w:keepNext w:val="0"/>
        <w:keepLines w:val="0"/>
        <w:pageBreakBefore w:val="0"/>
        <w:kinsoku/>
        <w:wordWrap w:val="0"/>
        <w:overflowPunct/>
        <w:topLinePunct w:val="0"/>
        <w:autoSpaceDE/>
        <w:autoSpaceDN/>
        <w:bidi w:val="0"/>
        <w:adjustRightInd/>
        <w:snapToGrid/>
        <w:spacing w:line="500" w:lineRule="exact"/>
        <w:jc w:val="left"/>
        <w:textAlignment w:val="auto"/>
        <w:rPr>
          <w:rFonts w:hint="default" w:ascii="Times New Roman" w:hAnsi="Times New Roman" w:cs="Times New Roman"/>
          <w:color w:val="auto"/>
          <w:sz w:val="24"/>
          <w:szCs w:val="24"/>
        </w:rPr>
      </w:pPr>
    </w:p>
    <w:p w14:paraId="7263B950">
      <w:pPr>
        <w:keepNext w:val="0"/>
        <w:keepLines w:val="0"/>
        <w:pageBreakBefore w:val="0"/>
        <w:kinsoku/>
        <w:wordWrap w:val="0"/>
        <w:overflowPunct/>
        <w:topLinePunct w:val="0"/>
        <w:autoSpaceDE/>
        <w:autoSpaceDN/>
        <w:bidi w:val="0"/>
        <w:adjustRightInd/>
        <w:snapToGrid/>
        <w:spacing w:line="500" w:lineRule="exact"/>
        <w:ind w:firstLine="301" w:firstLineChars="100"/>
        <w:jc w:val="left"/>
        <w:textAlignment w:val="auto"/>
        <w:rPr>
          <w:rFonts w:hint="default" w:ascii="Times New Roman" w:hAnsi="Times New Roman" w:cs="Times New Roman"/>
          <w:b/>
          <w:bCs/>
          <w:color w:val="auto"/>
          <w:sz w:val="30"/>
          <w:szCs w:val="30"/>
        </w:rPr>
      </w:pPr>
      <w:r>
        <w:rPr>
          <w:rFonts w:hint="default" w:ascii="Times New Roman" w:hAnsi="Times New Roman" w:cs="Times New Roman"/>
          <w:b/>
          <w:bCs/>
          <w:color w:val="auto"/>
          <w:sz w:val="30"/>
          <w:szCs w:val="30"/>
        </w:rPr>
        <w:t>On the application boundary of quantum concept in Economics</w:t>
      </w:r>
    </w:p>
    <w:p w14:paraId="5F41561E">
      <w:pPr>
        <w:keepNext w:val="0"/>
        <w:keepLines w:val="0"/>
        <w:pageBreakBefore w:val="0"/>
        <w:kinsoku/>
        <w:wordWrap w:val="0"/>
        <w:overflowPunct/>
        <w:topLinePunct w:val="0"/>
        <w:autoSpaceDE/>
        <w:autoSpaceDN/>
        <w:bidi w:val="0"/>
        <w:adjustRightInd/>
        <w:snapToGrid/>
        <w:spacing w:line="500" w:lineRule="exact"/>
        <w:ind w:firstLine="3360" w:firstLineChars="140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Zhao</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rPr>
        <w:t>huilin</w:t>
      </w:r>
    </w:p>
    <w:p w14:paraId="7344CE13">
      <w:pPr>
        <w:keepNext w:val="0"/>
        <w:keepLines w:val="0"/>
        <w:pageBreakBefore w:val="0"/>
        <w:kinsoku/>
        <w:wordWrap w:val="0"/>
        <w:overflowPunct/>
        <w:topLinePunct w:val="0"/>
        <w:autoSpaceDE/>
        <w:autoSpaceDN/>
        <w:bidi w:val="0"/>
        <w:adjustRightInd/>
        <w:snapToGrid/>
        <w:spacing w:line="500" w:lineRule="exact"/>
        <w:ind w:firstLine="1440" w:firstLineChars="60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 Shantou University, Shantou, Guangdong, 515063)</w:t>
      </w:r>
    </w:p>
    <w:p w14:paraId="43C65B07">
      <w:pPr>
        <w:keepNext w:val="0"/>
        <w:keepLines w:val="0"/>
        <w:pageBreakBefore w:val="0"/>
        <w:kinsoku/>
        <w:wordWrap w:val="0"/>
        <w:overflowPunct/>
        <w:topLinePunct w:val="0"/>
        <w:autoSpaceDE/>
        <w:autoSpaceDN/>
        <w:bidi w:val="0"/>
        <w:adjustRightInd/>
        <w:snapToGrid/>
        <w:spacing w:line="500" w:lineRule="exact"/>
        <w:ind w:firstLine="723" w:firstLineChars="300"/>
        <w:jc w:val="left"/>
        <w:textAlignment w:val="auto"/>
        <w:rPr>
          <w:rFonts w:hint="default" w:ascii="Times New Roman" w:hAnsi="Times New Roman" w:cs="Times New Roman"/>
          <w:color w:val="auto"/>
          <w:sz w:val="24"/>
          <w:szCs w:val="24"/>
        </w:rPr>
      </w:pPr>
      <w:r>
        <w:rPr>
          <w:rFonts w:hint="default" w:ascii="Times New Roman" w:hAnsi="Times New Roman" w:cs="Times New Roman"/>
          <w:b/>
          <w:bCs/>
          <w:color w:val="auto"/>
          <w:sz w:val="24"/>
          <w:szCs w:val="24"/>
        </w:rPr>
        <w:t>Abstract:</w:t>
      </w:r>
      <w:r>
        <w:rPr>
          <w:rFonts w:hint="default" w:ascii="Times New Roman" w:hAnsi="Times New Roman" w:cs="Times New Roman"/>
          <w:color w:val="auto"/>
          <w:sz w:val="24"/>
          <w:szCs w:val="24"/>
        </w:rPr>
        <w:t xml:space="preserve"> in order to clarify the application boundary of the transfer of quantum concepts to economics, solve the dilemma of possible Generalization Application in the current research of quantum economics, and promote the standardized development of this cross field, this study is based on the three-dimensional analysis framework of "ontology methodology epistemology", which systematically deconstructs the logic of the adaptation of quantum core concepts such as superposition state and entanglement to the economic system. The research builds a comprehensive three-dimensional adaptability analysis tool for the interdisciplinary transfer of quantum concepts, and clearly distinguishes three application scenarios: strong adaptation, weak adaptation and non adaptation. The research conclusion shows that the framework can effectively define the application scope of quantum concepts, provide methodological reference for interdisciplinary boundary analysis, not only provide researchers with accurate application guidance to reduce the grafting of invalid concepts, but also clarify the application scenarios of quantum models for policy makers, and help improve the scientificity of decision-making, which has both theoretical and practical value.</w:t>
      </w:r>
    </w:p>
    <w:p w14:paraId="6ECABFDC">
      <w:pPr>
        <w:keepNext w:val="0"/>
        <w:keepLines w:val="0"/>
        <w:pageBreakBefore w:val="0"/>
        <w:kinsoku/>
        <w:wordWrap w:val="0"/>
        <w:overflowPunct/>
        <w:topLinePunct w:val="0"/>
        <w:autoSpaceDE/>
        <w:autoSpaceDN/>
        <w:bidi w:val="0"/>
        <w:adjustRightInd/>
        <w:snapToGrid/>
        <w:spacing w:line="500" w:lineRule="exact"/>
        <w:ind w:firstLine="241" w:firstLineChars="100"/>
        <w:jc w:val="left"/>
        <w:textAlignment w:val="auto"/>
        <w:rPr>
          <w:rFonts w:hint="default" w:ascii="Times New Roman" w:hAnsi="Times New Roman" w:cs="Times New Roman"/>
          <w:color w:val="auto"/>
          <w:sz w:val="24"/>
          <w:szCs w:val="24"/>
        </w:rPr>
      </w:pPr>
      <w:r>
        <w:rPr>
          <w:rFonts w:hint="default" w:ascii="Times New Roman" w:hAnsi="Times New Roman" w:cs="Times New Roman"/>
          <w:b/>
          <w:bCs/>
          <w:color w:val="auto"/>
          <w:sz w:val="24"/>
          <w:szCs w:val="24"/>
        </w:rPr>
        <w:t xml:space="preserve">Key words: </w:t>
      </w:r>
      <w:r>
        <w:rPr>
          <w:rFonts w:hint="default" w:ascii="Times New Roman" w:hAnsi="Times New Roman" w:cs="Times New Roman"/>
          <w:color w:val="auto"/>
          <w:sz w:val="24"/>
          <w:szCs w:val="24"/>
        </w:rPr>
        <w:t>quantum economics; Application boundary; Adaptability; Characteristics of economic system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Georgia">
    <w:panose1 w:val="02040502050405020303"/>
    <w:charset w:val="00"/>
    <w:family w:val="auto"/>
    <w:pitch w:val="default"/>
    <w:sig w:usb0="000002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6684C865">
      <w:pPr>
        <w:pStyle w:val="3"/>
        <w:keepNext w:val="0"/>
        <w:keepLines w:val="0"/>
        <w:pageBreakBefore w:val="0"/>
        <w:widowControl/>
        <w:kinsoku/>
        <w:wordWrap/>
        <w:overflowPunct/>
        <w:topLinePunct w:val="0"/>
        <w:bidi w:val="0"/>
        <w:adjustRightInd/>
        <w:snapToGrid w:val="0"/>
        <w:spacing w:after="0"/>
        <w:ind w:firstLine="240" w:firstLineChars="100"/>
        <w:textAlignment w:val="auto"/>
        <w:rPr>
          <w:rFonts w:hint="default"/>
          <w:b/>
          <w:bCs/>
          <w:sz w:val="18"/>
          <w:szCs w:val="18"/>
          <w:lang w:val="en-US" w:eastAsia="zh-CN"/>
        </w:rPr>
      </w:pPr>
      <w:r>
        <w:rPr>
          <w:rStyle w:val="8"/>
          <w:b w:val="0"/>
          <w:bCs w:val="0"/>
          <w:i w:val="0"/>
          <w:iCs/>
          <w:sz w:val="24"/>
          <w:szCs w:val="24"/>
        </w:rPr>
        <w:footnoteRef/>
      </w:r>
      <w:r>
        <w:rPr>
          <w:b w:val="0"/>
          <w:bCs w:val="0"/>
          <w:sz w:val="24"/>
          <w:szCs w:val="24"/>
        </w:rPr>
        <w:t xml:space="preserve"> </w:t>
      </w:r>
      <w:r>
        <w:rPr>
          <w:rFonts w:hint="eastAsia"/>
          <w:b/>
          <w:bCs/>
          <w:sz w:val="18"/>
          <w:szCs w:val="18"/>
          <w:lang w:val="en-US" w:eastAsia="zh-CN"/>
        </w:rPr>
        <w:t>基金项目：</w:t>
      </w:r>
      <w:r>
        <w:rPr>
          <w:rFonts w:hint="eastAsia" w:ascii="Times New Roman" w:hAnsi="Times New Roman" w:cs="Times New Roman"/>
          <w:color w:val="000000" w:themeColor="text1"/>
          <w:kern w:val="2"/>
          <w:sz w:val="18"/>
          <w:szCs w:val="18"/>
          <w:lang w:eastAsia="zh-CN"/>
          <w14:textFill>
            <w14:solidFill>
              <w14:schemeClr w14:val="tx1"/>
            </w14:solidFill>
          </w14:textFill>
        </w:rPr>
        <w:t>教育部人文社会科学研究</w:t>
      </w:r>
      <w:r>
        <w:rPr>
          <w:rFonts w:hint="eastAsia" w:ascii="Times New Roman" w:hAnsi="Times New Roman" w:cs="Times New Roman"/>
          <w:color w:val="000000" w:themeColor="text1"/>
          <w:kern w:val="2"/>
          <w:sz w:val="18"/>
          <w:szCs w:val="18"/>
          <w:lang w:val="en-US" w:eastAsia="zh-CN"/>
          <w14:textFill>
            <w14:solidFill>
              <w14:schemeClr w14:val="tx1"/>
            </w14:solidFill>
          </w14:textFill>
        </w:rPr>
        <w:t>青年</w:t>
      </w:r>
      <w:r>
        <w:rPr>
          <w:rFonts w:hint="eastAsia" w:ascii="Times New Roman" w:hAnsi="Times New Roman" w:cs="Times New Roman"/>
          <w:color w:val="000000" w:themeColor="text1"/>
          <w:kern w:val="2"/>
          <w:sz w:val="18"/>
          <w:szCs w:val="18"/>
          <w:lang w:eastAsia="zh-CN"/>
          <w14:textFill>
            <w14:solidFill>
              <w14:schemeClr w14:val="tx1"/>
            </w14:solidFill>
          </w14:textFill>
        </w:rPr>
        <w:t>项目“</w:t>
      </w:r>
      <w:r>
        <w:rPr>
          <w:rFonts w:hint="eastAsia" w:ascii="Times New Roman" w:hAnsi="Times New Roman" w:cs="Times New Roman"/>
          <w:color w:val="000000" w:themeColor="text1"/>
          <w:kern w:val="2"/>
          <w:sz w:val="18"/>
          <w:szCs w:val="18"/>
          <w:lang w:val="en-US" w:eastAsia="zh-CN"/>
          <w14:textFill>
            <w14:solidFill>
              <w14:schemeClr w14:val="tx1"/>
            </w14:solidFill>
          </w14:textFill>
        </w:rPr>
        <w:t>深度转型时期公共风险的经济影响：理论框架、测度方法和实证研究”（23YGC790197）。</w:t>
      </w:r>
    </w:p>
    <w:p w14:paraId="4BB7BA16">
      <w:pPr>
        <w:pStyle w:val="3"/>
        <w:keepNext w:val="0"/>
        <w:keepLines w:val="0"/>
        <w:pageBreakBefore w:val="0"/>
        <w:widowControl/>
        <w:kinsoku/>
        <w:wordWrap/>
        <w:overflowPunct/>
        <w:topLinePunct w:val="0"/>
        <w:bidi w:val="0"/>
        <w:adjustRightInd/>
        <w:snapToGrid w:val="0"/>
        <w:spacing w:after="0"/>
        <w:ind w:firstLine="361" w:firstLineChars="200"/>
        <w:textAlignment w:val="auto"/>
        <w:rPr>
          <w:rFonts w:hint="eastAsia" w:ascii="宋体" w:hAnsi="宋体" w:eastAsia="宋体" w:cs="宋体"/>
          <w:b w:val="0"/>
          <w:bCs w:val="0"/>
          <w:sz w:val="18"/>
          <w:szCs w:val="18"/>
          <w:lang w:val="en-US" w:eastAsia="zh-CN"/>
        </w:rPr>
      </w:pPr>
      <w:r>
        <w:rPr>
          <w:rFonts w:hint="eastAsia"/>
          <w:b/>
          <w:bCs/>
          <w:sz w:val="18"/>
          <w:szCs w:val="18"/>
          <w:lang w:val="en-US" w:eastAsia="zh-CN"/>
        </w:rPr>
        <w:t>作者简介：</w:t>
      </w:r>
      <w:r>
        <w:rPr>
          <w:rFonts w:hint="eastAsia" w:ascii="宋体" w:hAnsi="宋体" w:eastAsia="宋体" w:cs="宋体"/>
          <w:b w:val="0"/>
          <w:bCs w:val="0"/>
          <w:sz w:val="18"/>
          <w:szCs w:val="18"/>
          <w:lang w:val="en-US" w:eastAsia="zh-CN"/>
        </w:rPr>
        <w:t>赵恢林（1992—），男，湖北黄石人，博士，汕头大学商学院讲师，研究方向：量子经济学；通讯邮箱：E-mail：hlzhao@stu.edu.cn。</w:t>
      </w:r>
    </w:p>
    <w:p w14:paraId="73744A5A">
      <w:pPr>
        <w:pStyle w:val="3"/>
        <w:snapToGrid w:val="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CC86C0"/>
    <w:multiLevelType w:val="singleLevel"/>
    <w:tmpl w:val="BECC86C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7E62F6"/>
    <w:rsid w:val="046105BC"/>
    <w:rsid w:val="062E7063"/>
    <w:rsid w:val="08202AE5"/>
    <w:rsid w:val="0946657C"/>
    <w:rsid w:val="0A3367C8"/>
    <w:rsid w:val="10D44F4E"/>
    <w:rsid w:val="12566F21"/>
    <w:rsid w:val="15433117"/>
    <w:rsid w:val="162D35F1"/>
    <w:rsid w:val="177A3293"/>
    <w:rsid w:val="1B4F70DB"/>
    <w:rsid w:val="200E54D9"/>
    <w:rsid w:val="217B1B61"/>
    <w:rsid w:val="23700030"/>
    <w:rsid w:val="299A214E"/>
    <w:rsid w:val="29CB61A1"/>
    <w:rsid w:val="2FDA5A18"/>
    <w:rsid w:val="30BA5A7F"/>
    <w:rsid w:val="315658FD"/>
    <w:rsid w:val="31BC43A8"/>
    <w:rsid w:val="39446403"/>
    <w:rsid w:val="40E66A89"/>
    <w:rsid w:val="487B78E7"/>
    <w:rsid w:val="4C89761F"/>
    <w:rsid w:val="4F7E62F6"/>
    <w:rsid w:val="52CF57EB"/>
    <w:rsid w:val="54857525"/>
    <w:rsid w:val="567E13F4"/>
    <w:rsid w:val="56E731B1"/>
    <w:rsid w:val="58C41043"/>
    <w:rsid w:val="595C0E4C"/>
    <w:rsid w:val="596F7548"/>
    <w:rsid w:val="5B0A4D6B"/>
    <w:rsid w:val="60156A32"/>
    <w:rsid w:val="68261485"/>
    <w:rsid w:val="69EC37D4"/>
    <w:rsid w:val="6A584189"/>
    <w:rsid w:val="6D147885"/>
    <w:rsid w:val="6DA74875"/>
    <w:rsid w:val="74416C47"/>
    <w:rsid w:val="785328F5"/>
    <w:rsid w:val="79710B4E"/>
    <w:rsid w:val="7AB80E65"/>
    <w:rsid w:val="7D017AA5"/>
    <w:rsid w:val="7D0A4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caption"/>
    <w:basedOn w:val="1"/>
    <w:link w:val="9"/>
    <w:qFormat/>
    <w:uiPriority w:val="0"/>
    <w:pPr>
      <w:spacing w:after="120"/>
    </w:pPr>
    <w:rPr>
      <w:i/>
    </w:rPr>
  </w:style>
  <w:style w:type="paragraph" w:styleId="3">
    <w:name w:val="footnote text"/>
    <w:basedOn w:val="1"/>
    <w:qFormat/>
    <w:uiPriority w:val="0"/>
    <w:pPr>
      <w:widowControl w:val="0"/>
      <w:snapToGrid w:val="0"/>
      <w:jc w:val="left"/>
    </w:pPr>
    <w:rPr>
      <w:rFonts w:asciiTheme="minorHAnsi" w:hAnsiTheme="minorHAnsi" w:eastAsiaTheme="minorEastAsia" w:cstheme="minorBidi"/>
      <w:kern w:val="2"/>
      <w:sz w:val="18"/>
      <w:szCs w:val="24"/>
      <w:lang w:val="en-US" w:eastAsia="zh-CN" w:bidi="ar-SA"/>
    </w:rPr>
  </w:style>
  <w:style w:type="character" w:styleId="6">
    <w:name w:val="FollowedHyperlink"/>
    <w:basedOn w:val="5"/>
    <w:qFormat/>
    <w:uiPriority w:val="0"/>
    <w:rPr>
      <w:color w:val="800080"/>
      <w:u w:val="single"/>
    </w:rPr>
  </w:style>
  <w:style w:type="character" w:styleId="7">
    <w:name w:val="Hyperlink"/>
    <w:basedOn w:val="5"/>
    <w:qFormat/>
    <w:uiPriority w:val="0"/>
    <w:rPr>
      <w:color w:val="0000FF"/>
      <w:u w:val="single"/>
    </w:rPr>
  </w:style>
  <w:style w:type="character" w:styleId="8">
    <w:name w:val="footnote reference"/>
    <w:basedOn w:val="9"/>
    <w:qFormat/>
    <w:uiPriority w:val="0"/>
    <w:rPr>
      <w:vertAlign w:val="superscript"/>
    </w:rPr>
  </w:style>
  <w:style w:type="character" w:customStyle="1" w:styleId="9">
    <w:name w:val="题注 字符"/>
    <w:basedOn w:val="5"/>
    <w:link w:val="2"/>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8945</Words>
  <Characters>9146</Characters>
  <Lines>0</Lines>
  <Paragraphs>0</Paragraphs>
  <TotalTime>20</TotalTime>
  <ScaleCrop>false</ScaleCrop>
  <LinksUpToDate>false</LinksUpToDate>
  <CharactersWithSpaces>9150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2026-04-05T13:30:00Z</dcterms:created>
  <dc:creator>HUAWEI</dc:creator>
  <cp:lastModifiedBy>HUAWEI</cp:lastModifiedBy>
  <dcterms:modified xsi:type="dcterms:W3CDTF">2026-05-01T03:20:22Z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87151A87E5894A228CB205A2BA4CAA08_11</vt:lpwstr>
  </property>
  <property fmtid="{D5CDD505-2E9C-101B-9397-08002B2CF9AE}" pid="4" name="KSOTemplateDocerSaveRecord">
    <vt:lpwstr>eyJoZGlkIjoiZmM0MmUxYjgzYTUwYjBkYmU0MGU4MmViZGE2ZGY5NDAiLCJ1c2VySWQiOiIyNzMxNDY1NTgifQ==</vt:lpwstr>
  </property>
</Properties>
</file>