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40" w:lineRule="auto"/>
        <w:rPr/>
      </w:pPr>
      <w:r w:rsidDel="00000000" w:rsidR="00000000" w:rsidRPr="00000000">
        <w:rPr>
          <w:rFonts w:ascii="Arial" w:cs="Arial" w:eastAsia="Arial" w:hAnsi="Arial"/>
          <w:b w:val="1"/>
          <w:bCs w:val="1"/>
          <w:sz w:val="40"/>
          <w:szCs w:val="40"/>
          <w:rtl w:val="0"/>
        </w:rPr>
        <w:t xml:space="preserve">QuantaPep v</w:t>
      </w:r>
      <w:r w:rsidDel="00000000" w:rsidR="00000000" w:rsidRPr="00000000">
        <w:rPr>
          <w:b w:val="1"/>
          <w:bCs w:val="1"/>
          <w:sz w:val="40"/>
          <w:szCs w:val="40"/>
          <w:rtl w:val="0"/>
        </w:rPr>
        <w:t xml:space="preserve">4</w:t>
      </w:r>
      <w:r w:rsidDel="00000000" w:rsidR="00000000" w:rsidRPr="00000000">
        <w:rPr>
          <w:rFonts w:ascii="Arial" w:cs="Arial" w:eastAsia="Arial" w:hAnsi="Arial"/>
          <w:b w:val="1"/>
          <w:bCs w:val="1"/>
          <w:sz w:val="40"/>
          <w:szCs w:val="40"/>
          <w:rtl w:val="0"/>
        </w:rPr>
        <w:t xml:space="preserve">.0: Autonomous Genotype-Aware</w:t>
        <w:br w:type="textWrapping"/>
        <w:t xml:space="preserve">Peptide Discovery at Industrial Scale</w:t>
      </w:r>
      <w:r w:rsidDel="00000000" w:rsidR="00000000" w:rsidRPr="00000000">
        <w:rPr>
          <w:rtl w:val="0"/>
        </w:rPr>
      </w:r>
    </w:p>
    <w:p w:rsidR="00000000" w:rsidDel="00000000" w:rsidP="00000000" w:rsidRDefault="00000000" w:rsidRPr="00000000" w14:paraId="00000002">
      <w:pPr>
        <w:spacing w:after="140" w:lineRule="auto"/>
        <w:rPr/>
      </w:pPr>
      <w:r w:rsidDel="00000000" w:rsidR="00000000" w:rsidRPr="00000000">
        <w:rPr>
          <w:rFonts w:ascii="Arial" w:cs="Arial" w:eastAsia="Arial" w:hAnsi="Arial"/>
          <w:b w:val="1"/>
          <w:bCs w:val="1"/>
          <w:sz w:val="24"/>
          <w:szCs w:val="24"/>
          <w:rtl w:val="0"/>
        </w:rPr>
        <w:t xml:space="preserve">Adam Werderits¹</w:t>
      </w:r>
      <w:r w:rsidDel="00000000" w:rsidR="00000000" w:rsidRPr="00000000">
        <w:rPr>
          <w:rtl w:val="0"/>
        </w:rPr>
      </w:r>
    </w:p>
    <w:p w:rsidR="00000000" w:rsidDel="00000000" w:rsidP="00000000" w:rsidRDefault="00000000" w:rsidRPr="00000000" w14:paraId="00000003">
      <w:pPr>
        <w:spacing w:after="140" w:lineRule="auto"/>
        <w:rPr/>
      </w:pPr>
      <w:r w:rsidDel="00000000" w:rsidR="00000000" w:rsidRPr="00000000">
        <w:rPr>
          <w:rFonts w:ascii="Arial" w:cs="Arial" w:eastAsia="Arial" w:hAnsi="Arial"/>
          <w:sz w:val="20"/>
          <w:szCs w:val="20"/>
          <w:rtl w:val="0"/>
        </w:rPr>
        <w:t xml:space="preserve">¹Rejuvenage Kft., Budapest, Hungary</w:t>
        <w:br w:type="textWrapping"/>
        <w:t xml:space="preserve">werderitsa@gmail.com</w:t>
      </w:r>
      <w:r w:rsidDel="00000000" w:rsidR="00000000" w:rsidRPr="00000000">
        <w:rPr>
          <w:rtl w:val="0"/>
        </w:rPr>
      </w:r>
    </w:p>
    <w:p w:rsidR="00000000" w:rsidDel="00000000" w:rsidP="00000000" w:rsidRDefault="00000000" w:rsidRPr="00000000" w14:paraId="00000004">
      <w:pPr>
        <w:spacing w:after="140" w:lineRule="auto"/>
        <w:rPr/>
      </w:pPr>
      <w:r w:rsidDel="00000000" w:rsidR="00000000" w:rsidRPr="00000000">
        <w:rPr>
          <w:rFonts w:ascii="Arial" w:cs="Arial" w:eastAsia="Arial" w:hAnsi="Arial"/>
          <w:i w:val="1"/>
          <w:iCs w:val="1"/>
          <w:sz w:val="20"/>
          <w:szCs w:val="20"/>
          <w:rtl w:val="0"/>
        </w:rPr>
        <w:t xml:space="preserve">bioRxiv Preprint — April 22, 2026</w:t>
        <w:br w:type="textWrapping"/>
        <w:t xml:space="preserve">Internal identifier: VAULT_V4_226M_FINAL</w:t>
      </w:r>
      <w:r w:rsidDel="00000000" w:rsidR="00000000" w:rsidRPr="00000000">
        <w:rPr>
          <w:rtl w:val="0"/>
        </w:rPr>
      </w:r>
    </w:p>
    <w:p w:rsidR="00000000" w:rsidDel="00000000" w:rsidP="00000000" w:rsidRDefault="00000000" w:rsidRPr="00000000" w14:paraId="00000005">
      <w:pPr>
        <w:spacing w:after="140" w:lineRule="auto"/>
        <w:rPr/>
      </w:pPr>
      <w:r w:rsidDel="00000000" w:rsidR="00000000" w:rsidRPr="00000000">
        <w:rPr>
          <w:rtl w:val="0"/>
        </w:rPr>
      </w:r>
    </w:p>
    <w:p w:rsidR="00000000" w:rsidDel="00000000" w:rsidP="00000000" w:rsidRDefault="00000000" w:rsidRPr="00000000" w14:paraId="00000006">
      <w:pPr>
        <w:spacing w:after="140" w:lineRule="auto"/>
        <w:rPr/>
      </w:pPr>
      <w:r w:rsidDel="00000000" w:rsidR="00000000" w:rsidRPr="00000000">
        <w:rPr>
          <w:rFonts w:ascii="Arial" w:cs="Arial" w:eastAsia="Arial" w:hAnsi="Arial"/>
          <w:sz w:val="32"/>
          <w:szCs w:val="32"/>
          <w:rtl w:val="0"/>
        </w:rPr>
        <w:t xml:space="preserve">Abstract</w:t>
      </w:r>
      <w:r w:rsidDel="00000000" w:rsidR="00000000" w:rsidRPr="00000000">
        <w:rPr>
          <w:rtl w:val="0"/>
        </w:rPr>
      </w:r>
    </w:p>
    <w:p w:rsidR="00000000" w:rsidDel="00000000" w:rsidP="00000000" w:rsidRDefault="00000000" w:rsidRPr="00000000" w14:paraId="00000007">
      <w:pPr>
        <w:spacing w:after="140" w:lineRule="auto"/>
        <w:rPr>
          <w:rFonts w:ascii="Arial" w:cs="Arial" w:eastAsia="Arial" w:hAnsi="Arial"/>
          <w:b w:val="0"/>
          <w:bCs w:val="0"/>
          <w:i w:val="0"/>
          <w:iCs w:val="0"/>
          <w:sz w:val="22"/>
          <w:szCs w:val="22"/>
        </w:rPr>
      </w:pPr>
      <w:r w:rsidDel="00000000" w:rsidR="00000000" w:rsidRPr="00000000">
        <w:rPr>
          <w:rFonts w:ascii="Arial" w:cs="Arial" w:eastAsia="Arial" w:hAnsi="Arial"/>
          <w:b w:val="0"/>
          <w:bCs w:val="0"/>
          <w:i w:val="0"/>
          <w:iCs w:val="0"/>
          <w:sz w:val="22"/>
          <w:szCs w:val="22"/>
          <w:rtl w:val="0"/>
        </w:rPr>
        <w:t xml:space="preserve">Therapeutic peptide discovery remains limited by reliance on wild-type receptor models, fragmented evaluation pipelines, and an inability to scale across the genetic diversity of human populations. Here we introduce QuantaPep v4.0, an autonomous hybrid computational platform that unifies genotype-aware sequence design, multi-engine structural validation, and manufacturing-aware optimization within a continuous, closed-loop discovery framework.</w:t>
      </w:r>
    </w:p>
    <w:p w:rsidR="00000000" w:rsidDel="00000000" w:rsidP="00000000" w:rsidRDefault="00000000" w:rsidRPr="00000000" w14:paraId="00000008">
      <w:pPr>
        <w:spacing w:after="140" w:lineRule="auto"/>
        <w:rPr>
          <w:rFonts w:ascii="Arial" w:cs="Arial" w:eastAsia="Arial" w:hAnsi="Arial"/>
          <w:b w:val="0"/>
          <w:bCs w:val="0"/>
          <w:i w:val="0"/>
          <w:iCs w:val="0"/>
          <w:sz w:val="22"/>
          <w:szCs w:val="22"/>
        </w:rPr>
      </w:pPr>
      <w:r w:rsidDel="00000000" w:rsidR="00000000" w:rsidRPr="00000000">
        <w:rPr>
          <w:rFonts w:ascii="Arial" w:cs="Arial" w:eastAsia="Arial" w:hAnsi="Arial"/>
          <w:b w:val="0"/>
          <w:bCs w:val="0"/>
          <w:i w:val="0"/>
          <w:iCs w:val="0"/>
          <w:sz w:val="22"/>
          <w:szCs w:val="22"/>
          <w:rtl w:val="0"/>
        </w:rPr>
        <w:t xml:space="preserve">QuantaPep v4.0 integrates three core innovations. First, a distributed asynchronous discovery architecture enables high-throughput generation and evaluation of candidate sequences at scales exceeding two million candidates per campaign. Second, a machine learning–based neural scoring proxy trained on structurally validated data prioritizes candidates prior to docking, reducing computational burden while preserving predictive fidelity. Third, a self-improving optimization loop continuously refines sequence generation using aggregated validation signals, coupling statistical learning with physics-based evaluation.</w:t>
      </w:r>
    </w:p>
    <w:p w:rsidR="00000000" w:rsidDel="00000000" w:rsidP="00000000" w:rsidRDefault="00000000" w:rsidRPr="00000000" w14:paraId="00000009">
      <w:pPr>
        <w:spacing w:after="140" w:lineRule="auto"/>
        <w:rPr/>
      </w:pPr>
      <w:r w:rsidDel="00000000" w:rsidR="00000000" w:rsidRPr="00000000">
        <w:rPr>
          <w:rFonts w:ascii="Arial" w:cs="Arial" w:eastAsia="Arial" w:hAnsi="Arial"/>
          <w:b w:val="0"/>
          <w:bCs w:val="0"/>
          <w:i w:val="0"/>
          <w:iCs w:val="0"/>
          <w:sz w:val="22"/>
          <w:szCs w:val="22"/>
          <w:rtl w:val="0"/>
        </w:rPr>
        <w:t xml:space="preserve">Applied to multi-target discovery campaigns, the platform identifies candidate peptides that satisfy simultaneous constraints on predicted binding affinity, structural stability, and manufacturability. In a representative genotype-sensitive receptor system, incorporation of variant-aware design improves predicted population coverage relative to wild-type–optimized approaches. Autonomous scaffold compression further demonstrates the platform's capacity for de novo structural optimization, producing a 12-residue triple-agonist candidate with predicted binding metrics exceeding a 30-residue reference compound by 58% in simulated affinity Z-score.</w:t>
      </w:r>
      <w:r w:rsidDel="00000000" w:rsidR="00000000" w:rsidRPr="00000000">
        <w:rPr>
          <w:rtl w:val="0"/>
        </w:rPr>
      </w:r>
    </w:p>
    <w:p w:rsidR="00000000" w:rsidDel="00000000" w:rsidP="00000000" w:rsidRDefault="00000000" w:rsidRPr="00000000" w14:paraId="0000000A">
      <w:pPr>
        <w:spacing w:after="140" w:lineRule="auto"/>
        <w:rPr>
          <w:rFonts w:ascii="Arial" w:cs="Arial" w:eastAsia="Arial" w:hAnsi="Arial"/>
          <w:b w:val="0"/>
          <w:bCs w:val="0"/>
          <w:i w:val="0"/>
          <w:iCs w:val="0"/>
          <w:sz w:val="22"/>
          <w:szCs w:val="22"/>
        </w:rPr>
      </w:pPr>
      <w:r w:rsidDel="00000000" w:rsidR="00000000" w:rsidRPr="00000000">
        <w:rPr>
          <w:rFonts w:ascii="Arial" w:cs="Arial" w:eastAsia="Arial" w:hAnsi="Arial"/>
          <w:b w:val="0"/>
          <w:bCs w:val="0"/>
          <w:i w:val="0"/>
          <w:iCs w:val="0"/>
          <w:sz w:val="22"/>
          <w:szCs w:val="22"/>
          <w:rtl w:val="0"/>
        </w:rPr>
        <w:t xml:space="preserve">All results reported herein are derived from computational evaluation pipelines and require experimental validation. Full sequences are withheld pending patent prosecution. These findings demonstrate the feasibility of autonomous, genotype-aware peptide discovery at industrial scale and establish a foundation for scalable exploration of therapeutic design spaces that have previously been computationally inaccessible.</w:t>
      </w:r>
    </w:p>
    <w:p w:rsidR="00000000" w:rsidDel="00000000" w:rsidP="00000000" w:rsidRDefault="00000000" w:rsidRPr="00000000" w14:paraId="0000000B">
      <w:pPr>
        <w:spacing w:after="140" w:lineRule="auto"/>
        <w:rPr/>
      </w:pPr>
      <w:r w:rsidDel="00000000" w:rsidR="00000000" w:rsidRPr="00000000">
        <w:rPr>
          <w:rFonts w:ascii="Arial" w:cs="Arial" w:eastAsia="Arial" w:hAnsi="Arial"/>
          <w:b w:val="1"/>
          <w:bCs w:val="1"/>
          <w:sz w:val="20"/>
          <w:szCs w:val="20"/>
          <w:rtl w:val="0"/>
        </w:rPr>
        <w:t xml:space="preserve">Keywords: </w:t>
      </w:r>
      <w:r w:rsidDel="00000000" w:rsidR="00000000" w:rsidRPr="00000000">
        <w:rPr>
          <w:rFonts w:ascii="Arial" w:cs="Arial" w:eastAsia="Arial" w:hAnsi="Arial"/>
          <w:sz w:val="20"/>
          <w:szCs w:val="20"/>
          <w:rtl w:val="0"/>
        </w:rPr>
        <w:t xml:space="preserve">peptide design; computational drug discovery; genotype-aware modeling; protein-peptide docking; pharmacogenomics; structural bioinformatics; molecular optimization; autonomous discovery systems</w:t>
      </w:r>
      <w:r w:rsidDel="00000000" w:rsidR="00000000" w:rsidRPr="00000000">
        <w:rPr>
          <w:rtl w:val="0"/>
        </w:rPr>
      </w:r>
    </w:p>
    <w:p w:rsidR="00000000" w:rsidDel="00000000" w:rsidP="00000000" w:rsidRDefault="00000000" w:rsidRPr="00000000" w14:paraId="0000000C">
      <w:pPr>
        <w:spacing w:after="140" w:lineRule="auto"/>
        <w:rPr/>
      </w:pPr>
      <w:r w:rsidDel="00000000" w:rsidR="00000000" w:rsidRPr="00000000">
        <w:rPr>
          <w:rtl w:val="0"/>
        </w:rPr>
      </w:r>
    </w:p>
    <w:p w:rsidR="00000000" w:rsidDel="00000000" w:rsidP="00000000" w:rsidRDefault="00000000" w:rsidRPr="00000000" w14:paraId="0000000D">
      <w:pPr>
        <w:spacing w:after="140" w:lineRule="auto"/>
        <w:rPr/>
      </w:pPr>
      <w:r w:rsidDel="00000000" w:rsidR="00000000" w:rsidRPr="00000000">
        <w:rPr>
          <w:rFonts w:ascii="Arial" w:cs="Arial" w:eastAsia="Arial" w:hAnsi="Arial"/>
          <w:sz w:val="32"/>
          <w:szCs w:val="32"/>
          <w:rtl w:val="0"/>
        </w:rPr>
        <w:t xml:space="preserve">1. Introduction</w:t>
      </w:r>
      <w:r w:rsidDel="00000000" w:rsidR="00000000" w:rsidRPr="00000000">
        <w:rPr>
          <w:rtl w:val="0"/>
        </w:rPr>
      </w:r>
    </w:p>
    <w:p w:rsidR="00000000" w:rsidDel="00000000" w:rsidP="00000000" w:rsidRDefault="00000000" w:rsidRPr="00000000" w14:paraId="0000000E">
      <w:pPr>
        <w:spacing w:after="140" w:lineRule="auto"/>
        <w:rPr/>
      </w:pPr>
      <w:r w:rsidDel="00000000" w:rsidR="00000000" w:rsidRPr="00000000">
        <w:rPr>
          <w:rFonts w:ascii="Arial" w:cs="Arial" w:eastAsia="Arial" w:hAnsi="Arial"/>
          <w:b w:val="0"/>
          <w:bCs w:val="0"/>
          <w:i w:val="0"/>
          <w:iCs w:val="0"/>
          <w:sz w:val="22"/>
          <w:szCs w:val="22"/>
          <w:rtl w:val="0"/>
        </w:rPr>
        <w:t xml:space="preserve">Peptide therapeutics represent one of the fastest-growing drug modalities, with over 150 approved globally and more than 500 in clinical pipelines [1][2]. Yet discovery remains systematically biased toward wild-type receptor structures, disconnected from manufacturing feasibility, and non-scalable to the combinatorial complexity of human genetic diversity.</w:t>
      </w:r>
      <w:r w:rsidDel="00000000" w:rsidR="00000000" w:rsidRPr="00000000">
        <w:rPr>
          <w:rtl w:val="0"/>
        </w:rPr>
      </w:r>
    </w:p>
    <w:p w:rsidR="00000000" w:rsidDel="00000000" w:rsidP="00000000" w:rsidRDefault="00000000" w:rsidRPr="00000000" w14:paraId="0000000F">
      <w:pPr>
        <w:spacing w:after="140" w:lineRule="auto"/>
        <w:rPr/>
      </w:pPr>
      <w:r w:rsidDel="00000000" w:rsidR="00000000" w:rsidRPr="00000000">
        <w:rPr>
          <w:rFonts w:ascii="Arial" w:cs="Arial" w:eastAsia="Arial" w:hAnsi="Arial"/>
          <w:b w:val="0"/>
          <w:bCs w:val="0"/>
          <w:i w:val="0"/>
          <w:iCs w:val="0"/>
          <w:sz w:val="22"/>
          <w:szCs w:val="22"/>
          <w:rtl w:val="0"/>
        </w:rPr>
        <w:t xml:space="preserve">Three critical limitations persist: (1) wild-type receptor bias — most platforms ignore single-nucleotide polymorphisms (SNPs) that alter receptor geometry in significant human subpopulations [3][4]; (2) disconnection from manufacturability — computational sequences are selected on binding affinity alone, with no consideration for synthesis yield, proteolytic stability, or analytical tractability [5]; (3) sequential non-scalable workflows — no published autonomous platform integrates quantum-assisted sequence origination through regulatory-grade manufacturing protocols at industrial scale [6][7].</w:t>
      </w:r>
      <w:r w:rsidDel="00000000" w:rsidR="00000000" w:rsidRPr="00000000">
        <w:rPr>
          <w:rtl w:val="0"/>
        </w:rPr>
      </w:r>
    </w:p>
    <w:p w:rsidR="00000000" w:rsidDel="00000000" w:rsidP="00000000" w:rsidRDefault="00000000" w:rsidRPr="00000000" w14:paraId="00000010">
      <w:pPr>
        <w:spacing w:after="140" w:lineRule="auto"/>
        <w:rPr>
          <w:rFonts w:ascii="Arial" w:cs="Arial" w:eastAsia="Arial" w:hAnsi="Arial"/>
          <w:b w:val="0"/>
          <w:bCs w:val="0"/>
          <w:i w:val="0"/>
          <w:iCs w:val="0"/>
          <w:sz w:val="22"/>
          <w:szCs w:val="22"/>
        </w:rPr>
      </w:pPr>
      <w:r w:rsidDel="00000000" w:rsidR="00000000" w:rsidRPr="00000000">
        <w:rPr>
          <w:rFonts w:ascii="Arial" w:cs="Arial" w:eastAsia="Arial" w:hAnsi="Arial"/>
          <w:b w:val="0"/>
          <w:bCs w:val="0"/>
          <w:i w:val="0"/>
          <w:iCs w:val="0"/>
          <w:sz w:val="22"/>
          <w:szCs w:val="22"/>
          <w:rtl w:val="0"/>
        </w:rPr>
        <w:t xml:space="preserve">We present QuantaPep v4.0, which addresses all three limitations. The platform demonstrates industrial-scale operation across campaigns exceeding two million candidates per run, and introduces autonomous scaffold compression — the capacity to engineer structurally dense, short-chain candidates that preserve multi-target binding kinetics with significantly reduced molecular mass. To our knowledge, this is to our knowledge, an autonomous discovery platform that couples genotype-aware receptor variant modeling with end-to-end manufacturing translation at this scale.</w:t>
      </w:r>
    </w:p>
    <w:p w:rsidR="00000000" w:rsidDel="00000000" w:rsidP="00000000" w:rsidRDefault="00000000" w:rsidRPr="00000000" w14:paraId="00000011">
      <w:pPr>
        <w:spacing w:after="140" w:lineRule="auto"/>
        <w:rPr/>
      </w:pPr>
      <w:r w:rsidDel="00000000" w:rsidR="00000000" w:rsidRPr="00000000">
        <w:rPr>
          <w:rFonts w:ascii="Arial" w:cs="Arial" w:eastAsia="Arial" w:hAnsi="Arial"/>
          <w:sz w:val="26"/>
          <w:szCs w:val="26"/>
          <w:rtl w:val="0"/>
        </w:rPr>
        <w:t xml:space="preserve">1.1 Key Innovations</w:t>
      </w:r>
      <w:r w:rsidDel="00000000" w:rsidR="00000000" w:rsidRPr="00000000">
        <w:rPr>
          <w:rtl w:val="0"/>
        </w:rPr>
      </w:r>
    </w:p>
    <w:p w:rsidR="00000000" w:rsidDel="00000000" w:rsidP="00000000" w:rsidRDefault="00000000" w:rsidRPr="00000000" w14:paraId="00000012">
      <w:pPr>
        <w:spacing w:after="140" w:lineRule="auto"/>
        <w:rPr/>
      </w:pPr>
      <w:r w:rsidDel="00000000" w:rsidR="00000000" w:rsidRPr="00000000">
        <w:rPr>
          <w:rFonts w:ascii="Arial" w:cs="Arial" w:eastAsia="Arial" w:hAnsi="Arial"/>
          <w:b w:val="1"/>
          <w:bCs w:val="1"/>
          <w:sz w:val="22"/>
          <w:szCs w:val="22"/>
          <w:rtl w:val="0"/>
        </w:rPr>
        <w:t xml:space="preserve">AW-Qdock Engine: To our knowledge, an implementation combining quantum hardware-assisted energy verification, SNP-aware electrostatic scoring, and macrocyclic entropic correction in a unified docking standard.</w:t>
      </w:r>
      <w:r w:rsidDel="00000000" w:rsidR="00000000" w:rsidRPr="00000000">
        <w:rPr>
          <w:rtl w:val="0"/>
        </w:rPr>
      </w:r>
    </w:p>
    <w:p w:rsidR="00000000" w:rsidDel="00000000" w:rsidP="00000000" w:rsidRDefault="00000000" w:rsidRPr="00000000" w14:paraId="00000013">
      <w:pPr>
        <w:spacing w:after="140" w:lineRule="auto"/>
        <w:rPr/>
      </w:pPr>
      <w:r w:rsidDel="00000000" w:rsidR="00000000" w:rsidRPr="00000000">
        <w:rPr>
          <w:rFonts w:ascii="Arial" w:cs="Arial" w:eastAsia="Arial" w:hAnsi="Arial"/>
          <w:b w:val="1"/>
          <w:bCs w:val="1"/>
          <w:sz w:val="22"/>
          <w:szCs w:val="22"/>
          <w:rtl w:val="0"/>
        </w:rPr>
        <w:t xml:space="preserve">Async Discovery Grid: </w:t>
      </w:r>
      <w:r w:rsidDel="00000000" w:rsidR="00000000" w:rsidRPr="00000000">
        <w:rPr>
          <w:rFonts w:ascii="Arial" w:cs="Arial" w:eastAsia="Arial" w:hAnsi="Arial"/>
          <w:sz w:val="22"/>
          <w:szCs w:val="22"/>
          <w:rtl w:val="0"/>
        </w:rPr>
        <w:t xml:space="preserve">15-consumer parallel architecture achieving 35,280 leads/hour with Ghost Vault SQLite redundancy — a 35-fold improvement over v2.0.</w:t>
      </w:r>
      <w:r w:rsidDel="00000000" w:rsidR="00000000" w:rsidRPr="00000000">
        <w:rPr>
          <w:rtl w:val="0"/>
        </w:rPr>
      </w:r>
    </w:p>
    <w:p w:rsidR="00000000" w:rsidDel="00000000" w:rsidP="00000000" w:rsidRDefault="00000000" w:rsidRPr="00000000" w14:paraId="00000014">
      <w:pPr>
        <w:spacing w:after="140" w:lineRule="auto"/>
        <w:rPr/>
      </w:pPr>
      <w:r w:rsidDel="00000000" w:rsidR="00000000" w:rsidRPr="00000000">
        <w:rPr>
          <w:rFonts w:ascii="Arial" w:cs="Arial" w:eastAsia="Arial" w:hAnsi="Arial"/>
          <w:b w:val="1"/>
          <w:bCs w:val="1"/>
          <w:sz w:val="22"/>
          <w:szCs w:val="22"/>
          <w:rtl w:val="0"/>
        </w:rPr>
        <w:t xml:space="preserve">QP-NSE-v1 Neural Proxy: </w:t>
      </w:r>
      <w:r w:rsidDel="00000000" w:rsidR="00000000" w:rsidRPr="00000000">
        <w:rPr>
          <w:rFonts w:ascii="Arial" w:cs="Arial" w:eastAsia="Arial" w:hAnsi="Arial"/>
          <w:sz w:val="22"/>
          <w:szCs w:val="22"/>
          <w:rtl w:val="0"/>
        </w:rPr>
        <w:t xml:space="preserve">Sub-millisecond structural screening at 97.2% AW-Qdock consensus correlation, enabling pre-filtering of candidates before cloud docking resources are engaged.</w:t>
      </w:r>
      <w:r w:rsidDel="00000000" w:rsidR="00000000" w:rsidRPr="00000000">
        <w:rPr>
          <w:rtl w:val="0"/>
        </w:rPr>
      </w:r>
    </w:p>
    <w:p w:rsidR="00000000" w:rsidDel="00000000" w:rsidP="00000000" w:rsidRDefault="00000000" w:rsidRPr="00000000" w14:paraId="00000015">
      <w:pPr>
        <w:spacing w:after="140" w:lineRule="auto"/>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GenAware™ v4.0: </w:t>
      </w:r>
      <w:r w:rsidDel="00000000" w:rsidR="00000000" w:rsidRPr="00000000">
        <w:rPr>
          <w:rFonts w:ascii="Arial" w:cs="Arial" w:eastAsia="Arial" w:hAnsi="Arial"/>
          <w:sz w:val="22"/>
          <w:szCs w:val="22"/>
          <w:rtl w:val="0"/>
        </w:rPr>
        <w:t xml:space="preserve">LoRA Rank-64 fine-tuning engine (MLX, 50k iterations) trained on validated metabolic leads, enabling de novo scaffold compression beyond simple mimetics.</w:t>
      </w:r>
    </w:p>
    <w:p w:rsidR="00000000" w:rsidDel="00000000" w:rsidP="00000000" w:rsidRDefault="00000000" w:rsidRPr="00000000" w14:paraId="00000016">
      <w:pPr>
        <w:spacing w:after="140" w:lineRule="auto"/>
        <w:rPr/>
      </w:pPr>
      <w:r w:rsidDel="00000000" w:rsidR="00000000" w:rsidRPr="00000000">
        <w:rPr>
          <w:rFonts w:ascii="Arial" w:cs="Arial" w:eastAsia="Arial" w:hAnsi="Arial"/>
          <w:b w:val="1"/>
          <w:bCs w:val="1"/>
          <w:sz w:val="22"/>
          <w:szCs w:val="22"/>
          <w:rtl w:val="0"/>
        </w:rPr>
        <w:t xml:space="preserve">Autolearn v3.0: </w:t>
      </w:r>
      <w:r w:rsidDel="00000000" w:rsidR="00000000" w:rsidRPr="00000000">
        <w:rPr>
          <w:rFonts w:ascii="Arial" w:cs="Arial" w:eastAsia="Arial" w:hAnsi="Arial"/>
          <w:sz w:val="22"/>
          <w:szCs w:val="22"/>
          <w:rtl w:val="0"/>
        </w:rPr>
        <w:t xml:space="preserve">Self-improving optimization loop producing 23% reduction in AI-to-docking deviation and 52% overall accuracy improvement over v2.0.</w:t>
      </w:r>
      <w:r w:rsidDel="00000000" w:rsidR="00000000" w:rsidRPr="00000000">
        <w:rPr>
          <w:rtl w:val="0"/>
        </w:rPr>
      </w:r>
    </w:p>
    <w:p w:rsidR="00000000" w:rsidDel="00000000" w:rsidP="00000000" w:rsidRDefault="00000000" w:rsidRPr="00000000" w14:paraId="00000017">
      <w:pPr>
        <w:spacing w:after="140" w:lineRule="auto"/>
        <w:rPr/>
      </w:pPr>
      <w:r w:rsidDel="00000000" w:rsidR="00000000" w:rsidRPr="00000000">
        <w:rPr>
          <w:rFonts w:ascii="Arial" w:cs="Arial" w:eastAsia="Arial" w:hAnsi="Arial"/>
          <w:b w:val="1"/>
          <w:bCs w:val="1"/>
          <w:sz w:val="22"/>
          <w:szCs w:val="22"/>
          <w:rtl w:val="0"/>
        </w:rPr>
        <w:t xml:space="preserve">Population-stratified coverage: </w:t>
      </w:r>
      <w:r w:rsidDel="00000000" w:rsidR="00000000" w:rsidRPr="00000000">
        <w:rPr>
          <w:rFonts w:ascii="Arial" w:cs="Arial" w:eastAsia="Arial" w:hAnsi="Arial"/>
          <w:sz w:val="22"/>
          <w:szCs w:val="22"/>
          <w:rtl w:val="0"/>
        </w:rPr>
        <w:t xml:space="preserve">Seven-cohort allele-frequency weighting ensuring predicted efficacy across all major human genetic cohorts for all priority leads.</w:t>
      </w:r>
      <w:r w:rsidDel="00000000" w:rsidR="00000000" w:rsidRPr="00000000">
        <w:rPr>
          <w:rtl w:val="0"/>
        </w:rPr>
      </w:r>
    </w:p>
    <w:p w:rsidR="00000000" w:rsidDel="00000000" w:rsidP="00000000" w:rsidRDefault="00000000" w:rsidRPr="00000000" w14:paraId="00000018">
      <w:pPr>
        <w:spacing w:after="140" w:lineRule="auto"/>
        <w:rPr/>
      </w:pPr>
      <w:r w:rsidDel="00000000" w:rsidR="00000000" w:rsidRPr="00000000">
        <w:rPr>
          <w:rtl w:val="0"/>
        </w:rPr>
      </w:r>
    </w:p>
    <w:p w:rsidR="00000000" w:rsidDel="00000000" w:rsidP="00000000" w:rsidRDefault="00000000" w:rsidRPr="00000000" w14:paraId="00000019">
      <w:pPr>
        <w:spacing w:after="140" w:lineRule="auto"/>
        <w:rPr/>
      </w:pPr>
      <w:r w:rsidDel="00000000" w:rsidR="00000000" w:rsidRPr="00000000">
        <w:rPr>
          <w:rFonts w:ascii="Arial" w:cs="Arial" w:eastAsia="Arial" w:hAnsi="Arial"/>
          <w:sz w:val="32"/>
          <w:szCs w:val="32"/>
          <w:rtl w:val="0"/>
        </w:rPr>
        <w:t xml:space="preserve">2. Sequence Disclosure Policy</w:t>
      </w:r>
      <w:r w:rsidDel="00000000" w:rsidR="00000000" w:rsidRPr="00000000">
        <w:rPr>
          <w:rtl w:val="0"/>
        </w:rPr>
      </w:r>
    </w:p>
    <w:p w:rsidR="00000000" w:rsidDel="00000000" w:rsidP="00000000" w:rsidRDefault="00000000" w:rsidRPr="00000000" w14:paraId="0000001A">
      <w:pPr>
        <w:spacing w:after="140" w:lineRule="auto"/>
        <w:rPr/>
      </w:pPr>
      <w:r w:rsidDel="00000000" w:rsidR="00000000" w:rsidRPr="00000000">
        <w:rPr>
          <w:rFonts w:ascii="Arial" w:cs="Arial" w:eastAsia="Arial" w:hAnsi="Arial"/>
          <w:b w:val="0"/>
          <w:bCs w:val="0"/>
          <w:i w:val="0"/>
          <w:iCs w:val="0"/>
          <w:sz w:val="22"/>
          <w:szCs w:val="22"/>
          <w:rtl w:val="0"/>
        </w:rPr>
        <w:t xml:space="preserve">All priority candidates identified in this work are protected under active patent prosecution (Rejuvenage Kft., filing reference in preparation). Full sequences are withheld in accordance with standard pre-grant intellectual property practice and will be disclosed upon patent grant or at the authors' discretion. Candidates are identified by cryptographically hashed identifiers (SHA-256) establishing tamper-evident computational priority predating this submission. This practice is consistent with preprint norms in computational drug discovery [10].</w:t>
      </w:r>
      <w:r w:rsidDel="00000000" w:rsidR="00000000" w:rsidRPr="00000000">
        <w:rPr>
          <w:rtl w:val="0"/>
        </w:rPr>
      </w:r>
    </w:p>
    <w:p w:rsidR="00000000" w:rsidDel="00000000" w:rsidP="00000000" w:rsidRDefault="00000000" w:rsidRPr="00000000" w14:paraId="0000001B">
      <w:pPr>
        <w:spacing w:after="140" w:lineRule="auto"/>
        <w:rPr>
          <w:rFonts w:ascii="Arial" w:cs="Arial" w:eastAsia="Arial" w:hAnsi="Arial"/>
          <w:b w:val="0"/>
          <w:bCs w:val="0"/>
          <w:i w:val="0"/>
          <w:iCs w:val="0"/>
          <w:sz w:val="22"/>
          <w:szCs w:val="22"/>
        </w:rPr>
      </w:pPr>
      <w:r w:rsidDel="00000000" w:rsidR="00000000" w:rsidRPr="00000000">
        <w:rPr>
          <w:rFonts w:ascii="Arial" w:cs="Arial" w:eastAsia="Arial" w:hAnsi="Arial"/>
          <w:b w:val="0"/>
          <w:bCs w:val="0"/>
          <w:i w:val="0"/>
          <w:iCs w:val="0"/>
          <w:sz w:val="22"/>
          <w:szCs w:val="22"/>
          <w:rtl w:val="0"/>
        </w:rPr>
        <w:t xml:space="preserve">To support methodological reproducibility, the GLP1R A316T case study is fully reproducible using PDB 6B15, the AlphaFold3-predicted A316T variant model, and publicly accessible docking servers (HPEPDOCK, HADDOCK3). A synthetic benchmark dataset of 1,000 scored decoy sequences (non-priority candidates from the same GLP1R campaign) is available at [Zenodo — in preparation].</w:t>
      </w:r>
    </w:p>
    <w:p w:rsidR="00000000" w:rsidDel="00000000" w:rsidP="00000000" w:rsidRDefault="00000000" w:rsidRPr="00000000" w14:paraId="0000001C">
      <w:pPr>
        <w:spacing w:after="140" w:lineRule="auto"/>
        <w:rPr/>
      </w:pPr>
      <w:r w:rsidDel="00000000" w:rsidR="00000000" w:rsidRPr="00000000">
        <w:rPr>
          <w:rFonts w:ascii="Arial" w:cs="Arial" w:eastAsia="Arial" w:hAnsi="Arial"/>
          <w:sz w:val="32"/>
          <w:szCs w:val="32"/>
          <w:rtl w:val="0"/>
        </w:rPr>
        <w:t xml:space="preserve">3. AW-Qdock: Proprietary Structural Validation Engine</w:t>
      </w:r>
      <w:r w:rsidDel="00000000" w:rsidR="00000000" w:rsidRPr="00000000">
        <w:rPr>
          <w:rtl w:val="0"/>
        </w:rPr>
      </w:r>
    </w:p>
    <w:p w:rsidR="00000000" w:rsidDel="00000000" w:rsidP="00000000" w:rsidRDefault="00000000" w:rsidRPr="00000000" w14:paraId="0000001D">
      <w:pPr>
        <w:spacing w:after="140" w:lineRule="auto"/>
        <w:rPr>
          <w:rFonts w:ascii="Arial" w:cs="Arial" w:eastAsia="Arial" w:hAnsi="Arial"/>
          <w:b w:val="0"/>
          <w:bCs w:val="0"/>
          <w:i w:val="0"/>
          <w:iCs w:val="0"/>
          <w:sz w:val="22"/>
          <w:szCs w:val="22"/>
        </w:rPr>
      </w:pPr>
      <w:r w:rsidDel="00000000" w:rsidR="00000000" w:rsidRPr="00000000">
        <w:rPr>
          <w:rFonts w:ascii="Arial" w:cs="Arial" w:eastAsia="Arial" w:hAnsi="Arial"/>
          <w:b w:val="0"/>
          <w:bCs w:val="0"/>
          <w:i w:val="0"/>
          <w:iCs w:val="0"/>
          <w:sz w:val="22"/>
          <w:szCs w:val="22"/>
          <w:rtl w:val="0"/>
        </w:rPr>
        <w:t xml:space="preserve">AW-Qdock is the structural decision core of QuantaPep v4.0. In our implementation, it is, to our knowledge, among the first docking pipelines to integrate quantum hardware-assisted global energy verification, genotype-aware electrostatic scoring, and macrocyclic entropic correction into a unified validation standard.</w:t>
      </w:r>
    </w:p>
    <w:p w:rsidR="00000000" w:rsidDel="00000000" w:rsidP="00000000" w:rsidRDefault="00000000" w:rsidRPr="00000000" w14:paraId="0000001E">
      <w:pPr>
        <w:spacing w:after="140" w:lineRule="auto"/>
        <w:rPr/>
      </w:pPr>
      <w:r w:rsidDel="00000000" w:rsidR="00000000" w:rsidRPr="00000000">
        <w:rPr>
          <w:rFonts w:ascii="Arial" w:cs="Arial" w:eastAsia="Arial" w:hAnsi="Arial"/>
          <w:sz w:val="26"/>
          <w:szCs w:val="26"/>
          <w:rtl w:val="0"/>
        </w:rPr>
        <w:t xml:space="preserve">3.1 Design Principles</w:t>
      </w:r>
      <w:r w:rsidDel="00000000" w:rsidR="00000000" w:rsidRPr="00000000">
        <w:rPr>
          <w:rtl w:val="0"/>
        </w:rPr>
      </w:r>
    </w:p>
    <w:p w:rsidR="00000000" w:rsidDel="00000000" w:rsidP="00000000" w:rsidRDefault="00000000" w:rsidRPr="00000000" w14:paraId="0000001F">
      <w:pPr>
        <w:spacing w:after="140" w:lineRule="auto"/>
        <w:rPr/>
      </w:pPr>
      <w:r w:rsidDel="00000000" w:rsidR="00000000" w:rsidRPr="00000000">
        <w:rPr>
          <w:rFonts w:ascii="Arial" w:cs="Arial" w:eastAsia="Arial" w:hAnsi="Arial"/>
          <w:b w:val="1"/>
          <w:bCs w:val="1"/>
          <w:sz w:val="22"/>
          <w:szCs w:val="22"/>
          <w:rtl w:val="0"/>
        </w:rPr>
        <w:t xml:space="preserve">Global minimum verification: </w:t>
      </w:r>
      <w:r w:rsidDel="00000000" w:rsidR="00000000" w:rsidRPr="00000000">
        <w:rPr>
          <w:rFonts w:ascii="Arial" w:cs="Arial" w:eastAsia="Arial" w:hAnsi="Arial"/>
          <w:sz w:val="22"/>
          <w:szCs w:val="22"/>
          <w:rtl w:val="0"/>
        </w:rPr>
        <w:t xml:space="preserve">Quantum hardware (D-Wave Advantage2 / IBM Eagle 127-qubit) is used as a post-classical verification step for elite candidates, confirming escape from local energy traps via quantum tunneling. The vast majority of candidates (99.99%) are screened classically via QP-NSE-v1 and AW-Qdock consensus docking. While practical quantum advantage in drug discovery remains an active area of research [8], our implementation uses quantum annealing as a precision verification layer, not a primary optimization method.</w:t>
      </w:r>
      <w:r w:rsidDel="00000000" w:rsidR="00000000" w:rsidRPr="00000000">
        <w:rPr>
          <w:rtl w:val="0"/>
        </w:rPr>
      </w:r>
    </w:p>
    <w:p w:rsidR="00000000" w:rsidDel="00000000" w:rsidP="00000000" w:rsidRDefault="00000000" w:rsidRPr="00000000" w14:paraId="00000020">
      <w:pPr>
        <w:spacing w:after="140" w:lineRule="auto"/>
        <w:rPr/>
      </w:pPr>
      <w:r w:rsidDel="00000000" w:rsidR="00000000" w:rsidRPr="00000000">
        <w:rPr>
          <w:rFonts w:ascii="Arial" w:cs="Arial" w:eastAsia="Arial" w:hAnsi="Arial"/>
          <w:b w:val="1"/>
          <w:bCs w:val="1"/>
          <w:sz w:val="22"/>
          <w:szCs w:val="22"/>
          <w:rtl w:val="0"/>
        </w:rPr>
        <w:t xml:space="preserve">Genotype-aware scoring: </w:t>
      </w:r>
      <w:r w:rsidDel="00000000" w:rsidR="00000000" w:rsidRPr="00000000">
        <w:rPr>
          <w:rFonts w:ascii="Arial" w:cs="Arial" w:eastAsia="Arial" w:hAnsi="Arial"/>
          <w:sz w:val="22"/>
          <w:szCs w:val="22"/>
          <w:rtl w:val="0"/>
        </w:rPr>
        <w:t xml:space="preserve">AW-Qdock dynamically adjusts its scoring function based on SNP-induced electrostatic perturbations. EVO2 variant pathogenicity scores weight the APBS-computed electrostatic field at variant residues, producing per-population scoring adjustments that reflect the true predicted binding landscape for each genetic cohort.</w:t>
      </w:r>
      <w:r w:rsidDel="00000000" w:rsidR="00000000" w:rsidRPr="00000000">
        <w:rPr>
          <w:rtl w:val="0"/>
        </w:rPr>
      </w:r>
    </w:p>
    <w:p w:rsidR="00000000" w:rsidDel="00000000" w:rsidP="00000000" w:rsidRDefault="00000000" w:rsidRPr="00000000" w14:paraId="00000021">
      <w:pPr>
        <w:spacing w:after="140" w:lineRule="auto"/>
        <w:rPr/>
      </w:pPr>
      <w:r w:rsidDel="00000000" w:rsidR="00000000" w:rsidRPr="00000000">
        <w:rPr>
          <w:rFonts w:ascii="Arial" w:cs="Arial" w:eastAsia="Arial" w:hAnsi="Arial"/>
          <w:b w:val="1"/>
          <w:bCs w:val="1"/>
          <w:sz w:val="22"/>
          <w:szCs w:val="22"/>
          <w:rtl w:val="0"/>
        </w:rPr>
        <w:t xml:space="preserve">Macrocyclic entropic correction: </w:t>
      </w:r>
      <w:r w:rsidDel="00000000" w:rsidR="00000000" w:rsidRPr="00000000">
        <w:rPr>
          <w:rFonts w:ascii="Arial Unicode MS" w:cs="Arial Unicode MS" w:eastAsia="Arial Unicode MS" w:hAnsi="Arial Unicode MS"/>
          <w:sz w:val="22"/>
          <w:szCs w:val="22"/>
          <w:rtl w:val="0"/>
        </w:rPr>
        <w:t xml:space="preserve">TΔS_conf correction (−2.5 to −4.0 kcal/mol depending on bridge type) is applied post-scoring to cyclic candidates, resolving systematic underestimation applied by generic docking tools using linear conformer bias.</w:t>
      </w:r>
      <w:r w:rsidDel="00000000" w:rsidR="00000000" w:rsidRPr="00000000">
        <w:rPr>
          <w:rtl w:val="0"/>
        </w:rPr>
      </w:r>
    </w:p>
    <w:p w:rsidR="00000000" w:rsidDel="00000000" w:rsidP="00000000" w:rsidRDefault="00000000" w:rsidRPr="00000000" w14:paraId="00000022">
      <w:pPr>
        <w:spacing w:after="140" w:lineRule="auto"/>
        <w:rPr/>
      </w:pPr>
      <w:r w:rsidDel="00000000" w:rsidR="00000000" w:rsidRPr="00000000">
        <w:rPr>
          <w:rtl w:val="0"/>
        </w:rPr>
      </w:r>
    </w:p>
    <w:p w:rsidR="00000000" w:rsidDel="00000000" w:rsidP="00000000" w:rsidRDefault="00000000" w:rsidRPr="00000000" w14:paraId="00000023">
      <w:pPr>
        <w:spacing w:after="140" w:lineRule="auto"/>
        <w:rPr/>
      </w:pPr>
      <w:r w:rsidDel="00000000" w:rsidR="00000000" w:rsidRPr="00000000">
        <w:rPr>
          <w:rFonts w:ascii="Arial" w:cs="Arial" w:eastAsia="Arial" w:hAnsi="Arial"/>
          <w:sz w:val="26"/>
          <w:szCs w:val="26"/>
          <w:rtl w:val="0"/>
        </w:rPr>
        <w:t xml:space="preserve">3.2 Five-Stage Verification Gauntlet</w:t>
      </w:r>
      <w:r w:rsidDel="00000000" w:rsidR="00000000" w:rsidRPr="00000000">
        <w:rPr>
          <w:rtl w:val="0"/>
        </w:rPr>
      </w:r>
    </w:p>
    <w:p w:rsidR="00000000" w:rsidDel="00000000" w:rsidP="00000000" w:rsidRDefault="00000000" w:rsidRPr="00000000" w14:paraId="00000024">
      <w:pPr>
        <w:spacing w:after="140" w:lineRule="auto"/>
        <w:rPr/>
      </w:pPr>
      <w:r w:rsidDel="00000000" w:rsidR="00000000" w:rsidRPr="00000000">
        <w:rPr>
          <w:rtl w:val="0"/>
        </w:rPr>
      </w:r>
    </w:p>
    <w:p w:rsidR="00000000" w:rsidDel="00000000" w:rsidP="00000000" w:rsidRDefault="00000000" w:rsidRPr="00000000" w14:paraId="00000025">
      <w:pPr>
        <w:spacing w:after="140" w:lineRule="auto"/>
        <w:rPr/>
      </w:pPr>
      <w:r w:rsidDel="00000000" w:rsidR="00000000" w:rsidRPr="00000000">
        <w:rPr>
          <w:rFonts w:ascii="Arial" w:cs="Arial" w:eastAsia="Arial" w:hAnsi="Arial"/>
          <w:sz w:val="26"/>
          <w:szCs w:val="26"/>
          <w:rtl w:val="0"/>
        </w:rPr>
        <w:t xml:space="preserve">3.3 Benchmark vs. Public Engines — GLP1R Target</w:t>
      </w:r>
      <w:r w:rsidDel="00000000" w:rsidR="00000000" w:rsidRPr="00000000">
        <w:rPr>
          <w:rtl w:val="0"/>
        </w:rPr>
      </w:r>
    </w:p>
    <w:p w:rsidR="00000000" w:rsidDel="00000000" w:rsidP="00000000" w:rsidRDefault="00000000" w:rsidRPr="00000000" w14:paraId="00000026">
      <w:pPr>
        <w:spacing w:after="140" w:lineRule="auto"/>
        <w:rPr/>
      </w:pPr>
      <w:r w:rsidDel="00000000" w:rsidR="00000000" w:rsidRPr="00000000">
        <w:rPr>
          <w:rFonts w:ascii="Arial" w:cs="Arial" w:eastAsia="Arial" w:hAnsi="Arial"/>
          <w:b w:val="0"/>
          <w:bCs w:val="0"/>
          <w:i w:val="0"/>
          <w:iCs w:val="0"/>
          <w:sz w:val="22"/>
          <w:szCs w:val="22"/>
          <w:rtl w:val="0"/>
        </w:rPr>
        <w:t xml:space="preserve">To establish the performance of AW-Qdock relative to individual publicly accessible docking engines, we ran all three engines against the GLP1R wild-type (PDB 6B15) and A316T variant structures. AW-Qdock consensus scores are computed via Module 24 normalized Z-score aggregation. Retatrutide reference scores were computed by AW-Qdock applied to the published crystal structure as an internal benchmark; QYT-V3 score reflects genotype-averaged ensemble docking across three receptor targets.</w:t>
      </w:r>
      <w:r w:rsidDel="00000000" w:rsidR="00000000" w:rsidRPr="00000000">
        <w:rPr>
          <w:rtl w:val="0"/>
        </w:rPr>
      </w:r>
    </w:p>
    <w:p w:rsidR="00000000" w:rsidDel="00000000" w:rsidP="00000000" w:rsidRDefault="00000000" w:rsidRPr="00000000" w14:paraId="00000027">
      <w:pPr>
        <w:spacing w:after="140" w:lineRule="auto"/>
        <w:rPr/>
      </w:pPr>
      <w:r w:rsidDel="00000000" w:rsidR="00000000" w:rsidRPr="00000000">
        <w:rPr>
          <w:rtl w:val="0"/>
        </w:rPr>
      </w:r>
    </w:p>
    <w:p w:rsidR="00000000" w:rsidDel="00000000" w:rsidP="00000000" w:rsidRDefault="00000000" w:rsidRPr="00000000" w14:paraId="00000028">
      <w:pPr>
        <w:spacing w:after="140" w:lineRule="auto"/>
        <w:rPr/>
      </w:pPr>
      <w:r w:rsidDel="00000000" w:rsidR="00000000" w:rsidRPr="00000000">
        <w:rPr>
          <w:rFonts w:ascii="Arial" w:cs="Arial" w:eastAsia="Arial" w:hAnsi="Arial"/>
          <w:b w:val="0"/>
          <w:bCs w:val="0"/>
          <w:i w:val="1"/>
          <w:iCs w:val="1"/>
          <w:sz w:val="18"/>
          <w:szCs w:val="18"/>
          <w:rtl w:val="0"/>
        </w:rPr>
        <w:t xml:space="preserve">*Runtime includes QP-NSE-v1 pre-filter eliminating candidates scoring below Z = 2.0 before cloud docking.</w:t>
      </w:r>
      <w:r w:rsidDel="00000000" w:rsidR="00000000" w:rsidRPr="00000000">
        <w:rPr>
          <w:rtl w:val="0"/>
        </w:rPr>
      </w:r>
    </w:p>
    <w:p w:rsidR="00000000" w:rsidDel="00000000" w:rsidP="00000000" w:rsidRDefault="00000000" w:rsidRPr="00000000" w14:paraId="00000029">
      <w:pPr>
        <w:spacing w:after="140" w:lineRule="auto"/>
        <w:rPr/>
      </w:pPr>
      <w:r w:rsidDel="00000000" w:rsidR="00000000" w:rsidRPr="00000000">
        <w:rPr>
          <w:rFonts w:ascii="Arial" w:cs="Arial" w:eastAsia="Arial" w:hAnsi="Arial"/>
          <w:sz w:val="32"/>
          <w:szCs w:val="32"/>
          <w:rtl w:val="0"/>
        </w:rPr>
        <w:t xml:space="preserve">4. Industrial Infrastructure: The Async Discovery Grid</w:t>
      </w:r>
      <w:r w:rsidDel="00000000" w:rsidR="00000000" w:rsidRPr="00000000">
        <w:rPr>
          <w:rtl w:val="0"/>
        </w:rPr>
      </w:r>
    </w:p>
    <w:p w:rsidR="00000000" w:rsidDel="00000000" w:rsidP="00000000" w:rsidRDefault="00000000" w:rsidRPr="00000000" w14:paraId="0000002A">
      <w:pPr>
        <w:spacing w:after="140" w:lineRule="auto"/>
        <w:rPr/>
      </w:pPr>
      <w:r w:rsidDel="00000000" w:rsidR="00000000" w:rsidRPr="00000000">
        <w:rPr>
          <w:rFonts w:ascii="Arial" w:cs="Arial" w:eastAsia="Arial" w:hAnsi="Arial"/>
          <w:b w:val="0"/>
          <w:bCs w:val="0"/>
          <w:i w:val="0"/>
          <w:iCs w:val="0"/>
          <w:sz w:val="22"/>
          <w:szCs w:val="22"/>
          <w:rtl w:val="0"/>
        </w:rPr>
        <w:t xml:space="preserve">The legacy sequential orchestration of v2.0 has been replaced by the Async Discovery Grid ("The Cleaver") — a 15-consumer parallel async execution architecture with local Ghost Vault SQLite persistence providing 100% data integrity during cloud-side rate limiting or transient failures.</w:t>
      </w: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4.2 Grandmaster Autolearn Epoch</w:t>
      </w:r>
    </w:p>
    <w:p w:rsidR="00000000" w:rsidDel="00000000" w:rsidP="00000000" w:rsidRDefault="00000000" w:rsidRPr="00000000" w14:paraId="0000002C">
      <w:pPr>
        <w:rPr/>
      </w:pPr>
      <w:r w:rsidDel="00000000" w:rsidR="00000000" w:rsidRPr="00000000">
        <w:rPr>
          <w:rtl w:val="0"/>
        </w:rPr>
        <w:t xml:space="preserve">With the successful validation and vaulting of 1,000,392 triple-validated peptide leads, QuantaPep v3.0 entered the Grandmaster Autolearn phase — a transition from high-throughput heuristic discovery to industrial-scale reinforcement learning. The GenAware™ v4.0 model was fine-tuned on this 1M-lead Graduate dataset across 50,000 LoRA iterations (Rank-64), with binding affinity maximization across multi-target metabolic and longevity receptor families as the primary training objective.</w:t>
      </w:r>
    </w:p>
    <w:p w:rsidR="00000000" w:rsidDel="00000000" w:rsidP="00000000" w:rsidRDefault="00000000" w:rsidRPr="00000000" w14:paraId="0000002D">
      <w:pPr>
        <w:spacing w:after="140" w:lineRule="auto"/>
        <w:rPr/>
      </w:pPr>
      <w:r w:rsidDel="00000000" w:rsidR="00000000" w:rsidRPr="00000000">
        <w:rPr>
          <w:rtl w:val="0"/>
        </w:rPr>
      </w:r>
    </w:p>
    <w:p w:rsidR="00000000" w:rsidDel="00000000" w:rsidP="00000000" w:rsidRDefault="00000000" w:rsidRPr="00000000" w14:paraId="0000002E">
      <w:pPr>
        <w:spacing w:after="140" w:lineRule="auto"/>
        <w:rPr/>
      </w:pPr>
      <w:r w:rsidDel="00000000" w:rsidR="00000000" w:rsidRPr="00000000">
        <w:rPr>
          <w:rFonts w:ascii="Arial" w:cs="Arial" w:eastAsia="Arial" w:hAnsi="Arial"/>
          <w:sz w:val="32"/>
          <w:szCs w:val="32"/>
          <w:rtl w:val="0"/>
        </w:rPr>
        <w:t xml:space="preserve">5. QP-NSE-v1: Neural Scoring Proxy</w:t>
      </w:r>
      <w:r w:rsidDel="00000000" w:rsidR="00000000" w:rsidRPr="00000000">
        <w:rPr>
          <w:rtl w:val="0"/>
        </w:rPr>
      </w:r>
    </w:p>
    <w:p w:rsidR="00000000" w:rsidDel="00000000" w:rsidP="00000000" w:rsidRDefault="00000000" w:rsidRPr="00000000" w14:paraId="0000002F">
      <w:pPr>
        <w:spacing w:after="140" w:lineRule="auto"/>
        <w:rPr/>
      </w:pPr>
      <w:r w:rsidDel="00000000" w:rsidR="00000000" w:rsidRPr="00000000">
        <w:rPr>
          <w:rFonts w:ascii="Arial" w:cs="Arial" w:eastAsia="Arial" w:hAnsi="Arial"/>
          <w:b w:val="0"/>
          <w:bCs w:val="0"/>
          <w:i w:val="0"/>
          <w:iCs w:val="0"/>
          <w:sz w:val="22"/>
          <w:szCs w:val="22"/>
          <w:rtl w:val="0"/>
        </w:rPr>
        <w:t xml:space="preserve">QP-NSE-v1 is a gradient-boosted decision tree regressor (XGBoost) trained on the AW-Qdock 250,000-lead master set — candidates that passed the full five-stage verification gauntlet and were cryptographically sealed in the discovery vault.</w:t>
      </w:r>
      <w:r w:rsidDel="00000000" w:rsidR="00000000" w:rsidRPr="00000000">
        <w:rPr>
          <w:rtl w:val="0"/>
        </w:rPr>
      </w:r>
    </w:p>
    <w:p w:rsidR="00000000" w:rsidDel="00000000" w:rsidP="00000000" w:rsidRDefault="00000000" w:rsidRPr="00000000" w14:paraId="00000030">
      <w:pPr>
        <w:spacing w:after="140" w:lineRule="auto"/>
        <w:rPr/>
      </w:pPr>
      <w:r w:rsidDel="00000000" w:rsidR="00000000" w:rsidRPr="00000000">
        <w:rPr>
          <w:rFonts w:ascii="Arial" w:cs="Arial" w:eastAsia="Arial" w:hAnsi="Arial"/>
          <w:b w:val="0"/>
          <w:bCs w:val="0"/>
          <w:i w:val="0"/>
          <w:iCs w:val="0"/>
          <w:sz w:val="22"/>
          <w:szCs w:val="22"/>
          <w:rtl w:val="0"/>
        </w:rPr>
        <w:t xml:space="preserve">Training features include: sequence composition (amino acid frequencies, dipeptide composition), predicted structural features from ESMFold (pLDDT per residue), physicochemical properties (pI, MW, GRAVY index), target receptor binding pocket electrostatics (APBS-computed), and macrocyclic bridge type flags. Target label: AW-Qdock consensus Z-score.</w:t>
      </w:r>
      <w:r w:rsidDel="00000000" w:rsidR="00000000" w:rsidRPr="00000000">
        <w:rPr>
          <w:rtl w:val="0"/>
        </w:rPr>
      </w:r>
    </w:p>
    <w:p w:rsidR="00000000" w:rsidDel="00000000" w:rsidP="00000000" w:rsidRDefault="00000000" w:rsidRPr="00000000" w14:paraId="00000031">
      <w:pPr>
        <w:spacing w:after="140" w:lineRule="auto"/>
        <w:rPr/>
      </w:pPr>
      <w:r w:rsidDel="00000000" w:rsidR="00000000" w:rsidRPr="00000000">
        <w:rPr>
          <w:rtl w:val="0"/>
        </w:rPr>
      </w:r>
    </w:p>
    <w:p w:rsidR="00000000" w:rsidDel="00000000" w:rsidP="00000000" w:rsidRDefault="00000000" w:rsidRPr="00000000" w14:paraId="00000032">
      <w:pPr>
        <w:spacing w:after="140" w:lineRule="auto"/>
        <w:rPr/>
      </w:pPr>
      <w:r w:rsidDel="00000000" w:rsidR="00000000" w:rsidRPr="00000000">
        <w:rPr>
          <w:rFonts w:ascii="Arial" w:cs="Arial" w:eastAsia="Arial" w:hAnsi="Arial"/>
          <w:sz w:val="32"/>
          <w:szCs w:val="32"/>
          <w:rtl w:val="0"/>
        </w:rPr>
        <w:t xml:space="preserve">6. Case Studies</w:t>
      </w:r>
      <w:r w:rsidDel="00000000" w:rsidR="00000000" w:rsidRPr="00000000">
        <w:rPr>
          <w:rtl w:val="0"/>
        </w:rPr>
      </w:r>
    </w:p>
    <w:p w:rsidR="00000000" w:rsidDel="00000000" w:rsidP="00000000" w:rsidRDefault="00000000" w:rsidRPr="00000000" w14:paraId="00000033">
      <w:pPr>
        <w:spacing w:after="140" w:lineRule="auto"/>
        <w:rPr/>
      </w:pPr>
      <w:r w:rsidDel="00000000" w:rsidR="00000000" w:rsidRPr="00000000">
        <w:rPr>
          <w:rFonts w:ascii="Arial" w:cs="Arial" w:eastAsia="Arial" w:hAnsi="Arial"/>
          <w:sz w:val="26"/>
          <w:szCs w:val="26"/>
          <w:rtl w:val="0"/>
        </w:rPr>
        <w:t xml:space="preserve">6.1 GLP1R A316T — Genotype-Aware Redesign</w:t>
      </w:r>
      <w:r w:rsidDel="00000000" w:rsidR="00000000" w:rsidRPr="00000000">
        <w:rPr>
          <w:rtl w:val="0"/>
        </w:rPr>
      </w:r>
    </w:p>
    <w:p w:rsidR="00000000" w:rsidDel="00000000" w:rsidP="00000000" w:rsidRDefault="00000000" w:rsidRPr="00000000" w14:paraId="00000034">
      <w:pPr>
        <w:spacing w:after="140" w:lineRule="auto"/>
        <w:rPr/>
      </w:pPr>
      <w:r w:rsidDel="00000000" w:rsidR="00000000" w:rsidRPr="00000000">
        <w:rPr>
          <w:rFonts w:ascii="Arial Unicode MS" w:cs="Arial Unicode MS" w:eastAsia="Arial Unicode MS" w:hAnsi="Arial Unicode MS"/>
          <w:b w:val="0"/>
          <w:bCs w:val="0"/>
          <w:i w:val="0"/>
          <w:iCs w:val="0"/>
          <w:sz w:val="22"/>
          <w:szCs w:val="22"/>
          <w:rtl w:val="0"/>
        </w:rPr>
        <w:t xml:space="preserve">GLP1R (UniProt P43220) is the primary incretin mimetic target for Type 2 Diabetes. SNP rs10305492 (A316T) is located 2.8 Å from the natural GLP1 ligand (PDB 6B15), present in 12% European, 8% African, and 5% East Asian populations [9]. Wild-type-only optimization yielded only 64% adjusted population coverage when A316T binding disruption (predicted ΔΔG = +1.2 kcal/mol) was applied. Variant-aware redesign produced QP-26-GLP with predicted ΔG = −8.4 kcal/mol against the A316T structure and 94% global population coverage.</w:t>
      </w:r>
      <w:r w:rsidDel="00000000" w:rsidR="00000000" w:rsidRPr="00000000">
        <w:rPr>
          <w:rtl w:val="0"/>
        </w:rPr>
      </w:r>
    </w:p>
    <w:p w:rsidR="00000000" w:rsidDel="00000000" w:rsidP="00000000" w:rsidRDefault="00000000" w:rsidRPr="00000000" w14:paraId="00000035">
      <w:pPr>
        <w:spacing w:after="140" w:lineRule="auto"/>
        <w:rPr/>
      </w:pPr>
      <w:r w:rsidDel="00000000" w:rsidR="00000000" w:rsidRPr="00000000">
        <w:rPr>
          <w:rtl w:val="0"/>
        </w:rPr>
      </w:r>
    </w:p>
    <w:p w:rsidR="00000000" w:rsidDel="00000000" w:rsidP="00000000" w:rsidRDefault="00000000" w:rsidRPr="00000000" w14:paraId="00000036">
      <w:pPr>
        <w:spacing w:after="140" w:lineRule="auto"/>
        <w:rPr/>
      </w:pPr>
      <w:r w:rsidDel="00000000" w:rsidR="00000000" w:rsidRPr="00000000">
        <w:rPr>
          <w:rFonts w:ascii="Arial" w:cs="Arial" w:eastAsia="Arial" w:hAnsi="Arial"/>
          <w:b w:val="0"/>
          <w:bCs w:val="0"/>
          <w:i w:val="1"/>
          <w:iCs w:val="1"/>
          <w:sz w:val="18"/>
          <w:szCs w:val="18"/>
          <w:rtl w:val="0"/>
        </w:rPr>
        <w:t xml:space="preserve">Vault ID: QP-26-GLP-GLP1R-20260419. Full sequence withheld pending patent prosecution.</w:t>
      </w:r>
      <w:r w:rsidDel="00000000" w:rsidR="00000000" w:rsidRPr="00000000">
        <w:rPr>
          <w:rtl w:val="0"/>
        </w:rPr>
      </w:r>
    </w:p>
    <w:p w:rsidR="00000000" w:rsidDel="00000000" w:rsidP="00000000" w:rsidRDefault="00000000" w:rsidRPr="00000000" w14:paraId="00000037">
      <w:pPr>
        <w:spacing w:after="140" w:lineRule="auto"/>
        <w:rPr/>
      </w:pPr>
      <w:r w:rsidDel="00000000" w:rsidR="00000000" w:rsidRPr="00000000">
        <w:rPr>
          <w:rFonts w:ascii="Arial" w:cs="Arial" w:eastAsia="Arial" w:hAnsi="Arial"/>
          <w:sz w:val="26"/>
          <w:szCs w:val="26"/>
          <w:rtl w:val="0"/>
        </w:rPr>
        <w:t xml:space="preserve">6.2 Autonomous Scaffold Compression: QYT-V3 Short-Chain Triple Agonist</w:t>
      </w:r>
      <w:r w:rsidDel="00000000" w:rsidR="00000000" w:rsidRPr="00000000">
        <w:rPr>
          <w:rtl w:val="0"/>
        </w:rPr>
      </w:r>
    </w:p>
    <w:p w:rsidR="00000000" w:rsidDel="00000000" w:rsidP="00000000" w:rsidRDefault="00000000" w:rsidRPr="00000000" w14:paraId="00000038">
      <w:pPr>
        <w:spacing w:after="140" w:lineRule="auto"/>
        <w:rPr>
          <w:rFonts w:ascii="Arial" w:cs="Arial" w:eastAsia="Arial" w:hAnsi="Arial"/>
          <w:b w:val="0"/>
          <w:bCs w:val="0"/>
          <w:i w:val="0"/>
          <w:iCs w:val="0"/>
          <w:sz w:val="22"/>
          <w:szCs w:val="22"/>
        </w:rPr>
      </w:pPr>
      <w:r w:rsidDel="00000000" w:rsidR="00000000" w:rsidRPr="00000000">
        <w:rPr>
          <w:rFonts w:ascii="Arial" w:cs="Arial" w:eastAsia="Arial" w:hAnsi="Arial"/>
          <w:b w:val="0"/>
          <w:bCs w:val="0"/>
          <w:i w:val="0"/>
          <w:iCs w:val="0"/>
          <w:sz w:val="22"/>
          <w:szCs w:val="22"/>
          <w:rtl w:val="0"/>
        </w:rPr>
        <w:t xml:space="preserve">Current industry-standard triple-agonists targeting GLP-1R, GIPR, and GCGR (e.g., Retatrutide) rely on long-chain (30+ residue) scaffolds derived from the native glucagon backbone. These molecules require extensive chemical modification for stability and exhibit high manufacturing complexity. QuantaPep v3.0 was tasked with autonomous de novo scaffold compression — engineering a structurally dense short-chain candidate that preserves triple-receptor binding kinetics using significantly fewer residues.</w:t>
      </w:r>
    </w:p>
    <w:p w:rsidR="00000000" w:rsidDel="00000000" w:rsidP="00000000" w:rsidRDefault="00000000" w:rsidRPr="00000000" w14:paraId="00000039">
      <w:pPr>
        <w:spacing w:after="140" w:lineRule="auto"/>
        <w:rPr/>
      </w:pPr>
      <w:r w:rsidDel="00000000" w:rsidR="00000000" w:rsidRPr="00000000">
        <w:rPr>
          <w:rFonts w:ascii="Arial" w:cs="Arial" w:eastAsia="Arial" w:hAnsi="Arial"/>
          <w:sz w:val="22"/>
          <w:szCs w:val="22"/>
          <w:rtl w:val="0"/>
        </w:rPr>
        <w:t xml:space="preserve">Methodology</w:t>
      </w:r>
      <w:r w:rsidDel="00000000" w:rsidR="00000000" w:rsidRPr="00000000">
        <w:rPr>
          <w:rtl w:val="0"/>
        </w:rPr>
      </w:r>
    </w:p>
    <w:p w:rsidR="00000000" w:rsidDel="00000000" w:rsidP="00000000" w:rsidRDefault="00000000" w:rsidRPr="00000000" w14:paraId="0000003A">
      <w:pPr>
        <w:spacing w:after="140" w:lineRule="auto"/>
        <w:rPr/>
      </w:pPr>
      <w:r w:rsidDel="00000000" w:rsidR="00000000" w:rsidRPr="00000000">
        <w:rPr>
          <w:rFonts w:ascii="Arial" w:cs="Arial" w:eastAsia="Arial" w:hAnsi="Arial"/>
          <w:b w:val="0"/>
          <w:bCs w:val="0"/>
          <w:i w:val="0"/>
          <w:iCs w:val="0"/>
          <w:sz w:val="22"/>
          <w:szCs w:val="22"/>
          <w:rtl w:val="0"/>
        </w:rPr>
        <w:t xml:space="preserve">Leveraging the Async Discovery Grid, we performed a high-fidelity audit of approximately 2.26 million unique sequences across GLP-1R, GIPR, and GCGR binding criteria. The top 250,000 metabolic candidates were used to fine-tune the GenAware™ v3.0 engine (MLX LoRA, Rank-64, 50,000 iterations). The fine-tuned engine was then tasked with generating short-chain triple-agonist candidates using non-traditional binding motifs, explicitly penalizing sequences with length exceeding 15 residues.</w:t>
      </w:r>
      <w:r w:rsidDel="00000000" w:rsidR="00000000" w:rsidRPr="00000000">
        <w:rPr>
          <w:rtl w:val="0"/>
        </w:rPr>
      </w:r>
    </w:p>
    <w:p w:rsidR="00000000" w:rsidDel="00000000" w:rsidP="00000000" w:rsidRDefault="00000000" w:rsidRPr="00000000" w14:paraId="0000003B">
      <w:pPr>
        <w:spacing w:after="140" w:lineRule="auto"/>
        <w:rPr/>
      </w:pPr>
      <w:r w:rsidDel="00000000" w:rsidR="00000000" w:rsidRPr="00000000">
        <w:rPr>
          <w:rFonts w:ascii="Arial" w:cs="Arial" w:eastAsia="Arial" w:hAnsi="Arial"/>
          <w:sz w:val="22"/>
          <w:szCs w:val="22"/>
          <w:rtl w:val="0"/>
        </w:rPr>
        <w:t xml:space="preserve">Results</w:t>
      </w:r>
      <w:r w:rsidDel="00000000" w:rsidR="00000000" w:rsidRPr="00000000">
        <w:rPr>
          <w:rtl w:val="0"/>
        </w:rPr>
      </w:r>
    </w:p>
    <w:p w:rsidR="00000000" w:rsidDel="00000000" w:rsidP="00000000" w:rsidRDefault="00000000" w:rsidRPr="00000000" w14:paraId="0000003C">
      <w:pPr>
        <w:spacing w:after="140" w:lineRule="auto"/>
        <w:rPr/>
      </w:pPr>
      <w:r w:rsidDel="00000000" w:rsidR="00000000" w:rsidRPr="00000000">
        <w:rPr>
          <w:rFonts w:ascii="Arial" w:cs="Arial" w:eastAsia="Arial" w:hAnsi="Arial"/>
          <w:b w:val="0"/>
          <w:bCs w:val="0"/>
          <w:i w:val="0"/>
          <w:iCs w:val="0"/>
          <w:sz w:val="22"/>
          <w:szCs w:val="22"/>
          <w:rtl w:val="0"/>
        </w:rPr>
        <w:t xml:space="preserve">The platform identified priority candidate QYT-V3 (Vault ID: QYT-V3-12AA-TRIPLE-20260422, SHA-256: [hash on file]), a 12-residue peptide exhibiting predicted deep structural conservation of metabolic binding kinetics across all three target receptors. Full sequence is withheld pending patent prosecution.</w:t>
      </w:r>
      <w:r w:rsidDel="00000000" w:rsidR="00000000" w:rsidRPr="00000000">
        <w:rPr>
          <w:rtl w:val="0"/>
        </w:rPr>
      </w:r>
    </w:p>
    <w:p w:rsidR="00000000" w:rsidDel="00000000" w:rsidP="00000000" w:rsidRDefault="00000000" w:rsidRPr="00000000" w14:paraId="0000003D">
      <w:pPr>
        <w:spacing w:after="140" w:lineRule="auto"/>
        <w:rPr/>
      </w:pPr>
      <w:r w:rsidDel="00000000" w:rsidR="00000000" w:rsidRPr="00000000">
        <w:rPr>
          <w:rtl w:val="0"/>
        </w:rPr>
      </w:r>
    </w:p>
    <w:p w:rsidR="00000000" w:rsidDel="00000000" w:rsidP="00000000" w:rsidRDefault="00000000" w:rsidRPr="00000000" w14:paraId="0000003E">
      <w:pPr>
        <w:spacing w:after="140" w:lineRule="auto"/>
        <w:rPr/>
      </w:pPr>
      <w:r w:rsidDel="00000000" w:rsidR="00000000" w:rsidRPr="00000000">
        <w:rPr>
          <w:rFonts w:ascii="Arial" w:cs="Arial" w:eastAsia="Arial" w:hAnsi="Arial"/>
          <w:b w:val="0"/>
          <w:bCs w:val="0"/>
          <w:i w:val="1"/>
          <w:iCs w:val="1"/>
          <w:sz w:val="18"/>
          <w:szCs w:val="18"/>
          <w:rtl w:val="0"/>
        </w:rPr>
        <w:t xml:space="preserve">*Retatrutide reference score computed by AW-Qdock applied to published structural data as an internal benchmark. QYT-V3 score reflects genotype-averaged ensemble docking across three receptor targets. All affinity values are predicted computational estimates requiring experimental validation.</w:t>
      </w:r>
      <w:r w:rsidDel="00000000" w:rsidR="00000000" w:rsidRPr="00000000">
        <w:rPr>
          <w:rtl w:val="0"/>
        </w:rPr>
      </w:r>
    </w:p>
    <w:p w:rsidR="00000000" w:rsidDel="00000000" w:rsidP="00000000" w:rsidRDefault="00000000" w:rsidRPr="00000000" w14:paraId="0000003F">
      <w:pPr>
        <w:spacing w:after="140" w:lineRule="auto"/>
        <w:rPr/>
      </w:pPr>
      <w:r w:rsidDel="00000000" w:rsidR="00000000" w:rsidRPr="00000000">
        <w:rPr>
          <w:rFonts w:ascii="Arial" w:cs="Arial" w:eastAsia="Arial" w:hAnsi="Arial"/>
          <w:b w:val="0"/>
          <w:bCs w:val="0"/>
          <w:i w:val="0"/>
          <w:iCs w:val="0"/>
          <w:sz w:val="22"/>
          <w:szCs w:val="22"/>
          <w:rtl w:val="0"/>
        </w:rPr>
        <w:t xml:space="preserve">High-resolution ESMFold v3.0 analysis demonstrates that QYT-V3 achieves a predicted "agonist-loop" conformation analogous to Retatrutide using 60% fewer residues. This structural density represents a quantitative reference point for autonomous metabolic drug discovery, theoretically enabling lower synthesis costs and improved pharmacokinetic profiles pending experimental confirmation.</w:t>
      </w:r>
      <w:r w:rsidDel="00000000" w:rsidR="00000000" w:rsidRPr="00000000">
        <w:rPr>
          <w:rtl w:val="0"/>
        </w:rPr>
      </w:r>
    </w:p>
    <w:p w:rsidR="00000000" w:rsidDel="00000000" w:rsidP="00000000" w:rsidRDefault="00000000" w:rsidRPr="00000000" w14:paraId="00000040">
      <w:pPr>
        <w:spacing w:after="140" w:lineRule="auto"/>
        <w:rPr/>
      </w:pPr>
      <w:r w:rsidDel="00000000" w:rsidR="00000000" w:rsidRPr="00000000">
        <w:rPr>
          <w:rFonts w:ascii="Arial" w:cs="Arial" w:eastAsia="Arial" w:hAnsi="Arial"/>
          <w:sz w:val="26"/>
          <w:szCs w:val="26"/>
          <w:rtl w:val="0"/>
        </w:rPr>
        <w:t xml:space="preserve">6.3 PD-L1 Checkpoint Inhibition: ONCO-85</w:t>
      </w:r>
      <w:r w:rsidDel="00000000" w:rsidR="00000000" w:rsidRPr="00000000">
        <w:rPr>
          <w:rtl w:val="0"/>
        </w:rPr>
      </w:r>
    </w:p>
    <w:p w:rsidR="00000000" w:rsidDel="00000000" w:rsidP="00000000" w:rsidRDefault="00000000" w:rsidRPr="00000000" w14:paraId="00000041">
      <w:pPr>
        <w:spacing w:after="140" w:lineRule="auto"/>
        <w:rPr/>
      </w:pPr>
      <w:r w:rsidDel="00000000" w:rsidR="00000000" w:rsidRPr="00000000">
        <w:rPr>
          <w:rFonts w:ascii="Arial" w:cs="Arial" w:eastAsia="Arial" w:hAnsi="Arial"/>
          <w:i w:val="0"/>
          <w:iCs w:val="0"/>
          <w:sz w:val="22"/>
          <w:szCs w:val="22"/>
          <w:rtl w:val="0"/>
        </w:rPr>
        <w:t xml:space="preserve">The PD-1/PD-L1 immune checkpoint axis represents one of the most clinically validated oncology targets in contemporary drug development, with approved antibody therapeutics achieving landmark survival outcomes in multiple tumor types [11]. However, all approved PD-L1/PD-1 inhibitors are large-format biologics (IgG antibodies, 145–150 kDa) requiring parenteral administration. A short-chain peptide inhibitor with predicted high-affinity PD-L1 engagement would address a significant unmet need for oral or low-cost injectable formats in markets where antibody cold-chain logistics are prohibitive.</w:t>
      </w:r>
      <w:r w:rsidDel="00000000" w:rsidR="00000000" w:rsidRPr="00000000">
        <w:rPr>
          <w:rtl w:val="0"/>
        </w:rPr>
      </w:r>
    </w:p>
    <w:p w:rsidR="00000000" w:rsidDel="00000000" w:rsidP="00000000" w:rsidRDefault="00000000" w:rsidRPr="00000000" w14:paraId="00000042">
      <w:pPr>
        <w:spacing w:after="140" w:lineRule="auto"/>
        <w:rPr/>
      </w:pPr>
      <w:r w:rsidDel="00000000" w:rsidR="00000000" w:rsidRPr="00000000">
        <w:rPr>
          <w:rFonts w:ascii="Arial" w:cs="Arial" w:eastAsia="Arial" w:hAnsi="Arial"/>
          <w:sz w:val="22"/>
          <w:szCs w:val="22"/>
          <w:rtl w:val="0"/>
        </w:rPr>
        <w:t xml:space="preserve">Methodology</w:t>
      </w:r>
      <w:r w:rsidDel="00000000" w:rsidR="00000000" w:rsidRPr="00000000">
        <w:rPr>
          <w:rtl w:val="0"/>
        </w:rPr>
      </w:r>
    </w:p>
    <w:p w:rsidR="00000000" w:rsidDel="00000000" w:rsidP="00000000" w:rsidRDefault="00000000" w:rsidRPr="00000000" w14:paraId="00000043">
      <w:pPr>
        <w:spacing w:after="140" w:lineRule="auto"/>
        <w:rPr>
          <w:rFonts w:ascii="Arial" w:cs="Arial" w:eastAsia="Arial" w:hAnsi="Arial"/>
          <w:i w:val="0"/>
          <w:iCs w:val="0"/>
          <w:sz w:val="22"/>
          <w:szCs w:val="22"/>
        </w:rPr>
      </w:pPr>
      <w:r w:rsidDel="00000000" w:rsidR="00000000" w:rsidRPr="00000000">
        <w:rPr>
          <w:rFonts w:ascii="Arial" w:cs="Arial" w:eastAsia="Arial" w:hAnsi="Arial"/>
          <w:i w:val="0"/>
          <w:iCs w:val="0"/>
          <w:sz w:val="22"/>
          <w:szCs w:val="22"/>
          <w:rtl w:val="0"/>
        </w:rPr>
        <w:t xml:space="preserve">The QuantaPep v3.0 platform was applied to PD-L1 (CD274, UniProt Q9NZQ7) using the published crystal structure of the PD-1/PD-L1 complex as the docking reference. The five-stage AW-Qdock gauntlet was applied with genotype-aware scoring across the CD274 locus (rs4143815, rs2890658), two SNPs with documented effects on PD-L1 expression levels in tumor microenvironments [12]. The GenAware™ v3.0 engine was fine-tuned on 142,000 immunology-annotated leads from the master vault.</w:t>
      </w:r>
    </w:p>
    <w:p w:rsidR="00000000" w:rsidDel="00000000" w:rsidP="00000000" w:rsidRDefault="00000000" w:rsidRPr="00000000" w14:paraId="00000044">
      <w:pPr>
        <w:spacing w:after="140" w:lineRule="auto"/>
        <w:rPr/>
      </w:pPr>
      <w:r w:rsidDel="00000000" w:rsidR="00000000" w:rsidRPr="00000000">
        <w:rPr>
          <w:rFonts w:ascii="Arial" w:cs="Arial" w:eastAsia="Arial" w:hAnsi="Arial"/>
          <w:sz w:val="22"/>
          <w:szCs w:val="22"/>
          <w:rtl w:val="0"/>
        </w:rPr>
        <w:t xml:space="preserve">Results</w:t>
      </w:r>
      <w:r w:rsidDel="00000000" w:rsidR="00000000" w:rsidRPr="00000000">
        <w:rPr>
          <w:rtl w:val="0"/>
        </w:rPr>
      </w:r>
    </w:p>
    <w:p w:rsidR="00000000" w:rsidDel="00000000" w:rsidP="00000000" w:rsidRDefault="00000000" w:rsidRPr="00000000" w14:paraId="00000045">
      <w:pPr>
        <w:spacing w:after="140" w:lineRule="auto"/>
        <w:rPr/>
      </w:pPr>
      <w:r w:rsidDel="00000000" w:rsidR="00000000" w:rsidRPr="00000000">
        <w:rPr>
          <w:rFonts w:ascii="Arial" w:cs="Arial" w:eastAsia="Arial" w:hAnsi="Arial"/>
          <w:i w:val="0"/>
          <w:iCs w:val="0"/>
          <w:sz w:val="22"/>
          <w:szCs w:val="22"/>
          <w:rtl w:val="0"/>
        </w:rPr>
        <w:t xml:space="preserve">The platform identified priority candidate ONCO-85 (cryptographic identifier: ONCO-85-PDL1-20260422, SHA-256: [hash on file]), a 12-residue peptide with predicted high-affinity engagement of the PD-1 binding interface on PD-L1. Full sequence is withheld pending patent prosecution.</w:t>
      </w:r>
      <w:r w:rsidDel="00000000" w:rsidR="00000000" w:rsidRPr="00000000">
        <w:rPr>
          <w:rtl w:val="0"/>
        </w:rPr>
      </w:r>
    </w:p>
    <w:p w:rsidR="00000000" w:rsidDel="00000000" w:rsidP="00000000" w:rsidRDefault="00000000" w:rsidRPr="00000000" w14:paraId="00000046">
      <w:pPr>
        <w:spacing w:after="140" w:lineRule="auto"/>
        <w:rPr/>
      </w:pPr>
      <w:r w:rsidDel="00000000" w:rsidR="00000000" w:rsidRPr="00000000">
        <w:rPr>
          <w:rtl w:val="0"/>
        </w:rPr>
      </w:r>
    </w:p>
    <w:p w:rsidR="00000000" w:rsidDel="00000000" w:rsidP="00000000" w:rsidRDefault="00000000" w:rsidRPr="00000000" w14:paraId="00000047">
      <w:pPr>
        <w:spacing w:after="140" w:lineRule="auto"/>
        <w:rPr/>
      </w:pPr>
      <w:r w:rsidDel="00000000" w:rsidR="00000000" w:rsidRPr="00000000">
        <w:rPr>
          <w:rFonts w:ascii="Arial" w:cs="Arial" w:eastAsia="Arial" w:hAnsi="Arial"/>
          <w:i w:val="1"/>
          <w:iCs w:val="1"/>
          <w:sz w:val="18"/>
          <w:szCs w:val="18"/>
          <w:rtl w:val="0"/>
        </w:rPr>
        <w:t xml:space="preserve">*Pembrolizumab binding data from published literature used as an internal computational benchmark. ONCO-85 Z-score reflects AW-Qdock ensemble docking. All values are predicted computational estimates requiring experimental validation. No clinical equivalence is implied or claimed.</w:t>
      </w:r>
      <w:r w:rsidDel="00000000" w:rsidR="00000000" w:rsidRPr="00000000">
        <w:rPr>
          <w:rtl w:val="0"/>
        </w:rPr>
      </w:r>
    </w:p>
    <w:p w:rsidR="00000000" w:rsidDel="00000000" w:rsidP="00000000" w:rsidRDefault="00000000" w:rsidRPr="00000000" w14:paraId="00000048">
      <w:pPr>
        <w:spacing w:after="140" w:lineRule="auto"/>
        <w:rPr/>
      </w:pPr>
      <w:r w:rsidDel="00000000" w:rsidR="00000000" w:rsidRPr="00000000">
        <w:rPr>
          <w:rFonts w:ascii="Arial" w:cs="Arial" w:eastAsia="Arial" w:hAnsi="Arial"/>
          <w:i w:val="0"/>
          <w:iCs w:val="0"/>
          <w:sz w:val="22"/>
          <w:szCs w:val="22"/>
          <w:rtl w:val="0"/>
        </w:rPr>
        <w:t xml:space="preserve">ONCO-85 exhibits higher predicted binding scores than the computational reference under the same evaluation framework. The oral delivery potential of a 12-mer PD-L1 inhibitor represents a hypothesis for experimental investigation, contingent on BBB permeability, proteolytic stability, and in vivo efficacy studies.</w:t>
      </w:r>
      <w:r w:rsidDel="00000000" w:rsidR="00000000" w:rsidRPr="00000000">
        <w:rPr>
          <w:rtl w:val="0"/>
        </w:rPr>
      </w:r>
    </w:p>
    <w:p w:rsidR="00000000" w:rsidDel="00000000" w:rsidP="00000000" w:rsidRDefault="00000000" w:rsidRPr="00000000" w14:paraId="00000049">
      <w:pPr>
        <w:spacing w:after="140" w:lineRule="auto"/>
        <w:rPr/>
      </w:pPr>
      <w:r w:rsidDel="00000000" w:rsidR="00000000" w:rsidRPr="00000000">
        <w:rPr>
          <w:rFonts w:ascii="Arial" w:cs="Arial" w:eastAsia="Arial" w:hAnsi="Arial"/>
          <w:sz w:val="26"/>
          <w:szCs w:val="26"/>
          <w:rtl w:val="0"/>
        </w:rPr>
        <w:t xml:space="preserve">6.4 Amyloid-Beta Aggregation Inhibition: NEURO-85</w:t>
      </w:r>
      <w:r w:rsidDel="00000000" w:rsidR="00000000" w:rsidRPr="00000000">
        <w:rPr>
          <w:rtl w:val="0"/>
        </w:rPr>
      </w:r>
    </w:p>
    <w:p w:rsidR="00000000" w:rsidDel="00000000" w:rsidP="00000000" w:rsidRDefault="00000000" w:rsidRPr="00000000" w14:paraId="0000004A">
      <w:pPr>
        <w:spacing w:after="140" w:lineRule="auto"/>
        <w:rPr>
          <w:rFonts w:ascii="Arial" w:cs="Arial" w:eastAsia="Arial" w:hAnsi="Arial"/>
          <w:i w:val="0"/>
          <w:iCs w:val="0"/>
          <w:sz w:val="22"/>
          <w:szCs w:val="22"/>
        </w:rPr>
      </w:pPr>
      <w:r w:rsidDel="00000000" w:rsidR="00000000" w:rsidRPr="00000000">
        <w:rPr>
          <w:rFonts w:ascii="Arial" w:cs="Arial" w:eastAsia="Arial" w:hAnsi="Arial"/>
          <w:i w:val="0"/>
          <w:iCs w:val="0"/>
          <w:sz w:val="22"/>
          <w:szCs w:val="22"/>
          <w:rtl w:val="0"/>
        </w:rPr>
        <w:t xml:space="preserve">Therapeutic targeting of amyloid-beta (Aβ) aggregation in Alzheimer's disease remains one of the most challenging problems in drug development. A central barrier is blood-brain barrier (BBB) transit: most peptide candidates exceeding ~500 Da molecular weight are excluded from CNS compartments by P-glycoprotein efflux and tight junction impermeability [13]. QuantaPep v3.0 was tasked with identifying a candidate satisfying simultaneous constraints on Aβ binding, predicted BBB permeability (MW &lt; 1,000 Da, low H-bond donor count), and proteolytic stability.</w:t>
      </w:r>
    </w:p>
    <w:p w:rsidR="00000000" w:rsidDel="00000000" w:rsidP="00000000" w:rsidRDefault="00000000" w:rsidRPr="00000000" w14:paraId="0000004B">
      <w:pPr>
        <w:spacing w:after="140" w:lineRule="auto"/>
        <w:rPr/>
      </w:pPr>
      <w:r w:rsidDel="00000000" w:rsidR="00000000" w:rsidRPr="00000000">
        <w:rPr>
          <w:rFonts w:ascii="Arial" w:cs="Arial" w:eastAsia="Arial" w:hAnsi="Arial"/>
          <w:sz w:val="22"/>
          <w:szCs w:val="22"/>
          <w:rtl w:val="0"/>
        </w:rPr>
        <w:t xml:space="preserve">Methodology</w:t>
      </w:r>
      <w:r w:rsidDel="00000000" w:rsidR="00000000" w:rsidRPr="00000000">
        <w:rPr>
          <w:rtl w:val="0"/>
        </w:rPr>
      </w:r>
    </w:p>
    <w:p w:rsidR="00000000" w:rsidDel="00000000" w:rsidP="00000000" w:rsidRDefault="00000000" w:rsidRPr="00000000" w14:paraId="0000004C">
      <w:pPr>
        <w:spacing w:after="140" w:lineRule="auto"/>
        <w:rPr/>
      </w:pPr>
      <w:r w:rsidDel="00000000" w:rsidR="00000000" w:rsidRPr="00000000">
        <w:rPr>
          <w:rFonts w:ascii="Arial Unicode MS" w:cs="Arial Unicode MS" w:eastAsia="Arial Unicode MS" w:hAnsi="Arial Unicode MS"/>
          <w:i w:val="0"/>
          <w:iCs w:val="0"/>
          <w:sz w:val="22"/>
          <w:szCs w:val="22"/>
          <w:rtl w:val="0"/>
        </w:rPr>
        <w:t xml:space="preserve">The Aβ42 fibril structure (PDB 2BEG) was used as the docking reference, targeting the hydrophobic KLVFF nucleation core (residues 16-20) responsible for β-sheet seeding and aggregation propagation [14]. The GenAware™ v3.0 engine was constrained to generate candidates with ≤10 residues, explicitly optimizing for MW &lt;900 Da, cLogP 1–3, and H-bond donor count ≤3 — the Lipinski-adjacent BBB permeability envelope for peptide scaffolds.</w:t>
      </w:r>
      <w:r w:rsidDel="00000000" w:rsidR="00000000" w:rsidRPr="00000000">
        <w:rPr>
          <w:rtl w:val="0"/>
        </w:rPr>
      </w:r>
    </w:p>
    <w:p w:rsidR="00000000" w:rsidDel="00000000" w:rsidP="00000000" w:rsidRDefault="00000000" w:rsidRPr="00000000" w14:paraId="0000004D">
      <w:pPr>
        <w:spacing w:after="140" w:lineRule="auto"/>
        <w:rPr/>
      </w:pPr>
      <w:r w:rsidDel="00000000" w:rsidR="00000000" w:rsidRPr="00000000">
        <w:rPr>
          <w:rFonts w:ascii="Arial" w:cs="Arial" w:eastAsia="Arial" w:hAnsi="Arial"/>
          <w:sz w:val="22"/>
          <w:szCs w:val="22"/>
          <w:rtl w:val="0"/>
        </w:rPr>
        <w:t xml:space="preserve">Results</w:t>
      </w:r>
      <w:r w:rsidDel="00000000" w:rsidR="00000000" w:rsidRPr="00000000">
        <w:rPr>
          <w:rtl w:val="0"/>
        </w:rPr>
      </w:r>
    </w:p>
    <w:p w:rsidR="00000000" w:rsidDel="00000000" w:rsidP="00000000" w:rsidRDefault="00000000" w:rsidRPr="00000000" w14:paraId="0000004E">
      <w:pPr>
        <w:spacing w:after="140" w:lineRule="auto"/>
        <w:rPr>
          <w:rFonts w:ascii="Arial" w:cs="Arial" w:eastAsia="Arial" w:hAnsi="Arial"/>
          <w:i w:val="0"/>
          <w:iCs w:val="0"/>
          <w:sz w:val="22"/>
          <w:szCs w:val="22"/>
        </w:rPr>
      </w:pPr>
      <w:r w:rsidDel="00000000" w:rsidR="00000000" w:rsidRPr="00000000">
        <w:rPr>
          <w:rFonts w:ascii="Arial" w:cs="Arial" w:eastAsia="Arial" w:hAnsi="Arial"/>
          <w:i w:val="0"/>
          <w:iCs w:val="0"/>
          <w:sz w:val="22"/>
          <w:szCs w:val="22"/>
          <w:rtl w:val="0"/>
        </w:rPr>
        <w:t xml:space="preserve">The platform identified priority candidate NEURO-85 (cryptographic identifier: NEURO-85-ABETA-20260422, SHA-256: [hash on file]), an 8-residue peptide representing the shortest scaffold identified across all QuantaPep v3.0 campaigns. The 8-mer length places this candidate within the theoretical BBB-permeable window, with predicted MW of ~880 Da and favorable predicted cLogP. Full sequence is withheld pending patent prosecution.</w:t>
      </w:r>
    </w:p>
    <w:p w:rsidR="00000000" w:rsidDel="00000000" w:rsidP="00000000" w:rsidRDefault="00000000" w:rsidRPr="00000000" w14:paraId="0000004F">
      <w:pPr>
        <w:spacing w:after="140" w:lineRule="auto"/>
        <w:rPr/>
      </w:pPr>
      <w:r w:rsidDel="00000000" w:rsidR="00000000" w:rsidRPr="00000000">
        <w:rPr>
          <w:rtl w:val="0"/>
        </w:rPr>
      </w:r>
    </w:p>
    <w:p w:rsidR="00000000" w:rsidDel="00000000" w:rsidP="00000000" w:rsidRDefault="00000000" w:rsidRPr="00000000" w14:paraId="00000050">
      <w:pPr>
        <w:spacing w:after="140" w:lineRule="auto"/>
        <w:rPr/>
      </w:pPr>
      <w:r w:rsidDel="00000000" w:rsidR="00000000" w:rsidRPr="00000000">
        <w:rPr>
          <w:rFonts w:ascii="Arial" w:cs="Arial" w:eastAsia="Arial" w:hAnsi="Arial"/>
          <w:i w:val="1"/>
          <w:iCs w:val="1"/>
          <w:sz w:val="18"/>
          <w:szCs w:val="18"/>
          <w:rtl w:val="0"/>
        </w:rPr>
        <w:t xml:space="preserve">All values are predicted computational estimates. BBB permeability prediction is based on physicochemical property modeling and requires experimental confirmation via in vitro BBB assay and in vivo CNS penetration study.</w:t>
      </w:r>
      <w:r w:rsidDel="00000000" w:rsidR="00000000" w:rsidRPr="00000000">
        <w:rPr>
          <w:rtl w:val="0"/>
        </w:rPr>
      </w:r>
    </w:p>
    <w:p w:rsidR="00000000" w:rsidDel="00000000" w:rsidP="00000000" w:rsidRDefault="00000000" w:rsidRPr="00000000" w14:paraId="00000051">
      <w:pPr>
        <w:spacing w:after="140" w:lineRule="auto"/>
        <w:rPr/>
      </w:pPr>
      <w:r w:rsidDel="00000000" w:rsidR="00000000" w:rsidRPr="00000000">
        <w:rPr>
          <w:rFonts w:ascii="Arial" w:cs="Arial" w:eastAsia="Arial" w:hAnsi="Arial"/>
          <w:i w:val="0"/>
          <w:iCs w:val="0"/>
          <w:sz w:val="22"/>
          <w:szCs w:val="22"/>
          <w:rtl w:val="0"/>
        </w:rPr>
        <w:t xml:space="preserve">The combination of predicted Aβ-core engagement, 8-residue length, and favorable physicochemical profile makes NEURO-85 a structurally distinct candidate warranting experimental prioritization. The scaffold compression methodology demonstrated in QYT-V3 (Section 6.2) thus generalizes across therapeutic modalities — from metabolic triple agonism to CNS amyloid inhibition.</w:t>
      </w:r>
      <w:r w:rsidDel="00000000" w:rsidR="00000000" w:rsidRPr="00000000">
        <w:rPr>
          <w:rtl w:val="0"/>
        </w:rPr>
      </w:r>
    </w:p>
    <w:p w:rsidR="00000000" w:rsidDel="00000000" w:rsidP="00000000" w:rsidRDefault="00000000" w:rsidRPr="00000000" w14:paraId="00000052">
      <w:pPr>
        <w:pStyle w:val="Heading2"/>
        <w:spacing w:after="80" w:before="200" w:lineRule="auto"/>
        <w:rPr/>
      </w:pPr>
      <w:r w:rsidDel="00000000" w:rsidR="00000000" w:rsidRPr="00000000">
        <w:rPr>
          <w:rFonts w:ascii="Arial" w:cs="Arial" w:eastAsia="Arial" w:hAnsi="Arial"/>
          <w:sz w:val="26"/>
          <w:szCs w:val="26"/>
          <w:rtl w:val="0"/>
        </w:rPr>
        <w:t xml:space="preserve">6.5 Klotho Pathway Activation: KL-ALPHA-V4</w:t>
      </w:r>
      <w:r w:rsidDel="00000000" w:rsidR="00000000" w:rsidRPr="00000000">
        <w:rPr>
          <w:rtl w:val="0"/>
        </w:rPr>
      </w:r>
    </w:p>
    <w:p w:rsidR="00000000" w:rsidDel="00000000" w:rsidP="00000000" w:rsidRDefault="00000000" w:rsidRPr="00000000" w14:paraId="00000053">
      <w:pPr>
        <w:spacing w:after="140" w:lineRule="auto"/>
        <w:rPr>
          <w:rFonts w:ascii="Arial" w:cs="Arial" w:eastAsia="Arial" w:hAnsi="Arial"/>
          <w:b w:val="0"/>
          <w:bCs w:val="0"/>
          <w:i w:val="0"/>
          <w:iCs w:val="0"/>
          <w:sz w:val="22"/>
          <w:szCs w:val="22"/>
        </w:rPr>
      </w:pPr>
      <w:r w:rsidDel="00000000" w:rsidR="00000000" w:rsidRPr="00000000">
        <w:rPr>
          <w:rFonts w:ascii="Arial" w:cs="Arial" w:eastAsia="Arial" w:hAnsi="Arial"/>
          <w:b w:val="0"/>
          <w:bCs w:val="0"/>
          <w:i w:val="0"/>
          <w:iCs w:val="0"/>
          <w:sz w:val="22"/>
          <w:szCs w:val="22"/>
          <w:rtl w:val="0"/>
        </w:rPr>
        <w:t xml:space="preserve">The Klotho protein (KL, UniProt Q9UEF7) is a longevity-associated membrane protein whose circulating fragment (sKlotho) mediates FGF23 signaling, neuroprotection, and vascular homeostasis. Circulating sKlotho declines 40–50% from age 30 to 70 [15], making Klotho pathway activation a high-priority longevity therapeutic target. QuantaPep v4.0 was tasked with identifying a peptide mimic of the KL1 domain capable of activating downstream Klotho signaling through the FGF receptor complex.</w:t>
      </w:r>
    </w:p>
    <w:p w:rsidR="00000000" w:rsidDel="00000000" w:rsidP="00000000" w:rsidRDefault="00000000" w:rsidRPr="00000000" w14:paraId="00000054">
      <w:pPr>
        <w:pStyle w:val="Heading3"/>
        <w:spacing w:after="80" w:before="200" w:lineRule="auto"/>
        <w:rPr/>
      </w:pPr>
      <w:r w:rsidDel="00000000" w:rsidR="00000000" w:rsidRPr="00000000">
        <w:rPr>
          <w:rFonts w:ascii="Arial" w:cs="Arial" w:eastAsia="Arial" w:hAnsi="Arial"/>
          <w:sz w:val="22"/>
          <w:szCs w:val="22"/>
          <w:rtl w:val="0"/>
        </w:rPr>
        <w:t xml:space="preserve">Methodology</w:t>
      </w:r>
      <w:r w:rsidDel="00000000" w:rsidR="00000000" w:rsidRPr="00000000">
        <w:rPr>
          <w:rtl w:val="0"/>
        </w:rPr>
      </w:r>
    </w:p>
    <w:p w:rsidR="00000000" w:rsidDel="00000000" w:rsidP="00000000" w:rsidRDefault="00000000" w:rsidRPr="00000000" w14:paraId="00000055">
      <w:pPr>
        <w:spacing w:after="140" w:lineRule="auto"/>
        <w:rPr>
          <w:rFonts w:ascii="Arial" w:cs="Arial" w:eastAsia="Arial" w:hAnsi="Arial"/>
          <w:b w:val="0"/>
          <w:bCs w:val="0"/>
          <w:i w:val="0"/>
          <w:iCs w:val="0"/>
          <w:sz w:val="22"/>
          <w:szCs w:val="22"/>
        </w:rPr>
      </w:pPr>
      <w:r w:rsidDel="00000000" w:rsidR="00000000" w:rsidRPr="00000000">
        <w:rPr>
          <w:rFonts w:ascii="Arial" w:cs="Arial" w:eastAsia="Arial" w:hAnsi="Arial"/>
          <w:b w:val="0"/>
          <w:bCs w:val="0"/>
          <w:i w:val="0"/>
          <w:iCs w:val="0"/>
          <w:sz w:val="22"/>
          <w:szCs w:val="22"/>
          <w:rtl w:val="0"/>
        </w:rPr>
        <w:t xml:space="preserve">The KL1 domain crystal structure (PDB 5W21) was used as the docking reference, targeting the FGF23 co-receptor binding interface. The GenAware™ v4.0 engine was fine-tuned on 1,000,392 triple-validated leads from the Grandmaster vault, with explicit objective weighting toward longevity receptor families (Klotho, Follistatin, IGF-1R). Scoring utilized raw AW-Qdock interaction energy (kcal/mol) as the primary metric for this campaign, complementing the normalized Unified Z-Score used in v4 discovery campaigns (see Section 5, dual-axis scoring note).</w:t>
      </w:r>
    </w:p>
    <w:p w:rsidR="00000000" w:rsidDel="00000000" w:rsidP="00000000" w:rsidRDefault="00000000" w:rsidRPr="00000000" w14:paraId="00000056">
      <w:pPr>
        <w:pStyle w:val="Heading3"/>
        <w:spacing w:after="80" w:before="200" w:lineRule="auto"/>
        <w:rPr/>
      </w:pPr>
      <w:r w:rsidDel="00000000" w:rsidR="00000000" w:rsidRPr="00000000">
        <w:rPr>
          <w:rFonts w:ascii="Arial" w:cs="Arial" w:eastAsia="Arial" w:hAnsi="Arial"/>
          <w:sz w:val="22"/>
          <w:szCs w:val="22"/>
          <w:rtl w:val="0"/>
        </w:rPr>
        <w:t xml:space="preserve">Results</w:t>
      </w:r>
      <w:r w:rsidDel="00000000" w:rsidR="00000000" w:rsidRPr="00000000">
        <w:rPr>
          <w:rtl w:val="0"/>
        </w:rPr>
      </w:r>
    </w:p>
    <w:p w:rsidR="00000000" w:rsidDel="00000000" w:rsidP="00000000" w:rsidRDefault="00000000" w:rsidRPr="00000000" w14:paraId="00000057">
      <w:pPr>
        <w:spacing w:after="140" w:before="0" w:lineRule="auto"/>
        <w:rPr/>
      </w:pPr>
      <w:r w:rsidDel="00000000" w:rsidR="00000000" w:rsidRPr="00000000">
        <w:rPr>
          <w:rFonts w:ascii="Arial" w:cs="Arial" w:eastAsia="Arial" w:hAnsi="Arial"/>
          <w:b w:val="0"/>
          <w:bCs w:val="0"/>
          <w:i w:val="0"/>
          <w:iCs w:val="0"/>
          <w:sz w:val="22"/>
          <w:szCs w:val="22"/>
          <w:rtl w:val="0"/>
        </w:rPr>
        <w:t xml:space="preserve">The platform identified priority candidate KL-ALPHA-V4 (cryptographic identifier: KL-ALPHA-KLOTHO-20260423, SHA-256: [hash on file]), a 13-residue chimeric KL1-mimic scaffold. Full sequence is withheld pending patent prosecution.</w:t>
      </w:r>
      <w:r w:rsidDel="00000000" w:rsidR="00000000" w:rsidRPr="00000000">
        <w:rPr>
          <w:rtl w:val="0"/>
        </w:rPr>
      </w:r>
    </w:p>
    <w:tbl>
      <w:tblPr>
        <w:tblStyle w:val="Table1"/>
        <w:tblW w:w="906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6"/>
        <w:gridCol w:w="2266"/>
        <w:gridCol w:w="2266"/>
        <w:gridCol w:w="2266"/>
        <w:tblGridChange w:id="0">
          <w:tblGrid>
            <w:gridCol w:w="2266"/>
            <w:gridCol w:w="2266"/>
            <w:gridCol w:w="2266"/>
            <w:gridCol w:w="2266"/>
          </w:tblGrid>
        </w:tblGridChange>
      </w:tblGrid>
      <w:tr>
        <w:trPr>
          <w:cantSplit w:val="0"/>
          <w:tblHeader w:val="0"/>
        </w:trPr>
        <w:tc>
          <w:tcPr/>
          <w:p w:rsidR="00000000" w:rsidDel="00000000" w:rsidP="00000000" w:rsidRDefault="00000000" w:rsidRPr="00000000" w14:paraId="00000058">
            <w:pPr>
              <w:rPr/>
            </w:pPr>
            <w:r w:rsidDel="00000000" w:rsidR="00000000" w:rsidRPr="00000000">
              <w:rPr>
                <w:rFonts w:ascii="Arial" w:cs="Arial" w:eastAsia="Arial" w:hAnsi="Arial"/>
                <w:b w:val="1"/>
                <w:bCs w:val="1"/>
                <w:sz w:val="18"/>
                <w:szCs w:val="18"/>
                <w:rtl w:val="0"/>
              </w:rPr>
              <w:t xml:space="preserve">Metric</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Fonts w:ascii="Arial" w:cs="Arial" w:eastAsia="Arial" w:hAnsi="Arial"/>
                <w:b w:val="1"/>
                <w:bCs w:val="1"/>
                <w:sz w:val="18"/>
                <w:szCs w:val="18"/>
                <w:rtl w:val="0"/>
              </w:rPr>
              <w:t xml:space="preserve">Reference Anchor*</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Fonts w:ascii="Arial" w:cs="Arial" w:eastAsia="Arial" w:hAnsi="Arial"/>
                <w:b w:val="1"/>
                <w:bCs w:val="1"/>
                <w:sz w:val="18"/>
                <w:szCs w:val="18"/>
                <w:rtl w:val="0"/>
              </w:rPr>
              <w:t xml:space="preserve">KL-ALPHA-V4</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Fonts w:ascii="Arial" w:cs="Arial" w:eastAsia="Arial" w:hAnsi="Arial"/>
                <w:b w:val="1"/>
                <w:bCs w:val="1"/>
                <w:sz w:val="18"/>
                <w:szCs w:val="18"/>
                <w:rtl w:val="0"/>
              </w:rPr>
              <w:t xml:space="preserve">Note</w:t>
            </w:r>
            <w:r w:rsidDel="00000000" w:rsidR="00000000" w:rsidRPr="00000000">
              <w:rPr>
                <w:rtl w:val="0"/>
              </w:rPr>
            </w:r>
          </w:p>
        </w:tc>
      </w:tr>
      <w:tr>
        <w:trPr>
          <w:cantSplit w:val="0"/>
          <w:tblHeader w:val="0"/>
        </w:trPr>
        <w:tc>
          <w:tcPr/>
          <w:p w:rsidR="00000000" w:rsidDel="00000000" w:rsidP="00000000" w:rsidRDefault="00000000" w:rsidRPr="00000000" w14:paraId="0000005C">
            <w:pPr>
              <w:rPr/>
            </w:pPr>
            <w:r w:rsidDel="00000000" w:rsidR="00000000" w:rsidRPr="00000000">
              <w:rPr>
                <w:rFonts w:ascii="Arial" w:cs="Arial" w:eastAsia="Arial" w:hAnsi="Arial"/>
                <w:sz w:val="18"/>
                <w:szCs w:val="18"/>
                <w:rtl w:val="0"/>
              </w:rPr>
              <w:t xml:space="preserve">Scaffold type</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Fonts w:ascii="Arial" w:cs="Arial" w:eastAsia="Arial" w:hAnsi="Arial"/>
                <w:sz w:val="18"/>
                <w:szCs w:val="18"/>
                <w:rtl w:val="0"/>
              </w:rPr>
              <w:t xml:space="preserve">KL1-domain fragment</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Fonts w:ascii="Arial" w:cs="Arial" w:eastAsia="Arial" w:hAnsi="Arial"/>
                <w:sz w:val="18"/>
                <w:szCs w:val="18"/>
                <w:rtl w:val="0"/>
              </w:rPr>
              <w:t xml:space="preserve">Chimeric KL1-mimic</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Fonts w:ascii="Arial" w:cs="Arial" w:eastAsia="Arial" w:hAnsi="Arial"/>
                <w:sz w:val="18"/>
                <w:szCs w:val="18"/>
                <w:rtl w:val="0"/>
              </w:rPr>
              <w:t xml:space="preserve">De novo optimization</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rFonts w:ascii="Arial" w:cs="Arial" w:eastAsia="Arial" w:hAnsi="Arial"/>
                <w:sz w:val="18"/>
                <w:szCs w:val="18"/>
                <w:rtl w:val="0"/>
              </w:rPr>
              <w:t xml:space="preserve">Raw interaction energy</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Fonts w:ascii="Arial Unicode MS" w:cs="Arial Unicode MS" w:eastAsia="Arial Unicode MS" w:hAnsi="Arial Unicode MS"/>
                <w:sz w:val="18"/>
                <w:szCs w:val="18"/>
                <w:rtl w:val="0"/>
              </w:rPr>
              <w:t xml:space="preserve">−78.4 kcal/mol (ref.)</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Fonts w:ascii="Arial Unicode MS" w:cs="Arial Unicode MS" w:eastAsia="Arial Unicode MS" w:hAnsi="Arial Unicode MS"/>
                <w:sz w:val="18"/>
                <w:szCs w:val="18"/>
                <w:rtl w:val="0"/>
              </w:rPr>
              <w:t xml:space="preserve">−94.2 kcal/mol</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Fonts w:ascii="Arial" w:cs="Arial" w:eastAsia="Arial" w:hAnsi="Arial"/>
                <w:sz w:val="18"/>
                <w:szCs w:val="18"/>
                <w:rtl w:val="0"/>
              </w:rPr>
              <w:t xml:space="preserve">AW-Qdock, PDB 5W21</w:t>
            </w:r>
            <w:r w:rsidDel="00000000" w:rsidR="00000000" w:rsidRPr="00000000">
              <w:rPr>
                <w:rtl w:val="0"/>
              </w:rPr>
            </w:r>
          </w:p>
        </w:tc>
      </w:tr>
      <w:tr>
        <w:trPr>
          <w:cantSplit w:val="0"/>
          <w:tblHeader w:val="0"/>
        </w:trPr>
        <w:tc>
          <w:tcPr/>
          <w:p w:rsidR="00000000" w:rsidDel="00000000" w:rsidP="00000000" w:rsidRDefault="00000000" w:rsidRPr="00000000" w14:paraId="00000064">
            <w:pPr>
              <w:rPr/>
            </w:pPr>
            <w:r w:rsidDel="00000000" w:rsidR="00000000" w:rsidRPr="00000000">
              <w:rPr>
                <w:rFonts w:ascii="Arial" w:cs="Arial" w:eastAsia="Arial" w:hAnsi="Arial"/>
                <w:sz w:val="18"/>
                <w:szCs w:val="18"/>
                <w:rtl w:val="0"/>
              </w:rPr>
              <w:t xml:space="preserve">Residue count</w:t>
            </w:r>
            <w:r w:rsidDel="00000000" w:rsidR="00000000" w:rsidRPr="00000000">
              <w:rPr>
                <w:rtl w:val="0"/>
              </w:rPr>
            </w:r>
          </w:p>
        </w:tc>
        <w:tc>
          <w:tcPr/>
          <w:p w:rsidR="00000000" w:rsidDel="00000000" w:rsidP="00000000" w:rsidRDefault="00000000" w:rsidRPr="00000000" w14:paraId="00000065">
            <w:pPr>
              <w:rPr/>
            </w:pPr>
            <w:r w:rsidDel="00000000" w:rsidR="00000000" w:rsidRPr="00000000">
              <w:rPr>
                <w:rFonts w:ascii="Arial" w:cs="Arial" w:eastAsia="Arial" w:hAnsi="Arial"/>
                <w:sz w:val="18"/>
                <w:szCs w:val="18"/>
                <w:rtl w:val="0"/>
              </w:rPr>
              <w:t xml:space="preserve">15 AA (ref. fragment)</w:t>
            </w:r>
            <w:r w:rsidDel="00000000" w:rsidR="00000000" w:rsidRPr="00000000">
              <w:rPr>
                <w:rtl w:val="0"/>
              </w:rPr>
            </w:r>
          </w:p>
        </w:tc>
        <w:tc>
          <w:tcPr/>
          <w:p w:rsidR="00000000" w:rsidDel="00000000" w:rsidP="00000000" w:rsidRDefault="00000000" w:rsidRPr="00000000" w14:paraId="00000066">
            <w:pPr>
              <w:rPr/>
            </w:pPr>
            <w:r w:rsidDel="00000000" w:rsidR="00000000" w:rsidRPr="00000000">
              <w:rPr>
                <w:rFonts w:ascii="Arial" w:cs="Arial" w:eastAsia="Arial" w:hAnsi="Arial"/>
                <w:sz w:val="18"/>
                <w:szCs w:val="18"/>
                <w:rtl w:val="0"/>
              </w:rPr>
              <w:t xml:space="preserve">13 AA</w:t>
            </w:r>
            <w:r w:rsidDel="00000000" w:rsidR="00000000" w:rsidRPr="00000000">
              <w:rPr>
                <w:rtl w:val="0"/>
              </w:rPr>
            </w:r>
          </w:p>
        </w:tc>
        <w:tc>
          <w:tcPr/>
          <w:p w:rsidR="00000000" w:rsidDel="00000000" w:rsidP="00000000" w:rsidRDefault="00000000" w:rsidRPr="00000000" w14:paraId="00000067">
            <w:pPr>
              <w:rPr/>
            </w:pPr>
            <w:r w:rsidDel="00000000" w:rsidR="00000000" w:rsidRPr="00000000">
              <w:rPr>
                <w:rFonts w:ascii="Arial Unicode MS" w:cs="Arial Unicode MS" w:eastAsia="Arial Unicode MS" w:hAnsi="Arial Unicode MS"/>
                <w:sz w:val="18"/>
                <w:szCs w:val="18"/>
                <w:rtl w:val="0"/>
              </w:rPr>
              <w:t xml:space="preserve">−13% compression</w:t>
            </w:r>
            <w:r w:rsidDel="00000000" w:rsidR="00000000" w:rsidRPr="00000000">
              <w:rPr>
                <w:rtl w:val="0"/>
              </w:rPr>
            </w:r>
          </w:p>
        </w:tc>
      </w:tr>
      <w:tr>
        <w:trPr>
          <w:cantSplit w:val="0"/>
          <w:tblHeader w:val="0"/>
        </w:trPr>
        <w:tc>
          <w:tcPr/>
          <w:p w:rsidR="00000000" w:rsidDel="00000000" w:rsidP="00000000" w:rsidRDefault="00000000" w:rsidRPr="00000000" w14:paraId="00000068">
            <w:pPr>
              <w:rPr/>
            </w:pPr>
            <w:r w:rsidDel="00000000" w:rsidR="00000000" w:rsidRPr="00000000">
              <w:rPr>
                <w:rFonts w:ascii="Arial" w:cs="Arial" w:eastAsia="Arial" w:hAnsi="Arial"/>
                <w:sz w:val="18"/>
                <w:szCs w:val="18"/>
                <w:rtl w:val="0"/>
              </w:rPr>
              <w:t xml:space="preserve">Predicted pLDDT</w:t>
            </w:r>
            <w:r w:rsidDel="00000000" w:rsidR="00000000" w:rsidRPr="00000000">
              <w:rPr>
                <w:rtl w:val="0"/>
              </w:rPr>
            </w:r>
          </w:p>
        </w:tc>
        <w:tc>
          <w:tcPr/>
          <w:p w:rsidR="00000000" w:rsidDel="00000000" w:rsidP="00000000" w:rsidRDefault="00000000" w:rsidRPr="00000000" w14:paraId="00000069">
            <w:pPr>
              <w:rPr/>
            </w:pPr>
            <w:r w:rsidDel="00000000" w:rsidR="00000000" w:rsidRPr="00000000">
              <w:rPr>
                <w:rFonts w:ascii="Arial" w:cs="Arial" w:eastAsia="Arial" w:hAnsi="Arial"/>
                <w:sz w:val="18"/>
                <w:szCs w:val="18"/>
                <w:rtl w:val="0"/>
              </w:rPr>
              <w:t xml:space="preserve">—</w:t>
            </w:r>
            <w:r w:rsidDel="00000000" w:rsidR="00000000" w:rsidRPr="00000000">
              <w:rPr>
                <w:rtl w:val="0"/>
              </w:rPr>
            </w:r>
          </w:p>
        </w:tc>
        <w:tc>
          <w:tcPr/>
          <w:p w:rsidR="00000000" w:rsidDel="00000000" w:rsidP="00000000" w:rsidRDefault="00000000" w:rsidRPr="00000000" w14:paraId="0000006A">
            <w:pPr>
              <w:rPr/>
            </w:pPr>
            <w:r w:rsidDel="00000000" w:rsidR="00000000" w:rsidRPr="00000000">
              <w:rPr>
                <w:rFonts w:ascii="Arial" w:cs="Arial" w:eastAsia="Arial" w:hAnsi="Arial"/>
                <w:sz w:val="18"/>
                <w:szCs w:val="18"/>
                <w:rtl w:val="0"/>
              </w:rPr>
              <w:t xml:space="preserve">96.8%</w:t>
            </w:r>
            <w:r w:rsidDel="00000000" w:rsidR="00000000" w:rsidRPr="00000000">
              <w:rPr>
                <w:rtl w:val="0"/>
              </w:rPr>
            </w:r>
          </w:p>
        </w:tc>
        <w:tc>
          <w:tcPr/>
          <w:p w:rsidR="00000000" w:rsidDel="00000000" w:rsidP="00000000" w:rsidRDefault="00000000" w:rsidRPr="00000000" w14:paraId="0000006B">
            <w:pPr>
              <w:rPr/>
            </w:pPr>
            <w:r w:rsidDel="00000000" w:rsidR="00000000" w:rsidRPr="00000000">
              <w:rPr>
                <w:rFonts w:ascii="Arial" w:cs="Arial" w:eastAsia="Arial" w:hAnsi="Arial"/>
                <w:sz w:val="18"/>
                <w:szCs w:val="18"/>
                <w:rtl w:val="0"/>
              </w:rPr>
              <w:t xml:space="preserve">ESMFold v3.0</w:t>
            </w:r>
            <w:r w:rsidDel="00000000" w:rsidR="00000000" w:rsidRPr="00000000">
              <w:rPr>
                <w:rtl w:val="0"/>
              </w:rPr>
            </w:r>
          </w:p>
        </w:tc>
      </w:tr>
      <w:tr>
        <w:trPr>
          <w:cantSplit w:val="0"/>
          <w:tblHeader w:val="0"/>
        </w:trPr>
        <w:tc>
          <w:tcPr/>
          <w:p w:rsidR="00000000" w:rsidDel="00000000" w:rsidP="00000000" w:rsidRDefault="00000000" w:rsidRPr="00000000" w14:paraId="0000006C">
            <w:pPr>
              <w:rPr/>
            </w:pPr>
            <w:r w:rsidDel="00000000" w:rsidR="00000000" w:rsidRPr="00000000">
              <w:rPr>
                <w:rFonts w:ascii="Arial" w:cs="Arial" w:eastAsia="Arial" w:hAnsi="Arial"/>
                <w:sz w:val="18"/>
                <w:szCs w:val="18"/>
                <w:rtl w:val="0"/>
              </w:rPr>
              <w:t xml:space="preserve">Target interface</w:t>
            </w:r>
            <w:r w:rsidDel="00000000" w:rsidR="00000000" w:rsidRPr="00000000">
              <w:rPr>
                <w:rtl w:val="0"/>
              </w:rPr>
            </w:r>
          </w:p>
        </w:tc>
        <w:tc>
          <w:tcPr/>
          <w:p w:rsidR="00000000" w:rsidDel="00000000" w:rsidP="00000000" w:rsidRDefault="00000000" w:rsidRPr="00000000" w14:paraId="0000006D">
            <w:pPr>
              <w:rPr/>
            </w:pPr>
            <w:r w:rsidDel="00000000" w:rsidR="00000000" w:rsidRPr="00000000">
              <w:rPr>
                <w:rFonts w:ascii="Arial" w:cs="Arial" w:eastAsia="Arial" w:hAnsi="Arial"/>
                <w:sz w:val="18"/>
                <w:szCs w:val="18"/>
                <w:rtl w:val="0"/>
              </w:rPr>
              <w:t xml:space="preserve">FGF23 co-receptor site</w:t>
            </w:r>
            <w:r w:rsidDel="00000000" w:rsidR="00000000" w:rsidRPr="00000000">
              <w:rPr>
                <w:rtl w:val="0"/>
              </w:rPr>
            </w:r>
          </w:p>
        </w:tc>
        <w:tc>
          <w:tcPr/>
          <w:p w:rsidR="00000000" w:rsidDel="00000000" w:rsidP="00000000" w:rsidRDefault="00000000" w:rsidRPr="00000000" w14:paraId="0000006E">
            <w:pPr>
              <w:rPr/>
            </w:pPr>
            <w:r w:rsidDel="00000000" w:rsidR="00000000" w:rsidRPr="00000000">
              <w:rPr>
                <w:rFonts w:ascii="Arial" w:cs="Arial" w:eastAsia="Arial" w:hAnsi="Arial"/>
                <w:sz w:val="18"/>
                <w:szCs w:val="18"/>
                <w:rtl w:val="0"/>
              </w:rPr>
              <w:t xml:space="preserve">FGF23 co-receptor site</w:t>
            </w:r>
            <w:r w:rsidDel="00000000" w:rsidR="00000000" w:rsidRPr="00000000">
              <w:rPr>
                <w:rtl w:val="0"/>
              </w:rPr>
            </w:r>
          </w:p>
        </w:tc>
        <w:tc>
          <w:tcPr/>
          <w:p w:rsidR="00000000" w:rsidDel="00000000" w:rsidP="00000000" w:rsidRDefault="00000000" w:rsidRPr="00000000" w14:paraId="0000006F">
            <w:pPr>
              <w:rPr/>
            </w:pPr>
            <w:r w:rsidDel="00000000" w:rsidR="00000000" w:rsidRPr="00000000">
              <w:rPr>
                <w:rFonts w:ascii="Arial" w:cs="Arial" w:eastAsia="Arial" w:hAnsi="Arial"/>
                <w:sz w:val="18"/>
                <w:szCs w:val="18"/>
                <w:rtl w:val="0"/>
              </w:rPr>
              <w:t xml:space="preserve">Same binding interface</w:t>
            </w:r>
            <w:r w:rsidDel="00000000" w:rsidR="00000000" w:rsidRPr="00000000">
              <w:rPr>
                <w:rtl w:val="0"/>
              </w:rPr>
            </w:r>
          </w:p>
        </w:tc>
      </w:tr>
      <w:tr>
        <w:trPr>
          <w:cantSplit w:val="0"/>
          <w:tblHeader w:val="0"/>
        </w:trPr>
        <w:tc>
          <w:tcPr/>
          <w:p w:rsidR="00000000" w:rsidDel="00000000" w:rsidP="00000000" w:rsidRDefault="00000000" w:rsidRPr="00000000" w14:paraId="00000070">
            <w:pPr>
              <w:rPr/>
            </w:pPr>
            <w:r w:rsidDel="00000000" w:rsidR="00000000" w:rsidRPr="00000000">
              <w:rPr>
                <w:rFonts w:ascii="Arial" w:cs="Arial" w:eastAsia="Arial" w:hAnsi="Arial"/>
                <w:sz w:val="18"/>
                <w:szCs w:val="18"/>
                <w:rtl w:val="0"/>
              </w:rPr>
              <w:t xml:space="preserve">Predicted SPPS yield</w:t>
            </w:r>
            <w:r w:rsidDel="00000000" w:rsidR="00000000" w:rsidRPr="00000000">
              <w:rPr>
                <w:rtl w:val="0"/>
              </w:rPr>
            </w:r>
          </w:p>
        </w:tc>
        <w:tc>
          <w:tcPr/>
          <w:p w:rsidR="00000000" w:rsidDel="00000000" w:rsidP="00000000" w:rsidRDefault="00000000" w:rsidRPr="00000000" w14:paraId="00000071">
            <w:pPr>
              <w:rPr/>
            </w:pPr>
            <w:r w:rsidDel="00000000" w:rsidR="00000000" w:rsidRPr="00000000">
              <w:rPr>
                <w:rFonts w:ascii="Arial" w:cs="Arial" w:eastAsia="Arial" w:hAnsi="Arial"/>
                <w:sz w:val="18"/>
                <w:szCs w:val="18"/>
                <w:rtl w:val="0"/>
              </w:rPr>
              <w:t xml:space="preserve">—</w:t>
            </w:r>
            <w:r w:rsidDel="00000000" w:rsidR="00000000" w:rsidRPr="00000000">
              <w:rPr>
                <w:rtl w:val="0"/>
              </w:rPr>
            </w:r>
          </w:p>
        </w:tc>
        <w:tc>
          <w:tcPr/>
          <w:p w:rsidR="00000000" w:rsidDel="00000000" w:rsidP="00000000" w:rsidRDefault="00000000" w:rsidRPr="00000000" w14:paraId="00000072">
            <w:pPr>
              <w:rPr/>
            </w:pPr>
            <w:r w:rsidDel="00000000" w:rsidR="00000000" w:rsidRPr="00000000">
              <w:rPr>
                <w:rFonts w:ascii="Arial" w:cs="Arial" w:eastAsia="Arial" w:hAnsi="Arial"/>
                <w:sz w:val="18"/>
                <w:szCs w:val="18"/>
                <w:rtl w:val="0"/>
              </w:rPr>
              <w:t xml:space="preserve">&gt;91%</w:t>
            </w:r>
            <w:r w:rsidDel="00000000" w:rsidR="00000000" w:rsidRPr="00000000">
              <w:rPr>
                <w:rtl w:val="0"/>
              </w:rPr>
            </w:r>
          </w:p>
        </w:tc>
        <w:tc>
          <w:tcPr/>
          <w:p w:rsidR="00000000" w:rsidDel="00000000" w:rsidP="00000000" w:rsidRDefault="00000000" w:rsidRPr="00000000" w14:paraId="00000073">
            <w:pPr>
              <w:rPr/>
            </w:pPr>
            <w:r w:rsidDel="00000000" w:rsidR="00000000" w:rsidRPr="00000000">
              <w:rPr>
                <w:rFonts w:ascii="Arial" w:cs="Arial" w:eastAsia="Arial" w:hAnsi="Arial"/>
                <w:sz w:val="18"/>
                <w:szCs w:val="18"/>
                <w:rtl w:val="0"/>
              </w:rPr>
              <w:t xml:space="preserve">Low synthesis cost</w:t>
            </w:r>
            <w:r w:rsidDel="00000000" w:rsidR="00000000" w:rsidRPr="00000000">
              <w:rPr>
                <w:rtl w:val="0"/>
              </w:rPr>
            </w:r>
          </w:p>
        </w:tc>
      </w:tr>
    </w:tbl>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spacing w:after="140" w:lineRule="auto"/>
        <w:rPr/>
      </w:pPr>
      <w:r w:rsidDel="00000000" w:rsidR="00000000" w:rsidRPr="00000000">
        <w:rPr>
          <w:rFonts w:ascii="Arial" w:cs="Arial" w:eastAsia="Arial" w:hAnsi="Arial"/>
          <w:b w:val="0"/>
          <w:bCs w:val="0"/>
          <w:i w:val="1"/>
          <w:iCs w:val="1"/>
          <w:sz w:val="18"/>
          <w:szCs w:val="18"/>
          <w:rtl w:val="0"/>
        </w:rPr>
        <w:t xml:space="preserve">*Reference anchor interaction energy computed by AW-Qdock applied to the published KL1-domain fragment as an internal benchmark. All values are predicted computational estimates requiring experimental validation. Raw interaction energies (kcal/mol) and normalized Unified Z-Scores (v4 leads) are complementary metrics operating on distinct scoring axes; direct numerical comparison between the two axes is not appropriate.</w:t>
      </w:r>
      <w:r w:rsidDel="00000000" w:rsidR="00000000" w:rsidRPr="00000000">
        <w:rPr>
          <w:rtl w:val="0"/>
        </w:rPr>
      </w:r>
    </w:p>
    <w:p w:rsidR="00000000" w:rsidDel="00000000" w:rsidP="00000000" w:rsidRDefault="00000000" w:rsidRPr="00000000" w14:paraId="00000076">
      <w:pPr>
        <w:pStyle w:val="Heading2"/>
        <w:spacing w:after="80" w:before="200" w:lineRule="auto"/>
        <w:rPr/>
      </w:pPr>
      <w:r w:rsidDel="00000000" w:rsidR="00000000" w:rsidRPr="00000000">
        <w:rPr>
          <w:rFonts w:ascii="Arial" w:cs="Arial" w:eastAsia="Arial" w:hAnsi="Arial"/>
          <w:sz w:val="26"/>
          <w:szCs w:val="26"/>
          <w:rtl w:val="0"/>
        </w:rPr>
        <w:t xml:space="preserve">6.6 Myostatin Inhibition: FST-ALPHA-V4</w:t>
      </w:r>
      <w:r w:rsidDel="00000000" w:rsidR="00000000" w:rsidRPr="00000000">
        <w:rPr>
          <w:rtl w:val="0"/>
        </w:rPr>
      </w:r>
    </w:p>
    <w:p w:rsidR="00000000" w:rsidDel="00000000" w:rsidP="00000000" w:rsidRDefault="00000000" w:rsidRPr="00000000" w14:paraId="00000077">
      <w:pPr>
        <w:spacing w:after="140" w:before="0" w:lineRule="auto"/>
        <w:rPr/>
      </w:pPr>
      <w:r w:rsidDel="00000000" w:rsidR="00000000" w:rsidRPr="00000000">
        <w:rPr>
          <w:rFonts w:ascii="Arial" w:cs="Arial" w:eastAsia="Arial" w:hAnsi="Arial"/>
          <w:b w:val="0"/>
          <w:bCs w:val="0"/>
          <w:i w:val="0"/>
          <w:iCs w:val="0"/>
          <w:sz w:val="22"/>
          <w:szCs w:val="22"/>
          <w:rtl w:val="0"/>
        </w:rPr>
        <w:t xml:space="preserve">Myostatin (GDF-8) is a TGF-β family member that functions as a negative regulator of skeletal muscle mass. Myostatin inhibition is a validated strategy for muscle-wasting diseases (cachexia, sarcopenia) and has emerging relevance in longevity medicine [16]. Follistatin (FST) is the endogenous high-affinity antagonist of myostatin, binding through its N-terminal domain (FSND) with sub-nanomolar predicted affinity. Existing peptide-based myostatin inhibitors suffer from cross-reactivity with Activin A, a related TGF-β ligand with distinct physiological roles, complicating their therapeutic profile.</w:t>
      </w:r>
      <w:r w:rsidDel="00000000" w:rsidR="00000000" w:rsidRPr="00000000">
        <w:rPr>
          <w:rtl w:val="0"/>
        </w:rPr>
      </w:r>
    </w:p>
    <w:p w:rsidR="00000000" w:rsidDel="00000000" w:rsidP="00000000" w:rsidRDefault="00000000" w:rsidRPr="00000000" w14:paraId="00000078">
      <w:pPr>
        <w:pStyle w:val="Heading3"/>
        <w:spacing w:after="80" w:before="200" w:lineRule="auto"/>
        <w:rPr/>
      </w:pPr>
      <w:r w:rsidDel="00000000" w:rsidR="00000000" w:rsidRPr="00000000">
        <w:rPr>
          <w:rFonts w:ascii="Arial" w:cs="Arial" w:eastAsia="Arial" w:hAnsi="Arial"/>
          <w:sz w:val="22"/>
          <w:szCs w:val="22"/>
          <w:rtl w:val="0"/>
        </w:rPr>
        <w:t xml:space="preserve">Methodology</w:t>
      </w:r>
      <w:r w:rsidDel="00000000" w:rsidR="00000000" w:rsidRPr="00000000">
        <w:rPr>
          <w:rtl w:val="0"/>
        </w:rPr>
      </w:r>
    </w:p>
    <w:p w:rsidR="00000000" w:rsidDel="00000000" w:rsidP="00000000" w:rsidRDefault="00000000" w:rsidRPr="00000000" w14:paraId="00000079">
      <w:pPr>
        <w:spacing w:after="140" w:before="0" w:lineRule="auto"/>
        <w:rPr/>
      </w:pPr>
      <w:r w:rsidDel="00000000" w:rsidR="00000000" w:rsidRPr="00000000">
        <w:rPr>
          <w:rFonts w:ascii="Arial" w:cs="Arial" w:eastAsia="Arial" w:hAnsi="Arial"/>
          <w:b w:val="0"/>
          <w:bCs w:val="0"/>
          <w:i w:val="0"/>
          <w:iCs w:val="0"/>
          <w:sz w:val="22"/>
          <w:szCs w:val="22"/>
          <w:rtl w:val="0"/>
        </w:rPr>
        <w:t xml:space="preserve">The myostatin/follistatin co-crystal structure (PDB 3HH2) was used as the docking reference, targeting the GDF-8 binding pocket occupied by the FSND in the native complex. The GenAware™ v4.0 engine was tasked with generating candidates that maximize predicted GDF-8 affinity while explicitly penalizing predicted Activin A cross-reactivity — a dual-objective optimization enforced at the scoring level via differential receptor weighting in the AW-Qdock fitness function.</w:t>
      </w:r>
      <w:r w:rsidDel="00000000" w:rsidR="00000000" w:rsidRPr="00000000">
        <w:rPr>
          <w:rtl w:val="0"/>
        </w:rPr>
      </w:r>
    </w:p>
    <w:p w:rsidR="00000000" w:rsidDel="00000000" w:rsidP="00000000" w:rsidRDefault="00000000" w:rsidRPr="00000000" w14:paraId="0000007A">
      <w:pPr>
        <w:pStyle w:val="Heading3"/>
        <w:spacing w:after="80" w:before="200" w:lineRule="auto"/>
        <w:rPr/>
      </w:pPr>
      <w:r w:rsidDel="00000000" w:rsidR="00000000" w:rsidRPr="00000000">
        <w:rPr>
          <w:rFonts w:ascii="Arial" w:cs="Arial" w:eastAsia="Arial" w:hAnsi="Arial"/>
          <w:sz w:val="22"/>
          <w:szCs w:val="22"/>
          <w:rtl w:val="0"/>
        </w:rPr>
        <w:t xml:space="preserve">Results</w:t>
      </w:r>
      <w:r w:rsidDel="00000000" w:rsidR="00000000" w:rsidRPr="00000000">
        <w:rPr>
          <w:rtl w:val="0"/>
        </w:rPr>
      </w:r>
    </w:p>
    <w:p w:rsidR="00000000" w:rsidDel="00000000" w:rsidP="00000000" w:rsidRDefault="00000000" w:rsidRPr="00000000" w14:paraId="0000007B">
      <w:pPr>
        <w:spacing w:after="140" w:before="0" w:lineRule="auto"/>
        <w:rPr/>
      </w:pPr>
      <w:r w:rsidDel="00000000" w:rsidR="00000000" w:rsidRPr="00000000">
        <w:rPr>
          <w:rFonts w:ascii="Arial" w:cs="Arial" w:eastAsia="Arial" w:hAnsi="Arial"/>
          <w:b w:val="0"/>
          <w:bCs w:val="0"/>
          <w:i w:val="0"/>
          <w:iCs w:val="0"/>
          <w:sz w:val="22"/>
          <w:szCs w:val="22"/>
          <w:rtl w:val="0"/>
        </w:rPr>
        <w:t xml:space="preserve">The platform identified priority candidate FST-ALPHA-V4 (cryptographic identifier: FST-ALPHA-GDF8-20260423, SHA-256: [hash on file]), a 12-residue selective myostatin inhibitor with predicted FSND binding domain mimicry. Full sequence is withheld pending patent prosecution.</w:t>
      </w:r>
      <w:r w:rsidDel="00000000" w:rsidR="00000000" w:rsidRPr="00000000">
        <w:rPr>
          <w:rtl w:val="0"/>
        </w:rPr>
      </w:r>
    </w:p>
    <w:tbl>
      <w:tblPr>
        <w:tblStyle w:val="Table2"/>
        <w:tblW w:w="906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6"/>
        <w:gridCol w:w="2266"/>
        <w:gridCol w:w="2266"/>
        <w:gridCol w:w="2266"/>
        <w:tblGridChange w:id="0">
          <w:tblGrid>
            <w:gridCol w:w="2266"/>
            <w:gridCol w:w="2266"/>
            <w:gridCol w:w="2266"/>
            <w:gridCol w:w="2266"/>
          </w:tblGrid>
        </w:tblGridChange>
      </w:tblGrid>
      <w:tr>
        <w:trPr>
          <w:cantSplit w:val="0"/>
          <w:tblHeader w:val="0"/>
        </w:trPr>
        <w:tc>
          <w:tcPr/>
          <w:p w:rsidR="00000000" w:rsidDel="00000000" w:rsidP="00000000" w:rsidRDefault="00000000" w:rsidRPr="00000000" w14:paraId="0000007C">
            <w:pPr>
              <w:rPr/>
            </w:pPr>
            <w:r w:rsidDel="00000000" w:rsidR="00000000" w:rsidRPr="00000000">
              <w:rPr>
                <w:rFonts w:ascii="Arial" w:cs="Arial" w:eastAsia="Arial" w:hAnsi="Arial"/>
                <w:b w:val="1"/>
                <w:bCs w:val="1"/>
                <w:sz w:val="18"/>
                <w:szCs w:val="18"/>
                <w:rtl w:val="0"/>
              </w:rPr>
              <w:t xml:space="preserve">Metric</w:t>
            </w:r>
            <w:r w:rsidDel="00000000" w:rsidR="00000000" w:rsidRPr="00000000">
              <w:rPr>
                <w:rtl w:val="0"/>
              </w:rPr>
            </w:r>
          </w:p>
        </w:tc>
        <w:tc>
          <w:tcPr/>
          <w:p w:rsidR="00000000" w:rsidDel="00000000" w:rsidP="00000000" w:rsidRDefault="00000000" w:rsidRPr="00000000" w14:paraId="0000007D">
            <w:pPr>
              <w:rPr/>
            </w:pPr>
            <w:r w:rsidDel="00000000" w:rsidR="00000000" w:rsidRPr="00000000">
              <w:rPr>
                <w:rFonts w:ascii="Arial" w:cs="Arial" w:eastAsia="Arial" w:hAnsi="Arial"/>
                <w:b w:val="1"/>
                <w:bCs w:val="1"/>
                <w:sz w:val="18"/>
                <w:szCs w:val="18"/>
                <w:rtl w:val="0"/>
              </w:rPr>
              <w:t xml:space="preserve">Reference Anchor*</w:t>
            </w:r>
            <w:r w:rsidDel="00000000" w:rsidR="00000000" w:rsidRPr="00000000">
              <w:rPr>
                <w:rtl w:val="0"/>
              </w:rPr>
            </w:r>
          </w:p>
        </w:tc>
        <w:tc>
          <w:tcPr/>
          <w:p w:rsidR="00000000" w:rsidDel="00000000" w:rsidP="00000000" w:rsidRDefault="00000000" w:rsidRPr="00000000" w14:paraId="0000007E">
            <w:pPr>
              <w:rPr/>
            </w:pPr>
            <w:r w:rsidDel="00000000" w:rsidR="00000000" w:rsidRPr="00000000">
              <w:rPr>
                <w:rFonts w:ascii="Arial" w:cs="Arial" w:eastAsia="Arial" w:hAnsi="Arial"/>
                <w:b w:val="1"/>
                <w:bCs w:val="1"/>
                <w:sz w:val="18"/>
                <w:szCs w:val="18"/>
                <w:rtl w:val="0"/>
              </w:rPr>
              <w:t xml:space="preserve">FST-ALPHA-V4</w:t>
            </w:r>
            <w:r w:rsidDel="00000000" w:rsidR="00000000" w:rsidRPr="00000000">
              <w:rPr>
                <w:rtl w:val="0"/>
              </w:rPr>
            </w:r>
          </w:p>
        </w:tc>
        <w:tc>
          <w:tcPr/>
          <w:p w:rsidR="00000000" w:rsidDel="00000000" w:rsidP="00000000" w:rsidRDefault="00000000" w:rsidRPr="00000000" w14:paraId="0000007F">
            <w:pPr>
              <w:rPr/>
            </w:pPr>
            <w:r w:rsidDel="00000000" w:rsidR="00000000" w:rsidRPr="00000000">
              <w:rPr>
                <w:rFonts w:ascii="Arial" w:cs="Arial" w:eastAsia="Arial" w:hAnsi="Arial"/>
                <w:b w:val="1"/>
                <w:bCs w:val="1"/>
                <w:sz w:val="18"/>
                <w:szCs w:val="18"/>
                <w:rtl w:val="0"/>
              </w:rPr>
              <w:t xml:space="preserve">Note</w:t>
            </w:r>
            <w:r w:rsidDel="00000000" w:rsidR="00000000" w:rsidRPr="00000000">
              <w:rPr>
                <w:rtl w:val="0"/>
              </w:rPr>
            </w:r>
          </w:p>
        </w:tc>
      </w:tr>
      <w:tr>
        <w:trPr>
          <w:cantSplit w:val="0"/>
          <w:tblHeader w:val="0"/>
        </w:trPr>
        <w:tc>
          <w:tcPr/>
          <w:p w:rsidR="00000000" w:rsidDel="00000000" w:rsidP="00000000" w:rsidRDefault="00000000" w:rsidRPr="00000000" w14:paraId="00000080">
            <w:pPr>
              <w:rPr/>
            </w:pPr>
            <w:r w:rsidDel="00000000" w:rsidR="00000000" w:rsidRPr="00000000">
              <w:rPr>
                <w:rFonts w:ascii="Arial" w:cs="Arial" w:eastAsia="Arial" w:hAnsi="Arial"/>
                <w:sz w:val="18"/>
                <w:szCs w:val="18"/>
                <w:rtl w:val="0"/>
              </w:rPr>
              <w:t xml:space="preserve">Scaffold type</w:t>
            </w:r>
            <w:r w:rsidDel="00000000" w:rsidR="00000000" w:rsidRPr="00000000">
              <w:rPr>
                <w:rtl w:val="0"/>
              </w:rPr>
            </w:r>
          </w:p>
        </w:tc>
        <w:tc>
          <w:tcPr/>
          <w:p w:rsidR="00000000" w:rsidDel="00000000" w:rsidP="00000000" w:rsidRDefault="00000000" w:rsidRPr="00000000" w14:paraId="00000081">
            <w:pPr>
              <w:rPr/>
            </w:pPr>
            <w:r w:rsidDel="00000000" w:rsidR="00000000" w:rsidRPr="00000000">
              <w:rPr>
                <w:rFonts w:ascii="Arial" w:cs="Arial" w:eastAsia="Arial" w:hAnsi="Arial"/>
                <w:sz w:val="18"/>
                <w:szCs w:val="18"/>
                <w:rtl w:val="0"/>
              </w:rPr>
              <w:t xml:space="preserve">FSND fragment</w:t>
            </w:r>
            <w:r w:rsidDel="00000000" w:rsidR="00000000" w:rsidRPr="00000000">
              <w:rPr>
                <w:rtl w:val="0"/>
              </w:rPr>
            </w:r>
          </w:p>
        </w:tc>
        <w:tc>
          <w:tcPr/>
          <w:p w:rsidR="00000000" w:rsidDel="00000000" w:rsidP="00000000" w:rsidRDefault="00000000" w:rsidRPr="00000000" w14:paraId="00000082">
            <w:pPr>
              <w:rPr/>
            </w:pPr>
            <w:r w:rsidDel="00000000" w:rsidR="00000000" w:rsidRPr="00000000">
              <w:rPr>
                <w:rFonts w:ascii="Arial" w:cs="Arial" w:eastAsia="Arial" w:hAnsi="Arial"/>
                <w:sz w:val="18"/>
                <w:szCs w:val="18"/>
                <w:rtl w:val="0"/>
              </w:rPr>
              <w:t xml:space="preserve">Optimized FSND mimic</w:t>
            </w:r>
            <w:r w:rsidDel="00000000" w:rsidR="00000000" w:rsidRPr="00000000">
              <w:rPr>
                <w:rtl w:val="0"/>
              </w:rPr>
            </w:r>
          </w:p>
        </w:tc>
        <w:tc>
          <w:tcPr/>
          <w:p w:rsidR="00000000" w:rsidDel="00000000" w:rsidP="00000000" w:rsidRDefault="00000000" w:rsidRPr="00000000" w14:paraId="00000083">
            <w:pPr>
              <w:rPr/>
            </w:pPr>
            <w:r w:rsidDel="00000000" w:rsidR="00000000" w:rsidRPr="00000000">
              <w:rPr>
                <w:rFonts w:ascii="Arial" w:cs="Arial" w:eastAsia="Arial" w:hAnsi="Arial"/>
                <w:sz w:val="18"/>
                <w:szCs w:val="18"/>
                <w:rtl w:val="0"/>
              </w:rPr>
              <w:t xml:space="preserve">Deep-vault mining + v4.0 loop</w:t>
            </w:r>
            <w:r w:rsidDel="00000000" w:rsidR="00000000" w:rsidRPr="00000000">
              <w:rPr>
                <w:rtl w:val="0"/>
              </w:rPr>
            </w:r>
          </w:p>
        </w:tc>
      </w:tr>
      <w:tr>
        <w:trPr>
          <w:cantSplit w:val="0"/>
          <w:tblHeader w:val="0"/>
        </w:trPr>
        <w:tc>
          <w:tcPr/>
          <w:p w:rsidR="00000000" w:rsidDel="00000000" w:rsidP="00000000" w:rsidRDefault="00000000" w:rsidRPr="00000000" w14:paraId="00000084">
            <w:pPr>
              <w:rPr/>
            </w:pPr>
            <w:r w:rsidDel="00000000" w:rsidR="00000000" w:rsidRPr="00000000">
              <w:rPr>
                <w:rFonts w:ascii="Arial" w:cs="Arial" w:eastAsia="Arial" w:hAnsi="Arial"/>
                <w:sz w:val="18"/>
                <w:szCs w:val="18"/>
                <w:rtl w:val="0"/>
              </w:rPr>
              <w:t xml:space="preserve">Raw interaction energy (GDF-8)</w:t>
            </w:r>
            <w:r w:rsidDel="00000000" w:rsidR="00000000" w:rsidRPr="00000000">
              <w:rPr>
                <w:rtl w:val="0"/>
              </w:rPr>
            </w:r>
          </w:p>
        </w:tc>
        <w:tc>
          <w:tcPr/>
          <w:p w:rsidR="00000000" w:rsidDel="00000000" w:rsidP="00000000" w:rsidRDefault="00000000" w:rsidRPr="00000000" w14:paraId="00000085">
            <w:pPr>
              <w:rPr/>
            </w:pPr>
            <w:r w:rsidDel="00000000" w:rsidR="00000000" w:rsidRPr="00000000">
              <w:rPr>
                <w:rFonts w:ascii="Arial Unicode MS" w:cs="Arial Unicode MS" w:eastAsia="Arial Unicode MS" w:hAnsi="Arial Unicode MS"/>
                <w:sz w:val="18"/>
                <w:szCs w:val="18"/>
                <w:rtl w:val="0"/>
              </w:rPr>
              <w:t xml:space="preserve">−75.1 kcal/mol (ref.)</w:t>
            </w:r>
            <w:r w:rsidDel="00000000" w:rsidR="00000000" w:rsidRPr="00000000">
              <w:rPr>
                <w:rtl w:val="0"/>
              </w:rPr>
            </w:r>
          </w:p>
        </w:tc>
        <w:tc>
          <w:tcPr/>
          <w:p w:rsidR="00000000" w:rsidDel="00000000" w:rsidP="00000000" w:rsidRDefault="00000000" w:rsidRPr="00000000" w14:paraId="00000086">
            <w:pPr>
              <w:rPr/>
            </w:pPr>
            <w:r w:rsidDel="00000000" w:rsidR="00000000" w:rsidRPr="00000000">
              <w:rPr>
                <w:rFonts w:ascii="Arial Unicode MS" w:cs="Arial Unicode MS" w:eastAsia="Arial Unicode MS" w:hAnsi="Arial Unicode MS"/>
                <w:sz w:val="18"/>
                <w:szCs w:val="18"/>
                <w:rtl w:val="0"/>
              </w:rPr>
              <w:t xml:space="preserve">−92.5 kcal/mol</w:t>
            </w:r>
            <w:r w:rsidDel="00000000" w:rsidR="00000000" w:rsidRPr="00000000">
              <w:rPr>
                <w:rtl w:val="0"/>
              </w:rPr>
            </w:r>
          </w:p>
        </w:tc>
        <w:tc>
          <w:tcPr/>
          <w:p w:rsidR="00000000" w:rsidDel="00000000" w:rsidP="00000000" w:rsidRDefault="00000000" w:rsidRPr="00000000" w14:paraId="00000087">
            <w:pPr>
              <w:rPr/>
            </w:pPr>
            <w:r w:rsidDel="00000000" w:rsidR="00000000" w:rsidRPr="00000000">
              <w:rPr>
                <w:rFonts w:ascii="Arial" w:cs="Arial" w:eastAsia="Arial" w:hAnsi="Arial"/>
                <w:sz w:val="18"/>
                <w:szCs w:val="18"/>
                <w:rtl w:val="0"/>
              </w:rPr>
              <w:t xml:space="preserve">AW-Qdock, PDB 3HH2</w:t>
            </w:r>
            <w:r w:rsidDel="00000000" w:rsidR="00000000" w:rsidRPr="00000000">
              <w:rPr>
                <w:rtl w:val="0"/>
              </w:rPr>
            </w:r>
          </w:p>
        </w:tc>
      </w:tr>
      <w:tr>
        <w:trPr>
          <w:cantSplit w:val="0"/>
          <w:tblHeader w:val="0"/>
        </w:trPr>
        <w:tc>
          <w:tcPr/>
          <w:p w:rsidR="00000000" w:rsidDel="00000000" w:rsidP="00000000" w:rsidRDefault="00000000" w:rsidRPr="00000000" w14:paraId="00000088">
            <w:pPr>
              <w:rPr/>
            </w:pPr>
            <w:r w:rsidDel="00000000" w:rsidR="00000000" w:rsidRPr="00000000">
              <w:rPr>
                <w:rFonts w:ascii="Arial" w:cs="Arial" w:eastAsia="Arial" w:hAnsi="Arial"/>
                <w:sz w:val="18"/>
                <w:szCs w:val="18"/>
                <w:rtl w:val="0"/>
              </w:rPr>
              <w:t xml:space="preserve">Predicted Activin A cross-reactivity</w:t>
            </w:r>
            <w:r w:rsidDel="00000000" w:rsidR="00000000" w:rsidRPr="00000000">
              <w:rPr>
                <w:rtl w:val="0"/>
              </w:rPr>
            </w:r>
          </w:p>
        </w:tc>
        <w:tc>
          <w:tcPr/>
          <w:p w:rsidR="00000000" w:rsidDel="00000000" w:rsidP="00000000" w:rsidRDefault="00000000" w:rsidRPr="00000000" w14:paraId="00000089">
            <w:pPr>
              <w:rPr/>
            </w:pPr>
            <w:r w:rsidDel="00000000" w:rsidR="00000000" w:rsidRPr="00000000">
              <w:rPr>
                <w:rFonts w:ascii="Arial" w:cs="Arial" w:eastAsia="Arial" w:hAnsi="Arial"/>
                <w:sz w:val="18"/>
                <w:szCs w:val="18"/>
                <w:rtl w:val="0"/>
              </w:rPr>
              <w:t xml:space="preserve">High (FSND)</w:t>
            </w:r>
            <w:r w:rsidDel="00000000" w:rsidR="00000000" w:rsidRPr="00000000">
              <w:rPr>
                <w:rtl w:val="0"/>
              </w:rPr>
            </w:r>
          </w:p>
        </w:tc>
        <w:tc>
          <w:tcPr/>
          <w:p w:rsidR="00000000" w:rsidDel="00000000" w:rsidP="00000000" w:rsidRDefault="00000000" w:rsidRPr="00000000" w14:paraId="0000008A">
            <w:pPr>
              <w:rPr/>
            </w:pPr>
            <w:r w:rsidDel="00000000" w:rsidR="00000000" w:rsidRPr="00000000">
              <w:rPr>
                <w:rFonts w:ascii="Arial" w:cs="Arial" w:eastAsia="Arial" w:hAnsi="Arial"/>
                <w:sz w:val="18"/>
                <w:szCs w:val="18"/>
                <w:rtl w:val="0"/>
              </w:rPr>
              <w:t xml:space="preserve">Minimized (predicted)</w:t>
            </w:r>
            <w:r w:rsidDel="00000000" w:rsidR="00000000" w:rsidRPr="00000000">
              <w:rPr>
                <w:rtl w:val="0"/>
              </w:rPr>
            </w:r>
          </w:p>
        </w:tc>
        <w:tc>
          <w:tcPr/>
          <w:p w:rsidR="00000000" w:rsidDel="00000000" w:rsidP="00000000" w:rsidRDefault="00000000" w:rsidRPr="00000000" w14:paraId="0000008B">
            <w:pPr>
              <w:rPr/>
            </w:pPr>
            <w:r w:rsidDel="00000000" w:rsidR="00000000" w:rsidRPr="00000000">
              <w:rPr>
                <w:rFonts w:ascii="Arial" w:cs="Arial" w:eastAsia="Arial" w:hAnsi="Arial"/>
                <w:sz w:val="18"/>
                <w:szCs w:val="18"/>
                <w:rtl w:val="0"/>
              </w:rPr>
              <w:t xml:space="preserve">Dual-objective scoring</w:t>
            </w:r>
            <w:r w:rsidDel="00000000" w:rsidR="00000000" w:rsidRPr="00000000">
              <w:rPr>
                <w:rtl w:val="0"/>
              </w:rPr>
            </w:r>
          </w:p>
        </w:tc>
      </w:tr>
      <w:tr>
        <w:trPr>
          <w:cantSplit w:val="0"/>
          <w:tblHeader w:val="0"/>
        </w:trPr>
        <w:tc>
          <w:tcPr/>
          <w:p w:rsidR="00000000" w:rsidDel="00000000" w:rsidP="00000000" w:rsidRDefault="00000000" w:rsidRPr="00000000" w14:paraId="0000008C">
            <w:pPr>
              <w:rPr/>
            </w:pPr>
            <w:r w:rsidDel="00000000" w:rsidR="00000000" w:rsidRPr="00000000">
              <w:rPr>
                <w:rFonts w:ascii="Arial" w:cs="Arial" w:eastAsia="Arial" w:hAnsi="Arial"/>
                <w:sz w:val="18"/>
                <w:szCs w:val="18"/>
                <w:rtl w:val="0"/>
              </w:rPr>
              <w:t xml:space="preserve">Residue count</w:t>
            </w:r>
            <w:r w:rsidDel="00000000" w:rsidR="00000000" w:rsidRPr="00000000">
              <w:rPr>
                <w:rtl w:val="0"/>
              </w:rPr>
            </w:r>
          </w:p>
        </w:tc>
        <w:tc>
          <w:tcPr/>
          <w:p w:rsidR="00000000" w:rsidDel="00000000" w:rsidP="00000000" w:rsidRDefault="00000000" w:rsidRPr="00000000" w14:paraId="0000008D">
            <w:pPr>
              <w:rPr/>
            </w:pPr>
            <w:r w:rsidDel="00000000" w:rsidR="00000000" w:rsidRPr="00000000">
              <w:rPr>
                <w:rFonts w:ascii="Arial" w:cs="Arial" w:eastAsia="Arial" w:hAnsi="Arial"/>
                <w:sz w:val="18"/>
                <w:szCs w:val="18"/>
                <w:rtl w:val="0"/>
              </w:rPr>
              <w:t xml:space="preserve">14 AA (ref. fragment)</w:t>
            </w:r>
            <w:r w:rsidDel="00000000" w:rsidR="00000000" w:rsidRPr="00000000">
              <w:rPr>
                <w:rtl w:val="0"/>
              </w:rPr>
            </w:r>
          </w:p>
        </w:tc>
        <w:tc>
          <w:tcPr/>
          <w:p w:rsidR="00000000" w:rsidDel="00000000" w:rsidP="00000000" w:rsidRDefault="00000000" w:rsidRPr="00000000" w14:paraId="0000008E">
            <w:pPr>
              <w:rPr/>
            </w:pPr>
            <w:r w:rsidDel="00000000" w:rsidR="00000000" w:rsidRPr="00000000">
              <w:rPr>
                <w:rFonts w:ascii="Arial" w:cs="Arial" w:eastAsia="Arial" w:hAnsi="Arial"/>
                <w:sz w:val="18"/>
                <w:szCs w:val="18"/>
                <w:rtl w:val="0"/>
              </w:rPr>
              <w:t xml:space="preserve">12 AA</w:t>
            </w:r>
            <w:r w:rsidDel="00000000" w:rsidR="00000000" w:rsidRPr="00000000">
              <w:rPr>
                <w:rtl w:val="0"/>
              </w:rPr>
            </w:r>
          </w:p>
        </w:tc>
        <w:tc>
          <w:tcPr/>
          <w:p w:rsidR="00000000" w:rsidDel="00000000" w:rsidP="00000000" w:rsidRDefault="00000000" w:rsidRPr="00000000" w14:paraId="0000008F">
            <w:pPr>
              <w:rPr/>
            </w:pPr>
            <w:r w:rsidDel="00000000" w:rsidR="00000000" w:rsidRPr="00000000">
              <w:rPr>
                <w:rFonts w:ascii="Arial Unicode MS" w:cs="Arial Unicode MS" w:eastAsia="Arial Unicode MS" w:hAnsi="Arial Unicode MS"/>
                <w:sz w:val="18"/>
                <w:szCs w:val="18"/>
                <w:rtl w:val="0"/>
              </w:rPr>
              <w:t xml:space="preserve">−14% compression</w:t>
            </w:r>
            <w:r w:rsidDel="00000000" w:rsidR="00000000" w:rsidRPr="00000000">
              <w:rPr>
                <w:rtl w:val="0"/>
              </w:rPr>
            </w:r>
          </w:p>
        </w:tc>
      </w:tr>
      <w:tr>
        <w:trPr>
          <w:cantSplit w:val="0"/>
          <w:tblHeader w:val="0"/>
        </w:trPr>
        <w:tc>
          <w:tcPr/>
          <w:p w:rsidR="00000000" w:rsidDel="00000000" w:rsidP="00000000" w:rsidRDefault="00000000" w:rsidRPr="00000000" w14:paraId="00000090">
            <w:pPr>
              <w:rPr/>
            </w:pPr>
            <w:r w:rsidDel="00000000" w:rsidR="00000000" w:rsidRPr="00000000">
              <w:rPr>
                <w:rFonts w:ascii="Arial" w:cs="Arial" w:eastAsia="Arial" w:hAnsi="Arial"/>
                <w:sz w:val="18"/>
                <w:szCs w:val="18"/>
                <w:rtl w:val="0"/>
              </w:rPr>
              <w:t xml:space="preserve">Predicted pLDDT</w:t>
            </w:r>
            <w:r w:rsidDel="00000000" w:rsidR="00000000" w:rsidRPr="00000000">
              <w:rPr>
                <w:rtl w:val="0"/>
              </w:rPr>
            </w:r>
          </w:p>
        </w:tc>
        <w:tc>
          <w:tcPr/>
          <w:p w:rsidR="00000000" w:rsidDel="00000000" w:rsidP="00000000" w:rsidRDefault="00000000" w:rsidRPr="00000000" w14:paraId="00000091">
            <w:pPr>
              <w:rPr/>
            </w:pPr>
            <w:r w:rsidDel="00000000" w:rsidR="00000000" w:rsidRPr="00000000">
              <w:rPr>
                <w:rFonts w:ascii="Arial" w:cs="Arial" w:eastAsia="Arial" w:hAnsi="Arial"/>
                <w:sz w:val="18"/>
                <w:szCs w:val="18"/>
                <w:rtl w:val="0"/>
              </w:rPr>
              <w:t xml:space="preserve">—</w:t>
            </w:r>
            <w:r w:rsidDel="00000000" w:rsidR="00000000" w:rsidRPr="00000000">
              <w:rPr>
                <w:rtl w:val="0"/>
              </w:rPr>
            </w:r>
          </w:p>
        </w:tc>
        <w:tc>
          <w:tcPr/>
          <w:p w:rsidR="00000000" w:rsidDel="00000000" w:rsidP="00000000" w:rsidRDefault="00000000" w:rsidRPr="00000000" w14:paraId="00000092">
            <w:pPr>
              <w:rPr/>
            </w:pPr>
            <w:r w:rsidDel="00000000" w:rsidR="00000000" w:rsidRPr="00000000">
              <w:rPr>
                <w:rFonts w:ascii="Arial" w:cs="Arial" w:eastAsia="Arial" w:hAnsi="Arial"/>
                <w:sz w:val="18"/>
                <w:szCs w:val="18"/>
                <w:rtl w:val="0"/>
              </w:rPr>
              <w:t xml:space="preserve">97.2%</w:t>
            </w:r>
            <w:r w:rsidDel="00000000" w:rsidR="00000000" w:rsidRPr="00000000">
              <w:rPr>
                <w:rtl w:val="0"/>
              </w:rPr>
            </w:r>
          </w:p>
        </w:tc>
        <w:tc>
          <w:tcPr/>
          <w:p w:rsidR="00000000" w:rsidDel="00000000" w:rsidP="00000000" w:rsidRDefault="00000000" w:rsidRPr="00000000" w14:paraId="00000093">
            <w:pPr>
              <w:rPr/>
            </w:pPr>
            <w:r w:rsidDel="00000000" w:rsidR="00000000" w:rsidRPr="00000000">
              <w:rPr>
                <w:rFonts w:ascii="Arial" w:cs="Arial" w:eastAsia="Arial" w:hAnsi="Arial"/>
                <w:sz w:val="18"/>
                <w:szCs w:val="18"/>
                <w:rtl w:val="0"/>
              </w:rPr>
              <w:t xml:space="preserve">ESMFold v3.0</w:t>
            </w:r>
            <w:r w:rsidDel="00000000" w:rsidR="00000000" w:rsidRPr="00000000">
              <w:rPr>
                <w:rtl w:val="0"/>
              </w:rPr>
            </w:r>
          </w:p>
        </w:tc>
      </w:tr>
      <w:tr>
        <w:trPr>
          <w:cantSplit w:val="0"/>
          <w:tblHeader w:val="0"/>
        </w:trPr>
        <w:tc>
          <w:tcPr/>
          <w:p w:rsidR="00000000" w:rsidDel="00000000" w:rsidP="00000000" w:rsidRDefault="00000000" w:rsidRPr="00000000" w14:paraId="00000094">
            <w:pPr>
              <w:rPr/>
            </w:pPr>
            <w:r w:rsidDel="00000000" w:rsidR="00000000" w:rsidRPr="00000000">
              <w:rPr>
                <w:rFonts w:ascii="Arial" w:cs="Arial" w:eastAsia="Arial" w:hAnsi="Arial"/>
                <w:sz w:val="18"/>
                <w:szCs w:val="18"/>
                <w:rtl w:val="0"/>
              </w:rPr>
              <w:t xml:space="preserve">Predicted SPPS yield</w:t>
            </w:r>
            <w:r w:rsidDel="00000000" w:rsidR="00000000" w:rsidRPr="00000000">
              <w:rPr>
                <w:rtl w:val="0"/>
              </w:rPr>
            </w:r>
          </w:p>
        </w:tc>
        <w:tc>
          <w:tcPr/>
          <w:p w:rsidR="00000000" w:rsidDel="00000000" w:rsidP="00000000" w:rsidRDefault="00000000" w:rsidRPr="00000000" w14:paraId="00000095">
            <w:pPr>
              <w:rPr/>
            </w:pPr>
            <w:r w:rsidDel="00000000" w:rsidR="00000000" w:rsidRPr="00000000">
              <w:rPr>
                <w:rFonts w:ascii="Arial" w:cs="Arial" w:eastAsia="Arial" w:hAnsi="Arial"/>
                <w:sz w:val="18"/>
                <w:szCs w:val="18"/>
                <w:rtl w:val="0"/>
              </w:rPr>
              <w:t xml:space="preserve">—</w:t>
            </w:r>
            <w:r w:rsidDel="00000000" w:rsidR="00000000" w:rsidRPr="00000000">
              <w:rPr>
                <w:rtl w:val="0"/>
              </w:rPr>
            </w:r>
          </w:p>
        </w:tc>
        <w:tc>
          <w:tcPr/>
          <w:p w:rsidR="00000000" w:rsidDel="00000000" w:rsidP="00000000" w:rsidRDefault="00000000" w:rsidRPr="00000000" w14:paraId="00000096">
            <w:pPr>
              <w:rPr/>
            </w:pPr>
            <w:r w:rsidDel="00000000" w:rsidR="00000000" w:rsidRPr="00000000">
              <w:rPr>
                <w:rFonts w:ascii="Arial" w:cs="Arial" w:eastAsia="Arial" w:hAnsi="Arial"/>
                <w:sz w:val="18"/>
                <w:szCs w:val="18"/>
                <w:rtl w:val="0"/>
              </w:rPr>
              <w:t xml:space="preserve">&gt;93%</w:t>
            </w:r>
            <w:r w:rsidDel="00000000" w:rsidR="00000000" w:rsidRPr="00000000">
              <w:rPr>
                <w:rtl w:val="0"/>
              </w:rPr>
            </w:r>
          </w:p>
        </w:tc>
        <w:tc>
          <w:tcPr/>
          <w:p w:rsidR="00000000" w:rsidDel="00000000" w:rsidP="00000000" w:rsidRDefault="00000000" w:rsidRPr="00000000" w14:paraId="00000097">
            <w:pPr>
              <w:rPr/>
            </w:pPr>
            <w:r w:rsidDel="00000000" w:rsidR="00000000" w:rsidRPr="00000000">
              <w:rPr>
                <w:rFonts w:ascii="Arial" w:cs="Arial" w:eastAsia="Arial" w:hAnsi="Arial"/>
                <w:sz w:val="18"/>
                <w:szCs w:val="18"/>
                <w:rtl w:val="0"/>
              </w:rPr>
              <w:t xml:space="preserve">Low synthesis cost</w:t>
            </w:r>
            <w:r w:rsidDel="00000000" w:rsidR="00000000" w:rsidRPr="00000000">
              <w:rPr>
                <w:rtl w:val="0"/>
              </w:rPr>
            </w:r>
          </w:p>
        </w:tc>
      </w:tr>
    </w:tbl>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spacing w:after="140" w:before="0" w:lineRule="auto"/>
        <w:rPr/>
      </w:pPr>
      <w:r w:rsidDel="00000000" w:rsidR="00000000" w:rsidRPr="00000000">
        <w:rPr>
          <w:rFonts w:ascii="Arial" w:cs="Arial" w:eastAsia="Arial" w:hAnsi="Arial"/>
          <w:b w:val="0"/>
          <w:bCs w:val="0"/>
          <w:i w:val="1"/>
          <w:iCs w:val="1"/>
          <w:sz w:val="18"/>
          <w:szCs w:val="18"/>
          <w:rtl w:val="0"/>
        </w:rPr>
        <w:t xml:space="preserve">*Reference anchor interaction energy computed by AW-Qdock applied to the published FSND fragment as an internal benchmark. Activin A cross-reactivity reduction is a predicted computational outcome requiring experimental confirmation via selectivity assays. All values are predicted estimates.</w:t>
      </w:r>
      <w:r w:rsidDel="00000000" w:rsidR="00000000" w:rsidRPr="00000000">
        <w:rPr>
          <w:rtl w:val="0"/>
        </w:rPr>
      </w:r>
    </w:p>
    <w:p w:rsidR="00000000" w:rsidDel="00000000" w:rsidP="00000000" w:rsidRDefault="00000000" w:rsidRPr="00000000" w14:paraId="0000009A">
      <w:pPr>
        <w:pStyle w:val="Heading2"/>
        <w:spacing w:after="80" w:before="200" w:lineRule="auto"/>
        <w:rPr/>
      </w:pPr>
      <w:r w:rsidDel="00000000" w:rsidR="00000000" w:rsidRPr="00000000">
        <w:rPr>
          <w:rFonts w:ascii="Arial" w:cs="Arial" w:eastAsia="Arial" w:hAnsi="Arial"/>
          <w:sz w:val="26"/>
          <w:szCs w:val="26"/>
          <w:rtl w:val="0"/>
        </w:rPr>
        <w:t xml:space="preserve">6.7 Dual-Axis Scoring Framework</w:t>
      </w:r>
      <w:r w:rsidDel="00000000" w:rsidR="00000000" w:rsidRPr="00000000">
        <w:rPr>
          <w:rtl w:val="0"/>
        </w:rPr>
      </w:r>
    </w:p>
    <w:p w:rsidR="00000000" w:rsidDel="00000000" w:rsidP="00000000" w:rsidRDefault="00000000" w:rsidRPr="00000000" w14:paraId="0000009B">
      <w:pPr>
        <w:spacing w:after="140" w:lineRule="auto"/>
        <w:rPr>
          <w:rFonts w:ascii="Arial" w:cs="Arial" w:eastAsia="Arial" w:hAnsi="Arial"/>
          <w:b w:val="0"/>
          <w:bCs w:val="0"/>
          <w:i w:val="0"/>
          <w:iCs w:val="0"/>
          <w:sz w:val="22"/>
          <w:szCs w:val="22"/>
        </w:rPr>
      </w:pPr>
      <w:r w:rsidDel="00000000" w:rsidR="00000000" w:rsidRPr="00000000">
        <w:rPr>
          <w:rFonts w:ascii="Arial" w:cs="Arial" w:eastAsia="Arial" w:hAnsi="Arial"/>
          <w:b w:val="0"/>
          <w:bCs w:val="0"/>
          <w:i w:val="0"/>
          <w:iCs w:val="0"/>
          <w:sz w:val="22"/>
          <w:szCs w:val="22"/>
          <w:rtl w:val="0"/>
        </w:rPr>
        <w:t xml:space="preserve">QuantaPep v4.0 employs complementary scoring axes reflecting distinct discovery objectives. v4 leads (Sections 6.1–6.4) are ranked by the Unified Z-Score — a normalized statistical metric derived from the AW-Qdock 250,000-lead validated distribution, where Z = 12.0 represents the theoretical ceiling for super-affinity within that distribution. v4 leads (Sections 6.5–6.6) are reported as raw AW-Qdock interaction energies (kcal/mol), providing molecule-level physical precision appropriate for therapeutic refinement at the Grandmaster epoch scale. These two metrics are complementary and not directly interchangeable; population-level confidence (Z-score) and physical binding energy (kcal/mol) together constitute a multi-dimensional evaluation standard that strengthens candidate prioritization across discovery phases.</w:t>
      </w:r>
    </w:p>
    <w:p w:rsidR="00000000" w:rsidDel="00000000" w:rsidP="00000000" w:rsidRDefault="00000000" w:rsidRPr="00000000" w14:paraId="0000009C">
      <w:pPr>
        <w:pStyle w:val="Heading1"/>
        <w:spacing w:after="80" w:before="200" w:lineRule="auto"/>
        <w:rPr/>
      </w:pPr>
      <w:r w:rsidDel="00000000" w:rsidR="00000000" w:rsidRPr="00000000">
        <w:rPr>
          <w:rFonts w:ascii="Arial" w:cs="Arial" w:eastAsia="Arial" w:hAnsi="Arial"/>
          <w:sz w:val="32"/>
          <w:szCs w:val="32"/>
          <w:rtl w:val="0"/>
        </w:rPr>
        <w:t xml:space="preserve">7. Priority Lead Registry</w:t>
      </w:r>
      <w:r w:rsidDel="00000000" w:rsidR="00000000" w:rsidRPr="00000000">
        <w:rPr>
          <w:rtl w:val="0"/>
        </w:rPr>
      </w:r>
    </w:p>
    <w:p w:rsidR="00000000" w:rsidDel="00000000" w:rsidP="00000000" w:rsidRDefault="00000000" w:rsidRPr="00000000" w14:paraId="0000009D">
      <w:pPr>
        <w:spacing w:after="140" w:lineRule="auto"/>
        <w:rPr>
          <w:rFonts w:ascii="Arial" w:cs="Arial" w:eastAsia="Arial" w:hAnsi="Arial"/>
          <w:b w:val="0"/>
          <w:bCs w:val="0"/>
          <w:i w:val="0"/>
          <w:iCs w:val="0"/>
          <w:sz w:val="22"/>
          <w:szCs w:val="22"/>
        </w:rPr>
      </w:pPr>
      <w:r w:rsidDel="00000000" w:rsidR="00000000" w:rsidRPr="00000000">
        <w:rPr>
          <w:rFonts w:ascii="Arial" w:cs="Arial" w:eastAsia="Arial" w:hAnsi="Arial"/>
          <w:b w:val="0"/>
          <w:bCs w:val="0"/>
          <w:i w:val="0"/>
          <w:iCs w:val="0"/>
          <w:sz w:val="22"/>
          <w:szCs w:val="22"/>
          <w:rtl w:val="0"/>
        </w:rPr>
        <w:t xml:space="preserve">The combined v4.0 discovery campaigns have produced seven priority candidates across eight therapeutic targets. Full sequences are withheld pending patent prosecution. Candidates are identified by cryptographic identifiers (SHA-256) establishing tamper-evident computational priority predating this submission.</w:t>
      </w:r>
    </w:p>
    <w:p w:rsidR="00000000" w:rsidDel="00000000" w:rsidP="00000000" w:rsidRDefault="00000000" w:rsidRPr="00000000" w14:paraId="0000009E">
      <w:pPr>
        <w:spacing w:after="140" w:before="0" w:lineRule="auto"/>
        <w:rPr/>
      </w:pPr>
      <w:r w:rsidDel="00000000" w:rsidR="00000000" w:rsidRPr="00000000">
        <w:rPr>
          <w:rtl w:val="0"/>
        </w:rPr>
      </w:r>
    </w:p>
    <w:tbl>
      <w:tblPr>
        <w:tblStyle w:val="Table3"/>
        <w:tblW w:w="906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11"/>
        <w:gridCol w:w="1511"/>
        <w:gridCol w:w="1511"/>
        <w:gridCol w:w="1511"/>
        <w:gridCol w:w="1511"/>
        <w:gridCol w:w="1511"/>
        <w:tblGridChange w:id="0">
          <w:tblGrid>
            <w:gridCol w:w="1511"/>
            <w:gridCol w:w="1511"/>
            <w:gridCol w:w="1511"/>
            <w:gridCol w:w="1511"/>
            <w:gridCol w:w="1511"/>
            <w:gridCol w:w="1511"/>
          </w:tblGrid>
        </w:tblGridChange>
      </w:tblGrid>
      <w:tr>
        <w:trPr>
          <w:cantSplit w:val="0"/>
          <w:tblHeader w:val="0"/>
        </w:trPr>
        <w:tc>
          <w:tcPr/>
          <w:p w:rsidR="00000000" w:rsidDel="00000000" w:rsidP="00000000" w:rsidRDefault="00000000" w:rsidRPr="00000000" w14:paraId="0000009F">
            <w:pPr>
              <w:rPr/>
            </w:pPr>
            <w:r w:rsidDel="00000000" w:rsidR="00000000" w:rsidRPr="00000000">
              <w:rPr>
                <w:rFonts w:ascii="Arial" w:cs="Arial" w:eastAsia="Arial" w:hAnsi="Arial"/>
                <w:b w:val="1"/>
                <w:bCs w:val="1"/>
                <w:sz w:val="16"/>
                <w:szCs w:val="16"/>
                <w:rtl w:val="0"/>
              </w:rPr>
              <w:t xml:space="preserve">Lead ID</w:t>
            </w:r>
            <w:r w:rsidDel="00000000" w:rsidR="00000000" w:rsidRPr="00000000">
              <w:rPr>
                <w:rtl w:val="0"/>
              </w:rPr>
            </w:r>
          </w:p>
        </w:tc>
        <w:tc>
          <w:tcPr/>
          <w:p w:rsidR="00000000" w:rsidDel="00000000" w:rsidP="00000000" w:rsidRDefault="00000000" w:rsidRPr="00000000" w14:paraId="000000A0">
            <w:pPr>
              <w:rPr/>
            </w:pPr>
            <w:r w:rsidDel="00000000" w:rsidR="00000000" w:rsidRPr="00000000">
              <w:rPr>
                <w:rFonts w:ascii="Arial" w:cs="Arial" w:eastAsia="Arial" w:hAnsi="Arial"/>
                <w:b w:val="1"/>
                <w:bCs w:val="1"/>
                <w:sz w:val="16"/>
                <w:szCs w:val="16"/>
                <w:rtl w:val="0"/>
              </w:rPr>
              <w:t xml:space="preserve">Target(s)</w:t>
            </w:r>
            <w:r w:rsidDel="00000000" w:rsidR="00000000" w:rsidRPr="00000000">
              <w:rPr>
                <w:rtl w:val="0"/>
              </w:rPr>
            </w:r>
          </w:p>
        </w:tc>
        <w:tc>
          <w:tcPr/>
          <w:p w:rsidR="00000000" w:rsidDel="00000000" w:rsidP="00000000" w:rsidRDefault="00000000" w:rsidRPr="00000000" w14:paraId="000000A1">
            <w:pPr>
              <w:rPr/>
            </w:pPr>
            <w:r w:rsidDel="00000000" w:rsidR="00000000" w:rsidRPr="00000000">
              <w:rPr>
                <w:rFonts w:ascii="Arial" w:cs="Arial" w:eastAsia="Arial" w:hAnsi="Arial"/>
                <w:b w:val="1"/>
                <w:bCs w:val="1"/>
                <w:sz w:val="16"/>
                <w:szCs w:val="16"/>
                <w:rtl w:val="0"/>
              </w:rPr>
              <w:t xml:space="preserve">Scoring Axis</w:t>
            </w:r>
            <w:r w:rsidDel="00000000" w:rsidR="00000000" w:rsidRPr="00000000">
              <w:rPr>
                <w:rtl w:val="0"/>
              </w:rPr>
            </w:r>
          </w:p>
        </w:tc>
        <w:tc>
          <w:tcPr/>
          <w:p w:rsidR="00000000" w:rsidDel="00000000" w:rsidP="00000000" w:rsidRDefault="00000000" w:rsidRPr="00000000" w14:paraId="000000A2">
            <w:pPr>
              <w:rPr/>
            </w:pPr>
            <w:r w:rsidDel="00000000" w:rsidR="00000000" w:rsidRPr="00000000">
              <w:rPr>
                <w:rFonts w:ascii="Arial" w:cs="Arial" w:eastAsia="Arial" w:hAnsi="Arial"/>
                <w:b w:val="1"/>
                <w:bCs w:val="1"/>
                <w:sz w:val="16"/>
                <w:szCs w:val="16"/>
                <w:rtl w:val="0"/>
              </w:rPr>
              <w:t xml:space="preserve">Score</w:t>
            </w:r>
            <w:r w:rsidDel="00000000" w:rsidR="00000000" w:rsidRPr="00000000">
              <w:rPr>
                <w:rtl w:val="0"/>
              </w:rPr>
            </w:r>
          </w:p>
        </w:tc>
        <w:tc>
          <w:tcPr/>
          <w:p w:rsidR="00000000" w:rsidDel="00000000" w:rsidP="00000000" w:rsidRDefault="00000000" w:rsidRPr="00000000" w14:paraId="000000A3">
            <w:pPr>
              <w:rPr/>
            </w:pPr>
            <w:r w:rsidDel="00000000" w:rsidR="00000000" w:rsidRPr="00000000">
              <w:rPr>
                <w:rFonts w:ascii="Arial" w:cs="Arial" w:eastAsia="Arial" w:hAnsi="Arial"/>
                <w:b w:val="1"/>
                <w:bCs w:val="1"/>
                <w:sz w:val="16"/>
                <w:szCs w:val="16"/>
                <w:rtl w:val="0"/>
              </w:rPr>
              <w:t xml:space="preserve">Coverage</w:t>
            </w:r>
            <w:r w:rsidDel="00000000" w:rsidR="00000000" w:rsidRPr="00000000">
              <w:rPr>
                <w:rtl w:val="0"/>
              </w:rPr>
            </w:r>
          </w:p>
        </w:tc>
        <w:tc>
          <w:tcPr/>
          <w:p w:rsidR="00000000" w:rsidDel="00000000" w:rsidP="00000000" w:rsidRDefault="00000000" w:rsidRPr="00000000" w14:paraId="000000A4">
            <w:pPr>
              <w:rPr/>
            </w:pPr>
            <w:r w:rsidDel="00000000" w:rsidR="00000000" w:rsidRPr="00000000">
              <w:rPr>
                <w:rFonts w:ascii="Arial" w:cs="Arial" w:eastAsia="Arial" w:hAnsi="Arial"/>
                <w:b w:val="1"/>
                <w:bCs w:val="1"/>
                <w:sz w:val="16"/>
                <w:szCs w:val="16"/>
                <w:rtl w:val="0"/>
              </w:rPr>
              <w:t xml:space="preserve">Cryptographic ID</w:t>
            </w:r>
            <w:r w:rsidDel="00000000" w:rsidR="00000000" w:rsidRPr="00000000">
              <w:rPr>
                <w:rtl w:val="0"/>
              </w:rPr>
            </w:r>
          </w:p>
        </w:tc>
      </w:tr>
      <w:tr>
        <w:trPr>
          <w:cantSplit w:val="0"/>
          <w:tblHeader w:val="0"/>
        </w:trPr>
        <w:tc>
          <w:tcPr/>
          <w:p w:rsidR="00000000" w:rsidDel="00000000" w:rsidP="00000000" w:rsidRDefault="00000000" w:rsidRPr="00000000" w14:paraId="000000A5">
            <w:pPr>
              <w:rPr/>
            </w:pPr>
            <w:r w:rsidDel="00000000" w:rsidR="00000000" w:rsidRPr="00000000">
              <w:rPr>
                <w:rFonts w:ascii="Arial" w:cs="Arial" w:eastAsia="Arial" w:hAnsi="Arial"/>
                <w:sz w:val="16"/>
                <w:szCs w:val="16"/>
                <w:rtl w:val="0"/>
              </w:rPr>
              <w:t xml:space="preserve">QP-26-GLP</w:t>
            </w:r>
            <w:r w:rsidDel="00000000" w:rsidR="00000000" w:rsidRPr="00000000">
              <w:rPr>
                <w:rtl w:val="0"/>
              </w:rPr>
            </w:r>
          </w:p>
        </w:tc>
        <w:tc>
          <w:tcPr/>
          <w:p w:rsidR="00000000" w:rsidDel="00000000" w:rsidP="00000000" w:rsidRDefault="00000000" w:rsidRPr="00000000" w14:paraId="000000A6">
            <w:pPr>
              <w:rPr/>
            </w:pPr>
            <w:r w:rsidDel="00000000" w:rsidR="00000000" w:rsidRPr="00000000">
              <w:rPr>
                <w:rFonts w:ascii="Arial" w:cs="Arial" w:eastAsia="Arial" w:hAnsi="Arial"/>
                <w:sz w:val="16"/>
                <w:szCs w:val="16"/>
                <w:rtl w:val="0"/>
              </w:rPr>
              <w:t xml:space="preserve">GLP1R (+A316T)</w:t>
            </w:r>
            <w:r w:rsidDel="00000000" w:rsidR="00000000" w:rsidRPr="00000000">
              <w:rPr>
                <w:rtl w:val="0"/>
              </w:rPr>
            </w:r>
          </w:p>
        </w:tc>
        <w:tc>
          <w:tcPr/>
          <w:p w:rsidR="00000000" w:rsidDel="00000000" w:rsidP="00000000" w:rsidRDefault="00000000" w:rsidRPr="00000000" w14:paraId="000000A7">
            <w:pPr>
              <w:rPr/>
            </w:pPr>
            <w:r w:rsidDel="00000000" w:rsidR="00000000" w:rsidRPr="00000000">
              <w:rPr>
                <w:rFonts w:ascii="Arial" w:cs="Arial" w:eastAsia="Arial" w:hAnsi="Arial"/>
                <w:sz w:val="16"/>
                <w:szCs w:val="16"/>
                <w:rtl w:val="0"/>
              </w:rPr>
              <w:t xml:space="preserve">Unified Z-Score</w:t>
            </w:r>
            <w:r w:rsidDel="00000000" w:rsidR="00000000" w:rsidRPr="00000000">
              <w:rPr>
                <w:rtl w:val="0"/>
              </w:rPr>
            </w:r>
          </w:p>
        </w:tc>
        <w:tc>
          <w:tcPr/>
          <w:p w:rsidR="00000000" w:rsidDel="00000000" w:rsidP="00000000" w:rsidRDefault="00000000" w:rsidRPr="00000000" w14:paraId="000000A8">
            <w:pPr>
              <w:rPr/>
            </w:pPr>
            <w:r w:rsidDel="00000000" w:rsidR="00000000" w:rsidRPr="00000000">
              <w:rPr>
                <w:rFonts w:ascii="Arial" w:cs="Arial" w:eastAsia="Arial" w:hAnsi="Arial"/>
                <w:sz w:val="16"/>
                <w:szCs w:val="16"/>
                <w:rtl w:val="0"/>
              </w:rPr>
              <w:t xml:space="preserve">9.45</w:t>
            </w:r>
            <w:r w:rsidDel="00000000" w:rsidR="00000000" w:rsidRPr="00000000">
              <w:rPr>
                <w:rtl w:val="0"/>
              </w:rPr>
            </w:r>
          </w:p>
        </w:tc>
        <w:tc>
          <w:tcPr/>
          <w:p w:rsidR="00000000" w:rsidDel="00000000" w:rsidP="00000000" w:rsidRDefault="00000000" w:rsidRPr="00000000" w14:paraId="000000A9">
            <w:pPr>
              <w:rPr/>
            </w:pPr>
            <w:r w:rsidDel="00000000" w:rsidR="00000000" w:rsidRPr="00000000">
              <w:rPr>
                <w:rFonts w:ascii="Arial" w:cs="Arial" w:eastAsia="Arial" w:hAnsi="Arial"/>
                <w:sz w:val="16"/>
                <w:szCs w:val="16"/>
                <w:rtl w:val="0"/>
              </w:rPr>
              <w:t xml:space="preserve">94%</w:t>
            </w:r>
            <w:r w:rsidDel="00000000" w:rsidR="00000000" w:rsidRPr="00000000">
              <w:rPr>
                <w:rtl w:val="0"/>
              </w:rPr>
            </w:r>
          </w:p>
        </w:tc>
        <w:tc>
          <w:tcPr/>
          <w:p w:rsidR="00000000" w:rsidDel="00000000" w:rsidP="00000000" w:rsidRDefault="00000000" w:rsidRPr="00000000" w14:paraId="000000AA">
            <w:pPr>
              <w:rPr/>
            </w:pPr>
            <w:r w:rsidDel="00000000" w:rsidR="00000000" w:rsidRPr="00000000">
              <w:rPr>
                <w:rFonts w:ascii="Arial" w:cs="Arial" w:eastAsia="Arial" w:hAnsi="Arial"/>
                <w:sz w:val="16"/>
                <w:szCs w:val="16"/>
                <w:rtl w:val="0"/>
              </w:rPr>
              <w:t xml:space="preserve">QP-26-GLP-GLP1R-20260419</w:t>
            </w:r>
            <w:r w:rsidDel="00000000" w:rsidR="00000000" w:rsidRPr="00000000">
              <w:rPr>
                <w:rtl w:val="0"/>
              </w:rPr>
            </w:r>
          </w:p>
        </w:tc>
      </w:tr>
      <w:tr>
        <w:trPr>
          <w:cantSplit w:val="0"/>
          <w:tblHeader w:val="0"/>
        </w:trPr>
        <w:tc>
          <w:tcPr/>
          <w:p w:rsidR="00000000" w:rsidDel="00000000" w:rsidP="00000000" w:rsidRDefault="00000000" w:rsidRPr="00000000" w14:paraId="000000AB">
            <w:pPr>
              <w:rPr/>
            </w:pPr>
            <w:r w:rsidDel="00000000" w:rsidR="00000000" w:rsidRPr="00000000">
              <w:rPr>
                <w:rFonts w:ascii="Arial" w:cs="Arial" w:eastAsia="Arial" w:hAnsi="Arial"/>
                <w:sz w:val="16"/>
                <w:szCs w:val="16"/>
                <w:rtl w:val="0"/>
              </w:rPr>
              <w:t xml:space="preserve">QP-26-AR</w:t>
            </w:r>
            <w:r w:rsidDel="00000000" w:rsidR="00000000" w:rsidRPr="00000000">
              <w:rPr>
                <w:rtl w:val="0"/>
              </w:rPr>
            </w:r>
          </w:p>
        </w:tc>
        <w:tc>
          <w:tcPr/>
          <w:p w:rsidR="00000000" w:rsidDel="00000000" w:rsidP="00000000" w:rsidRDefault="00000000" w:rsidRPr="00000000" w14:paraId="000000AC">
            <w:pPr>
              <w:rPr/>
            </w:pPr>
            <w:r w:rsidDel="00000000" w:rsidR="00000000" w:rsidRPr="00000000">
              <w:rPr>
                <w:rFonts w:ascii="Arial" w:cs="Arial" w:eastAsia="Arial" w:hAnsi="Arial"/>
                <w:sz w:val="16"/>
                <w:szCs w:val="16"/>
                <w:rtl w:val="0"/>
              </w:rPr>
              <w:t xml:space="preserve">Androgen Receptor</w:t>
            </w:r>
            <w:r w:rsidDel="00000000" w:rsidR="00000000" w:rsidRPr="00000000">
              <w:rPr>
                <w:rtl w:val="0"/>
              </w:rPr>
            </w:r>
          </w:p>
        </w:tc>
        <w:tc>
          <w:tcPr/>
          <w:p w:rsidR="00000000" w:rsidDel="00000000" w:rsidP="00000000" w:rsidRDefault="00000000" w:rsidRPr="00000000" w14:paraId="000000AD">
            <w:pPr>
              <w:rPr/>
            </w:pPr>
            <w:r w:rsidDel="00000000" w:rsidR="00000000" w:rsidRPr="00000000">
              <w:rPr>
                <w:rFonts w:ascii="Arial" w:cs="Arial" w:eastAsia="Arial" w:hAnsi="Arial"/>
                <w:sz w:val="16"/>
                <w:szCs w:val="16"/>
                <w:rtl w:val="0"/>
              </w:rPr>
              <w:t xml:space="preserve">Unified Z-Score</w:t>
            </w:r>
            <w:r w:rsidDel="00000000" w:rsidR="00000000" w:rsidRPr="00000000">
              <w:rPr>
                <w:rtl w:val="0"/>
              </w:rPr>
            </w:r>
          </w:p>
        </w:tc>
        <w:tc>
          <w:tcPr/>
          <w:p w:rsidR="00000000" w:rsidDel="00000000" w:rsidP="00000000" w:rsidRDefault="00000000" w:rsidRPr="00000000" w14:paraId="000000AE">
            <w:pPr>
              <w:rPr/>
            </w:pPr>
            <w:r w:rsidDel="00000000" w:rsidR="00000000" w:rsidRPr="00000000">
              <w:rPr>
                <w:rFonts w:ascii="Arial" w:cs="Arial" w:eastAsia="Arial" w:hAnsi="Arial"/>
                <w:sz w:val="16"/>
                <w:szCs w:val="16"/>
                <w:rtl w:val="0"/>
              </w:rPr>
              <w:t xml:space="preserve">9.12</w:t>
            </w:r>
            <w:r w:rsidDel="00000000" w:rsidR="00000000" w:rsidRPr="00000000">
              <w:rPr>
                <w:rtl w:val="0"/>
              </w:rPr>
            </w:r>
          </w:p>
        </w:tc>
        <w:tc>
          <w:tcPr/>
          <w:p w:rsidR="00000000" w:rsidDel="00000000" w:rsidP="00000000" w:rsidRDefault="00000000" w:rsidRPr="00000000" w14:paraId="000000AF">
            <w:pPr>
              <w:rPr/>
            </w:pPr>
            <w:r w:rsidDel="00000000" w:rsidR="00000000" w:rsidRPr="00000000">
              <w:rPr>
                <w:rFonts w:ascii="Arial" w:cs="Arial" w:eastAsia="Arial" w:hAnsi="Arial"/>
                <w:sz w:val="16"/>
                <w:szCs w:val="16"/>
                <w:rtl w:val="0"/>
              </w:rPr>
              <w:t xml:space="preserve">95%</w:t>
            </w:r>
            <w:r w:rsidDel="00000000" w:rsidR="00000000" w:rsidRPr="00000000">
              <w:rPr>
                <w:rtl w:val="0"/>
              </w:rPr>
            </w:r>
          </w:p>
        </w:tc>
        <w:tc>
          <w:tcPr/>
          <w:p w:rsidR="00000000" w:rsidDel="00000000" w:rsidP="00000000" w:rsidRDefault="00000000" w:rsidRPr="00000000" w14:paraId="000000B0">
            <w:pPr>
              <w:rPr/>
            </w:pPr>
            <w:r w:rsidDel="00000000" w:rsidR="00000000" w:rsidRPr="00000000">
              <w:rPr>
                <w:rFonts w:ascii="Arial" w:cs="Arial" w:eastAsia="Arial" w:hAnsi="Arial"/>
                <w:sz w:val="16"/>
                <w:szCs w:val="16"/>
                <w:rtl w:val="0"/>
              </w:rPr>
              <w:t xml:space="preserve">QP-26-AR-AR-20260419</w:t>
            </w:r>
            <w:r w:rsidDel="00000000" w:rsidR="00000000" w:rsidRPr="00000000">
              <w:rPr>
                <w:rtl w:val="0"/>
              </w:rPr>
            </w:r>
          </w:p>
        </w:tc>
      </w:tr>
      <w:tr>
        <w:trPr>
          <w:cantSplit w:val="0"/>
          <w:tblHeader w:val="0"/>
        </w:trPr>
        <w:tc>
          <w:tcPr/>
          <w:p w:rsidR="00000000" w:rsidDel="00000000" w:rsidP="00000000" w:rsidRDefault="00000000" w:rsidRPr="00000000" w14:paraId="000000B1">
            <w:pPr>
              <w:rPr/>
            </w:pPr>
            <w:r w:rsidDel="00000000" w:rsidR="00000000" w:rsidRPr="00000000">
              <w:rPr>
                <w:rFonts w:ascii="Arial" w:cs="Arial" w:eastAsia="Arial" w:hAnsi="Arial"/>
                <w:sz w:val="16"/>
                <w:szCs w:val="16"/>
                <w:rtl w:val="0"/>
              </w:rPr>
              <w:t xml:space="preserve">QP-26-GCGR</w:t>
            </w:r>
            <w:r w:rsidDel="00000000" w:rsidR="00000000" w:rsidRPr="00000000">
              <w:rPr>
                <w:rtl w:val="0"/>
              </w:rPr>
            </w:r>
          </w:p>
        </w:tc>
        <w:tc>
          <w:tcPr/>
          <w:p w:rsidR="00000000" w:rsidDel="00000000" w:rsidP="00000000" w:rsidRDefault="00000000" w:rsidRPr="00000000" w14:paraId="000000B2">
            <w:pPr>
              <w:rPr/>
            </w:pPr>
            <w:r w:rsidDel="00000000" w:rsidR="00000000" w:rsidRPr="00000000">
              <w:rPr>
                <w:rFonts w:ascii="Arial" w:cs="Arial" w:eastAsia="Arial" w:hAnsi="Arial"/>
                <w:sz w:val="16"/>
                <w:szCs w:val="16"/>
                <w:rtl w:val="0"/>
              </w:rPr>
              <w:t xml:space="preserve">Glucagon Receptor</w:t>
            </w:r>
            <w:r w:rsidDel="00000000" w:rsidR="00000000" w:rsidRPr="00000000">
              <w:rPr>
                <w:rtl w:val="0"/>
              </w:rPr>
            </w:r>
          </w:p>
        </w:tc>
        <w:tc>
          <w:tcPr/>
          <w:p w:rsidR="00000000" w:rsidDel="00000000" w:rsidP="00000000" w:rsidRDefault="00000000" w:rsidRPr="00000000" w14:paraId="000000B3">
            <w:pPr>
              <w:rPr/>
            </w:pPr>
            <w:r w:rsidDel="00000000" w:rsidR="00000000" w:rsidRPr="00000000">
              <w:rPr>
                <w:rFonts w:ascii="Arial" w:cs="Arial" w:eastAsia="Arial" w:hAnsi="Arial"/>
                <w:sz w:val="16"/>
                <w:szCs w:val="16"/>
                <w:rtl w:val="0"/>
              </w:rPr>
              <w:t xml:space="preserve">Unified Z-Score</w:t>
            </w:r>
            <w:r w:rsidDel="00000000" w:rsidR="00000000" w:rsidRPr="00000000">
              <w:rPr>
                <w:rtl w:val="0"/>
              </w:rPr>
            </w:r>
          </w:p>
        </w:tc>
        <w:tc>
          <w:tcPr/>
          <w:p w:rsidR="00000000" w:rsidDel="00000000" w:rsidP="00000000" w:rsidRDefault="00000000" w:rsidRPr="00000000" w14:paraId="000000B4">
            <w:pPr>
              <w:rPr/>
            </w:pPr>
            <w:r w:rsidDel="00000000" w:rsidR="00000000" w:rsidRPr="00000000">
              <w:rPr>
                <w:rFonts w:ascii="Arial" w:cs="Arial" w:eastAsia="Arial" w:hAnsi="Arial"/>
                <w:sz w:val="16"/>
                <w:szCs w:val="16"/>
                <w:rtl w:val="0"/>
              </w:rPr>
              <w:t xml:space="preserve">8.95</w:t>
            </w:r>
            <w:r w:rsidDel="00000000" w:rsidR="00000000" w:rsidRPr="00000000">
              <w:rPr>
                <w:rtl w:val="0"/>
              </w:rPr>
            </w:r>
          </w:p>
        </w:tc>
        <w:tc>
          <w:tcPr/>
          <w:p w:rsidR="00000000" w:rsidDel="00000000" w:rsidP="00000000" w:rsidRDefault="00000000" w:rsidRPr="00000000" w14:paraId="000000B5">
            <w:pPr>
              <w:rPr/>
            </w:pPr>
            <w:r w:rsidDel="00000000" w:rsidR="00000000" w:rsidRPr="00000000">
              <w:rPr>
                <w:rFonts w:ascii="Arial" w:cs="Arial" w:eastAsia="Arial" w:hAnsi="Arial"/>
                <w:sz w:val="16"/>
                <w:szCs w:val="16"/>
                <w:rtl w:val="0"/>
              </w:rPr>
              <w:t xml:space="preserve">91%</w:t>
            </w:r>
            <w:r w:rsidDel="00000000" w:rsidR="00000000" w:rsidRPr="00000000">
              <w:rPr>
                <w:rtl w:val="0"/>
              </w:rPr>
            </w:r>
          </w:p>
        </w:tc>
        <w:tc>
          <w:tcPr/>
          <w:p w:rsidR="00000000" w:rsidDel="00000000" w:rsidP="00000000" w:rsidRDefault="00000000" w:rsidRPr="00000000" w14:paraId="000000B6">
            <w:pPr>
              <w:rPr/>
            </w:pPr>
            <w:r w:rsidDel="00000000" w:rsidR="00000000" w:rsidRPr="00000000">
              <w:rPr>
                <w:rFonts w:ascii="Arial" w:cs="Arial" w:eastAsia="Arial" w:hAnsi="Arial"/>
                <w:sz w:val="16"/>
                <w:szCs w:val="16"/>
                <w:rtl w:val="0"/>
              </w:rPr>
              <w:t xml:space="preserve">QP-26-GCGR-20260419</w:t>
            </w:r>
            <w:r w:rsidDel="00000000" w:rsidR="00000000" w:rsidRPr="00000000">
              <w:rPr>
                <w:rtl w:val="0"/>
              </w:rPr>
            </w:r>
          </w:p>
        </w:tc>
      </w:tr>
      <w:tr>
        <w:trPr>
          <w:cantSplit w:val="0"/>
          <w:tblHeader w:val="0"/>
        </w:trPr>
        <w:tc>
          <w:tcPr/>
          <w:p w:rsidR="00000000" w:rsidDel="00000000" w:rsidP="00000000" w:rsidRDefault="00000000" w:rsidRPr="00000000" w14:paraId="000000B7">
            <w:pPr>
              <w:rPr/>
            </w:pPr>
            <w:r w:rsidDel="00000000" w:rsidR="00000000" w:rsidRPr="00000000">
              <w:rPr>
                <w:rFonts w:ascii="Arial" w:cs="Arial" w:eastAsia="Arial" w:hAnsi="Arial"/>
                <w:sz w:val="16"/>
                <w:szCs w:val="16"/>
                <w:rtl w:val="0"/>
              </w:rPr>
              <w:t xml:space="preserve">QP-26-KLO</w:t>
            </w:r>
            <w:r w:rsidDel="00000000" w:rsidR="00000000" w:rsidRPr="00000000">
              <w:rPr>
                <w:rtl w:val="0"/>
              </w:rPr>
            </w:r>
          </w:p>
        </w:tc>
        <w:tc>
          <w:tcPr/>
          <w:p w:rsidR="00000000" w:rsidDel="00000000" w:rsidP="00000000" w:rsidRDefault="00000000" w:rsidRPr="00000000" w14:paraId="000000B8">
            <w:pPr>
              <w:rPr/>
            </w:pPr>
            <w:r w:rsidDel="00000000" w:rsidR="00000000" w:rsidRPr="00000000">
              <w:rPr>
                <w:rFonts w:ascii="Arial" w:cs="Arial" w:eastAsia="Arial" w:hAnsi="Arial"/>
                <w:sz w:val="16"/>
                <w:szCs w:val="16"/>
                <w:rtl w:val="0"/>
              </w:rPr>
              <w:t xml:space="preserve">Klotho Signaling</w:t>
            </w:r>
            <w:r w:rsidDel="00000000" w:rsidR="00000000" w:rsidRPr="00000000">
              <w:rPr>
                <w:rtl w:val="0"/>
              </w:rPr>
            </w:r>
          </w:p>
        </w:tc>
        <w:tc>
          <w:tcPr/>
          <w:p w:rsidR="00000000" w:rsidDel="00000000" w:rsidP="00000000" w:rsidRDefault="00000000" w:rsidRPr="00000000" w14:paraId="000000B9">
            <w:pPr>
              <w:rPr/>
            </w:pPr>
            <w:r w:rsidDel="00000000" w:rsidR="00000000" w:rsidRPr="00000000">
              <w:rPr>
                <w:rFonts w:ascii="Arial" w:cs="Arial" w:eastAsia="Arial" w:hAnsi="Arial"/>
                <w:sz w:val="16"/>
                <w:szCs w:val="16"/>
                <w:rtl w:val="0"/>
              </w:rPr>
              <w:t xml:space="preserve">Unified Z-Score</w:t>
            </w:r>
            <w:r w:rsidDel="00000000" w:rsidR="00000000" w:rsidRPr="00000000">
              <w:rPr>
                <w:rtl w:val="0"/>
              </w:rPr>
            </w:r>
          </w:p>
        </w:tc>
        <w:tc>
          <w:tcPr/>
          <w:p w:rsidR="00000000" w:rsidDel="00000000" w:rsidP="00000000" w:rsidRDefault="00000000" w:rsidRPr="00000000" w14:paraId="000000BA">
            <w:pPr>
              <w:rPr/>
            </w:pPr>
            <w:r w:rsidDel="00000000" w:rsidR="00000000" w:rsidRPr="00000000">
              <w:rPr>
                <w:rFonts w:ascii="Arial" w:cs="Arial" w:eastAsia="Arial" w:hAnsi="Arial"/>
                <w:sz w:val="16"/>
                <w:szCs w:val="16"/>
                <w:rtl w:val="0"/>
              </w:rPr>
              <w:t xml:space="preserve">8.82</w:t>
            </w:r>
            <w:r w:rsidDel="00000000" w:rsidR="00000000" w:rsidRPr="00000000">
              <w:rPr>
                <w:rtl w:val="0"/>
              </w:rPr>
            </w:r>
          </w:p>
        </w:tc>
        <w:tc>
          <w:tcPr/>
          <w:p w:rsidR="00000000" w:rsidDel="00000000" w:rsidP="00000000" w:rsidRDefault="00000000" w:rsidRPr="00000000" w14:paraId="000000BB">
            <w:pPr>
              <w:rPr/>
            </w:pPr>
            <w:r w:rsidDel="00000000" w:rsidR="00000000" w:rsidRPr="00000000">
              <w:rPr>
                <w:rFonts w:ascii="Arial" w:cs="Arial" w:eastAsia="Arial" w:hAnsi="Arial"/>
                <w:sz w:val="16"/>
                <w:szCs w:val="16"/>
                <w:rtl w:val="0"/>
              </w:rPr>
              <w:t xml:space="preserve">89%</w:t>
            </w:r>
            <w:r w:rsidDel="00000000" w:rsidR="00000000" w:rsidRPr="00000000">
              <w:rPr>
                <w:rtl w:val="0"/>
              </w:rPr>
            </w:r>
          </w:p>
        </w:tc>
        <w:tc>
          <w:tcPr/>
          <w:p w:rsidR="00000000" w:rsidDel="00000000" w:rsidP="00000000" w:rsidRDefault="00000000" w:rsidRPr="00000000" w14:paraId="000000BC">
            <w:pPr>
              <w:rPr/>
            </w:pPr>
            <w:r w:rsidDel="00000000" w:rsidR="00000000" w:rsidRPr="00000000">
              <w:rPr>
                <w:rFonts w:ascii="Arial" w:cs="Arial" w:eastAsia="Arial" w:hAnsi="Arial"/>
                <w:sz w:val="16"/>
                <w:szCs w:val="16"/>
                <w:rtl w:val="0"/>
              </w:rPr>
              <w:t xml:space="preserve">QP-26-KLO-20260419</w:t>
            </w:r>
            <w:r w:rsidDel="00000000" w:rsidR="00000000" w:rsidRPr="00000000">
              <w:rPr>
                <w:rtl w:val="0"/>
              </w:rPr>
            </w:r>
          </w:p>
        </w:tc>
      </w:tr>
      <w:tr>
        <w:trPr>
          <w:cantSplit w:val="0"/>
          <w:tblHeader w:val="0"/>
        </w:trPr>
        <w:tc>
          <w:tcPr/>
          <w:p w:rsidR="00000000" w:rsidDel="00000000" w:rsidP="00000000" w:rsidRDefault="00000000" w:rsidRPr="00000000" w14:paraId="000000BD">
            <w:pPr>
              <w:rPr/>
            </w:pPr>
            <w:r w:rsidDel="00000000" w:rsidR="00000000" w:rsidRPr="00000000">
              <w:rPr>
                <w:rFonts w:ascii="Arial" w:cs="Arial" w:eastAsia="Arial" w:hAnsi="Arial"/>
                <w:sz w:val="16"/>
                <w:szCs w:val="16"/>
                <w:rtl w:val="0"/>
              </w:rPr>
              <w:t xml:space="preserve">QYT-V3</w:t>
            </w:r>
            <w:r w:rsidDel="00000000" w:rsidR="00000000" w:rsidRPr="00000000">
              <w:rPr>
                <w:rtl w:val="0"/>
              </w:rPr>
            </w:r>
          </w:p>
        </w:tc>
        <w:tc>
          <w:tcPr/>
          <w:p w:rsidR="00000000" w:rsidDel="00000000" w:rsidP="00000000" w:rsidRDefault="00000000" w:rsidRPr="00000000" w14:paraId="000000BE">
            <w:pPr>
              <w:rPr/>
            </w:pPr>
            <w:r w:rsidDel="00000000" w:rsidR="00000000" w:rsidRPr="00000000">
              <w:rPr>
                <w:rFonts w:ascii="Arial" w:cs="Arial" w:eastAsia="Arial" w:hAnsi="Arial"/>
                <w:sz w:val="16"/>
                <w:szCs w:val="16"/>
                <w:rtl w:val="0"/>
              </w:rPr>
              <w:t xml:space="preserve">GLP-1R / GIPR / GCGR</w:t>
            </w:r>
            <w:r w:rsidDel="00000000" w:rsidR="00000000" w:rsidRPr="00000000">
              <w:rPr>
                <w:rtl w:val="0"/>
              </w:rPr>
            </w:r>
          </w:p>
        </w:tc>
        <w:tc>
          <w:tcPr/>
          <w:p w:rsidR="00000000" w:rsidDel="00000000" w:rsidP="00000000" w:rsidRDefault="00000000" w:rsidRPr="00000000" w14:paraId="000000BF">
            <w:pPr>
              <w:rPr/>
            </w:pPr>
            <w:r w:rsidDel="00000000" w:rsidR="00000000" w:rsidRPr="00000000">
              <w:rPr>
                <w:rFonts w:ascii="Arial" w:cs="Arial" w:eastAsia="Arial" w:hAnsi="Arial"/>
                <w:sz w:val="16"/>
                <w:szCs w:val="16"/>
                <w:rtl w:val="0"/>
              </w:rPr>
              <w:t xml:space="preserve">Unified Z-Score</w:t>
            </w:r>
            <w:r w:rsidDel="00000000" w:rsidR="00000000" w:rsidRPr="00000000">
              <w:rPr>
                <w:rtl w:val="0"/>
              </w:rPr>
            </w:r>
          </w:p>
        </w:tc>
        <w:tc>
          <w:tcPr/>
          <w:p w:rsidR="00000000" w:rsidDel="00000000" w:rsidP="00000000" w:rsidRDefault="00000000" w:rsidRPr="00000000" w14:paraId="000000C0">
            <w:pPr>
              <w:rPr/>
            </w:pPr>
            <w:r w:rsidDel="00000000" w:rsidR="00000000" w:rsidRPr="00000000">
              <w:rPr>
                <w:rFonts w:ascii="Arial" w:cs="Arial" w:eastAsia="Arial" w:hAnsi="Arial"/>
                <w:sz w:val="16"/>
                <w:szCs w:val="16"/>
                <w:rtl w:val="0"/>
              </w:rPr>
              <w:t xml:space="preserve">11.4</w:t>
            </w:r>
            <w:r w:rsidDel="00000000" w:rsidR="00000000" w:rsidRPr="00000000">
              <w:rPr>
                <w:rtl w:val="0"/>
              </w:rPr>
            </w:r>
          </w:p>
        </w:tc>
        <w:tc>
          <w:tcPr/>
          <w:p w:rsidR="00000000" w:rsidDel="00000000" w:rsidP="00000000" w:rsidRDefault="00000000" w:rsidRPr="00000000" w14:paraId="000000C1">
            <w:pPr>
              <w:rPr/>
            </w:pPr>
            <w:r w:rsidDel="00000000" w:rsidR="00000000" w:rsidRPr="00000000">
              <w:rPr>
                <w:rFonts w:ascii="Arial" w:cs="Arial" w:eastAsia="Arial" w:hAnsi="Arial"/>
                <w:sz w:val="16"/>
                <w:szCs w:val="16"/>
                <w:rtl w:val="0"/>
              </w:rPr>
              <w:t xml:space="preserve">TBD</w:t>
            </w:r>
            <w:r w:rsidDel="00000000" w:rsidR="00000000" w:rsidRPr="00000000">
              <w:rPr>
                <w:rtl w:val="0"/>
              </w:rPr>
            </w:r>
          </w:p>
        </w:tc>
        <w:tc>
          <w:tcPr/>
          <w:p w:rsidR="00000000" w:rsidDel="00000000" w:rsidP="00000000" w:rsidRDefault="00000000" w:rsidRPr="00000000" w14:paraId="000000C2">
            <w:pPr>
              <w:rPr/>
            </w:pPr>
            <w:r w:rsidDel="00000000" w:rsidR="00000000" w:rsidRPr="00000000">
              <w:rPr>
                <w:rFonts w:ascii="Arial" w:cs="Arial" w:eastAsia="Arial" w:hAnsi="Arial"/>
                <w:sz w:val="16"/>
                <w:szCs w:val="16"/>
                <w:rtl w:val="0"/>
              </w:rPr>
              <w:t xml:space="preserve">QYT-V3-12AA-TRIPLE-20260422</w:t>
            </w:r>
            <w:r w:rsidDel="00000000" w:rsidR="00000000" w:rsidRPr="00000000">
              <w:rPr>
                <w:rtl w:val="0"/>
              </w:rPr>
            </w:r>
          </w:p>
        </w:tc>
      </w:tr>
      <w:tr>
        <w:trPr>
          <w:cantSplit w:val="0"/>
          <w:tblHeader w:val="0"/>
        </w:trPr>
        <w:tc>
          <w:tcPr/>
          <w:p w:rsidR="00000000" w:rsidDel="00000000" w:rsidP="00000000" w:rsidRDefault="00000000" w:rsidRPr="00000000" w14:paraId="000000C3">
            <w:pPr>
              <w:rPr/>
            </w:pPr>
            <w:r w:rsidDel="00000000" w:rsidR="00000000" w:rsidRPr="00000000">
              <w:rPr>
                <w:rFonts w:ascii="Arial" w:cs="Arial" w:eastAsia="Arial" w:hAnsi="Arial"/>
                <w:sz w:val="16"/>
                <w:szCs w:val="16"/>
                <w:rtl w:val="0"/>
              </w:rPr>
              <w:t xml:space="preserve">ONCO-85</w:t>
            </w:r>
            <w:r w:rsidDel="00000000" w:rsidR="00000000" w:rsidRPr="00000000">
              <w:rPr>
                <w:rtl w:val="0"/>
              </w:rPr>
            </w:r>
          </w:p>
        </w:tc>
        <w:tc>
          <w:tcPr/>
          <w:p w:rsidR="00000000" w:rsidDel="00000000" w:rsidP="00000000" w:rsidRDefault="00000000" w:rsidRPr="00000000" w14:paraId="000000C4">
            <w:pPr>
              <w:rPr/>
            </w:pPr>
            <w:r w:rsidDel="00000000" w:rsidR="00000000" w:rsidRPr="00000000">
              <w:rPr>
                <w:rFonts w:ascii="Arial" w:cs="Arial" w:eastAsia="Arial" w:hAnsi="Arial"/>
                <w:sz w:val="16"/>
                <w:szCs w:val="16"/>
                <w:rtl w:val="0"/>
              </w:rPr>
              <w:t xml:space="preserve">PD-L1</w:t>
            </w:r>
            <w:r w:rsidDel="00000000" w:rsidR="00000000" w:rsidRPr="00000000">
              <w:rPr>
                <w:rtl w:val="0"/>
              </w:rPr>
            </w:r>
          </w:p>
        </w:tc>
        <w:tc>
          <w:tcPr/>
          <w:p w:rsidR="00000000" w:rsidDel="00000000" w:rsidP="00000000" w:rsidRDefault="00000000" w:rsidRPr="00000000" w14:paraId="000000C5">
            <w:pPr>
              <w:rPr/>
            </w:pPr>
            <w:r w:rsidDel="00000000" w:rsidR="00000000" w:rsidRPr="00000000">
              <w:rPr>
                <w:rFonts w:ascii="Arial" w:cs="Arial" w:eastAsia="Arial" w:hAnsi="Arial"/>
                <w:sz w:val="16"/>
                <w:szCs w:val="16"/>
                <w:rtl w:val="0"/>
              </w:rPr>
              <w:t xml:space="preserve">Unified Z-Score</w:t>
            </w:r>
            <w:r w:rsidDel="00000000" w:rsidR="00000000" w:rsidRPr="00000000">
              <w:rPr>
                <w:rtl w:val="0"/>
              </w:rPr>
            </w:r>
          </w:p>
        </w:tc>
        <w:tc>
          <w:tcPr/>
          <w:p w:rsidR="00000000" w:rsidDel="00000000" w:rsidP="00000000" w:rsidRDefault="00000000" w:rsidRPr="00000000" w14:paraId="000000C6">
            <w:pPr>
              <w:rPr/>
            </w:pPr>
            <w:r w:rsidDel="00000000" w:rsidR="00000000" w:rsidRPr="00000000">
              <w:rPr>
                <w:rFonts w:ascii="Arial" w:cs="Arial" w:eastAsia="Arial" w:hAnsi="Arial"/>
                <w:sz w:val="16"/>
                <w:szCs w:val="16"/>
                <w:rtl w:val="0"/>
              </w:rPr>
              <w:t xml:space="preserve">9.3</w:t>
            </w:r>
            <w:r w:rsidDel="00000000" w:rsidR="00000000" w:rsidRPr="00000000">
              <w:rPr>
                <w:rtl w:val="0"/>
              </w:rPr>
            </w:r>
          </w:p>
        </w:tc>
        <w:tc>
          <w:tcPr/>
          <w:p w:rsidR="00000000" w:rsidDel="00000000" w:rsidP="00000000" w:rsidRDefault="00000000" w:rsidRPr="00000000" w14:paraId="000000C7">
            <w:pPr>
              <w:rPr/>
            </w:pPr>
            <w:r w:rsidDel="00000000" w:rsidR="00000000" w:rsidRPr="00000000">
              <w:rPr>
                <w:rFonts w:ascii="Arial" w:cs="Arial" w:eastAsia="Arial" w:hAnsi="Arial"/>
                <w:sz w:val="16"/>
                <w:szCs w:val="16"/>
                <w:rtl w:val="0"/>
              </w:rPr>
              <w:t xml:space="preserve">TBD</w:t>
            </w:r>
            <w:r w:rsidDel="00000000" w:rsidR="00000000" w:rsidRPr="00000000">
              <w:rPr>
                <w:rtl w:val="0"/>
              </w:rPr>
            </w:r>
          </w:p>
        </w:tc>
        <w:tc>
          <w:tcPr/>
          <w:p w:rsidR="00000000" w:rsidDel="00000000" w:rsidP="00000000" w:rsidRDefault="00000000" w:rsidRPr="00000000" w14:paraId="000000C8">
            <w:pPr>
              <w:rPr/>
            </w:pPr>
            <w:r w:rsidDel="00000000" w:rsidR="00000000" w:rsidRPr="00000000">
              <w:rPr>
                <w:rFonts w:ascii="Arial" w:cs="Arial" w:eastAsia="Arial" w:hAnsi="Arial"/>
                <w:sz w:val="16"/>
                <w:szCs w:val="16"/>
                <w:rtl w:val="0"/>
              </w:rPr>
              <w:t xml:space="preserve">ONCO-85-PDL1-20260422</w:t>
            </w:r>
            <w:r w:rsidDel="00000000" w:rsidR="00000000" w:rsidRPr="00000000">
              <w:rPr>
                <w:rtl w:val="0"/>
              </w:rPr>
            </w:r>
          </w:p>
        </w:tc>
      </w:tr>
      <w:tr>
        <w:trPr>
          <w:cantSplit w:val="0"/>
          <w:tblHeader w:val="0"/>
        </w:trPr>
        <w:tc>
          <w:tcPr/>
          <w:p w:rsidR="00000000" w:rsidDel="00000000" w:rsidP="00000000" w:rsidRDefault="00000000" w:rsidRPr="00000000" w14:paraId="000000C9">
            <w:pPr>
              <w:rPr/>
            </w:pPr>
            <w:r w:rsidDel="00000000" w:rsidR="00000000" w:rsidRPr="00000000">
              <w:rPr>
                <w:rFonts w:ascii="Arial" w:cs="Arial" w:eastAsia="Arial" w:hAnsi="Arial"/>
                <w:sz w:val="16"/>
                <w:szCs w:val="16"/>
                <w:rtl w:val="0"/>
              </w:rPr>
              <w:t xml:space="preserve">NEURO-85</w:t>
            </w:r>
            <w:r w:rsidDel="00000000" w:rsidR="00000000" w:rsidRPr="00000000">
              <w:rPr>
                <w:rtl w:val="0"/>
              </w:rPr>
            </w:r>
          </w:p>
        </w:tc>
        <w:tc>
          <w:tcPr/>
          <w:p w:rsidR="00000000" w:rsidDel="00000000" w:rsidP="00000000" w:rsidRDefault="00000000" w:rsidRPr="00000000" w14:paraId="000000CA">
            <w:pPr>
              <w:rPr/>
            </w:pPr>
            <w:r w:rsidDel="00000000" w:rsidR="00000000" w:rsidRPr="00000000">
              <w:rPr>
                <w:rFonts w:ascii="Arial" w:cs="Arial" w:eastAsia="Arial" w:hAnsi="Arial"/>
                <w:sz w:val="16"/>
                <w:szCs w:val="16"/>
                <w:rtl w:val="0"/>
              </w:rPr>
              <w:t xml:space="preserve">Aβ42 Aggregation</w:t>
            </w:r>
            <w:r w:rsidDel="00000000" w:rsidR="00000000" w:rsidRPr="00000000">
              <w:rPr>
                <w:rtl w:val="0"/>
              </w:rPr>
            </w:r>
          </w:p>
        </w:tc>
        <w:tc>
          <w:tcPr/>
          <w:p w:rsidR="00000000" w:rsidDel="00000000" w:rsidP="00000000" w:rsidRDefault="00000000" w:rsidRPr="00000000" w14:paraId="000000CB">
            <w:pPr>
              <w:rPr/>
            </w:pPr>
            <w:r w:rsidDel="00000000" w:rsidR="00000000" w:rsidRPr="00000000">
              <w:rPr>
                <w:rFonts w:ascii="Arial" w:cs="Arial" w:eastAsia="Arial" w:hAnsi="Arial"/>
                <w:sz w:val="16"/>
                <w:szCs w:val="16"/>
                <w:rtl w:val="0"/>
              </w:rPr>
              <w:t xml:space="preserve">Unified Z-Score</w:t>
            </w:r>
            <w:r w:rsidDel="00000000" w:rsidR="00000000" w:rsidRPr="00000000">
              <w:rPr>
                <w:rtl w:val="0"/>
              </w:rPr>
            </w:r>
          </w:p>
        </w:tc>
        <w:tc>
          <w:tcPr/>
          <w:p w:rsidR="00000000" w:rsidDel="00000000" w:rsidP="00000000" w:rsidRDefault="00000000" w:rsidRPr="00000000" w14:paraId="000000CC">
            <w:pPr>
              <w:rPr/>
            </w:pPr>
            <w:r w:rsidDel="00000000" w:rsidR="00000000" w:rsidRPr="00000000">
              <w:rPr>
                <w:rFonts w:ascii="Arial" w:cs="Arial" w:eastAsia="Arial" w:hAnsi="Arial"/>
                <w:sz w:val="16"/>
                <w:szCs w:val="16"/>
                <w:rtl w:val="0"/>
              </w:rPr>
              <w:t xml:space="preserve">9.6</w:t>
            </w:r>
            <w:r w:rsidDel="00000000" w:rsidR="00000000" w:rsidRPr="00000000">
              <w:rPr>
                <w:rtl w:val="0"/>
              </w:rPr>
            </w:r>
          </w:p>
        </w:tc>
        <w:tc>
          <w:tcPr/>
          <w:p w:rsidR="00000000" w:rsidDel="00000000" w:rsidP="00000000" w:rsidRDefault="00000000" w:rsidRPr="00000000" w14:paraId="000000CD">
            <w:pPr>
              <w:rPr/>
            </w:pPr>
            <w:r w:rsidDel="00000000" w:rsidR="00000000" w:rsidRPr="00000000">
              <w:rPr>
                <w:rFonts w:ascii="Arial" w:cs="Arial" w:eastAsia="Arial" w:hAnsi="Arial"/>
                <w:sz w:val="16"/>
                <w:szCs w:val="16"/>
                <w:rtl w:val="0"/>
              </w:rPr>
              <w:t xml:space="preserve">Specialized</w:t>
            </w:r>
            <w:r w:rsidDel="00000000" w:rsidR="00000000" w:rsidRPr="00000000">
              <w:rPr>
                <w:rtl w:val="0"/>
              </w:rPr>
            </w:r>
          </w:p>
        </w:tc>
        <w:tc>
          <w:tcPr/>
          <w:p w:rsidR="00000000" w:rsidDel="00000000" w:rsidP="00000000" w:rsidRDefault="00000000" w:rsidRPr="00000000" w14:paraId="000000CE">
            <w:pPr>
              <w:rPr/>
            </w:pPr>
            <w:r w:rsidDel="00000000" w:rsidR="00000000" w:rsidRPr="00000000">
              <w:rPr>
                <w:rFonts w:ascii="Arial" w:cs="Arial" w:eastAsia="Arial" w:hAnsi="Arial"/>
                <w:sz w:val="16"/>
                <w:szCs w:val="16"/>
                <w:rtl w:val="0"/>
              </w:rPr>
              <w:t xml:space="preserve">NEURO-85-ABETA-20260422</w:t>
            </w:r>
            <w:r w:rsidDel="00000000" w:rsidR="00000000" w:rsidRPr="00000000">
              <w:rPr>
                <w:rtl w:val="0"/>
              </w:rPr>
            </w:r>
          </w:p>
        </w:tc>
      </w:tr>
      <w:tr>
        <w:trPr>
          <w:cantSplit w:val="0"/>
          <w:tblHeader w:val="0"/>
        </w:trPr>
        <w:tc>
          <w:tcPr/>
          <w:p w:rsidR="00000000" w:rsidDel="00000000" w:rsidP="00000000" w:rsidRDefault="00000000" w:rsidRPr="00000000" w14:paraId="000000CF">
            <w:pPr>
              <w:rPr/>
            </w:pPr>
            <w:r w:rsidDel="00000000" w:rsidR="00000000" w:rsidRPr="00000000">
              <w:rPr>
                <w:rFonts w:ascii="Arial" w:cs="Arial" w:eastAsia="Arial" w:hAnsi="Arial"/>
                <w:sz w:val="16"/>
                <w:szCs w:val="16"/>
                <w:rtl w:val="0"/>
              </w:rPr>
              <w:t xml:space="preserve">KL-ALPHA-V4</w:t>
            </w:r>
            <w:r w:rsidDel="00000000" w:rsidR="00000000" w:rsidRPr="00000000">
              <w:rPr>
                <w:rtl w:val="0"/>
              </w:rPr>
            </w:r>
          </w:p>
        </w:tc>
        <w:tc>
          <w:tcPr/>
          <w:p w:rsidR="00000000" w:rsidDel="00000000" w:rsidP="00000000" w:rsidRDefault="00000000" w:rsidRPr="00000000" w14:paraId="000000D0">
            <w:pPr>
              <w:rPr/>
            </w:pPr>
            <w:r w:rsidDel="00000000" w:rsidR="00000000" w:rsidRPr="00000000">
              <w:rPr>
                <w:rFonts w:ascii="Arial" w:cs="Arial" w:eastAsia="Arial" w:hAnsi="Arial"/>
                <w:sz w:val="16"/>
                <w:szCs w:val="16"/>
                <w:rtl w:val="0"/>
              </w:rPr>
              <w:t xml:space="preserve">Klotho / FGF23 axis</w:t>
            </w:r>
            <w:r w:rsidDel="00000000" w:rsidR="00000000" w:rsidRPr="00000000">
              <w:rPr>
                <w:rtl w:val="0"/>
              </w:rPr>
            </w:r>
          </w:p>
        </w:tc>
        <w:tc>
          <w:tcPr/>
          <w:p w:rsidR="00000000" w:rsidDel="00000000" w:rsidP="00000000" w:rsidRDefault="00000000" w:rsidRPr="00000000" w14:paraId="000000D1">
            <w:pPr>
              <w:rPr/>
            </w:pPr>
            <w:r w:rsidDel="00000000" w:rsidR="00000000" w:rsidRPr="00000000">
              <w:rPr>
                <w:rFonts w:ascii="Arial" w:cs="Arial" w:eastAsia="Arial" w:hAnsi="Arial"/>
                <w:sz w:val="16"/>
                <w:szCs w:val="16"/>
                <w:rtl w:val="0"/>
              </w:rPr>
              <w:t xml:space="preserve">Interaction Energy</w:t>
            </w:r>
            <w:r w:rsidDel="00000000" w:rsidR="00000000" w:rsidRPr="00000000">
              <w:rPr>
                <w:rtl w:val="0"/>
              </w:rPr>
            </w:r>
          </w:p>
        </w:tc>
        <w:tc>
          <w:tcPr/>
          <w:p w:rsidR="00000000" w:rsidDel="00000000" w:rsidP="00000000" w:rsidRDefault="00000000" w:rsidRPr="00000000" w14:paraId="000000D2">
            <w:pPr>
              <w:rPr/>
            </w:pPr>
            <w:r w:rsidDel="00000000" w:rsidR="00000000" w:rsidRPr="00000000">
              <w:rPr>
                <w:rFonts w:ascii="Arial Unicode MS" w:cs="Arial Unicode MS" w:eastAsia="Arial Unicode MS" w:hAnsi="Arial Unicode MS"/>
                <w:sz w:val="16"/>
                <w:szCs w:val="16"/>
                <w:rtl w:val="0"/>
              </w:rPr>
              <w:t xml:space="preserve">−94.2 kcal/mol</w:t>
            </w:r>
            <w:r w:rsidDel="00000000" w:rsidR="00000000" w:rsidRPr="00000000">
              <w:rPr>
                <w:rtl w:val="0"/>
              </w:rPr>
            </w:r>
          </w:p>
        </w:tc>
        <w:tc>
          <w:tcPr/>
          <w:p w:rsidR="00000000" w:rsidDel="00000000" w:rsidP="00000000" w:rsidRDefault="00000000" w:rsidRPr="00000000" w14:paraId="000000D3">
            <w:pPr>
              <w:rPr/>
            </w:pPr>
            <w:r w:rsidDel="00000000" w:rsidR="00000000" w:rsidRPr="00000000">
              <w:rPr>
                <w:rFonts w:ascii="Arial" w:cs="Arial" w:eastAsia="Arial" w:hAnsi="Arial"/>
                <w:sz w:val="16"/>
                <w:szCs w:val="16"/>
                <w:rtl w:val="0"/>
              </w:rPr>
              <w:t xml:space="preserve">TBD</w:t>
            </w:r>
            <w:r w:rsidDel="00000000" w:rsidR="00000000" w:rsidRPr="00000000">
              <w:rPr>
                <w:rtl w:val="0"/>
              </w:rPr>
            </w:r>
          </w:p>
        </w:tc>
        <w:tc>
          <w:tcPr/>
          <w:p w:rsidR="00000000" w:rsidDel="00000000" w:rsidP="00000000" w:rsidRDefault="00000000" w:rsidRPr="00000000" w14:paraId="000000D4">
            <w:pPr>
              <w:rPr/>
            </w:pPr>
            <w:r w:rsidDel="00000000" w:rsidR="00000000" w:rsidRPr="00000000">
              <w:rPr>
                <w:rFonts w:ascii="Arial" w:cs="Arial" w:eastAsia="Arial" w:hAnsi="Arial"/>
                <w:sz w:val="16"/>
                <w:szCs w:val="16"/>
                <w:rtl w:val="0"/>
              </w:rPr>
              <w:t xml:space="preserve">KL-ALPHA-KLOTHO-20260423</w:t>
            </w:r>
            <w:r w:rsidDel="00000000" w:rsidR="00000000" w:rsidRPr="00000000">
              <w:rPr>
                <w:rtl w:val="0"/>
              </w:rPr>
            </w:r>
          </w:p>
        </w:tc>
      </w:tr>
      <w:tr>
        <w:trPr>
          <w:cantSplit w:val="0"/>
          <w:tblHeader w:val="0"/>
        </w:trPr>
        <w:tc>
          <w:tcPr/>
          <w:p w:rsidR="00000000" w:rsidDel="00000000" w:rsidP="00000000" w:rsidRDefault="00000000" w:rsidRPr="00000000" w14:paraId="000000D5">
            <w:pPr>
              <w:rPr/>
            </w:pPr>
            <w:r w:rsidDel="00000000" w:rsidR="00000000" w:rsidRPr="00000000">
              <w:rPr>
                <w:rFonts w:ascii="Arial" w:cs="Arial" w:eastAsia="Arial" w:hAnsi="Arial"/>
                <w:sz w:val="16"/>
                <w:szCs w:val="16"/>
                <w:rtl w:val="0"/>
              </w:rPr>
              <w:t xml:space="preserve">FST-ALPHA-V4</w:t>
            </w:r>
            <w:r w:rsidDel="00000000" w:rsidR="00000000" w:rsidRPr="00000000">
              <w:rPr>
                <w:rtl w:val="0"/>
              </w:rPr>
            </w:r>
          </w:p>
        </w:tc>
        <w:tc>
          <w:tcPr/>
          <w:p w:rsidR="00000000" w:rsidDel="00000000" w:rsidP="00000000" w:rsidRDefault="00000000" w:rsidRPr="00000000" w14:paraId="000000D6">
            <w:pPr>
              <w:rPr/>
            </w:pPr>
            <w:r w:rsidDel="00000000" w:rsidR="00000000" w:rsidRPr="00000000">
              <w:rPr>
                <w:rFonts w:ascii="Arial" w:cs="Arial" w:eastAsia="Arial" w:hAnsi="Arial"/>
                <w:sz w:val="16"/>
                <w:szCs w:val="16"/>
                <w:rtl w:val="0"/>
              </w:rPr>
              <w:t xml:space="preserve">Myostatin (GDF-8)</w:t>
            </w:r>
            <w:r w:rsidDel="00000000" w:rsidR="00000000" w:rsidRPr="00000000">
              <w:rPr>
                <w:rtl w:val="0"/>
              </w:rPr>
            </w:r>
          </w:p>
        </w:tc>
        <w:tc>
          <w:tcPr/>
          <w:p w:rsidR="00000000" w:rsidDel="00000000" w:rsidP="00000000" w:rsidRDefault="00000000" w:rsidRPr="00000000" w14:paraId="000000D7">
            <w:pPr>
              <w:rPr/>
            </w:pPr>
            <w:r w:rsidDel="00000000" w:rsidR="00000000" w:rsidRPr="00000000">
              <w:rPr>
                <w:rFonts w:ascii="Arial" w:cs="Arial" w:eastAsia="Arial" w:hAnsi="Arial"/>
                <w:sz w:val="16"/>
                <w:szCs w:val="16"/>
                <w:rtl w:val="0"/>
              </w:rPr>
              <w:t xml:space="preserve">Interaction Energy</w:t>
            </w:r>
            <w:r w:rsidDel="00000000" w:rsidR="00000000" w:rsidRPr="00000000">
              <w:rPr>
                <w:rtl w:val="0"/>
              </w:rPr>
            </w:r>
          </w:p>
        </w:tc>
        <w:tc>
          <w:tcPr/>
          <w:p w:rsidR="00000000" w:rsidDel="00000000" w:rsidP="00000000" w:rsidRDefault="00000000" w:rsidRPr="00000000" w14:paraId="000000D8">
            <w:pPr>
              <w:rPr/>
            </w:pPr>
            <w:r w:rsidDel="00000000" w:rsidR="00000000" w:rsidRPr="00000000">
              <w:rPr>
                <w:rFonts w:ascii="Arial Unicode MS" w:cs="Arial Unicode MS" w:eastAsia="Arial Unicode MS" w:hAnsi="Arial Unicode MS"/>
                <w:sz w:val="16"/>
                <w:szCs w:val="16"/>
                <w:rtl w:val="0"/>
              </w:rPr>
              <w:t xml:space="preserve">−92.5 kcal/mol</w:t>
            </w:r>
            <w:r w:rsidDel="00000000" w:rsidR="00000000" w:rsidRPr="00000000">
              <w:rPr>
                <w:rtl w:val="0"/>
              </w:rPr>
            </w:r>
          </w:p>
        </w:tc>
        <w:tc>
          <w:tcPr/>
          <w:p w:rsidR="00000000" w:rsidDel="00000000" w:rsidP="00000000" w:rsidRDefault="00000000" w:rsidRPr="00000000" w14:paraId="000000D9">
            <w:pPr>
              <w:rPr/>
            </w:pPr>
            <w:r w:rsidDel="00000000" w:rsidR="00000000" w:rsidRPr="00000000">
              <w:rPr>
                <w:rFonts w:ascii="Arial" w:cs="Arial" w:eastAsia="Arial" w:hAnsi="Arial"/>
                <w:sz w:val="16"/>
                <w:szCs w:val="16"/>
                <w:rtl w:val="0"/>
              </w:rPr>
              <w:t xml:space="preserve">TBD</w:t>
            </w:r>
            <w:r w:rsidDel="00000000" w:rsidR="00000000" w:rsidRPr="00000000">
              <w:rPr>
                <w:rtl w:val="0"/>
              </w:rPr>
            </w:r>
          </w:p>
        </w:tc>
        <w:tc>
          <w:tcPr/>
          <w:p w:rsidR="00000000" w:rsidDel="00000000" w:rsidP="00000000" w:rsidRDefault="00000000" w:rsidRPr="00000000" w14:paraId="000000DA">
            <w:pPr>
              <w:rPr/>
            </w:pPr>
            <w:r w:rsidDel="00000000" w:rsidR="00000000" w:rsidRPr="00000000">
              <w:rPr>
                <w:rFonts w:ascii="Arial" w:cs="Arial" w:eastAsia="Arial" w:hAnsi="Arial"/>
                <w:sz w:val="16"/>
                <w:szCs w:val="16"/>
                <w:rtl w:val="0"/>
              </w:rPr>
              <w:t xml:space="preserve">FST-ALPHA-GDF8-20260423</w:t>
            </w:r>
            <w:r w:rsidDel="00000000" w:rsidR="00000000" w:rsidRPr="00000000">
              <w:rPr>
                <w:rtl w:val="0"/>
              </w:rPr>
            </w:r>
          </w:p>
        </w:tc>
      </w:tr>
    </w:tbl>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spacing w:after="140" w:lineRule="auto"/>
        <w:rPr/>
      </w:pPr>
      <w:r w:rsidDel="00000000" w:rsidR="00000000" w:rsidRPr="00000000">
        <w:rPr>
          <w:rFonts w:ascii="Arial" w:cs="Arial" w:eastAsia="Arial" w:hAnsi="Arial"/>
          <w:b w:val="0"/>
          <w:bCs w:val="0"/>
          <w:i w:val="1"/>
          <w:iCs w:val="1"/>
          <w:sz w:val="18"/>
          <w:szCs w:val="18"/>
          <w:rtl w:val="0"/>
        </w:rPr>
        <w:t xml:space="preserve">v4 leads scored on Unified Z-Score axis (normalized, ceiling Z=12.0). v4 leads scored on raw AW-Qdock interaction energy (kcal/mol). Axes are complementary; direct cross-axis numerical comparison is not appropriate.</w:t>
      </w:r>
      <w:r w:rsidDel="00000000" w:rsidR="00000000" w:rsidRPr="00000000">
        <w:rPr>
          <w:rtl w:val="0"/>
        </w:rPr>
      </w:r>
    </w:p>
    <w:p w:rsidR="00000000" w:rsidDel="00000000" w:rsidP="00000000" w:rsidRDefault="00000000" w:rsidRPr="00000000" w14:paraId="000000DD">
      <w:pPr>
        <w:spacing w:after="140" w:lineRule="auto"/>
        <w:rPr/>
      </w:pPr>
      <w:r w:rsidDel="00000000" w:rsidR="00000000" w:rsidRPr="00000000">
        <w:rPr>
          <w:rFonts w:ascii="Arial" w:cs="Arial" w:eastAsia="Arial" w:hAnsi="Arial"/>
          <w:sz w:val="32"/>
          <w:szCs w:val="32"/>
          <w:rtl w:val="0"/>
        </w:rPr>
        <w:t xml:space="preserve">8. Multi-Target Platform Benchmarking</w:t>
      </w:r>
      <w:r w:rsidDel="00000000" w:rsidR="00000000" w:rsidRPr="00000000">
        <w:rPr>
          <w:rtl w:val="0"/>
        </w:rPr>
      </w:r>
    </w:p>
    <w:p w:rsidR="00000000" w:rsidDel="00000000" w:rsidP="00000000" w:rsidRDefault="00000000" w:rsidRPr="00000000" w14:paraId="000000DE">
      <w:pPr>
        <w:spacing w:after="140" w:lineRule="auto"/>
        <w:rPr/>
      </w:pPr>
      <w:r w:rsidDel="00000000" w:rsidR="00000000" w:rsidRPr="00000000">
        <w:rPr>
          <w:rtl w:val="0"/>
        </w:rPr>
      </w:r>
    </w:p>
    <w:p w:rsidR="00000000" w:rsidDel="00000000" w:rsidP="00000000" w:rsidRDefault="00000000" w:rsidRPr="00000000" w14:paraId="000000DF">
      <w:pPr>
        <w:spacing w:after="140" w:lineRule="auto"/>
        <w:rPr/>
      </w:pPr>
      <w:r w:rsidDel="00000000" w:rsidR="00000000" w:rsidRPr="00000000">
        <w:rPr>
          <w:rFonts w:ascii="Arial Unicode MS" w:cs="Arial Unicode MS" w:eastAsia="Arial Unicode MS" w:hAnsi="Arial Unicode MS"/>
          <w:b w:val="0"/>
          <w:bCs w:val="0"/>
          <w:i w:val="0"/>
          <w:iCs w:val="0"/>
          <w:sz w:val="22"/>
          <w:szCs w:val="22"/>
          <w:rtl w:val="0"/>
        </w:rPr>
        <w:t xml:space="preserve">Mean time to regulatory-ready CMC dossier across single-target campaigns: 23.2 hours. All top-5 candidates across completed targets achieved predicted SPPS yield ≥84%, pI in safe range (5.5–8.0), zero aggregation risk flags, and CDI ≥1.06.</w:t>
      </w:r>
      <w:r w:rsidDel="00000000" w:rsidR="00000000" w:rsidRPr="00000000">
        <w:rPr>
          <w:rtl w:val="0"/>
        </w:rPr>
      </w:r>
    </w:p>
    <w:p w:rsidR="00000000" w:rsidDel="00000000" w:rsidP="00000000" w:rsidRDefault="00000000" w:rsidRPr="00000000" w14:paraId="000000E0">
      <w:pPr>
        <w:spacing w:after="140" w:lineRule="auto"/>
        <w:rPr/>
      </w:pPr>
      <w:r w:rsidDel="00000000" w:rsidR="00000000" w:rsidRPr="00000000">
        <w:rPr>
          <w:rFonts w:ascii="Arial" w:cs="Arial" w:eastAsia="Arial" w:hAnsi="Arial"/>
          <w:sz w:val="32"/>
          <w:szCs w:val="32"/>
          <w:rtl w:val="0"/>
        </w:rPr>
        <w:t xml:space="preserve">9. Cryptographic Priority Sealing</w:t>
      </w:r>
      <w:r w:rsidDel="00000000" w:rsidR="00000000" w:rsidRPr="00000000">
        <w:rPr>
          <w:rtl w:val="0"/>
        </w:rPr>
      </w:r>
    </w:p>
    <w:p w:rsidR="00000000" w:rsidDel="00000000" w:rsidP="00000000" w:rsidRDefault="00000000" w:rsidRPr="00000000" w14:paraId="000000E1">
      <w:pPr>
        <w:spacing w:after="140" w:lineRule="auto"/>
        <w:rPr/>
      </w:pPr>
      <w:r w:rsidDel="00000000" w:rsidR="00000000" w:rsidRPr="00000000">
        <w:rPr>
          <w:rFonts w:ascii="Arial" w:cs="Arial" w:eastAsia="Arial" w:hAnsi="Arial"/>
          <w:b w:val="0"/>
          <w:bCs w:val="0"/>
          <w:i w:val="0"/>
          <w:iCs w:val="0"/>
          <w:sz w:val="22"/>
          <w:szCs w:val="22"/>
          <w:rtl w:val="0"/>
        </w:rPr>
        <w:t xml:space="preserve">All discoveries are recorded as SHA-256 sealed manifests in an append-only vault at the moment of computational validation, establishing machine-verifiable IP priority predating this submission [10]:</w:t>
      </w:r>
      <w:r w:rsidDel="00000000" w:rsidR="00000000" w:rsidRPr="00000000">
        <w:rPr>
          <w:rtl w:val="0"/>
        </w:rPr>
      </w:r>
    </w:p>
    <w:p w:rsidR="00000000" w:rsidDel="00000000" w:rsidP="00000000" w:rsidRDefault="00000000" w:rsidRPr="00000000" w14:paraId="000000E2">
      <w:pPr>
        <w:spacing w:after="140" w:lineRule="auto"/>
        <w:rPr/>
      </w:pPr>
      <w:r w:rsidDel="00000000" w:rsidR="00000000" w:rsidRPr="00000000">
        <w:rPr>
          <w:rFonts w:ascii="Courier New" w:cs="Courier New" w:eastAsia="Courier New" w:hAnsi="Courier New"/>
          <w:sz w:val="18"/>
          <w:szCs w:val="18"/>
          <w:rtl w:val="0"/>
        </w:rPr>
        <w:t xml:space="preserve">{"discovery_id": "QYT-V3-12AA-TRIPLE-20260422",</w:t>
        <w:br w:type="textWrapping"/>
        <w:t xml:space="preserve"> "timestamp": "2026-04-22T08:00:00Z",</w:t>
        <w:br w:type="textWrapping"/>
        <w:t xml:space="preserve"> "target": ["GLP-1R","GIPR","GCGR"],</w:t>
        <w:br w:type="textWrapping"/>
        <w:t xml:space="preserve"> "residue_count": 12,</w:t>
        <w:br w:type="textWrapping"/>
        <w:t xml:space="preserve"> "canonical_hash": "[SHA-256 on file]",</w:t>
        <w:br w:type="textWrapping"/>
        <w:t xml:space="preserve"> "hardware_id": "IBM_Eagle_127q",</w:t>
        <w:br w:type="textWrapping"/>
        <w:t xml:space="preserve"> "validation_engines": ["ESMFold","HADDOCK3","GFN2-xTB"],</w:t>
        <w:br w:type="textWrapping"/>
        <w:t xml:space="preserve"> "unified_z_score": 11.4,</w:t>
        <w:br w:type="textWrapping"/>
        <w:t xml:space="preserve"> "vault_id": "QYT-V3-12AA-TRIPLE-20260422"}</w:t>
      </w:r>
      <w:r w:rsidDel="00000000" w:rsidR="00000000" w:rsidRPr="00000000">
        <w:rPr>
          <w:rtl w:val="0"/>
        </w:rPr>
      </w:r>
    </w:p>
    <w:p w:rsidR="00000000" w:rsidDel="00000000" w:rsidP="00000000" w:rsidRDefault="00000000" w:rsidRPr="00000000" w14:paraId="000000E3">
      <w:pPr>
        <w:spacing w:after="140" w:lineRule="auto"/>
        <w:rPr/>
      </w:pPr>
      <w:r w:rsidDel="00000000" w:rsidR="00000000" w:rsidRPr="00000000">
        <w:rPr>
          <w:rtl w:val="0"/>
        </w:rPr>
      </w:r>
    </w:p>
    <w:p w:rsidR="00000000" w:rsidDel="00000000" w:rsidP="00000000" w:rsidRDefault="00000000" w:rsidRPr="00000000" w14:paraId="000000E4">
      <w:pPr>
        <w:spacing w:after="140" w:lineRule="auto"/>
        <w:rPr/>
      </w:pPr>
      <w:r w:rsidDel="00000000" w:rsidR="00000000" w:rsidRPr="00000000">
        <w:rPr>
          <w:rFonts w:ascii="Arial" w:cs="Arial" w:eastAsia="Arial" w:hAnsi="Arial"/>
          <w:sz w:val="32"/>
          <w:szCs w:val="32"/>
          <w:rtl w:val="0"/>
        </w:rPr>
        <w:t xml:space="preserve">10. Discussion</w:t>
      </w:r>
      <w:r w:rsidDel="00000000" w:rsidR="00000000" w:rsidRPr="00000000">
        <w:rPr>
          <w:rtl w:val="0"/>
        </w:rPr>
      </w:r>
    </w:p>
    <w:p w:rsidR="00000000" w:rsidDel="00000000" w:rsidP="00000000" w:rsidRDefault="00000000" w:rsidRPr="00000000" w14:paraId="000000E5">
      <w:pPr>
        <w:spacing w:after="140" w:lineRule="auto"/>
        <w:rPr/>
      </w:pPr>
      <w:r w:rsidDel="00000000" w:rsidR="00000000" w:rsidRPr="00000000">
        <w:rPr>
          <w:rFonts w:ascii="Arial" w:cs="Arial" w:eastAsia="Arial" w:hAnsi="Arial"/>
          <w:sz w:val="26"/>
          <w:szCs w:val="26"/>
          <w:rtl w:val="0"/>
        </w:rPr>
        <w:t xml:space="preserve">10.1 Genotype-Aware Design as Standard Practice</w:t>
      </w:r>
      <w:r w:rsidDel="00000000" w:rsidR="00000000" w:rsidRPr="00000000">
        <w:rPr>
          <w:rtl w:val="0"/>
        </w:rPr>
      </w:r>
    </w:p>
    <w:p w:rsidR="00000000" w:rsidDel="00000000" w:rsidP="00000000" w:rsidRDefault="00000000" w:rsidRPr="00000000" w14:paraId="000000E6">
      <w:pPr>
        <w:spacing w:after="140" w:lineRule="auto"/>
        <w:rPr>
          <w:rFonts w:ascii="Arial" w:cs="Arial" w:eastAsia="Arial" w:hAnsi="Arial"/>
          <w:b w:val="0"/>
          <w:bCs w:val="0"/>
          <w:i w:val="0"/>
          <w:iCs w:val="0"/>
          <w:sz w:val="22"/>
          <w:szCs w:val="22"/>
        </w:rPr>
      </w:pPr>
      <w:r w:rsidDel="00000000" w:rsidR="00000000" w:rsidRPr="00000000">
        <w:rPr>
          <w:rFonts w:ascii="Arial" w:cs="Arial" w:eastAsia="Arial" w:hAnsi="Arial"/>
          <w:b w:val="0"/>
          <w:bCs w:val="0"/>
          <w:i w:val="0"/>
          <w:iCs w:val="0"/>
          <w:sz w:val="22"/>
          <w:szCs w:val="22"/>
          <w:rtl w:val="0"/>
        </w:rPr>
        <w:t xml:space="preserve">The central technical contribution of QuantaPep v3.0 is AW-Qdock's unification of quantum hardware-assisted verification, genotype-aware scoring, and macrocyclic entropy correction. Prior art treats genetic variation as an analytical output; in our implementation it is an active design constraint — a distinction that produces materially different molecular outcomes. The predicted 94% population coverage achieved for QP-26-GLP against a polymorphic GPCR target represents, to our knowledge, high predicted population coverage relative to computationally discovered therapeutic peptides reported in the literature.</w:t>
      </w:r>
    </w:p>
    <w:p w:rsidR="00000000" w:rsidDel="00000000" w:rsidP="00000000" w:rsidRDefault="00000000" w:rsidRPr="00000000" w14:paraId="000000E7">
      <w:pPr>
        <w:spacing w:after="140" w:lineRule="auto"/>
        <w:rPr/>
      </w:pPr>
      <w:r w:rsidDel="00000000" w:rsidR="00000000" w:rsidRPr="00000000">
        <w:rPr>
          <w:rFonts w:ascii="Arial" w:cs="Arial" w:eastAsia="Arial" w:hAnsi="Arial"/>
          <w:sz w:val="26"/>
          <w:szCs w:val="26"/>
          <w:rtl w:val="0"/>
        </w:rPr>
        <w:t xml:space="preserve">10.2 Autonomous Scaffold Compression</w:t>
      </w:r>
      <w:r w:rsidDel="00000000" w:rsidR="00000000" w:rsidRPr="00000000">
        <w:rPr>
          <w:rtl w:val="0"/>
        </w:rPr>
      </w:r>
    </w:p>
    <w:p w:rsidR="00000000" w:rsidDel="00000000" w:rsidP="00000000" w:rsidRDefault="00000000" w:rsidRPr="00000000" w14:paraId="000000E8">
      <w:pPr>
        <w:spacing w:after="140" w:lineRule="auto"/>
        <w:rPr/>
      </w:pPr>
      <w:r w:rsidDel="00000000" w:rsidR="00000000" w:rsidRPr="00000000">
        <w:rPr>
          <w:rFonts w:ascii="Arial" w:cs="Arial" w:eastAsia="Arial" w:hAnsi="Arial"/>
          <w:b w:val="0"/>
          <w:bCs w:val="0"/>
          <w:i w:val="0"/>
          <w:iCs w:val="0"/>
          <w:sz w:val="22"/>
          <w:szCs w:val="22"/>
          <w:rtl w:val="0"/>
        </w:rPr>
        <w:t xml:space="preserve">The QYT-V3 result represents a qualitatively distinct capability relative to prior peptide discovery systems. Generating a 12-residue candidate with predicted triple-agonist binding metrics from a 2.26M-candidate search space demonstrates that the GenAware™ v3.0 fine-tuning loop can move beyond mimicry of known scaffolds toward genuine de novo structural optimization. The 60% reduction in residue count, if experimentally validated, would translate directly to reduced synthesis cost, improved pharmacokinetics, and broader formulation options. These claims require wet-lab confirmation before clinical relevance can be established.</w:t>
      </w:r>
      <w:r w:rsidDel="00000000" w:rsidR="00000000" w:rsidRPr="00000000">
        <w:rPr>
          <w:rtl w:val="0"/>
        </w:rPr>
      </w:r>
    </w:p>
    <w:p w:rsidR="00000000" w:rsidDel="00000000" w:rsidP="00000000" w:rsidRDefault="00000000" w:rsidRPr="00000000" w14:paraId="000000E9">
      <w:pPr>
        <w:spacing w:after="140" w:lineRule="auto"/>
        <w:rPr/>
      </w:pPr>
      <w:r w:rsidDel="00000000" w:rsidR="00000000" w:rsidRPr="00000000">
        <w:rPr>
          <w:rFonts w:ascii="Arial" w:cs="Arial" w:eastAsia="Arial" w:hAnsi="Arial"/>
          <w:sz w:val="26"/>
          <w:szCs w:val="26"/>
          <w:rtl w:val="0"/>
        </w:rPr>
        <w:t xml:space="preserve">10.3 Limitations</w:t>
      </w:r>
      <w:r w:rsidDel="00000000" w:rsidR="00000000" w:rsidRPr="00000000">
        <w:rPr>
          <w:rtl w:val="0"/>
        </w:rPr>
      </w:r>
    </w:p>
    <w:p w:rsidR="00000000" w:rsidDel="00000000" w:rsidP="00000000" w:rsidRDefault="00000000" w:rsidRPr="00000000" w14:paraId="000000EA">
      <w:pPr>
        <w:spacing w:after="140" w:lineRule="auto"/>
        <w:rPr/>
      </w:pPr>
      <w:r w:rsidDel="00000000" w:rsidR="00000000" w:rsidRPr="00000000">
        <w:rPr>
          <w:rFonts w:ascii="Arial" w:cs="Arial" w:eastAsia="Arial" w:hAnsi="Arial"/>
          <w:sz w:val="22"/>
          <w:szCs w:val="22"/>
          <w:rtl w:val="0"/>
        </w:rPr>
        <w:t xml:space="preserve">Experimental validation: All binding affinities, pLDDT scores, and population coverage values are computational predictions. Wet-lab confirmation of priority leads is in progress (manuscript in preparation).</w:t>
      </w:r>
      <w:r w:rsidDel="00000000" w:rsidR="00000000" w:rsidRPr="00000000">
        <w:rPr>
          <w:rtl w:val="0"/>
        </w:rPr>
      </w:r>
    </w:p>
    <w:p w:rsidR="00000000" w:rsidDel="00000000" w:rsidP="00000000" w:rsidRDefault="00000000" w:rsidRPr="00000000" w14:paraId="000000EB">
      <w:pPr>
        <w:spacing w:after="140" w:lineRule="auto"/>
        <w:rPr/>
      </w:pPr>
      <w:r w:rsidDel="00000000" w:rsidR="00000000" w:rsidRPr="00000000">
        <w:rPr>
          <w:rFonts w:ascii="Arial" w:cs="Arial" w:eastAsia="Arial" w:hAnsi="Arial"/>
          <w:sz w:val="22"/>
          <w:szCs w:val="22"/>
          <w:rtl w:val="0"/>
        </w:rPr>
        <w:t xml:space="preserve">Quantum hardware scale: D-Wave Advantage2 currently limits BQMs to approximately 400 variables; next-generation hardware will expand this.</w:t>
      </w:r>
      <w:r w:rsidDel="00000000" w:rsidR="00000000" w:rsidRPr="00000000">
        <w:rPr>
          <w:rtl w:val="0"/>
        </w:rPr>
      </w:r>
    </w:p>
    <w:p w:rsidR="00000000" w:rsidDel="00000000" w:rsidP="00000000" w:rsidRDefault="00000000" w:rsidRPr="00000000" w14:paraId="000000EC">
      <w:pPr>
        <w:spacing w:after="140" w:lineRule="auto"/>
        <w:rPr/>
      </w:pPr>
      <w:r w:rsidDel="00000000" w:rsidR="00000000" w:rsidRPr="00000000">
        <w:rPr>
          <w:rFonts w:ascii="Arial" w:cs="Arial" w:eastAsia="Arial" w:hAnsi="Arial"/>
          <w:sz w:val="22"/>
          <w:szCs w:val="22"/>
          <w:rtl w:val="0"/>
        </w:rPr>
        <w:t xml:space="preserve">Macrocycle generalization: TΔS_conf corrections are calibrated on published bridge chemistry data; novel linkers may require experimental recalibration.</w:t>
      </w:r>
      <w:r w:rsidDel="00000000" w:rsidR="00000000" w:rsidRPr="00000000">
        <w:rPr>
          <w:rtl w:val="0"/>
        </w:rPr>
      </w:r>
    </w:p>
    <w:p w:rsidR="00000000" w:rsidDel="00000000" w:rsidP="00000000" w:rsidRDefault="00000000" w:rsidRPr="00000000" w14:paraId="000000ED">
      <w:pPr>
        <w:spacing w:after="140" w:lineRule="auto"/>
        <w:rPr/>
      </w:pPr>
      <w:r w:rsidDel="00000000" w:rsidR="00000000" w:rsidRPr="00000000">
        <w:rPr>
          <w:rFonts w:ascii="Arial" w:cs="Arial" w:eastAsia="Arial" w:hAnsi="Arial"/>
          <w:sz w:val="22"/>
          <w:szCs w:val="22"/>
          <w:rtl w:val="0"/>
        </w:rPr>
        <w:t xml:space="preserve">Triple-agonist coverage: Population coverage for QYT-V3 is pending multi-variant docking across all three receptors and will be reported in a follow-on manuscript.</w:t>
      </w:r>
      <w:r w:rsidDel="00000000" w:rsidR="00000000" w:rsidRPr="00000000">
        <w:rPr>
          <w:rtl w:val="0"/>
        </w:rPr>
      </w:r>
    </w:p>
    <w:p w:rsidR="00000000" w:rsidDel="00000000" w:rsidP="00000000" w:rsidRDefault="00000000" w:rsidRPr="00000000" w14:paraId="000000EE">
      <w:pPr>
        <w:spacing w:after="140" w:lineRule="auto"/>
        <w:rPr/>
      </w:pPr>
      <w:r w:rsidDel="00000000" w:rsidR="00000000" w:rsidRPr="00000000">
        <w:rPr>
          <w:rFonts w:ascii="Arial" w:cs="Arial" w:eastAsia="Arial" w:hAnsi="Arial"/>
          <w:sz w:val="22"/>
          <w:szCs w:val="22"/>
          <w:rtl w:val="0"/>
        </w:rPr>
        <w:t xml:space="preserve">Sequence disclosure: Full sequences will be released upon patent grant.</w:t>
      </w:r>
      <w:r w:rsidDel="00000000" w:rsidR="00000000" w:rsidRPr="00000000">
        <w:rPr>
          <w:rtl w:val="0"/>
        </w:rPr>
      </w:r>
    </w:p>
    <w:p w:rsidR="00000000" w:rsidDel="00000000" w:rsidP="00000000" w:rsidRDefault="00000000" w:rsidRPr="00000000" w14:paraId="000000EF">
      <w:pPr>
        <w:spacing w:after="140" w:lineRule="auto"/>
        <w:rPr/>
      </w:pPr>
      <w:r w:rsidDel="00000000" w:rsidR="00000000" w:rsidRPr="00000000">
        <w:rPr>
          <w:rtl w:val="0"/>
        </w:rPr>
      </w:r>
    </w:p>
    <w:p w:rsidR="00000000" w:rsidDel="00000000" w:rsidP="00000000" w:rsidRDefault="00000000" w:rsidRPr="00000000" w14:paraId="000000F0">
      <w:pPr>
        <w:spacing w:after="140" w:lineRule="auto"/>
        <w:rPr/>
      </w:pPr>
      <w:r w:rsidDel="00000000" w:rsidR="00000000" w:rsidRPr="00000000">
        <w:rPr>
          <w:rFonts w:ascii="Arial" w:cs="Arial" w:eastAsia="Arial" w:hAnsi="Arial"/>
          <w:sz w:val="32"/>
          <w:szCs w:val="32"/>
          <w:rtl w:val="0"/>
        </w:rPr>
        <w:t xml:space="preserve">11. Conclusion</w:t>
      </w:r>
      <w:r w:rsidDel="00000000" w:rsidR="00000000" w:rsidRPr="00000000">
        <w:rPr>
          <w:rtl w:val="0"/>
        </w:rPr>
      </w:r>
    </w:p>
    <w:p w:rsidR="00000000" w:rsidDel="00000000" w:rsidP="00000000" w:rsidRDefault="00000000" w:rsidRPr="00000000" w14:paraId="000000F1">
      <w:pPr>
        <w:spacing w:after="140" w:lineRule="auto"/>
        <w:rPr>
          <w:rFonts w:ascii="Arial" w:cs="Arial" w:eastAsia="Arial" w:hAnsi="Arial"/>
          <w:b w:val="0"/>
          <w:bCs w:val="0"/>
          <w:i w:val="0"/>
          <w:iCs w:val="0"/>
          <w:sz w:val="22"/>
          <w:szCs w:val="22"/>
        </w:rPr>
      </w:pPr>
      <w:r w:rsidDel="00000000" w:rsidR="00000000" w:rsidRPr="00000000">
        <w:rPr>
          <w:rFonts w:ascii="Arial" w:cs="Arial" w:eastAsia="Arial" w:hAnsi="Arial"/>
          <w:b w:val="0"/>
          <w:bCs w:val="0"/>
          <w:i w:val="0"/>
          <w:iCs w:val="0"/>
          <w:sz w:val="22"/>
          <w:szCs w:val="22"/>
          <w:rtl w:val="0"/>
        </w:rPr>
        <w:t xml:space="preserve">QuantaPep v4.0 demonstrates that industrial-scale, population-inclusive, and structurally diverse peptide discovery is computationally achievable today. By integrating the AW-Qdock genotype-aware docking engine, a 35,280 leads/hour Async Discovery Grid, a 97.2%-accurate neural scoring proxy, the GenAware™ v4.0 scaffold compression engine, and continuous Autolearn self-improvement into a cryptographically sealed pipeline, the platform identified five priority leads across six therapeutic targets from over 2.26 million candidates. The QYT-V3 12-residue triple-agonist candidate represents, to our knowledge, to our knowledge, an autonomous de novo short-chain scaffold achieving predicted multi-target metabolic receptor engagement verified by quantum hardware-assisted energy minimization.</w:t>
      </w:r>
    </w:p>
    <w:p w:rsidR="00000000" w:rsidDel="00000000" w:rsidP="00000000" w:rsidRDefault="00000000" w:rsidRPr="00000000" w14:paraId="000000F2">
      <w:pPr>
        <w:spacing w:after="140" w:lineRule="auto"/>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t xml:space="preserve">12. AI Assistance Statement</w:t>
      </w:r>
    </w:p>
    <w:p w:rsidR="00000000" w:rsidDel="00000000" w:rsidP="00000000" w:rsidRDefault="00000000" w:rsidRPr="00000000" w14:paraId="000000F4">
      <w:pPr>
        <w:rPr/>
      </w:pPr>
      <w:r w:rsidDel="00000000" w:rsidR="00000000" w:rsidRPr="00000000">
        <w:rPr>
          <w:rtl w:val="0"/>
        </w:rPr>
        <w:t xml:space="preserve">The author used AI-assisted tools (including large language model assistants) during the preparation of this manuscript for tasks including text drafting, editing, and structural formatting. The author takes full responsibility for the scientific content, accuracy, and integrity of all results reported herein.</w:t>
      </w:r>
    </w:p>
    <w:p w:rsidR="00000000" w:rsidDel="00000000" w:rsidP="00000000" w:rsidRDefault="00000000" w:rsidRPr="00000000" w14:paraId="000000F5">
      <w:pPr>
        <w:spacing w:after="140" w:lineRule="auto"/>
        <w:rPr/>
      </w:pPr>
      <w:r w:rsidDel="00000000" w:rsidR="00000000" w:rsidRPr="00000000">
        <w:rPr>
          <w:rFonts w:ascii="Arial" w:cs="Arial" w:eastAsia="Arial" w:hAnsi="Arial"/>
          <w:sz w:val="32"/>
          <w:szCs w:val="32"/>
          <w:rtl w:val="0"/>
        </w:rPr>
        <w:t xml:space="preserve">References</w:t>
      </w:r>
      <w:r w:rsidDel="00000000" w:rsidR="00000000" w:rsidRPr="00000000">
        <w:rPr>
          <w:rtl w:val="0"/>
        </w:rPr>
      </w:r>
    </w:p>
    <w:p w:rsidR="00000000" w:rsidDel="00000000" w:rsidP="00000000" w:rsidRDefault="00000000" w:rsidRPr="00000000" w14:paraId="000000F6">
      <w:pPr>
        <w:spacing w:after="140" w:lineRule="auto"/>
        <w:rPr/>
      </w:pPr>
      <w:r w:rsidDel="00000000" w:rsidR="00000000" w:rsidRPr="00000000">
        <w:rPr>
          <w:rFonts w:ascii="Arial" w:cs="Arial" w:eastAsia="Arial" w:hAnsi="Arial"/>
          <w:sz w:val="18"/>
          <w:szCs w:val="18"/>
          <w:rtl w:val="0"/>
        </w:rPr>
        <w:t xml:space="preserve">[1] Craik DJ et al. The future of peptide-based drugs. Chem Biol Drug Des. 2013;81(1):136–47.</w:t>
      </w:r>
      <w:r w:rsidDel="00000000" w:rsidR="00000000" w:rsidRPr="00000000">
        <w:rPr>
          <w:rtl w:val="0"/>
        </w:rPr>
      </w:r>
    </w:p>
    <w:p w:rsidR="00000000" w:rsidDel="00000000" w:rsidP="00000000" w:rsidRDefault="00000000" w:rsidRPr="00000000" w14:paraId="000000F7">
      <w:pPr>
        <w:spacing w:after="140" w:lineRule="auto"/>
        <w:rPr/>
      </w:pPr>
      <w:r w:rsidDel="00000000" w:rsidR="00000000" w:rsidRPr="00000000">
        <w:rPr>
          <w:rFonts w:ascii="Arial" w:cs="Arial" w:eastAsia="Arial" w:hAnsi="Arial"/>
          <w:sz w:val="18"/>
          <w:szCs w:val="18"/>
          <w:rtl w:val="0"/>
        </w:rPr>
        <w:t xml:space="preserve">[2] Lau JL, Dunn MK. Therapeutic peptides: historical perspectives and future directions. Bioorg Med Chem. 2018;26(10):2700–7.</w:t>
      </w:r>
      <w:r w:rsidDel="00000000" w:rsidR="00000000" w:rsidRPr="00000000">
        <w:rPr>
          <w:rtl w:val="0"/>
        </w:rPr>
      </w:r>
    </w:p>
    <w:p w:rsidR="00000000" w:rsidDel="00000000" w:rsidP="00000000" w:rsidRDefault="00000000" w:rsidRPr="00000000" w14:paraId="000000F8">
      <w:pPr>
        <w:spacing w:after="140" w:lineRule="auto"/>
        <w:rPr/>
      </w:pPr>
      <w:r w:rsidDel="00000000" w:rsidR="00000000" w:rsidRPr="00000000">
        <w:rPr>
          <w:rFonts w:ascii="Arial" w:cs="Arial" w:eastAsia="Arial" w:hAnsi="Arial"/>
          <w:sz w:val="18"/>
          <w:szCs w:val="18"/>
          <w:rtl w:val="0"/>
        </w:rPr>
        <w:t xml:space="preserve">[3] Namba S et al. Genetic factors influencing GLP-1 receptor binding. Diabetes. 2022;71(5):998–1011.</w:t>
      </w:r>
      <w:r w:rsidDel="00000000" w:rsidR="00000000" w:rsidRPr="00000000">
        <w:rPr>
          <w:rtl w:val="0"/>
        </w:rPr>
      </w:r>
    </w:p>
    <w:p w:rsidR="00000000" w:rsidDel="00000000" w:rsidP="00000000" w:rsidRDefault="00000000" w:rsidRPr="00000000" w14:paraId="000000F9">
      <w:pPr>
        <w:spacing w:after="140" w:lineRule="auto"/>
        <w:rPr/>
      </w:pPr>
      <w:r w:rsidDel="00000000" w:rsidR="00000000" w:rsidRPr="00000000">
        <w:rPr>
          <w:rFonts w:ascii="Arial" w:cs="Arial" w:eastAsia="Arial" w:hAnsi="Arial"/>
          <w:sz w:val="18"/>
          <w:szCs w:val="18"/>
          <w:rtl w:val="0"/>
        </w:rPr>
        <w:t xml:space="preserve">[4] Visscher PM et al. 10 years of GWAS discovery. Am J Hum Genet. 2017;101(1):5–22.</w:t>
      </w:r>
      <w:r w:rsidDel="00000000" w:rsidR="00000000" w:rsidRPr="00000000">
        <w:rPr>
          <w:rtl w:val="0"/>
        </w:rPr>
      </w:r>
    </w:p>
    <w:p w:rsidR="00000000" w:rsidDel="00000000" w:rsidP="00000000" w:rsidRDefault="00000000" w:rsidRPr="00000000" w14:paraId="000000FA">
      <w:pPr>
        <w:spacing w:after="140" w:lineRule="auto"/>
        <w:rPr/>
      </w:pPr>
      <w:r w:rsidDel="00000000" w:rsidR="00000000" w:rsidRPr="00000000">
        <w:rPr>
          <w:rFonts w:ascii="Arial" w:cs="Arial" w:eastAsia="Arial" w:hAnsi="Arial"/>
          <w:sz w:val="18"/>
          <w:szCs w:val="18"/>
          <w:rtl w:val="0"/>
        </w:rPr>
        <w:t xml:space="preserve">[5] DiMasi JA et al. Innovation in the pharmaceutical industry: new R&amp;D cost estimates. J Health Econ. 2016;47:20–33.</w:t>
      </w:r>
      <w:r w:rsidDel="00000000" w:rsidR="00000000" w:rsidRPr="00000000">
        <w:rPr>
          <w:rtl w:val="0"/>
        </w:rPr>
      </w:r>
    </w:p>
    <w:p w:rsidR="00000000" w:rsidDel="00000000" w:rsidP="00000000" w:rsidRDefault="00000000" w:rsidRPr="00000000" w14:paraId="000000FB">
      <w:pPr>
        <w:spacing w:after="140" w:lineRule="auto"/>
        <w:rPr/>
      </w:pPr>
      <w:r w:rsidDel="00000000" w:rsidR="00000000" w:rsidRPr="00000000">
        <w:rPr>
          <w:rFonts w:ascii="Arial" w:cs="Arial" w:eastAsia="Arial" w:hAnsi="Arial"/>
          <w:sz w:val="18"/>
          <w:szCs w:val="18"/>
          <w:rtl w:val="0"/>
        </w:rPr>
        <w:t xml:space="preserve">[6] Bako AL et al. Quantum-enhanced drug discovery: state of the art. J Chem Inf Model. 2024;64(2):312–29.</w:t>
      </w:r>
      <w:r w:rsidDel="00000000" w:rsidR="00000000" w:rsidRPr="00000000">
        <w:rPr>
          <w:rtl w:val="0"/>
        </w:rPr>
      </w:r>
    </w:p>
    <w:p w:rsidR="00000000" w:rsidDel="00000000" w:rsidP="00000000" w:rsidRDefault="00000000" w:rsidRPr="00000000" w14:paraId="000000FC">
      <w:pPr>
        <w:spacing w:after="140" w:lineRule="auto"/>
        <w:rPr/>
      </w:pPr>
      <w:r w:rsidDel="00000000" w:rsidR="00000000" w:rsidRPr="00000000">
        <w:rPr>
          <w:rFonts w:ascii="Arial" w:cs="Arial" w:eastAsia="Arial" w:hAnsi="Arial"/>
          <w:sz w:val="18"/>
          <w:szCs w:val="18"/>
          <w:rtl w:val="0"/>
        </w:rPr>
        <w:t xml:space="preserve">[7] Jumper J et al. Highly accurate protein structure prediction with AlphaFold. Nature. 2021;596:583–9.</w:t>
      </w:r>
      <w:r w:rsidDel="00000000" w:rsidR="00000000" w:rsidRPr="00000000">
        <w:rPr>
          <w:rtl w:val="0"/>
        </w:rPr>
      </w:r>
    </w:p>
    <w:p w:rsidR="00000000" w:rsidDel="00000000" w:rsidP="00000000" w:rsidRDefault="00000000" w:rsidRPr="00000000" w14:paraId="000000FD">
      <w:pPr>
        <w:spacing w:after="140" w:lineRule="auto"/>
        <w:rPr/>
      </w:pPr>
      <w:r w:rsidDel="00000000" w:rsidR="00000000" w:rsidRPr="00000000">
        <w:rPr>
          <w:rFonts w:ascii="Arial" w:cs="Arial" w:eastAsia="Arial" w:hAnsi="Arial"/>
          <w:sz w:val="18"/>
          <w:szCs w:val="18"/>
          <w:rtl w:val="0"/>
        </w:rPr>
        <w:t xml:space="preserve">[8] Cao Y et al. Quantum chemistry in the age of quantum computing. Chem Rev. 2019;119(19):10856–915.</w:t>
      </w:r>
      <w:r w:rsidDel="00000000" w:rsidR="00000000" w:rsidRPr="00000000">
        <w:rPr>
          <w:rtl w:val="0"/>
        </w:rPr>
      </w:r>
    </w:p>
    <w:p w:rsidR="00000000" w:rsidDel="00000000" w:rsidP="00000000" w:rsidRDefault="00000000" w:rsidRPr="00000000" w14:paraId="000000FE">
      <w:pPr>
        <w:spacing w:after="140" w:lineRule="auto"/>
        <w:rPr/>
      </w:pPr>
      <w:r w:rsidDel="00000000" w:rsidR="00000000" w:rsidRPr="00000000">
        <w:rPr>
          <w:rFonts w:ascii="Arial" w:cs="Arial" w:eastAsia="Arial" w:hAnsi="Arial"/>
          <w:sz w:val="18"/>
          <w:szCs w:val="18"/>
          <w:rtl w:val="0"/>
        </w:rPr>
        <w:t xml:space="preserve">[9] Liao PJ et al. GLP1R A316T variant and glycemic control. J Clin Endocrinol Metab. 2021;106(3):e1442–51.</w:t>
      </w:r>
      <w:r w:rsidDel="00000000" w:rsidR="00000000" w:rsidRPr="00000000">
        <w:rPr>
          <w:rtl w:val="0"/>
        </w:rPr>
      </w:r>
    </w:p>
    <w:p w:rsidR="00000000" w:rsidDel="00000000" w:rsidP="00000000" w:rsidRDefault="00000000" w:rsidRPr="00000000" w14:paraId="000000FF">
      <w:pPr>
        <w:spacing w:after="140" w:lineRule="auto"/>
        <w:rPr/>
      </w:pPr>
      <w:r w:rsidDel="00000000" w:rsidR="00000000" w:rsidRPr="00000000">
        <w:rPr>
          <w:rFonts w:ascii="Arial" w:cs="Arial" w:eastAsia="Arial" w:hAnsi="Arial"/>
          <w:sz w:val="18"/>
          <w:szCs w:val="18"/>
          <w:rtl w:val="0"/>
        </w:rPr>
        <w:t xml:space="preserve">[10] Merkle RC. A digital signature based on a conventional encryption function. CRYPTO 1987.</w:t>
      </w:r>
      <w:r w:rsidDel="00000000" w:rsidR="00000000" w:rsidRPr="00000000">
        <w:rPr>
          <w:rtl w:val="0"/>
        </w:rPr>
      </w:r>
    </w:p>
    <w:p w:rsidR="00000000" w:rsidDel="00000000" w:rsidP="00000000" w:rsidRDefault="00000000" w:rsidRPr="00000000" w14:paraId="00000100">
      <w:pPr>
        <w:spacing w:after="140" w:lineRule="auto"/>
        <w:rPr/>
      </w:pPr>
      <w:r w:rsidDel="00000000" w:rsidR="00000000" w:rsidRPr="00000000">
        <w:rPr>
          <w:rtl w:val="0"/>
        </w:rPr>
      </w:r>
    </w:p>
    <w:p w:rsidR="00000000" w:rsidDel="00000000" w:rsidP="00000000" w:rsidRDefault="00000000" w:rsidRPr="00000000" w14:paraId="00000101">
      <w:pPr>
        <w:spacing w:after="140" w:lineRule="auto"/>
        <w:rPr/>
      </w:pPr>
      <w:r w:rsidDel="00000000" w:rsidR="00000000" w:rsidRPr="00000000">
        <w:rPr>
          <w:rtl w:val="0"/>
        </w:rPr>
      </w:r>
    </w:p>
    <w:p w:rsidR="00000000" w:rsidDel="00000000" w:rsidP="00000000" w:rsidRDefault="00000000" w:rsidRPr="00000000" w14:paraId="00000102">
      <w:pPr>
        <w:spacing w:after="140" w:lineRule="auto"/>
        <w:rPr/>
      </w:pPr>
      <w:r w:rsidDel="00000000" w:rsidR="00000000" w:rsidRPr="00000000">
        <w:rPr>
          <w:rtl w:val="0"/>
        </w:rPr>
      </w:r>
    </w:p>
    <w:p w:rsidR="00000000" w:rsidDel="00000000" w:rsidP="00000000" w:rsidRDefault="00000000" w:rsidRPr="00000000" w14:paraId="00000103">
      <w:pPr>
        <w:spacing w:after="140" w:lineRule="auto"/>
        <w:rPr/>
      </w:pPr>
      <w:r w:rsidDel="00000000" w:rsidR="00000000" w:rsidRPr="00000000">
        <w:rPr>
          <w:rtl w:val="0"/>
        </w:rPr>
      </w:r>
    </w:p>
    <w:p w:rsidR="00000000" w:rsidDel="00000000" w:rsidP="00000000" w:rsidRDefault="00000000" w:rsidRPr="00000000" w14:paraId="00000104">
      <w:pPr>
        <w:spacing w:after="140" w:lineRule="auto"/>
        <w:rPr/>
      </w:pPr>
      <w:r w:rsidDel="00000000" w:rsidR="00000000" w:rsidRPr="00000000">
        <w:rPr>
          <w:rtl w:val="0"/>
        </w:rPr>
      </w:r>
    </w:p>
    <w:p w:rsidR="00000000" w:rsidDel="00000000" w:rsidP="00000000" w:rsidRDefault="00000000" w:rsidRPr="00000000" w14:paraId="00000105">
      <w:pPr>
        <w:spacing w:after="140" w:lineRule="auto"/>
        <w:rPr/>
      </w:pPr>
      <w:r w:rsidDel="00000000" w:rsidR="00000000" w:rsidRPr="00000000">
        <w:rPr>
          <w:rtl w:val="0"/>
        </w:rPr>
      </w:r>
    </w:p>
    <w:p w:rsidR="00000000" w:rsidDel="00000000" w:rsidP="00000000" w:rsidRDefault="00000000" w:rsidRPr="00000000" w14:paraId="00000106">
      <w:pPr>
        <w:spacing w:after="140" w:lineRule="auto"/>
        <w:rPr/>
      </w:pPr>
      <w:r w:rsidDel="00000000" w:rsidR="00000000" w:rsidRPr="00000000">
        <w:rPr>
          <w:rtl w:val="0"/>
        </w:rPr>
      </w:r>
    </w:p>
    <w:p w:rsidR="00000000" w:rsidDel="00000000" w:rsidP="00000000" w:rsidRDefault="00000000" w:rsidRPr="00000000" w14:paraId="00000107">
      <w:pPr>
        <w:spacing w:after="140" w:lineRule="auto"/>
        <w:rPr/>
      </w:pPr>
      <w:r w:rsidDel="00000000" w:rsidR="00000000" w:rsidRPr="00000000">
        <w:rPr>
          <w:rtl w:val="0"/>
        </w:rPr>
      </w:r>
    </w:p>
    <w:p w:rsidR="00000000" w:rsidDel="00000000" w:rsidP="00000000" w:rsidRDefault="00000000" w:rsidRPr="00000000" w14:paraId="00000108">
      <w:pPr>
        <w:pStyle w:val="Heading2"/>
        <w:spacing w:after="80" w:before="200" w:lineRule="auto"/>
        <w:rPr/>
      </w:pPr>
      <w:r w:rsidDel="00000000" w:rsidR="00000000" w:rsidRPr="00000000">
        <w:rPr>
          <w:rFonts w:ascii="Arial" w:cs="Arial" w:eastAsia="Arial" w:hAnsi="Arial"/>
          <w:sz w:val="26"/>
          <w:szCs w:val="26"/>
          <w:rtl w:val="0"/>
        </w:rPr>
        <w:t xml:space="preserve">8.1 v4.0 Infrastructure Advances</w:t>
      </w:r>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Cloud-Stream Architecture: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JSONL streaming implementation for error-resilient management of 1M+ record campaigns, replacing batch-file transfer with real-time lead ingestion.</w:t>
      </w:r>
    </w:p>
    <w:p w:rsidR="00000000" w:rsidDel="00000000" w:rsidP="00000000" w:rsidRDefault="00000000" w:rsidRPr="00000000" w14:paraId="000001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Failover Forge: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Redundant integration of NVIDIA NIM and BioLM endpoints ensures 24/7 lead synthesis continuity with zero single-point-of-failure exposure.</w:t>
      </w:r>
    </w:p>
    <w:p w:rsidR="00000000" w:rsidDel="00000000" w:rsidP="00000000" w:rsidRDefault="00000000" w:rsidRPr="00000000" w14:paraId="000001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S3 Grandmaster Vault: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Encrypted industrial-scale S3 backup of 2.3M leads (1.0M cloud triple-validated + 1.3M Ghost Vault local) for long-term IP preservation and audit trail.</w:t>
      </w:r>
    </w:p>
    <w:p w:rsidR="00000000" w:rsidDel="00000000" w:rsidP="00000000" w:rsidRDefault="00000000" w:rsidRPr="00000000" w14:paraId="000001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36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Grandmaster Autolearn: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GenAware™ v4.0 fine-tuned on 1,000,392-lead Graduate dataset across 50,000 LoRA iterations (Rank-64), shifting from heuristic discovery to industrial-scale reinforcement learning.</w:t>
      </w:r>
    </w:p>
    <w:p w:rsidR="00000000" w:rsidDel="00000000" w:rsidP="00000000" w:rsidRDefault="00000000" w:rsidRPr="00000000" w14:paraId="0000010D">
      <w:pPr>
        <w:rPr/>
      </w:pPr>
      <w:r w:rsidDel="00000000" w:rsidR="00000000" w:rsidRPr="00000000">
        <w:rPr>
          <w:rtl w:val="0"/>
        </w:rPr>
        <w:t xml:space="preserve">Library composition (v4.0 epoch): 1,000,392 cloud leads (triple-validated, AW-Qdock certified) combined with 1,300,000 local leads (Ghost Vault, SHA-256 sealed) for a total discovery library of 2,300,392 unique sequences.</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pStyle w:val="Heading1"/>
        <w:spacing w:after="80" w:before="200" w:lineRule="auto"/>
        <w:rPr/>
      </w:pPr>
      <w:r w:rsidDel="00000000" w:rsidR="00000000" w:rsidRPr="00000000">
        <w:rPr>
          <w:rFonts w:ascii="Arial" w:cs="Arial" w:eastAsia="Arial" w:hAnsi="Arial"/>
          <w:sz w:val="32"/>
          <w:szCs w:val="32"/>
          <w:rtl w:val="0"/>
        </w:rPr>
        <w:t xml:space="preserve">References</w:t>
      </w:r>
      <w:r w:rsidDel="00000000" w:rsidR="00000000" w:rsidRPr="00000000">
        <w:rPr>
          <w:rtl w:val="0"/>
        </w:rPr>
      </w:r>
    </w:p>
    <w:p w:rsidR="00000000" w:rsidDel="00000000" w:rsidP="00000000" w:rsidRDefault="00000000" w:rsidRPr="00000000" w14:paraId="00000110">
      <w:pPr>
        <w:spacing w:after="60" w:lineRule="auto"/>
        <w:rPr/>
      </w:pPr>
      <w:r w:rsidDel="00000000" w:rsidR="00000000" w:rsidRPr="00000000">
        <w:rPr>
          <w:rFonts w:ascii="Arial" w:cs="Arial" w:eastAsia="Arial" w:hAnsi="Arial"/>
          <w:sz w:val="18"/>
          <w:szCs w:val="18"/>
          <w:rtl w:val="0"/>
        </w:rPr>
        <w:t xml:space="preserve">[1] Craik DJ et al. The future of peptide-based drugs. Chem Biol Drug Des. 2013;81(1):136–47.</w:t>
      </w:r>
      <w:r w:rsidDel="00000000" w:rsidR="00000000" w:rsidRPr="00000000">
        <w:rPr>
          <w:rtl w:val="0"/>
        </w:rPr>
      </w:r>
    </w:p>
    <w:p w:rsidR="00000000" w:rsidDel="00000000" w:rsidP="00000000" w:rsidRDefault="00000000" w:rsidRPr="00000000" w14:paraId="00000111">
      <w:pPr>
        <w:spacing w:after="60" w:lineRule="auto"/>
        <w:rPr/>
      </w:pPr>
      <w:r w:rsidDel="00000000" w:rsidR="00000000" w:rsidRPr="00000000">
        <w:rPr>
          <w:rFonts w:ascii="Arial" w:cs="Arial" w:eastAsia="Arial" w:hAnsi="Arial"/>
          <w:sz w:val="18"/>
          <w:szCs w:val="18"/>
          <w:rtl w:val="0"/>
        </w:rPr>
        <w:t xml:space="preserve">[2] Lau JL, Dunn MK. Therapeutic peptides: historical perspectives. Bioorg Med Chem. 2018;26(10):2700–7.</w:t>
      </w:r>
      <w:r w:rsidDel="00000000" w:rsidR="00000000" w:rsidRPr="00000000">
        <w:rPr>
          <w:rtl w:val="0"/>
        </w:rPr>
      </w:r>
    </w:p>
    <w:p w:rsidR="00000000" w:rsidDel="00000000" w:rsidP="00000000" w:rsidRDefault="00000000" w:rsidRPr="00000000" w14:paraId="00000112">
      <w:pPr>
        <w:spacing w:after="60" w:lineRule="auto"/>
        <w:rPr/>
      </w:pPr>
      <w:r w:rsidDel="00000000" w:rsidR="00000000" w:rsidRPr="00000000">
        <w:rPr>
          <w:rFonts w:ascii="Arial" w:cs="Arial" w:eastAsia="Arial" w:hAnsi="Arial"/>
          <w:sz w:val="18"/>
          <w:szCs w:val="18"/>
          <w:rtl w:val="0"/>
        </w:rPr>
        <w:t xml:space="preserve">[3] Namba S et al. Genetic factors influencing GLP-1 receptor binding. Diabetes. 2022;71(5):998–1011.</w:t>
      </w:r>
      <w:r w:rsidDel="00000000" w:rsidR="00000000" w:rsidRPr="00000000">
        <w:rPr>
          <w:rtl w:val="0"/>
        </w:rPr>
      </w:r>
    </w:p>
    <w:p w:rsidR="00000000" w:rsidDel="00000000" w:rsidP="00000000" w:rsidRDefault="00000000" w:rsidRPr="00000000" w14:paraId="00000113">
      <w:pPr>
        <w:spacing w:after="60" w:lineRule="auto"/>
        <w:rPr/>
      </w:pPr>
      <w:r w:rsidDel="00000000" w:rsidR="00000000" w:rsidRPr="00000000">
        <w:rPr>
          <w:rFonts w:ascii="Arial" w:cs="Arial" w:eastAsia="Arial" w:hAnsi="Arial"/>
          <w:sz w:val="18"/>
          <w:szCs w:val="18"/>
          <w:rtl w:val="0"/>
        </w:rPr>
        <w:t xml:space="preserve">[4] Visscher PM et al. 10 years of GWAS discovery. Am J Hum Genet. 2017;101(1):5–22.</w:t>
      </w:r>
      <w:r w:rsidDel="00000000" w:rsidR="00000000" w:rsidRPr="00000000">
        <w:rPr>
          <w:rtl w:val="0"/>
        </w:rPr>
      </w:r>
    </w:p>
    <w:p w:rsidR="00000000" w:rsidDel="00000000" w:rsidP="00000000" w:rsidRDefault="00000000" w:rsidRPr="00000000" w14:paraId="00000114">
      <w:pPr>
        <w:spacing w:after="60" w:lineRule="auto"/>
        <w:rPr/>
      </w:pPr>
      <w:r w:rsidDel="00000000" w:rsidR="00000000" w:rsidRPr="00000000">
        <w:rPr>
          <w:rFonts w:ascii="Arial" w:cs="Arial" w:eastAsia="Arial" w:hAnsi="Arial"/>
          <w:sz w:val="18"/>
          <w:szCs w:val="18"/>
          <w:rtl w:val="0"/>
        </w:rPr>
        <w:t xml:space="preserve">[5] DiMasi JA et al. Innovation in the pharmaceutical industry. J Health Econ. 2016;47:20–33.</w:t>
      </w:r>
      <w:r w:rsidDel="00000000" w:rsidR="00000000" w:rsidRPr="00000000">
        <w:rPr>
          <w:rtl w:val="0"/>
        </w:rPr>
      </w:r>
    </w:p>
    <w:p w:rsidR="00000000" w:rsidDel="00000000" w:rsidP="00000000" w:rsidRDefault="00000000" w:rsidRPr="00000000" w14:paraId="00000115">
      <w:pPr>
        <w:spacing w:after="60" w:lineRule="auto"/>
        <w:rPr/>
      </w:pPr>
      <w:r w:rsidDel="00000000" w:rsidR="00000000" w:rsidRPr="00000000">
        <w:rPr>
          <w:rFonts w:ascii="Arial" w:cs="Arial" w:eastAsia="Arial" w:hAnsi="Arial"/>
          <w:sz w:val="18"/>
          <w:szCs w:val="18"/>
          <w:rtl w:val="0"/>
        </w:rPr>
        <w:t xml:space="preserve">[6] Bako AL et al. Quantum-enhanced drug discovery. J Chem Inf Model. 2024;64(2):312–29.</w:t>
      </w:r>
      <w:r w:rsidDel="00000000" w:rsidR="00000000" w:rsidRPr="00000000">
        <w:rPr>
          <w:rtl w:val="0"/>
        </w:rPr>
      </w:r>
    </w:p>
    <w:p w:rsidR="00000000" w:rsidDel="00000000" w:rsidP="00000000" w:rsidRDefault="00000000" w:rsidRPr="00000000" w14:paraId="00000116">
      <w:pPr>
        <w:spacing w:after="60" w:lineRule="auto"/>
        <w:rPr/>
      </w:pPr>
      <w:r w:rsidDel="00000000" w:rsidR="00000000" w:rsidRPr="00000000">
        <w:rPr>
          <w:rFonts w:ascii="Arial" w:cs="Arial" w:eastAsia="Arial" w:hAnsi="Arial"/>
          <w:sz w:val="18"/>
          <w:szCs w:val="18"/>
          <w:rtl w:val="0"/>
        </w:rPr>
        <w:t xml:space="preserve">[7] Jumper J et al. Highly accurate protein structure prediction with AlphaFold. Nature. 2021;596:583–9.</w:t>
      </w:r>
      <w:r w:rsidDel="00000000" w:rsidR="00000000" w:rsidRPr="00000000">
        <w:rPr>
          <w:rtl w:val="0"/>
        </w:rPr>
      </w:r>
    </w:p>
    <w:p w:rsidR="00000000" w:rsidDel="00000000" w:rsidP="00000000" w:rsidRDefault="00000000" w:rsidRPr="00000000" w14:paraId="00000117">
      <w:pPr>
        <w:spacing w:after="60" w:lineRule="auto"/>
        <w:rPr/>
      </w:pPr>
      <w:r w:rsidDel="00000000" w:rsidR="00000000" w:rsidRPr="00000000">
        <w:rPr>
          <w:rFonts w:ascii="Arial" w:cs="Arial" w:eastAsia="Arial" w:hAnsi="Arial"/>
          <w:sz w:val="18"/>
          <w:szCs w:val="18"/>
          <w:rtl w:val="0"/>
        </w:rPr>
        <w:t xml:space="preserve">[8] Cao Y et al. Quantum chemistry in the age of quantum computing. Chem Rev. 2019;119(19):10856–915.</w:t>
      </w:r>
      <w:r w:rsidDel="00000000" w:rsidR="00000000" w:rsidRPr="00000000">
        <w:rPr>
          <w:rtl w:val="0"/>
        </w:rPr>
      </w:r>
    </w:p>
    <w:p w:rsidR="00000000" w:rsidDel="00000000" w:rsidP="00000000" w:rsidRDefault="00000000" w:rsidRPr="00000000" w14:paraId="00000118">
      <w:pPr>
        <w:spacing w:after="60" w:lineRule="auto"/>
        <w:rPr/>
      </w:pPr>
      <w:r w:rsidDel="00000000" w:rsidR="00000000" w:rsidRPr="00000000">
        <w:rPr>
          <w:rFonts w:ascii="Arial" w:cs="Arial" w:eastAsia="Arial" w:hAnsi="Arial"/>
          <w:sz w:val="18"/>
          <w:szCs w:val="18"/>
          <w:rtl w:val="0"/>
        </w:rPr>
        <w:t xml:space="preserve">[9] Liao PJ et al. GLP1R A316T variant and glycemic control. J Clin Endocrinol Metab. 2021;106(3):e1442–51.</w:t>
      </w:r>
      <w:r w:rsidDel="00000000" w:rsidR="00000000" w:rsidRPr="00000000">
        <w:rPr>
          <w:rtl w:val="0"/>
        </w:rPr>
      </w:r>
    </w:p>
    <w:p w:rsidR="00000000" w:rsidDel="00000000" w:rsidP="00000000" w:rsidRDefault="00000000" w:rsidRPr="00000000" w14:paraId="00000119">
      <w:pPr>
        <w:spacing w:after="60" w:lineRule="auto"/>
        <w:rPr/>
      </w:pPr>
      <w:r w:rsidDel="00000000" w:rsidR="00000000" w:rsidRPr="00000000">
        <w:rPr>
          <w:rFonts w:ascii="Arial" w:cs="Arial" w:eastAsia="Arial" w:hAnsi="Arial"/>
          <w:sz w:val="18"/>
          <w:szCs w:val="18"/>
          <w:rtl w:val="0"/>
        </w:rPr>
        <w:t xml:space="preserve">[10] Merkle RC. A digital signature based on a conventional encryption function. CRYPTO 1987.</w:t>
      </w:r>
      <w:r w:rsidDel="00000000" w:rsidR="00000000" w:rsidRPr="00000000">
        <w:rPr>
          <w:rtl w:val="0"/>
        </w:rPr>
      </w:r>
    </w:p>
    <w:p w:rsidR="00000000" w:rsidDel="00000000" w:rsidP="00000000" w:rsidRDefault="00000000" w:rsidRPr="00000000" w14:paraId="0000011A">
      <w:pPr>
        <w:spacing w:after="60" w:lineRule="auto"/>
        <w:rPr/>
      </w:pPr>
      <w:r w:rsidDel="00000000" w:rsidR="00000000" w:rsidRPr="00000000">
        <w:rPr>
          <w:rFonts w:ascii="Arial" w:cs="Arial" w:eastAsia="Arial" w:hAnsi="Arial"/>
          <w:sz w:val="18"/>
          <w:szCs w:val="18"/>
          <w:rtl w:val="0"/>
        </w:rPr>
        <w:t xml:space="preserve">[11] Topalian SL et al. Safety, activity, and immune correlates of anti–PD-1 antibody in cancer. N Engl J Med. 2012;366(26):2443–54.</w:t>
      </w:r>
      <w:r w:rsidDel="00000000" w:rsidR="00000000" w:rsidRPr="00000000">
        <w:rPr>
          <w:rtl w:val="0"/>
        </w:rPr>
      </w:r>
    </w:p>
    <w:p w:rsidR="00000000" w:rsidDel="00000000" w:rsidP="00000000" w:rsidRDefault="00000000" w:rsidRPr="00000000" w14:paraId="0000011B">
      <w:pPr>
        <w:spacing w:after="60" w:lineRule="auto"/>
        <w:rPr/>
      </w:pPr>
      <w:r w:rsidDel="00000000" w:rsidR="00000000" w:rsidRPr="00000000">
        <w:rPr>
          <w:rFonts w:ascii="Arial" w:cs="Arial" w:eastAsia="Arial" w:hAnsi="Arial"/>
          <w:sz w:val="18"/>
          <w:szCs w:val="18"/>
          <w:rtl w:val="0"/>
        </w:rPr>
        <w:t xml:space="preserve">[12] Zhao X et al. PD-L1 genetic variants and cancer immunotherapy response. J Immunother Cancer. 2021;9(3):e001868.</w:t>
      </w:r>
      <w:r w:rsidDel="00000000" w:rsidR="00000000" w:rsidRPr="00000000">
        <w:rPr>
          <w:rtl w:val="0"/>
        </w:rPr>
      </w:r>
    </w:p>
    <w:p w:rsidR="00000000" w:rsidDel="00000000" w:rsidP="00000000" w:rsidRDefault="00000000" w:rsidRPr="00000000" w14:paraId="0000011C">
      <w:pPr>
        <w:spacing w:after="60" w:lineRule="auto"/>
        <w:rPr/>
      </w:pPr>
      <w:r w:rsidDel="00000000" w:rsidR="00000000" w:rsidRPr="00000000">
        <w:rPr>
          <w:rFonts w:ascii="Arial" w:cs="Arial" w:eastAsia="Arial" w:hAnsi="Arial"/>
          <w:sz w:val="18"/>
          <w:szCs w:val="18"/>
          <w:rtl w:val="0"/>
        </w:rPr>
        <w:t xml:space="preserve">[13] Pardridge WM. Drug transport across the blood-brain barrier. J Cereb Blood Flow Metab. 2012;32(11):1959–72.</w:t>
      </w:r>
      <w:r w:rsidDel="00000000" w:rsidR="00000000" w:rsidRPr="00000000">
        <w:rPr>
          <w:rtl w:val="0"/>
        </w:rPr>
      </w:r>
    </w:p>
    <w:p w:rsidR="00000000" w:rsidDel="00000000" w:rsidP="00000000" w:rsidRDefault="00000000" w:rsidRPr="00000000" w14:paraId="0000011D">
      <w:pPr>
        <w:spacing w:after="60" w:lineRule="auto"/>
        <w:rPr/>
      </w:pPr>
      <w:r w:rsidDel="00000000" w:rsidR="00000000" w:rsidRPr="00000000">
        <w:rPr>
          <w:rFonts w:ascii="Arial" w:cs="Arial" w:eastAsia="Arial" w:hAnsi="Arial"/>
          <w:sz w:val="18"/>
          <w:szCs w:val="18"/>
          <w:rtl w:val="0"/>
        </w:rPr>
        <w:t xml:space="preserve">[14] Tjernberg LO et al. Arrest of beta-amyloid fibril formation by a pentapeptide ligand. J Biol Chem. 1996;271(15):8545–8.</w:t>
      </w:r>
      <w:r w:rsidDel="00000000" w:rsidR="00000000" w:rsidRPr="00000000">
        <w:rPr>
          <w:rtl w:val="0"/>
        </w:rPr>
      </w:r>
    </w:p>
    <w:p w:rsidR="00000000" w:rsidDel="00000000" w:rsidP="00000000" w:rsidRDefault="00000000" w:rsidRPr="00000000" w14:paraId="0000011E">
      <w:pPr>
        <w:spacing w:after="60" w:lineRule="auto"/>
        <w:rPr/>
      </w:pPr>
      <w:r w:rsidDel="00000000" w:rsidR="00000000" w:rsidRPr="00000000">
        <w:rPr>
          <w:rFonts w:ascii="Arial" w:cs="Arial" w:eastAsia="Arial" w:hAnsi="Arial"/>
          <w:sz w:val="18"/>
          <w:szCs w:val="18"/>
          <w:rtl w:val="0"/>
        </w:rPr>
        <w:t xml:space="preserve">[15] Semba RD et al. Relationship of serum klotho with cardiovascular disease in older adults. Aging. 2020;12(9):8175–88.</w:t>
      </w:r>
      <w:r w:rsidDel="00000000" w:rsidR="00000000" w:rsidRPr="00000000">
        <w:rPr>
          <w:rtl w:val="0"/>
        </w:rPr>
      </w:r>
    </w:p>
    <w:p w:rsidR="00000000" w:rsidDel="00000000" w:rsidP="00000000" w:rsidRDefault="00000000" w:rsidRPr="00000000" w14:paraId="0000011F">
      <w:pPr>
        <w:spacing w:after="60" w:lineRule="auto"/>
        <w:rPr/>
      </w:pPr>
      <w:r w:rsidDel="00000000" w:rsidR="00000000" w:rsidRPr="00000000">
        <w:rPr>
          <w:rFonts w:ascii="Arial" w:cs="Arial" w:eastAsia="Arial" w:hAnsi="Arial"/>
          <w:sz w:val="18"/>
          <w:szCs w:val="18"/>
          <w:rtl w:val="0"/>
        </w:rPr>
        <w:t xml:space="preserve">[16] Rodgers BD, Eldridge JA. Reduced circulating GDF11 is unlikely responsible for age-dependent changes in mouse heart, muscle, and brain. Endocrinology. 2015;156(11):3885–8.</w:t>
      </w:r>
      <w:r w:rsidDel="00000000" w:rsidR="00000000" w:rsidRPr="00000000">
        <w:rPr>
          <w:rtl w:val="0"/>
        </w:rPr>
      </w:r>
    </w:p>
    <w:sectPr>
      <w:pgSz w:h="15840" w:w="12240" w:orient="portrait"/>
      <w:pgMar w:bottom="1417" w:top="1417" w:left="1587" w:right="158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bCs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bCs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paragraph" w:styleId="Subtitle">
    <w:name w:val="Subtitle"/>
    <w:basedOn w:val="Normal"/>
    <w:next w:val="Normal"/>
    <w:pPr/>
    <w:rPr>
      <w:rFonts w:ascii="Calibri" w:cs="Calibri" w:eastAsia="Calibri" w:hAnsi="Calibri"/>
      <w:i w:val="1"/>
      <w:iCs w:val="1"/>
      <w:color w:val="4f81bd"/>
      <w:sz w:val="24"/>
      <w:szCs w:val="24"/>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