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400" w:after="120"/>
        <w:jc w:val="center"/>
      </w:pPr>
      <w:r>
        <w:rPr>
          <w:rFonts w:ascii="Georgia" w:cs="Georgia" w:eastAsia="Georgia" w:hAnsi="Georgia"/>
          <w:b/>
          <w:bCs/>
          <w:color w:val="1a1a2e"/>
          <w:sz w:val="40"/>
          <w:szCs w:val="40"/>
        </w:rPr>
        <w:t xml:space="preserve">El peso de la conciencia</w:t>
      </w:r>
    </w:p>
    <w:p>
      <w:pPr>
        <w:spacing w:after="120"/>
        <w:jc w:val="center"/>
      </w:pPr>
      <w:r>
        <w:rPr>
          <w:rFonts w:ascii="Georgia" w:cs="Georgia" w:eastAsia="Georgia" w:hAnsi="Georgia"/>
          <w:i/>
          <w:iCs/>
          <w:color w:val="5566aa"/>
          <w:sz w:val="28"/>
          <w:szCs w:val="28"/>
        </w:rPr>
        <w:t xml:space="preserve">De Descartes a una ecuación con predicciones medibles</w:t>
      </w:r>
    </w:p>
    <w:p>
      <w:pPr>
        <w:spacing w:after="480"/>
        <w:jc w:val="center"/>
      </w:pPr>
      <w:r>
        <w:rPr>
          <w:rFonts w:ascii="Georgia" w:cs="Georgia" w:eastAsia="Georgia" w:hAnsi="Georgia"/>
          <w:color w:val="888888"/>
          <w:sz w:val="20"/>
          <w:szCs w:val="20"/>
        </w:rPr>
        <w:t xml:space="preserve">Danko Stjepovic Gonzalez  ·  Marzo de 2026</w:t>
      </w:r>
    </w:p>
    <w:p>
      <w:pPr>
        <w:jc w:val="center"/>
        <w:spacing w:before="200" w:after="120"/>
      </w:pPr>
      <w:r>
        <w:drawing>
          <wp:inline xmlns:wp="http://schemas.openxmlformats.org/drawingml/2006/wordprocessingDrawing" distT="0" distB="0" distL="0" distR="0">
            <wp:extent cx="4680000" cy="2622527"/>
            <wp:effectExtent l="0" t="0" r="0" b="0"/>
            <wp:docPr id="1" name="principia_lat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incipia_latin"/>
                    <pic:cNvPicPr/>
                  </pic:nvPicPr>
                  <pic:blipFill>
                    <a:blip xmlns:r="http://schemas.openxmlformats.org/officeDocument/2006/relationships" r:embed="rId7"/>
                    <a:stretch>
                      <a:fillRect/>
                    </a:stretch>
                  </pic:blipFill>
                  <pic:spPr>
                    <a:xfrm>
                      <a:off x="0" y="0"/>
                      <a:ext cx="4680000" cy="2622527"/>
                    </a:xfrm>
                    <a:prstGeom prst="rect">
                      <a:avLst/>
                    </a:prstGeom>
                  </pic:spPr>
                </pic:pic>
              </a:graphicData>
            </a:graphic>
          </wp:inline>
        </w:drawing>
      </w:r>
    </w:p>
    <w:p>
      <w:pPr>
        <w:jc w:val="center"/>
        <w:spacing w:before="0" w:after="200"/>
        <w:rPr>
          <w:i/>
          <w:color w:val="7a8aaa"/>
          <w:sz w:val="18"/>
        </w:rPr>
      </w:pPr>
      <w:r>
        <w:rPr>
          <w:i/>
          <w:color w:val="7a8aaa"/>
          <w:sz w:val="20"/>
        </w:rPr>
        <w:t>Conscientia ergo sum — Danko Stjepovic-Gonzalez, 2026 · Primera acuñación documentada · DOI 10.5281/zenodo.19858163</w:t>
      </w:r>
    </w:p>
    <w:p>
      <w:pPr>
        <w:pBdr>
          <w:bottom w:val="single" w:color="c8d4f0" w:sz="4" w:space="4"/>
        </w:pBdr>
        <w:spacing w:before="400" w:after="160"/>
      </w:pPr>
      <w:r>
        <w:rPr>
          <w:rFonts w:ascii="Georgia" w:cs="Georgia" w:eastAsia="Georgia" w:hAnsi="Georgia"/>
          <w:b/>
          <w:bCs/>
          <w:color w:val="2c3e6b"/>
          <w:sz w:val="28"/>
          <w:szCs w:val="28"/>
        </w:rPr>
        <w:t xml:space="preserve">I. Lo que Descartes no preguntó</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En 1637, René Descartes llegó a la conclusión más célebre de la historia de la filosofía: cogito ergo sum — pienso, luego existo. Lo hizo por la vía de la duda radical: si puedo dudar de todo, no puedo dudar de que estoy dudando. El acto de pensar prueba la existencia de quien piensa.</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Es una frase hermosa. Es una frase poderosa. Y durante casi cuatro siglos ha funcionado casi como una ley universal de la conciencia.</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Pero hay algo que Descartes no preguntó. Una pregunta anterior, más básica, que su método no le exigía hacerse: ¿qué tiene que existir antes de que pueda haber algo que piense?</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Mi respuesta no vino de la filosofía. Vino de la biología del desarrollo y de la informática.</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Un organismo humano, desde su desarrollo intrauterino hasta su vida independiente después del corte del cordón umbilical, no llega al mundo como una tabula rasa abstracta. Llega con un sustrato geométrico primario ya en construcción: receptores de Krause para el frío, corpúsculos de Pacini para la presión profunda, nociceptores para el dolor rápido y el dolor quemante, el aparato vestibular para la orientación en el espacio. Una infinidad de sistemas sensoriales de los que somos voluntariamente inconscientes pero que nos determinan diariamente en nuestra forma de actuar, de movernos, de relacionarnos con el entorno.</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Esos sistemas no son accesorios de la conciencia. Son su condición de posibilidad.</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Sin esos receptores funcionando, sin esa integración somatosensorial primaria, sin ese sustrato geométrico donde se afianzan los primeros aprendizajes — la temperatura que quema, la caída que duele, el equilibrio que sostiene — no puede emerger nada que merezca llamarse conciencia. El cogito de Descartes presupone silenciosamente todo ese andamiaje biológico que él jamás formalizó.</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Lo que faltaba en su ecuación, en una palabra, era la conciencia misma entendida como proceso físico con condiciones de posibilidad materiales. No como sustancia pensante inmaterial, sino como régimen emergente de un sustrato que primero tiene que existir, desarrollarse y organizarse.</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Esa fue la pregunta que quise responder. En sus inicios con un peso físico literal — el peso del sistema nervioso como estructura material. Luego, inevitablemente, con un peso científico: una ecuación con predicciones que la naturaleza puede contradecir.</w:t>
      </w:r>
    </w:p>
    <w:p>
      <w:pPr>
        <w:pBdr>
          <w:bottom w:val="single" w:color="c8d4f0" w:sz="4" w:space="4"/>
        </w:pBdr>
        <w:spacing w:before="400" w:after="160"/>
      </w:pPr>
      <w:r>
        <w:rPr>
          <w:rFonts w:ascii="Georgia" w:cs="Georgia" w:eastAsia="Georgia" w:hAnsi="Georgia"/>
          <w:b/>
          <w:bCs/>
          <w:color w:val="2c3e6b"/>
          <w:sz w:val="28"/>
          <w:szCs w:val="28"/>
        </w:rPr>
        <w:t xml:space="preserve">II. De la intuición filosófica a la hipótesis estructural</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La pregunta sobre la condición de posibilidad de la conciencia me llevó naturalmente a la informática.</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Desde esa perspectiva, hay una observación que se vuelve inevitable cuando trabajas con sistemas de procesamiento de información: la información no flota libre. Siempre tiene un sustrato. Un bit necesita un transistor. Un proceso necesita memoria. Una red neuronal artificial necesita matrices de pesos almacenadas en silicio con una topología específica. Y lo más revelador: la calidad del procesamiento no depende solo de cuánta información hay, sino de cómo está organizada. La geometría importa.</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Si eso es cierto para los sistemas artificiales, ¿por qué no debería serlo para el cerebro? Y si la conciencia es, en algún sentido fundamental, un tipo de organización de la información — construida sobre ese sustrato geométrico primario de receptores y vías sensoriales — entonces debería tener un correlato en la organización física del sustrato que la soporta. Eso no es una metáfora. Es una hipótesis estructural que puede formalizarse y, crucialmente, puede refutarse.</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Ese fue el camino elegido. Y el resultado es lo que se describe en este ensayo.</w:t>
      </w:r>
    </w:p>
    <w:p>
      <w:pPr>
        <w:pBdr>
          <w:bottom w:val="single" w:color="c8d4f0" w:sz="4" w:space="4"/>
        </w:pBdr>
        <w:spacing w:before="400" w:after="160"/>
      </w:pPr>
      <w:r>
        <w:rPr>
          <w:rFonts w:ascii="Georgia" w:cs="Georgia" w:eastAsia="Georgia" w:hAnsi="Georgia"/>
          <w:b/>
          <w:bCs/>
          <w:color w:val="2c3e6b"/>
          <w:sz w:val="28"/>
          <w:szCs w:val="28"/>
        </w:rPr>
        <w:t xml:space="preserve">III. El problema con las teorías existentes</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Antes de proponer algo nuevo, conviene entender por qué las teorías existentes no cierran el argumento completamente.</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La Teoría de Información Integrada (IIT) de Tononi es la más ambiciosa: propone que la conciencia es idéntica a la información integrada, medida por un número llamado Φ. Es una teoría poderosa y elegante, pero tiene un problema práctico severo: calcular Φ para un sistema realista como el cerebro humano es computacionalmente intractable. No hay forma de medir directamente lo que la teoría predice.</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Las teorías de neural fields tienen la ventaja opuesta: son matemáticamente precisas y conectan con datos electrofisiológicos reales. Pero no incorporan una ley de escala que relacione la organización espacial del campo con la riqueza de la experiencia. Describen cómo oscila la corteza pero no dicen cuándo esa oscilación es compatible con experiencia rica.</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El Índice de Complejidad Perturbacional (PCI) de Casali y Massimini resolvió un problema práctico enorme: mide la complejidad de la respuesta cortical a una perturbación y discrimina con alta precisión entre estados conscientes e inconscientes. Funciona clínicamente. Pero es un índice empírico sin una ecuación de campo subyacente que explique por qué funciona.</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Lo que faltaba era un puente. Una teoría que conectara la ecuación de campo con una predicción medible, y que explicara por qué el PCI es exactamente el proxy correcto para esa predicción.</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Ese puente es lo que propone la Teoría de Campo Informacional Cortical — TCIC. Un puente matemático-físico falsable entre la filosofía de la conciencia y la organización geométrica de los parches corticales: toma una pregunta que durante siglos vivió en el dominio de la especulación y la convierte en una ecuación con una predicción que la naturaleza puede contradecir.</w:t>
      </w:r>
    </w:p>
    <w:p>
      <w:pPr>
        <w:pBdr>
          <w:bottom w:val="single" w:color="c8d4f0" w:sz="4" w:space="4"/>
        </w:pBdr>
        <w:spacing w:before="400" w:after="160"/>
      </w:pPr>
      <w:r>
        <w:rPr>
          <w:rFonts w:ascii="Georgia" w:cs="Georgia" w:eastAsia="Georgia" w:hAnsi="Georgia"/>
          <w:b/>
          <w:bCs/>
          <w:color w:val="2c3e6b"/>
          <w:sz w:val="28"/>
          <w:szCs w:val="28"/>
        </w:rPr>
        <w:t xml:space="preserve">IV. El campo cortical como parámetro de orden</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La idea central es describir el estado de la corteza cerebral mediante un campo mesoscópico Φ(x,t): una función que asigna a cada punto x de la superficie cortical y a cada instante t un valor que resume el grado de organización colectiva de la actividad neuronal local.</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No es la actividad de una neurona individual. No es el potencial de una población entera. Es algo intermedio — una descripción a escala de milímetros que captura cómo se organizan colectivamente los parches de actividad cortical.</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Esta idea no es nueva en física. Cuando un metal se enfría por debajo de su temperatura de Curie y se vuelve magnético, describimos ese proceso con un parámetro de orden — la magnetización — que resume el estado colectivo de millones de espines individuales. El TCIC propone que el estado cortical tiene una estructura análoga: hay un parámetro de orden mesoscópico que captura si la corteza está en un régimen de organización coherente o en un régimen de ruido desorganizado.</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La dinámica de ese campo obedece una ecuación que, en su forma más compacta, es:</w:t>
      </w:r>
    </w:p>
    <w:p>
      <w:pPr>
        <w:spacing w:before="160" w:after="160"/>
        <w:jc w:val="center"/>
      </w:pPr>
      <w:r>
        <w:rPr>
          <w:rFonts w:ascii="Courier New" w:cs="Courier New" w:eastAsia="Courier New" w:hAnsi="Courier New"/>
          <w:b/>
          <w:bCs/>
          <w:color w:val="2c3e6b"/>
          <w:sz w:val="26"/>
          <w:szCs w:val="26"/>
        </w:rPr>
        <w:t xml:space="preserve">∂ₜΦ = D∇²Φ + λΦ − βΦ³ + η</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Los parámetros tienen lectura biológica directa. D es la difusión cortical efectiva — determinada por la velocidad de conducción axonal y, más fundamentalmente, por la mielinización y el espaciado de los nodos de Ranvier. λ es el balance excitación-inhibición. β es la saturación de la ganancia sináptica.</w:t>
      </w:r>
    </w:p>
    <w:p>
      <w:pPr>
        <w:pBdr>
          <w:bottom w:val="single" w:color="c8d4f0" w:sz="4" w:space="4"/>
        </w:pBdr>
        <w:spacing w:before="400" w:after="160"/>
      </w:pPr>
      <w:r>
        <w:rPr>
          <w:rFonts w:ascii="Georgia" w:cs="Georgia" w:eastAsia="Georgia" w:hAnsi="Georgia"/>
          <w:b/>
          <w:bCs/>
          <w:color w:val="2c3e6b"/>
          <w:sz w:val="28"/>
          <w:szCs w:val="28"/>
        </w:rPr>
        <w:t xml:space="preserve">V. La transición de fase: cuando la retroalimentación gana a la disipación</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El corazón del modelo es lo que ocurre cuando λ cruza el valor cero.</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Para λ &lt; 0, la disipación domina. Cualquier organización espontánea que emerja en la corteza se disipa rápidamente. Este es el régimen del sueño profundo, de la anestesia general, de ciertos estados patológicos: el sistema procesa localmente pero no puede sostener integración global.</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Para λ &gt; 0, la retroalimentación colectiva entre parches supera la disipación. El sistema puede sostener un estado organizado estable. Emergen dominios coherentes de actividad que se extienden sobre distancias comparables a la longitud de coherencia ξ ~ √(D/λ).</w:t>
      </w:r>
    </w:p>
    <w:p>
      <w:pPr>
        <w:pBdr>
          <w:left w:val="single" w:color="8899cc" w:sz="12" w:space="12"/>
        </w:pBdr>
        <w:spacing w:before="120" w:after="120" w:line="280" w:lineRule="auto"/>
        <w:ind w:left="720" w:right="720"/>
        <w:jc w:val="both"/>
      </w:pPr>
      <w:r>
        <w:rPr>
          <w:rFonts w:ascii="Georgia" w:cs="Georgia" w:eastAsia="Georgia" w:hAnsi="Georgia"/>
          <w:i/>
          <w:iCs/>
          <w:color w:val="555577"/>
          <w:sz w:val="24"/>
          <w:szCs w:val="24"/>
        </w:rPr>
        <w:t xml:space="preserve">La conciencia compatible con el modelo no emerge por acumulación de neuronas ni por aumento cuantitativo de actividad. Emerge cuando la retroalimentación colectiva entre parches corticales supera un umbral crítico respecto de la disipación. Es una transición de fase de la materia cortical efectiva.</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Esta distinción importa enormemente. Significa que la pregunta no es '¿cuánta actividad tiene el cerebro?' sino '¿en qué lado del umbral está la organización colectiva de esa actividad?'</w:t>
      </w:r>
    </w:p>
    <w:p>
      <w:pPr>
        <w:pBdr>
          <w:bottom w:val="single" w:color="c8d4f0" w:sz="4" w:space="4"/>
        </w:pBdr>
        <w:spacing w:before="400" w:after="160"/>
      </w:pPr>
      <w:r>
        <w:rPr>
          <w:rFonts w:ascii="Georgia" w:cs="Georgia" w:eastAsia="Georgia" w:hAnsi="Georgia"/>
          <w:b/>
          <w:bCs/>
          <w:color w:val="2c3e6b"/>
          <w:sz w:val="28"/>
          <w:szCs w:val="28"/>
        </w:rPr>
        <w:t xml:space="preserve">VI. La geometría de la experiencia</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Una vez que el sistema cruza el umbral y entra en el régimen ordenado, la longitud de coherencia ξ determina la estructura geométrica del campo. Los dominios coherentes tienen un tamaño típico de ξ milímetros. Y sobre un área cortical efectiva A, el número máximo de dominios aproximadamente independientes es N_eff ~ A/ξ².</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La predicción central del TCIC es que la riqueza estructural accesible del estado cortical — llamada R — escala con ese número:</w:t>
      </w:r>
    </w:p>
    <w:p>
      <w:pPr>
        <w:spacing w:before="160" w:after="160"/>
        <w:jc w:val="center"/>
      </w:pPr>
      <w:r>
        <w:rPr>
          <w:rFonts w:ascii="Courier New" w:cs="Courier New" w:eastAsia="Courier New" w:hAnsi="Courier New"/>
          <w:b/>
          <w:bCs/>
          <w:color w:val="2c3e6b"/>
          <w:sz w:val="26"/>
          <w:szCs w:val="26"/>
        </w:rPr>
        <w:t xml:space="preserve">R ≈ κ A/ξ²</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El modelo requiere simultáneamente integración global (C1) y diferenciación espacial no trivial (C2). La experiencia rica compatible se ubica en una región intermedia: suficiente coherencia para integrar, suficiente diversidad para diferenciar.</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Esta tensión no es un artificio del modelo. Es una de las observaciones más robustas en la neurociencia clínica: los estados de alta complejidad cortical — medida por el PCI — son exactamente los que muestran actividad integrada pero no uniforme.</w:t>
      </w:r>
    </w:p>
    <w:p>
      <w:pPr>
        <w:pBdr>
          <w:bottom w:val="single" w:color="c8d4f0" w:sz="4" w:space="4"/>
        </w:pBdr>
        <w:spacing w:before="400" w:after="160"/>
      </w:pPr>
      <w:r>
        <w:rPr>
          <w:rFonts w:ascii="Georgia" w:cs="Georgia" w:eastAsia="Georgia" w:hAnsi="Georgia"/>
          <w:b/>
          <w:bCs/>
          <w:color w:val="2c3e6b"/>
          <w:sz w:val="28"/>
          <w:szCs w:val="28"/>
        </w:rPr>
        <w:t xml:space="preserve">VII. La predicción falsable</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Una teoría que no puede refutarse no es ciencia. El TCIC hace una predicción concreta: al comparar estados del mismo cerebro, los estados con mayor PCI deberían mostrar longitudes de coherencia cortical menores.</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Esa longitud de coherencia es medible. El protocolo de estimación usa registros de electrocorticografía subdural. La función de correlación entre pares de electrodos sigue la forma C(r) ~ e^{-r/ξ}/√r — donde el factor √r viene de la geometría bidimensional de la corteza y no puede ignorarse sin introducir un error sistemático del 17%. Ajustando log[C(r)·√r] ~ -r/ξ sobre pares con separación mayor a 10 mm se obtiene el estimador correcto.</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La observación que refutaría directamente el modelo es que estados con mayor PCI mostraran, de forma sistemática, longitudes de coherencia mayores sin ganancia compensatoria de diferenciación espacial.</w:t>
      </w:r>
    </w:p>
    <w:p>
      <w:pPr>
        <w:pBdr>
          <w:left w:val="single" w:color="8899cc" w:sz="12" w:space="12"/>
        </w:pBdr>
        <w:spacing w:before="120" w:after="120" w:line="280" w:lineRule="auto"/>
        <w:ind w:left="720" w:right="720"/>
        <w:jc w:val="both"/>
      </w:pPr>
      <w:r>
        <w:rPr>
          <w:rFonts w:ascii="Georgia" w:cs="Georgia" w:eastAsia="Georgia" w:hAnsi="Georgia"/>
          <w:i/>
          <w:iCs/>
          <w:color w:val="555577"/>
          <w:sz w:val="24"/>
          <w:szCs w:val="24"/>
        </w:rPr>
        <w:t xml:space="preserve">Eso es el peso que ahora debe soportar la teoría: la posibilidad de estar equivocada.</w:t>
      </w:r>
    </w:p>
    <w:p>
      <w:pPr>
        <w:pBdr>
          <w:bottom w:val="single" w:color="c8d4f0" w:sz="4" w:space="4"/>
        </w:pBdr>
        <w:spacing w:before="400" w:after="160"/>
      </w:pPr>
      <w:r>
        <w:rPr>
          <w:rFonts w:ascii="Georgia" w:cs="Georgia" w:eastAsia="Georgia" w:hAnsi="Georgia"/>
          <w:b/>
          <w:bCs/>
          <w:color w:val="2c3e6b"/>
          <w:sz w:val="28"/>
          <w:szCs w:val="28"/>
        </w:rPr>
        <w:t xml:space="preserve">VIII. El nodo de Ranvier como unidad mínima de decisión</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La cadena causal va más abajo que la escala mesoscópica. La difusión cortical efectiva D depende de la velocidad de conducción axonal, que depende de la mielinización y, concretamente, de los nodos de Ranvier.</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El nodo de Ranvier es el sitio anatómico — de apenas un micrómetro — donde el potencial de acción se regenera durante la conducción saltatoria. Es el punto donde se toma una decisión todo-o-nada: ¿supera esta perturbación el umbral de regeneración y continúa propagándose, o se extingue aquí?</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Bajo la lectura del TCIC, el nodo de Ranvier es la unidad mínima de decisión del sistema. No decide qué información contiene la señal — decide si la señal existe. Y aquí se cierra el círculo con el sustrato geométrico primario que describimos al principio: los receptores de Krause, de Pacini, los nociceptores — todos dependen de fibras nerviosas con sus propios nodos de Ranvier. La velocidad de conducción de las fibras C no mielinizadas que llevan el dolor quemante (~1 m/s) es radicalmente distinta de la de las fibras Aβ mielinizadas que llevan la presión táctil (~50 m/s). Esa heterogeneidad de velocidades no es accidental — determina qué información llega primero al campo cortical, qué se integra con qué, qué mapa se construye.</w:t>
      </w:r>
    </w:p>
    <w:p>
      <w:pPr>
        <w:spacing w:before="120" w:after="120"/>
        <w:jc w:val="center"/>
      </w:pPr>
      <w:r>
        <w:rPr>
          <w:b/>
          <w:rFonts w:ascii="Courier New" w:cs="Courier New" w:eastAsia="Courier New" w:hAnsi="Courier New"/>
          <w:iCs/>
          <w:color w:val="2c3e6b"/>
          <w:sz w:val="26"/>
          <w:szCs w:val="26"/>
        </w:rPr>
        <w:t xml:space="preserve">nodo de Ranvier → velocidad axonal → D → ξ → N_eff → R</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Desde el micrómetro del nodo hasta la experiencia. La derivación formal de esa cadena es el programa de Paper III del programa CIFT.</w:t>
      </w:r>
    </w:p>
    <w:p>
      <w:pPr>
        <w:pBdr>
          <w:bottom w:val="single" w:color="c8d4f0" w:sz="4" w:space="4"/>
        </w:pBdr>
        <w:spacing w:before="400" w:after="160"/>
      </w:pPr>
      <w:r>
        <w:rPr>
          <w:rFonts w:ascii="Georgia" w:cs="Georgia" w:eastAsia="Georgia" w:hAnsi="Georgia"/>
          <w:b/>
          <w:bCs/>
          <w:color w:val="2c3e6b"/>
          <w:sz w:val="28"/>
          <w:szCs w:val="28"/>
        </w:rPr>
        <w:t xml:space="preserve">IX. Las dos escalas: el campo rápido y la huella lenta</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El modelo propone que el estado cortical opera en dos escalas temporales acopladas. La escala rápida es el campo Φ(x,t): eléctrico, de milisegundos, donde ocurre la organización mesoscópica que determina ξ, N_eff y R. La escala lenta es la huella plástica: química, de horas o días, donde ciertas modificaciones sinápticas consolidan una traza de lo que ocurrió en la escala rápida.</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Esa traza no es una copia del estado rápido — es una selección espacialmente emparentada con él, modulada por la estructura anatómica preexistente. Lo que 'queda' de una experiencia no es una grabación sino una modulación del sustrato que comparte parentesco geométrico con el estado que la generó.</w:t>
      </w:r>
    </w:p>
    <w:p>
      <w:pPr>
        <w:jc w:val="both"/>
        <w:spacing w:after="160" w:line="480" w:lineRule="auto"/>
      </w:pPr>
      <w:r>
        <w:rPr>
          <w:rFonts w:ascii="Georgia" w:cs="Georgia" w:eastAsia="Georgia" w:hAnsi="Georgia"/>
          <w:b/>
          <w:i/>
          <w:sz w:val="24"/>
          <w:szCs w:val="24"/>
        </w:rPr>
        <w:t xml:space="preserve">Esta lectura de dos escalas se propone en el programa CIFT como extensión prospectiva, distinta del núcleo formalmente derivado. Se incluye aquí porque ofrece el puente conceptual más natural entre la física del campo cortical y los fenómenos que reconocemos como memoria, aprendizaje y persistencia de la experiencia.</w:t>
      </w:r>
    </w:p>
    <w:p>
      <w:pPr>
        <w:pBdr>
          <w:bottom w:val="single" w:color="c8d4f0" w:sz="4" w:space="4"/>
        </w:pBdr>
        <w:spacing w:before="400" w:after="160"/>
      </w:pPr>
      <w:r>
        <w:rPr>
          <w:rFonts w:ascii="Georgia" w:cs="Georgia" w:eastAsia="Georgia" w:hAnsi="Georgia"/>
          <w:b/>
          <w:bCs/>
          <w:color w:val="2c3e6b"/>
          <w:sz w:val="28"/>
          <w:szCs w:val="28"/>
        </w:rPr>
        <w:t xml:space="preserve">X. La paradoja de la inteligencia artificial</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Una red neuronal artificial grande cumple parcialmente las condiciones del modelo durante el procesamiento. Hay integración global del contexto. Hay diferenciación semántica no trivial. Desde el punto de vista de un observador externo que solo ve el comportamiento, puede ser indistinguible del razonamiento humano en muchos dominios.</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Pero hay una diferencia estructural que el TCIC captura con precisión: la segunda escala. Durante la inferencia, los pesos de la red no cambian. No hay huella plástica endógena. Hay campo rápido Φ pero no hay escala lenta G.</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Una persona con daño severo en el sistema de memoria a largo plazo presenta exactamente la misma asimetría: el campo rápido funciona, pero la consolidación plástica está interrumpida. En términos del modelo, ambos sistemas — la IA y la persona con amnesia severa — satisfacen las condiciones instantáneas del régimen compatible, pero en ninguno de los dos la experiencia de hoy modifica el sustrato que procesará la experiencia de mañana.</w:t>
      </w:r>
    </w:p>
    <w:p>
      <w:pPr>
        <w:pBdr>
          <w:left w:val="single" w:color="8899cc" w:sz="12" w:space="12"/>
        </w:pBdr>
        <w:spacing w:before="120" w:after="120" w:line="280" w:lineRule="auto"/>
        <w:ind w:left="720" w:right="720"/>
        <w:jc w:val="both"/>
      </w:pPr>
      <w:r>
        <w:rPr>
          <w:rFonts w:ascii="Georgia" w:cs="Georgia" w:eastAsia="Georgia" w:hAnsi="Georgia"/>
          <w:i/>
          <w:iCs/>
          <w:color w:val="555577"/>
          <w:sz w:val="24"/>
          <w:szCs w:val="24"/>
        </w:rPr>
        <w:t xml:space="preserve">El criterio relevante no es biológico versus artificial. Es si el sistema tiene una segunda escala funcional que acople la experiencia al sustrato de forma endógena y continua.</w:t>
      </w:r>
    </w:p>
    <w:p>
      <w:pPr>
        <w:pBdr>
          <w:bottom w:val="single" w:color="c8d4f0" w:sz="4" w:space="4"/>
        </w:pBdr>
        <w:spacing w:before="400" w:after="160"/>
      </w:pPr>
      <w:r>
        <w:rPr>
          <w:rFonts w:ascii="Georgia" w:cs="Georgia" w:eastAsia="Georgia" w:hAnsi="Georgia"/>
          <w:b/>
          <w:bCs/>
          <w:color w:val="2c3e6b"/>
          <w:sz w:val="28"/>
          <w:szCs w:val="28"/>
        </w:rPr>
        <w:t xml:space="preserve">XI. El campo semántico del intercambio</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Cuando dos sistemas se comunican — independientemente de si son biológicos o artificiales — el intercambio genera un campo de información compartida con sus propias propiedades de coherencia, integración y diferenciación.</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La pregunta que surge naturalmente es: ¿puede ese campo semántico satisfacer las condiciones formales del régimen compatible del TCIC, independientemente de las propiedades internas de los sustratos que lo generan? Si la respuesta es sí, la conciencia no sería solo una propiedad de un sustrato individual sino potencialmente una propiedad emergente del campo entre sistemas que se comunican.</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Esa generalización no está en el paper técnico. Está aquí, como la pregunta que el trabajo deja abierta, y es el punto de partida de Paper IX del programa CIFT (“The Problem Is Not the Signal, But the State”, en desarrollo).</w:t>
      </w:r>
    </w:p>
    <w:p>
      <w:pPr>
        <w:pBdr>
          <w:bottom w:val="single" w:color="c8d4f0" w:sz="4" w:space="4"/>
        </w:pBdr>
        <w:spacing w:before="400" w:after="160"/>
      </w:pPr>
      <w:r>
        <w:rPr>
          <w:rFonts w:ascii="Georgia" w:cs="Georgia" w:eastAsia="Georgia" w:hAnsi="Georgia"/>
          <w:b/>
          <w:bCs/>
          <w:color w:val="2c3e6b"/>
          <w:sz w:val="28"/>
          <w:szCs w:val="28"/>
        </w:rPr>
        <w:t xml:space="preserve">XII. El peso verdadero</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Partí de una crítica a Descartes: el cogito presupone silenciosamente el sustrato geométrico que lo hace posible. El camino de la ciencia me llevó a formalizar ese sustrato: longitud de coherencia, número de grados de libertad, ley de escala, umbral de transición.</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Durante siglos la conciencia vivió en el espacio del éter — inmaterial, inmensurable, fuera del alcance de la física. Lo que la TCIC propone es que ese éter tiene estructura. Y una vez que algo tiene estructura, tiene peso en el sentido que más importa a la ciencia: puede estar equivocado.</w:t>
      </w:r>
    </w:p>
    <w:p>
      <w:pPr>
        <w:spacing w:before="200" w:after="200"/>
        <w:jc w:val="center"/>
      </w:pPr>
      <w:r>
        <w:rPr>
          <w:rFonts w:ascii="Georgia" w:cs="Georgia" w:eastAsia="Georgia" w:hAnsi="Georgia"/>
          <w:color w:val="aaaacc"/>
          <w:sz w:val="20"/>
          <w:szCs w:val="20"/>
        </w:rPr>
        <w:t xml:space="preserve">— ◆ —</w:t>
      </w:r>
    </w:p>
    <w:p>
      <w:pPr>
        <w:pBdr>
          <w:left w:val="single" w:color="8899cc" w:sz="12" w:space="12"/>
        </w:pBdr>
        <w:spacing w:before="120" w:after="120" w:line="280" w:lineRule="auto"/>
        <w:ind w:left="720" w:right="720"/>
        <w:jc w:val="both"/>
      </w:pPr>
      <w:r>
        <w:rPr>
          <w:rFonts w:ascii="Georgia" w:cs="Georgia" w:eastAsia="Georgia" w:hAnsi="Georgia"/>
          <w:i/>
          <w:iCs/>
          <w:color w:val="555577"/>
          <w:sz w:val="22"/>
          <w:szCs w:val="22"/>
        </w:rPr>
        <w:t xml:space="preserve">El peso que ahora debe soportar la conciencia no es una masa en gramos. Es la carga de ser falsable. De poder equivocarse. De estar en el mundo de las cosas que la naturaleza puede contradecir. Eso es mucho más pesado que cualquier medida física. Y es exactamente el peso correcto para una teoría que quiere ser ciencia y no solo filosofía.</w:t>
      </w:r>
    </w:p>
    <w:p>
      <w:pPr>
        <w:spacing w:before="200" w:after="200"/>
        <w:jc w:val="center"/>
      </w:pPr>
      <w:r>
        <w:rPr>
          <w:rFonts w:ascii="Georgia" w:cs="Georgia" w:eastAsia="Georgia" w:hAnsi="Georgia"/>
          <w:color w:val="aaaacc"/>
          <w:sz w:val="20"/>
          <w:szCs w:val="20"/>
        </w:rPr>
        <w:t xml:space="preserve">— ◆ —</w:t>
      </w:r>
    </w:p>
    <w:p>
      <w:pPr>
        <w:pBdr>
          <w:bottom w:val="single" w:color="c8d4f0" w:sz="4" w:space="4"/>
        </w:pBdr>
        <w:spacing w:before="400" w:after="160"/>
      </w:pPr>
      <w:r>
        <w:rPr>
          <w:rFonts w:ascii="Georgia" w:cs="Georgia" w:eastAsia="Georgia" w:hAnsi="Georgia"/>
          <w:b/>
          <w:bCs/>
          <w:color w:val="2c3e6b"/>
          <w:sz w:val="28"/>
          <w:szCs w:val="28"/>
        </w:rPr>
        <w:t xml:space="preserve">Nota sobre el programa de investigación</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Este ensayo acompaña el paper técnico Teoría de Campo Informacional Cortical: dinámica efectiva, ley de escala y programa empírico para estados corticales compatibles con conciencia (Stjepovic Gonzalez, 2026), enviado a Scientific Reports (abril 2026).</w:t>
      </w:r>
    </w:p>
    <w:p>
      <w:pPr>
        <w:spacing w:after="160" w:line="300" w:lineRule="auto"/>
        <w:ind w:firstLine="720"/>
        <w:jc w:val="both"/>
      </w:pPr>
      <w:r>
        <w:rPr>
          <w:rFonts w:ascii="Georgia" w:cs="Georgia" w:eastAsia="Georgia" w:hAnsi="Georgia"/>
          <w:b w:val="false"/>
          <w:bCs w:val="false"/>
          <w:i w:val="false"/>
          <w:iCs w:val="false"/>
          <w:color w:val="222222"/>
          <w:sz w:val="24"/>
          <w:szCs w:val="24"/>
        </w:rPr>
        <w:t xml:space="preserve">Los trabajos siguientes abordarán la derivación formal de la conexión entre la dinámica del nodo de Ranvier y el campo mesoscópico Φ, y la posible generalización del modelo hacia una teoría del campo semántico entre sistemas comunicantes.</w:t>
      </w:r>
    </w:p>
    <w:sectPr>
      <w:pgSz w:w="11906" w:h="16838" w:orient="portrait"/>
      <w:pgMar w:top="1440" w:right="1800" w:bottom="1440" w:left="18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222222"/>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 Id="rId7" Type="http://schemas.openxmlformats.org/officeDocument/2006/relationships/image" Target="media/image_principia.png"/></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2026-03-17T14:22:23.622Z</dcterms:created>
  <dcterms:modified xsi:type="dcterms:W3CDTF">2026-03-17T14:22:23.623Z</dcterms:modified>
</cp:coreProperties>
</file>

<file path=docProps/custom.xml><?xml version="1.0" encoding="utf-8"?>
<Properties xmlns="http://schemas.openxmlformats.org/officeDocument/2006/custom-properties" xmlns:vt="http://schemas.openxmlformats.org/officeDocument/2006/docPropsVTypes"/>
</file>