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0"/>
      </w:pPr>
    </w:p>
    <w:p>
      <w:pPr>
        <w:spacing w:after="80" w:before="0"/>
      </w:pPr>
      <w:r>
        <w:rPr>
          <w:rFonts w:ascii="Arial" w:cs="Arial" w:eastAsia="Arial" w:hAnsi="Arial"/>
          <w:b/>
          <w:bCs/>
          <w:caps/>
          <w:color w:val="2E6DA4"/>
          <w:sz w:val="18"/>
          <w:szCs w:val="18"/>
        </w:rPr>
        <w:t xml:space="preserve">WHITE PAPER  |  v2.4  |  APRIL 2026</w:t>
      </w:r>
    </w:p>
    <w:p>
      <w:pPr>
        <w:pBdr>
          <w:bottom w:val="single" w:color="2E6DA4" w:sz="10" w:space="1"/>
        </w:pBdr>
        <w:spacing w:after="0" w:before="0"/>
      </w:pPr>
    </w:p>
    <w:p>
      <w:pPr>
        <w:spacing w:after="80" w:before="0"/>
      </w:pPr>
    </w:p>
    <w:p>
      <w:pPr>
        <w:spacing w:after="120" w:before="0"/>
      </w:pPr>
      <w:r>
        <w:rPr>
          <w:rFonts w:ascii="Arial" w:cs="Arial" w:eastAsia="Arial" w:hAnsi="Arial"/>
          <w:b/>
          <w:bCs/>
          <w:color w:val="1A3557"/>
          <w:sz w:val="52"/>
          <w:szCs w:val="52"/>
        </w:rPr>
        <w:t xml:space="preserve">The Inniss Data Nullius Framework:</w:t>
      </w:r>
    </w:p>
    <w:p>
      <w:pPr>
        <w:spacing w:after="200" w:before="0"/>
      </w:pPr>
      <w:r>
        <w:rPr>
          <w:rFonts w:ascii="Arial" w:cs="Arial" w:eastAsia="Arial" w:hAnsi="Arial"/>
          <w:b w:val="false"/>
          <w:bCs w:val="false"/>
          <w:color w:val="2E6DA4"/>
          <w:sz w:val="40"/>
          <w:szCs w:val="40"/>
        </w:rPr>
        <w:t xml:space="preserve">Contesting Vacant Data Claims in Global South Digital Governance</w:t>
      </w:r>
    </w:p>
    <w:p>
      <w:pPr>
        <w:pBdr>
          <w:bottom w:val="single" w:color="2E6DA4" w:sz="6" w:space="1"/>
        </w:pBdr>
        <w:spacing w:after="0" w:before="0"/>
      </w:pPr>
    </w:p>
    <w:p>
      <w:pPr>
        <w:spacing w:after="160" w:before="0"/>
      </w:pPr>
    </w:p>
    <w:p>
      <w:pPr>
        <w:spacing w:after="60" w:before="0"/>
      </w:pPr>
      <w:r>
        <w:rPr>
          <w:rFonts w:ascii="Arial" w:cs="Arial" w:eastAsia="Arial" w:hAnsi="Arial"/>
          <w:b/>
          <w:bCs/>
          <w:color w:val="333333"/>
          <w:sz w:val="26"/>
          <w:szCs w:val="26"/>
        </w:rPr>
        <w:t xml:space="preserve">Dr. Abiola Inniss</w:t>
      </w:r>
    </w:p>
    <w:p>
      <w:pPr>
        <w:spacing w:after="60" w:before="0"/>
      </w:pPr>
      <w:r>
        <w:rPr>
          <w:rFonts w:ascii="Arial" w:cs="Arial" w:eastAsia="Arial" w:hAnsi="Arial"/>
          <w:color w:val="555555"/>
          <w:sz w:val="22"/>
          <w:szCs w:val="22"/>
        </w:rPr>
        <w:t xml:space="preserve">The Inniss Institute for Digital Policy and Intellectual Property</w:t>
      </w:r>
    </w:p>
    <w:p>
      <w:pPr>
        <w:spacing w:after="200" w:before="0"/>
      </w:pPr>
      <w:hyperlink w:history="1" r:id="rIdohyq5comhzm7znervwnpu">
        <w:r>
          <w:rPr>
            <w:rFonts w:ascii="Arial" w:cs="Arial" w:eastAsia="Arial" w:hAnsi="Arial"/>
            <w:color w:val="2E6DA4"/>
            <w:sz w:val="22"/>
            <w:szCs w:val="22"/>
            <w:u w:val="single"/>
          </w:rPr>
          <w:t xml:space="preserve">www.innissinstitute.org</w:t>
        </w:r>
      </w:hyperlink>
    </w:p>
    <w:p>
      <w:pPr>
        <w:spacing w:after="60" w:before="0"/>
      </w:pPr>
      <w:r>
        <w:rPr>
          <w:rFonts w:ascii="Arial" w:cs="Arial" w:eastAsia="Arial" w:hAnsi="Arial"/>
          <w:b/>
          <w:bCs/>
          <w:color w:val="333333"/>
          <w:sz w:val="20"/>
          <w:szCs w:val="20"/>
        </w:rPr>
        <w:t xml:space="preserve">Keywords: </w:t>
      </w:r>
      <w:r>
        <w:rPr>
          <w:rFonts w:ascii="Arial" w:cs="Arial" w:eastAsia="Arial" w:hAnsi="Arial"/>
          <w:color w:val="555555"/>
          <w:sz w:val="20"/>
          <w:szCs w:val="20"/>
        </w:rPr>
        <w:t xml:space="preserve">data nullius · digital sovereignty · Global South · Caribbean · data colonialism · intellectual property · digital governance · postcolonial statecraft · CARICOM · CTU</w:t>
      </w:r>
    </w:p>
    <w:p>
      <w:pPr>
        <w:spacing w:after="60" w:before="0"/>
      </w:pPr>
      <w:r>
        <w:rPr>
          <w:rFonts w:ascii="Arial" w:cs="Arial" w:eastAsia="Arial" w:hAnsi="Arial"/>
          <w:b/>
          <w:bCs/>
          <w:color w:val="333333"/>
          <w:sz w:val="20"/>
          <w:szCs w:val="20"/>
        </w:rPr>
        <w:t xml:space="preserve">DOI: </w:t>
      </w:r>
      <w:r>
        <w:rPr>
          <w:rFonts w:ascii="Arial" w:cs="Arial" w:eastAsia="Arial" w:hAnsi="Arial"/>
          <w:color w:val="555555"/>
          <w:sz w:val="20"/>
          <w:szCs w:val="20"/>
        </w:rPr>
        <w:t xml:space="preserve">10.5281/zenodo.19699299</w:t>
      </w:r>
    </w:p>
    <w:p>
      <w:pPr>
        <w:spacing w:after="60" w:before="0"/>
      </w:pPr>
      <w:r>
        <w:rPr>
          <w:rFonts w:ascii="Arial" w:cs="Arial" w:eastAsia="Arial" w:hAnsi="Arial"/>
          <w:b/>
          <w:bCs/>
          <w:color w:val="333333"/>
          <w:sz w:val="20"/>
          <w:szCs w:val="20"/>
        </w:rPr>
        <w:t xml:space="preserve">License: </w:t>
      </w:r>
      <w:r>
        <w:rPr>
          <w:rFonts w:ascii="Arial" w:cs="Arial" w:eastAsia="Arial" w:hAnsi="Arial"/>
          <w:color w:val="555555"/>
          <w:sz w:val="20"/>
          <w:szCs w:val="20"/>
        </w:rPr>
        <w:t xml:space="preserve">Creative Commons Attribution 4.0 International (CC-BY-4.0)</w:t>
      </w:r>
    </w:p>
    <w:p>
      <w:pPr>
        <w:spacing w:after="320" w:before="0"/>
      </w:pPr>
    </w:p>
    <w:p>
      <w:r>
        <w:br w:type="page"/>
      </w:r>
    </w:p>
    <w:p>
      <w:pPr>
        <w:pStyle w:val="Heading1"/>
        <w:spacing w:after="160" w:before="400"/>
      </w:pPr>
      <w:r>
        <w:rPr>
          <w:rFonts w:ascii="Arial" w:cs="Arial" w:eastAsia="Arial" w:hAnsi="Arial"/>
          <w:b/>
          <w:bCs/>
          <w:color w:val="1A3557"/>
          <w:sz w:val="28"/>
          <w:szCs w:val="28"/>
        </w:rPr>
        <w:t xml:space="preserve">Executive Summary</w:t>
      </w:r>
    </w:p>
    <w:p>
      <w:pPr>
        <w:pBdr>
          <w:bottom w:val="single" w:color="2E6DA4" w:sz="4" w:space="1"/>
        </w:pBdr>
        <w:spacing w:after="0" w:before="0"/>
      </w:pPr>
    </w:p>
    <w:p>
      <w:pPr>
        <w:spacing w:after="80" w:before="0"/>
      </w:pPr>
    </w:p>
    <w:p>
      <w:pPr>
        <w:spacing w:after="160" w:before="0" w:line="276"/>
        <w:jc w:val="both"/>
      </w:pPr>
      <w:r>
        <w:rPr>
          <w:rFonts w:ascii="Georgia" w:cs="Georgia" w:eastAsia="Georgia" w:hAnsi="Georgia"/>
          <w:color w:val="333333"/>
          <w:sz w:val="22"/>
          <w:szCs w:val="22"/>
        </w:rPr>
        <w:t xml:space="preserve">This paper introduces and formally articulates the Inniss Data Nullius Framework — a structured analytical and policy framework designed to identify, theorise, and contest the systematic treatment of data originating from the Global South as ownerless, jurisdiction-free, and freely appropriable by external actors.</w:t>
      </w:r>
    </w:p>
    <w:p>
      <w:pPr>
        <w:spacing w:after="160" w:before="0" w:line="276"/>
        <w:jc w:val="both"/>
      </w:pPr>
      <w:r>
        <w:rPr>
          <w:rFonts w:ascii="Georgia" w:cs="Georgia" w:eastAsia="Georgia" w:hAnsi="Georgia"/>
          <w:color w:val="333333"/>
          <w:sz w:val="22"/>
          <w:szCs w:val="22"/>
        </w:rPr>
        <w:t xml:space="preserve">The framework draws on the historical legal doctrine of terra nullius — the colonial fiction that declared inhabited lands "empty" and available for appropriation — to argue that contemporary digital infrastructures reproduce an analogous fiction of vacancy over data. This fiction operates across three interlocking dimensions: legal instruments that obscure or circumvent local jurisdiction; technical architectures that de-contextualise and route data beyond regulatory reach; and institutional silences that are interpreted as jurisdictional consent.</w:t>
      </w:r>
    </w:p>
    <w:p>
      <w:pPr>
        <w:spacing w:after="160" w:before="0" w:line="276"/>
        <w:jc w:val="both"/>
      </w:pPr>
      <w:r>
        <w:rPr>
          <w:rFonts w:ascii="Georgia" w:cs="Georgia" w:eastAsia="Georgia" w:hAnsi="Georgia"/>
          <w:color w:val="333333"/>
          <w:sz w:val="22"/>
          <w:szCs w:val="22"/>
        </w:rPr>
        <w:t xml:space="preserve">The framework is of particular relevance to Caribbean and African governance contexts, where the convergence of legacy legal regimes, constrained institutional capacity, and the structural dominance of major platform operators creates acute vulnerability to data-nullius conditions. The paper identifies the "Execution Gap" — the systemic failure to translate stated digital policy commitments into operational reality — as a central mechanism through which such vulnerability is perpetuated.</w:t>
      </w:r>
    </w:p>
    <w:p>
      <w:pPr>
        <w:spacing w:after="160" w:before="0" w:line="276"/>
        <w:jc w:val="both"/>
      </w:pPr>
      <w:r>
        <w:rPr>
          <w:rFonts w:ascii="Georgia" w:cs="Georgia" w:eastAsia="Georgia" w:hAnsi="Georgia"/>
          <w:color w:val="333333"/>
          <w:sz w:val="22"/>
          <w:szCs w:val="22"/>
        </w:rPr>
        <w:t xml:space="preserve">The paper concludes with a set of actionable policy recommendations, including the adoption of sovereignty-first procurement standards, the development of explicit data-reversion legislation, and the assertion of regional judicial authority through the Caribbean Court of Justice as the primary arbiter of Caribbean digital jurisprudence.</w:t>
      </w:r>
    </w:p>
    <w:p>
      <w:pPr>
        <w:spacing w:after="80" w:before="0"/>
      </w:pPr>
    </w:p>
    <w:p>
      <w:pPr>
        <w:pStyle w:val="Heading1"/>
        <w:spacing w:after="160" w:before="400"/>
      </w:pPr>
      <w:r>
        <w:rPr>
          <w:rFonts w:ascii="Arial" w:cs="Arial" w:eastAsia="Arial" w:hAnsi="Arial"/>
          <w:b/>
          <w:bCs/>
          <w:color w:val="1A3557"/>
          <w:sz w:val="28"/>
          <w:szCs w:val="28"/>
        </w:rPr>
        <w:t xml:space="preserve">1.  Introduction: Naming the Problem</w:t>
      </w:r>
    </w:p>
    <w:p>
      <w:pPr>
        <w:pBdr>
          <w:bottom w:val="single" w:color="2E6DA4" w:sz="4" w:space="1"/>
        </w:pBdr>
        <w:spacing w:after="0" w:before="0"/>
      </w:pPr>
    </w:p>
    <w:p>
      <w:pPr>
        <w:spacing w:after="80" w:before="0"/>
      </w:pPr>
    </w:p>
    <w:p>
      <w:pPr>
        <w:spacing w:after="160" w:before="0" w:line="276"/>
        <w:jc w:val="both"/>
      </w:pPr>
      <w:r>
        <w:rPr>
          <w:rFonts w:ascii="Georgia" w:cs="Georgia" w:eastAsia="Georgia" w:hAnsi="Georgia"/>
          <w:color w:val="333333"/>
          <w:sz w:val="22"/>
          <w:szCs w:val="22"/>
        </w:rPr>
        <w:t xml:space="preserve">Digital governance scholarship and policy discourse in the Global South have, to date, been predominantly organised around questions of infrastructure access, connectivity, and human capital. These are legitimate and pressing concerns. Yet they risk obscuring a deeper and less visible structural problem: the legal and conceptual status of the data itself.</w:t>
      </w:r>
    </w:p>
    <w:p>
      <w:pPr>
        <w:spacing w:after="160" w:before="0" w:line="276"/>
        <w:jc w:val="both"/>
      </w:pPr>
      <w:r>
        <w:rPr>
          <w:rFonts w:ascii="Georgia" w:cs="Georgia" w:eastAsia="Georgia" w:hAnsi="Georgia"/>
          <w:color w:val="333333"/>
          <w:sz w:val="22"/>
          <w:szCs w:val="22"/>
        </w:rPr>
        <w:t xml:space="preserve">In practice, data generated by individuals, firms, civil society organisations, and sovereign institutions across the Global South is routinely treated as if it belongs to no one — as raw material available for unilateral capture, aggregation, processing, and commercial monetisation by external actors, without attribution, compensation, or jurisdictional accountability. This paper names this condition "data nullius."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2F5F8" w:val="clear"/>
            <w:tcMar>
              <w:top w:type="dxa" w:w="140"/>
              <w:left w:type="dxa" w:w="200"/>
              <w:bottom w:type="dxa" w:w="140"/>
              <w:right w:type="dxa" w:w="200"/>
            </w:tcMar>
          </w:tcPr>
          <w:p>
            <w:pPr>
              <w:spacing w:after="80" w:before="0"/>
            </w:pPr>
            <w:r>
              <w:rPr>
                <w:rFonts w:ascii="Arial" w:cs="Arial" w:eastAsia="Arial" w:hAnsi="Arial"/>
                <w:b/>
                <w:bCs/>
                <w:color w:val="2E6DA4"/>
                <w:sz w:val="20"/>
                <w:szCs w:val="20"/>
              </w:rPr>
              <w:t xml:space="preserve">Conceptual Anchor: The Digital Plantation</w:t>
            </w:r>
          </w:p>
          <w:p>
            <w:pPr>
              <w:spacing w:after="0" w:before="0" w:line="276"/>
              <w:jc w:val="both"/>
            </w:pPr>
            <w:r>
              <w:rPr>
                <w:rFonts w:ascii="Georgia" w:cs="Georgia" w:eastAsia="Georgia" w:hAnsi="Georgia"/>
                <w:i/>
                <w:iCs/>
                <w:color w:val="333333"/>
                <w:sz w:val="20"/>
                <w:szCs w:val="20"/>
              </w:rPr>
              <w:t xml:space="preserve">The "Digital Plantation" model describes the structural relationship in which Global South populations and institutions generate data that is harvested as a raw input by platform operators headquartered in the Global North, who then refine, package, and sell derivative data products — including artificial intelligence models — back to the very communities from which the underlying data was extracted. The Inniss Data Nullius Framework provides the analytical vocabulary and legal structure for contesting this extractive relationship.</w:t>
            </w:r>
          </w:p>
        </w:tc>
      </w:tr>
    </w:tbl>
    <w:p>
      <w:pPr>
        <w:spacing w:after="120" w:before="0"/>
      </w:pPr>
    </w:p>
    <w:p>
      <w:pPr>
        <w:spacing w:after="160" w:before="0" w:line="276"/>
        <w:jc w:val="both"/>
      </w:pPr>
      <w:r>
        <w:rPr>
          <w:rFonts w:ascii="Georgia" w:cs="Georgia" w:eastAsia="Georgia" w:hAnsi="Georgia"/>
          <w:color w:val="333333"/>
          <w:sz w:val="22"/>
          <w:szCs w:val="22"/>
        </w:rPr>
        <w:t xml:space="preserve">This paper introduces the Inniss Data Nullius Framework as a tool for naming, systematically analysing, and actively contesting this condition. It is addressed to policymakers, regional governance bodies, legal practitioners, and digital rights advocates in the Global South who seek a rigorous conceptual foundation for asserting data sovereignty and designing counter-measures to extractive digital relationships.</w:t>
      </w:r>
    </w:p>
    <w:p>
      <w:pPr>
        <w:spacing w:after="80" w:before="0"/>
      </w:pPr>
    </w:p>
    <w:p>
      <w:pPr>
        <w:pStyle w:val="Heading1"/>
        <w:spacing w:after="160" w:before="400"/>
      </w:pPr>
      <w:r>
        <w:rPr>
          <w:rFonts w:ascii="Arial" w:cs="Arial" w:eastAsia="Arial" w:hAnsi="Arial"/>
          <w:b/>
          <w:bCs/>
          <w:color w:val="1A3557"/>
          <w:sz w:val="28"/>
          <w:szCs w:val="28"/>
        </w:rPr>
        <w:t xml:space="preserve">2.  Canonical Definition of the Framework</w:t>
      </w:r>
    </w:p>
    <w:p>
      <w:pPr>
        <w:pBdr>
          <w:bottom w:val="single" w:color="2E6DA4" w:sz="4" w:space="1"/>
        </w:pBdr>
        <w:spacing w:after="0" w:before="0"/>
      </w:pPr>
    </w:p>
    <w:p>
      <w:pPr>
        <w:spacing w:after="8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2F5F8" w:val="clear"/>
            <w:tcMar>
              <w:top w:type="dxa" w:w="140"/>
              <w:left w:type="dxa" w:w="200"/>
              <w:bottom w:type="dxa" w:w="140"/>
              <w:right w:type="dxa" w:w="200"/>
            </w:tcMar>
          </w:tcPr>
          <w:p>
            <w:pPr>
              <w:spacing w:after="80" w:before="0"/>
            </w:pPr>
            <w:r>
              <w:rPr>
                <w:rFonts w:ascii="Arial" w:cs="Arial" w:eastAsia="Arial" w:hAnsi="Arial"/>
                <w:b/>
                <w:bCs/>
                <w:color w:val="2E6DA4"/>
                <w:sz w:val="20"/>
                <w:szCs w:val="20"/>
              </w:rPr>
              <w:t xml:space="preserve">Authoritative Definition</w:t>
            </w:r>
          </w:p>
          <w:p>
            <w:pPr>
              <w:spacing w:after="0" w:before="0" w:line="276"/>
              <w:jc w:val="both"/>
            </w:pPr>
            <w:r>
              <w:rPr>
                <w:rFonts w:ascii="Georgia" w:cs="Georgia" w:eastAsia="Georgia" w:hAnsi="Georgia"/>
                <w:i/>
                <w:iCs/>
                <w:color w:val="333333"/>
                <w:sz w:val="20"/>
                <w:szCs w:val="20"/>
              </w:rPr>
              <w:t xml:space="preserve">The Inniss Data Nullius Framework is a digital governance framework that identifies and challenges the treatment of data originating from the Global South as if it were ownerless, jurisdiction-free, and freely appropriable by external actors. It argues that contemporary digital infrastructures reproduce a legal and institutional fiction of vacancy that erases the authorship, sovereignty, and economic value of data generated by states and peoples of the Global South. The framework provides governments, regional bodies, and policy institutions with a structured method for recognising data-nullius conditions across legal, technical, and contractual environments, and for designing counter-measures that re-inscribe jurisdiction, authorship, and value claims over data. This definition is the authoritative reference for all subsequent citations.</w:t>
            </w:r>
          </w:p>
        </w:tc>
      </w:tr>
    </w:tbl>
    <w:p>
      <w:pPr>
        <w:spacing w:after="120" w:before="0"/>
      </w:pPr>
    </w:p>
    <w:p>
      <w:pPr>
        <w:spacing w:after="160" w:before="0" w:line="276"/>
        <w:jc w:val="both"/>
      </w:pPr>
      <w:r>
        <w:rPr>
          <w:rFonts w:ascii="Georgia" w:cs="Georgia" w:eastAsia="Georgia" w:hAnsi="Georgia"/>
          <w:color w:val="333333"/>
          <w:sz w:val="22"/>
          <w:szCs w:val="22"/>
        </w:rPr>
        <w:t xml:space="preserve">The framework is distinguished from adjacent scholarship in three respects. First, it shifts analytical focus from individual data privacy — the dominant frame of instruments such as the European Union's General Data Protection Regulation — to collective and sovereign authorship. Second, it identifies the fiction of vacancy as the operative legal problem, rather than the more diffuse concept of "harm." Third, it grounds its analysis in a specific and documentable historical lineage: the colonial legal doctrine of terra nullius and its contemporary digital reproduction.</w:t>
      </w:r>
    </w:p>
    <w:p>
      <w:pPr>
        <w:spacing w:after="80" w:before="0"/>
      </w:pPr>
    </w:p>
    <w:p>
      <w:pPr>
        <w:pStyle w:val="Heading1"/>
        <w:spacing w:after="160" w:before="400"/>
      </w:pPr>
      <w:r>
        <w:rPr>
          <w:rFonts w:ascii="Arial" w:cs="Arial" w:eastAsia="Arial" w:hAnsi="Arial"/>
          <w:b/>
          <w:bCs/>
          <w:color w:val="1A3557"/>
          <w:sz w:val="28"/>
          <w:szCs w:val="28"/>
        </w:rPr>
        <w:t xml:space="preserve">3.  Theoretical Lineage and Originality</w:t>
      </w:r>
    </w:p>
    <w:p>
      <w:pPr>
        <w:pBdr>
          <w:bottom w:val="single" w:color="2E6DA4" w:sz="4" w:space="1"/>
        </w:pBdr>
        <w:spacing w:after="0" w:before="0"/>
      </w:pPr>
    </w:p>
    <w:p>
      <w:pPr>
        <w:spacing w:after="80" w:before="0"/>
      </w:pPr>
    </w:p>
    <w:p>
      <w:pPr>
        <w:pStyle w:val="Heading2"/>
        <w:spacing w:after="120" w:before="320"/>
      </w:pPr>
      <w:r>
        <w:rPr>
          <w:rFonts w:ascii="Arial" w:cs="Arial" w:eastAsia="Arial" w:hAnsi="Arial"/>
          <w:b/>
          <w:bCs/>
          <w:color w:val="2E6DA4"/>
          <w:sz w:val="24"/>
          <w:szCs w:val="24"/>
        </w:rPr>
        <w:t xml:space="preserve">3.1  Terra Nullius as Doctrinal Precursor</w:t>
      </w:r>
    </w:p>
    <w:p>
      <w:pPr>
        <w:spacing w:after="160" w:before="0" w:line="276"/>
        <w:jc w:val="both"/>
      </w:pPr>
      <w:r>
        <w:rPr>
          <w:rFonts w:ascii="Georgia" w:cs="Georgia" w:eastAsia="Georgia" w:hAnsi="Georgia"/>
          <w:color w:val="333333"/>
          <w:sz w:val="22"/>
          <w:szCs w:val="22"/>
        </w:rPr>
        <w:t xml:space="preserve">The doctrine of terra nullius — Latin for "land belonging to no one" — was deployed across several centuries of European colonial expansion to assert that territories inhabited by indigenous peoples were, in legal terms, unoccupied and therefore available for sovereign appropriation. The doctrine was formally repudiated in the Australian High Court's landmark decision in Mabo v Queensland (No 2) [1992] HCA 23, which recognised the prior sovereignty of Aboriginal and Torres Strait Islander peoples. Its legacy, however, persists in the structural arrangements of international law and property rights.</w:t>
      </w:r>
    </w:p>
    <w:p>
      <w:pPr>
        <w:spacing w:after="160" w:before="0" w:line="276"/>
        <w:jc w:val="both"/>
      </w:pPr>
      <w:r>
        <w:rPr>
          <w:rFonts w:ascii="Georgia" w:cs="Georgia" w:eastAsia="Georgia" w:hAnsi="Georgia"/>
          <w:color w:val="333333"/>
          <w:sz w:val="22"/>
          <w:szCs w:val="22"/>
        </w:rPr>
        <w:t xml:space="preserve">The Inniss Data Nullius Framework argues that an analogous legal fiction now operates in the digital domain. Just as terra nullius erased the legal personhood and property claims of indigenous peoples to facilitate territorial appropriation, "data nullius" erases the authorship, jurisdictional claims, and economic entitlements of Global South states and communities to facilitate data appropriation.</w:t>
      </w:r>
    </w:p>
    <w:p>
      <w:pPr>
        <w:pStyle w:val="Heading2"/>
        <w:spacing w:after="120" w:before="320"/>
      </w:pPr>
      <w:r>
        <w:rPr>
          <w:rFonts w:ascii="Arial" w:cs="Arial" w:eastAsia="Arial" w:hAnsi="Arial"/>
          <w:b/>
          <w:bCs/>
          <w:color w:val="2E6DA4"/>
          <w:sz w:val="24"/>
          <w:szCs w:val="24"/>
        </w:rPr>
        <w:t xml:space="preserve">3.2  Relationship to Data Colonialism Scholarship</w:t>
      </w:r>
    </w:p>
    <w:p>
      <w:pPr>
        <w:spacing w:after="160" w:before="0" w:line="276"/>
        <w:jc w:val="both"/>
      </w:pPr>
      <w:r>
        <w:rPr>
          <w:rFonts w:ascii="Georgia" w:cs="Georgia" w:eastAsia="Georgia" w:hAnsi="Georgia"/>
          <w:color w:val="333333"/>
          <w:sz w:val="22"/>
          <w:szCs w:val="22"/>
        </w:rPr>
        <w:t xml:space="preserve">The framework is situated within, but analytically distinct from, the growing body of scholarship on "data colonialism" — a term used by scholars including Couldry and Mejias (2019) to describe the structural parallels between historic colonialism and contemporary data extraction. Where data colonialism scholarship is primarily sociological and critical in orientation, the Inniss Data Nullius Framework is explicitly legal-doctrinal and policy-operational. It does not merely describe exploitative patterns but provides a structured method for contesting them through law, contract, and institutional design.</w:t>
      </w:r>
    </w:p>
    <w:p>
      <w:pPr>
        <w:pStyle w:val="Heading2"/>
        <w:spacing w:after="120" w:before="320"/>
      </w:pPr>
      <w:r>
        <w:rPr>
          <w:rFonts w:ascii="Arial" w:cs="Arial" w:eastAsia="Arial" w:hAnsi="Arial"/>
          <w:b/>
          <w:bCs/>
          <w:color w:val="2E6DA4"/>
          <w:sz w:val="24"/>
          <w:szCs w:val="24"/>
        </w:rPr>
        <w:t xml:space="preserve">3.3  Originality Claim</w:t>
      </w:r>
    </w:p>
    <w:p>
      <w:pPr>
        <w:spacing w:after="160" w:before="0" w:line="276"/>
        <w:jc w:val="both"/>
      </w:pPr>
      <w:r>
        <w:rPr>
          <w:rFonts w:ascii="Georgia" w:cs="Georgia" w:eastAsia="Georgia" w:hAnsi="Georgia"/>
          <w:color w:val="333333"/>
          <w:sz w:val="22"/>
          <w:szCs w:val="22"/>
        </w:rPr>
        <w:t xml:space="preserve">The concept of data nullius as applied to Caribbean and Global South digital governance was first articulated by Dr. Abiola Inniss in a series of publications beginning in January 2026. This white paper constitutes its first formal, fully articulated, and citable academic and policy statement. The framework's originality consists in:</w:t>
      </w:r>
    </w:p>
    <w:p>
      <w:pPr>
        <w:pStyle w:val="ListParagraph"/>
        <w:numPr>
          <w:ilvl w:val="0"/>
          <w:numId w:val="2"/>
        </w:numPr>
        <w:spacing w:after="60" w:before="60" w:line="276"/>
      </w:pPr>
      <w:r>
        <w:rPr>
          <w:rFonts w:ascii="Georgia" w:cs="Georgia" w:eastAsia="Georgia" w:hAnsi="Georgia"/>
          <w:color w:val="333333"/>
          <w:sz w:val="22"/>
          <w:szCs w:val="22"/>
        </w:rPr>
        <w:t xml:space="preserve">its reorientation of digital governance analysis from individual privacy rights to collective and sovereign authorship;</w:t>
      </w:r>
    </w:p>
    <w:p>
      <w:pPr>
        <w:pStyle w:val="ListParagraph"/>
        <w:numPr>
          <w:ilvl w:val="0"/>
          <w:numId w:val="2"/>
        </w:numPr>
        <w:spacing w:after="60" w:before="60" w:line="276"/>
      </w:pPr>
      <w:r>
        <w:rPr>
          <w:rFonts w:ascii="Georgia" w:cs="Georgia" w:eastAsia="Georgia" w:hAnsi="Georgia"/>
          <w:color w:val="333333"/>
          <w:sz w:val="22"/>
          <w:szCs w:val="22"/>
        </w:rPr>
        <w:t xml:space="preserve">its naming of the fiction of vacancy as the core operative legal problem;</w:t>
      </w:r>
    </w:p>
    <w:p>
      <w:pPr>
        <w:pStyle w:val="ListParagraph"/>
        <w:numPr>
          <w:ilvl w:val="0"/>
          <w:numId w:val="2"/>
        </w:numPr>
        <w:spacing w:after="60" w:before="60" w:line="276"/>
      </w:pPr>
      <w:r>
        <w:rPr>
          <w:rFonts w:ascii="Georgia" w:cs="Georgia" w:eastAsia="Georgia" w:hAnsi="Georgia"/>
          <w:color w:val="333333"/>
          <w:sz w:val="22"/>
          <w:szCs w:val="22"/>
        </w:rPr>
        <w:t xml:space="preserve">its direct doctrinal linkage between contemporary digital governance failures and the historical colonial legal architecture of terra nullius; and</w:t>
      </w:r>
    </w:p>
    <w:p>
      <w:pPr>
        <w:pStyle w:val="ListParagraph"/>
        <w:numPr>
          <w:ilvl w:val="0"/>
          <w:numId w:val="2"/>
        </w:numPr>
        <w:spacing w:after="60" w:before="60" w:line="276"/>
      </w:pPr>
      <w:r>
        <w:rPr>
          <w:rFonts w:ascii="Georgia" w:cs="Georgia" w:eastAsia="Georgia" w:hAnsi="Georgia"/>
          <w:color w:val="333333"/>
          <w:sz w:val="22"/>
          <w:szCs w:val="22"/>
        </w:rPr>
        <w:t xml:space="preserve">its translation of theoretical critique into a structured, actionable policy methodology applicable to regional governance institutions.</w:t>
      </w:r>
    </w:p>
    <w:p>
      <w:pPr>
        <w:spacing w:after="80" w:before="0"/>
      </w:pPr>
    </w:p>
    <w:p>
      <w:pPr>
        <w:pStyle w:val="Heading1"/>
        <w:spacing w:after="160" w:before="400"/>
      </w:pPr>
      <w:r>
        <w:rPr>
          <w:rFonts w:ascii="Arial" w:cs="Arial" w:eastAsia="Arial" w:hAnsi="Arial"/>
          <w:b/>
          <w:bCs/>
          <w:color w:val="1A3557"/>
          <w:sz w:val="28"/>
          <w:szCs w:val="28"/>
        </w:rPr>
        <w:t xml:space="preserve">4.  Methodology</w:t>
      </w:r>
    </w:p>
    <w:p>
      <w:pPr>
        <w:pBdr>
          <w:bottom w:val="single" w:color="2E6DA4" w:sz="4" w:space="1"/>
        </w:pBdr>
        <w:spacing w:after="0" w:before="0"/>
      </w:pPr>
    </w:p>
    <w:p>
      <w:pPr>
        <w:spacing w:after="80" w:before="0"/>
      </w:pPr>
    </w:p>
    <w:p>
      <w:pPr>
        <w:spacing w:after="160" w:before="0" w:line="276"/>
        <w:jc w:val="both"/>
      </w:pPr>
      <w:r>
        <w:rPr>
          <w:rFonts w:ascii="Georgia" w:cs="Georgia" w:eastAsia="Georgia" w:hAnsi="Georgia"/>
          <w:color w:val="333333"/>
          <w:sz w:val="22"/>
          <w:szCs w:val="22"/>
        </w:rPr>
        <w:t xml:space="preserve">The Inniss Data Nullius Framework employs a multi-method analytical approach that integrates three established scholarly traditions.</w:t>
      </w:r>
    </w:p>
    <w:p>
      <w:pPr>
        <w:pStyle w:val="Heading2"/>
        <w:spacing w:after="120" w:before="320"/>
      </w:pPr>
      <w:r>
        <w:rPr>
          <w:rFonts w:ascii="Arial" w:cs="Arial" w:eastAsia="Arial" w:hAnsi="Arial"/>
          <w:b/>
          <w:bCs/>
          <w:color w:val="2E6DA4"/>
          <w:sz w:val="24"/>
          <w:szCs w:val="24"/>
        </w:rPr>
        <w:t xml:space="preserve">4.1  Legal Doctrinal Analysis</w:t>
      </w:r>
    </w:p>
    <w:p>
      <w:pPr>
        <w:spacing w:after="160" w:before="0" w:line="276"/>
        <w:jc w:val="both"/>
      </w:pPr>
      <w:r>
        <w:rPr>
          <w:rFonts w:ascii="Georgia" w:cs="Georgia" w:eastAsia="Georgia" w:hAnsi="Georgia"/>
          <w:color w:val="333333"/>
          <w:sz w:val="22"/>
          <w:szCs w:val="22"/>
        </w:rPr>
        <w:t xml:space="preserve">The framework draws on legal doctrinal method to trace the historical development of terra nullius and its jurisprudential repudiation, and to map analogous structures in contemporary digital law. This includes systematic analysis of platform terms of service, cloud services agreements, international digital trade frameworks, and regional intellectual property regimes, with particular attention to provisions that operationalise jurisdictional vacancy — whether explicitly or through structural omission.</w:t>
      </w:r>
    </w:p>
    <w:p>
      <w:pPr>
        <w:pStyle w:val="Heading2"/>
        <w:spacing w:after="120" w:before="320"/>
      </w:pPr>
      <w:r>
        <w:rPr>
          <w:rFonts w:ascii="Arial" w:cs="Arial" w:eastAsia="Arial" w:hAnsi="Arial"/>
          <w:b/>
          <w:bCs/>
          <w:color w:val="2E6DA4"/>
          <w:sz w:val="24"/>
          <w:szCs w:val="24"/>
        </w:rPr>
        <w:t xml:space="preserve">4.2  Institutional Gap Analysis</w:t>
      </w:r>
    </w:p>
    <w:p>
      <w:pPr>
        <w:spacing w:after="160" w:before="0" w:line="276"/>
        <w:jc w:val="both"/>
      </w:pPr>
      <w:r>
        <w:rPr>
          <w:rFonts w:ascii="Georgia" w:cs="Georgia" w:eastAsia="Georgia" w:hAnsi="Georgia"/>
          <w:color w:val="333333"/>
          <w:sz w:val="22"/>
          <w:szCs w:val="22"/>
        </w:rPr>
        <w:t xml:space="preserve">The framework employs institutional analysis to identify the specific policy, legislative, and capacity gaps through which data-nullius conditions are sustained. Central to this analysis is the concept of the Execution Gap — the observable and recurring failure of Global South governmental institutions to operationalise stated digital governance policy goals. The Execution Gap is treated not merely as an administrative deficiency but as a structural condition with identifiable causes: constrained institutional capacity, dependency on externally designed legal templates, and the absence of politically accountable enforcement mechanisms.</w:t>
      </w:r>
    </w:p>
    <w:p>
      <w:pPr>
        <w:pStyle w:val="Heading2"/>
        <w:spacing w:after="120" w:before="320"/>
      </w:pPr>
      <w:r>
        <w:rPr>
          <w:rFonts w:ascii="Arial" w:cs="Arial" w:eastAsia="Arial" w:hAnsi="Arial"/>
          <w:b/>
          <w:bCs/>
          <w:color w:val="2E6DA4"/>
          <w:sz w:val="24"/>
          <w:szCs w:val="24"/>
        </w:rPr>
        <w:t xml:space="preserve">4.3  Comparative Regional Case Analysis</w:t>
      </w:r>
    </w:p>
    <w:p>
      <w:pPr>
        <w:spacing w:after="160" w:before="0" w:line="276"/>
        <w:jc w:val="both"/>
      </w:pPr>
      <w:r>
        <w:rPr>
          <w:rFonts w:ascii="Georgia" w:cs="Georgia" w:eastAsia="Georgia" w:hAnsi="Georgia"/>
          <w:color w:val="333333"/>
          <w:sz w:val="22"/>
          <w:szCs w:val="22"/>
        </w:rPr>
        <w:t xml:space="preserve">The framework is developed through comparative analysis of governance contexts in the Caribbean and the African continent, where the convergence of legacy legal frameworks, constrained institutional capacity, and platform market dominance produces particularly acute data-nullius conditions. The Caribbean context, governed in part through CARICOM institutional architecture and the Caribbean Telecommunications Union (CTU), serves as the primary empirical reference point for the policy recommendations advanced in Section 6.</w:t>
      </w:r>
    </w:p>
    <w:p>
      <w:pPr>
        <w:spacing w:after="80" w:before="0"/>
      </w:pPr>
    </w:p>
    <w:p>
      <w:pPr>
        <w:pStyle w:val="Heading1"/>
        <w:spacing w:after="160" w:before="400"/>
      </w:pPr>
      <w:r>
        <w:rPr>
          <w:rFonts w:ascii="Arial" w:cs="Arial" w:eastAsia="Arial" w:hAnsi="Arial"/>
          <w:b/>
          <w:bCs/>
          <w:color w:val="1A3557"/>
          <w:sz w:val="28"/>
          <w:szCs w:val="28"/>
        </w:rPr>
        <w:t xml:space="preserve">5.  The Three Pillars of Data Nullius</w:t>
      </w:r>
    </w:p>
    <w:p>
      <w:pPr>
        <w:pBdr>
          <w:bottom w:val="single" w:color="2E6DA4" w:sz="4" w:space="1"/>
        </w:pBdr>
        <w:spacing w:after="0" w:before="0"/>
      </w:pPr>
    </w:p>
    <w:p>
      <w:pPr>
        <w:spacing w:after="80" w:before="0"/>
      </w:pPr>
    </w:p>
    <w:p>
      <w:pPr>
        <w:spacing w:after="160" w:before="0" w:line="276"/>
        <w:jc w:val="both"/>
      </w:pPr>
      <w:r>
        <w:rPr>
          <w:rFonts w:ascii="Georgia" w:cs="Georgia" w:eastAsia="Georgia" w:hAnsi="Georgia"/>
          <w:color w:val="333333"/>
          <w:sz w:val="22"/>
          <w:szCs w:val="22"/>
        </w:rPr>
        <w:t xml:space="preserve">The framework identifies three primary dimensions through which the legal and institutional fiction of data vacancy is operationalised. These dimensions are not mutually exclusive; in practice, they operate in combination and reinforce one another.</w:t>
      </w:r>
    </w:p>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1"/>
              <w:left w:val="single" w:color="CCCCCC" w:sz="1"/>
              <w:bottom w:val="single" w:color="CCCCCC" w:sz="1"/>
              <w:right w:val="single" w:color="CCCCCC" w:sz="1"/>
            </w:tcBorders>
            <w:shd w:fill="1A3557" w:val="clear"/>
            <w:tcMar>
              <w:top w:type="dxa" w:w="100"/>
              <w:left w:type="dxa" w:w="160"/>
              <w:bottom w:type="dxa" w:w="100"/>
              <w:right w:type="dxa" w:w="160"/>
            </w:tcMar>
          </w:tcPr>
          <w:p>
            <w:r>
              <w:rPr>
                <w:rFonts w:ascii="Arial" w:cs="Arial" w:eastAsia="Arial" w:hAnsi="Arial"/>
                <w:b/>
                <w:bCs/>
                <w:color w:val="FFFFFF"/>
                <w:sz w:val="22"/>
                <w:szCs w:val="22"/>
              </w:rPr>
              <w:t xml:space="preserve">Pillar</w:t>
            </w:r>
          </w:p>
        </w:tc>
        <w:tc>
          <w:tcPr>
            <w:tcW w:type="dxa" w:w="7160"/>
            <w:tcBorders>
              <w:top w:val="single" w:color="CCCCCC" w:sz="1"/>
              <w:left w:val="single" w:color="CCCCCC" w:sz="1"/>
              <w:bottom w:val="single" w:color="CCCCCC" w:sz="1"/>
              <w:right w:val="single" w:color="CCCCCC" w:sz="1"/>
            </w:tcBorders>
            <w:shd w:fill="1A3557" w:val="clear"/>
            <w:tcMar>
              <w:top w:type="dxa" w:w="100"/>
              <w:left w:type="dxa" w:w="160"/>
              <w:bottom w:type="dxa" w:w="100"/>
              <w:right w:type="dxa" w:w="160"/>
            </w:tcMar>
          </w:tcPr>
          <w:p>
            <w:r>
              <w:rPr>
                <w:rFonts w:ascii="Arial" w:cs="Arial" w:eastAsia="Arial" w:hAnsi="Arial"/>
                <w:b/>
                <w:bCs/>
                <w:color w:val="FFFFFF"/>
                <w:sz w:val="22"/>
                <w:szCs w:val="22"/>
              </w:rPr>
              <w:t xml:space="preserve">Operative Mechanisms</w:t>
            </w:r>
          </w:p>
        </w:tc>
      </w:tr>
      <w:tr>
        <w:tc>
          <w:tcPr>
            <w:tcW w:type="dxa" w:w="2200"/>
            <w:tcBorders>
              <w:top w:val="single" w:color="CCCCCC" w:sz="1"/>
              <w:left w:val="single" w:color="CCCCCC" w:sz="1"/>
              <w:bottom w:val="single" w:color="CCCCCC" w:sz="1"/>
              <w:right w:val="single" w:color="CCCCCC" w:sz="1"/>
            </w:tcBorders>
            <w:shd w:fill="F2F5F8" w:val="clear"/>
            <w:tcMar>
              <w:top w:type="dxa" w:w="120"/>
              <w:left w:type="dxa" w:w="160"/>
              <w:bottom w:type="dxa" w:w="120"/>
              <w:right w:type="dxa" w:w="160"/>
            </w:tcMar>
            <w:vAlign w:val="center"/>
          </w:tcPr>
          <w:p>
            <w:r>
              <w:rPr>
                <w:rFonts w:ascii="Arial" w:cs="Arial" w:eastAsia="Arial" w:hAnsi="Arial"/>
                <w:b/>
                <w:bCs/>
                <w:color w:val="1A3557"/>
                <w:sz w:val="20"/>
                <w:szCs w:val="20"/>
              </w:rPr>
              <w:t xml:space="preserve">Pillar I — Legal Fictions</w:t>
            </w:r>
          </w:p>
        </w:tc>
        <w:tc>
          <w:tcPr>
            <w:tcW w:type="dxa" w:w="7160"/>
            <w:tcBorders>
              <w:top w:val="single" w:color="CCCCCC" w:sz="1"/>
              <w:left w:val="single" w:color="CCCCCC" w:sz="1"/>
              <w:bottom w:val="single" w:color="CCCCCC" w:sz="1"/>
              <w:right w:val="single" w:color="CCCCCC" w:sz="1"/>
            </w:tcBorders>
            <w:shd w:fill="F2F5F8" w:val="clear"/>
            <w:tcMar>
              <w:top w:type="dxa" w:w="120"/>
              <w:left w:type="dxa" w:w="160"/>
              <w:bottom w:type="dxa" w:w="120"/>
              <w:right w:type="dxa" w:w="160"/>
            </w:tcMar>
          </w:tcPr>
          <w:p>
            <w:pPr>
              <w:pStyle w:val="ListParagraph"/>
              <w:numPr>
                <w:ilvl w:val="0"/>
                <w:numId w:val="3"/>
              </w:numPr>
              <w:spacing w:after="40" w:before="40"/>
            </w:pPr>
            <w:r>
              <w:rPr>
                <w:rFonts w:ascii="Georgia" w:cs="Georgia" w:eastAsia="Georgia" w:hAnsi="Georgia"/>
                <w:color w:val="333333"/>
                <w:sz w:val="20"/>
                <w:szCs w:val="20"/>
              </w:rPr>
              <w:t xml:space="preserve">Platform Terms of Service grant unilateral data rights to platform operators, absent negotiated sovereignty carve-outs.</w:t>
            </w:r>
          </w:p>
          <w:p>
            <w:pPr>
              <w:pStyle w:val="ListParagraph"/>
              <w:numPr>
                <w:ilvl w:val="0"/>
                <w:numId w:val="3"/>
              </w:numPr>
              <w:spacing w:after="40" w:before="40"/>
            </w:pPr>
            <w:r>
              <w:rPr>
                <w:rFonts w:ascii="Georgia" w:cs="Georgia" w:eastAsia="Georgia" w:hAnsi="Georgia"/>
                <w:color w:val="333333"/>
                <w:sz w:val="20"/>
                <w:szCs w:val="20"/>
              </w:rPr>
              <w:t xml:space="preserve">Choice-of-Law and Jurisdiction Clauses systematically route disputes to foreign courts, bypassing Caribbean and African legal systems.</w:t>
            </w:r>
          </w:p>
          <w:p>
            <w:pPr>
              <w:pStyle w:val="ListParagraph"/>
              <w:numPr>
                <w:ilvl w:val="0"/>
                <w:numId w:val="3"/>
              </w:numPr>
              <w:spacing w:after="40" w:before="40"/>
            </w:pPr>
            <w:r>
              <w:rPr>
                <w:rFonts w:ascii="Georgia" w:cs="Georgia" w:eastAsia="Georgia" w:hAnsi="Georgia"/>
                <w:color w:val="333333"/>
                <w:sz w:val="20"/>
                <w:szCs w:val="20"/>
              </w:rPr>
              <w:t xml:space="preserve">Legacy Intellectual Property Regimes fail to recognise collective, communal, or sovereign-state data claims, defaulting instead to individual property frameworks derived from Northern legal traditions.</w:t>
            </w:r>
          </w:p>
        </w:tc>
      </w:tr>
      <w:tr>
        <w:tc>
          <w:tcPr>
            <w:tcW w:type="dxa" w:w="2200"/>
            <w:tcBorders>
              <w:top w:val="single" w:color="CCCCCC" w:sz="1"/>
              <w:left w:val="single" w:color="CCCCCC" w:sz="1"/>
              <w:bottom w:val="single" w:color="CCCCCC" w:sz="1"/>
              <w:right w:val="single" w:color="CCCCCC" w:sz="1"/>
            </w:tcBorders>
            <w:shd w:fill="FFFFFF" w:val="clear"/>
            <w:tcMar>
              <w:top w:type="dxa" w:w="120"/>
              <w:left w:type="dxa" w:w="160"/>
              <w:bottom w:type="dxa" w:w="120"/>
              <w:right w:type="dxa" w:w="160"/>
            </w:tcMar>
            <w:vAlign w:val="center"/>
          </w:tcPr>
          <w:p>
            <w:r>
              <w:rPr>
                <w:rFonts w:ascii="Arial" w:cs="Arial" w:eastAsia="Arial" w:hAnsi="Arial"/>
                <w:b/>
                <w:bCs/>
                <w:color w:val="1A3557"/>
                <w:sz w:val="20"/>
                <w:szCs w:val="20"/>
              </w:rPr>
              <w:t xml:space="preserve">Pillar II — Technical Architectures</w:t>
            </w:r>
          </w:p>
        </w:tc>
        <w:tc>
          <w:tcPr>
            <w:tcW w:type="dxa" w:w="7160"/>
            <w:tcBorders>
              <w:top w:val="single" w:color="CCCCCC" w:sz="1"/>
              <w:left w:val="single" w:color="CCCCCC" w:sz="1"/>
              <w:bottom w:val="single" w:color="CCCCCC" w:sz="1"/>
              <w:right w:val="single" w:color="CCCCCC" w:sz="1"/>
            </w:tcBorders>
            <w:shd w:fill="FFFFFF" w:val="clear"/>
            <w:tcMar>
              <w:top w:type="dxa" w:w="120"/>
              <w:left w:type="dxa" w:w="160"/>
              <w:bottom w:type="dxa" w:w="120"/>
              <w:right w:type="dxa" w:w="160"/>
            </w:tcMar>
          </w:tcPr>
          <w:p>
            <w:pPr>
              <w:pStyle w:val="ListParagraph"/>
              <w:numPr>
                <w:ilvl w:val="0"/>
                <w:numId w:val="3"/>
              </w:numPr>
              <w:spacing w:after="40" w:before="40"/>
            </w:pPr>
            <w:r>
              <w:rPr>
                <w:rFonts w:ascii="Georgia" w:cs="Georgia" w:eastAsia="Georgia" w:hAnsi="Georgia"/>
                <w:color w:val="333333"/>
                <w:sz w:val="20"/>
                <w:szCs w:val="20"/>
              </w:rPr>
              <w:t xml:space="preserve">Offshore Data Routing causes data to bypass national network infrastructure, undermining regulatory visibility.</w:t>
            </w:r>
          </w:p>
          <w:p>
            <w:pPr>
              <w:pStyle w:val="ListParagraph"/>
              <w:numPr>
                <w:ilvl w:val="0"/>
                <w:numId w:val="3"/>
              </w:numPr>
              <w:spacing w:after="40" w:before="40"/>
            </w:pPr>
            <w:r>
              <w:rPr>
                <w:rFonts w:ascii="Georgia" w:cs="Georgia" w:eastAsia="Georgia" w:hAnsi="Georgia"/>
                <w:color w:val="333333"/>
                <w:sz w:val="20"/>
                <w:szCs w:val="20"/>
              </w:rPr>
              <w:t xml:space="preserve">Data De-contextualisation strips cultural, geographic, and linguistic markers from datasets prior to AI training, erasing authorship attribution.</w:t>
            </w:r>
          </w:p>
          <w:p>
            <w:pPr>
              <w:pStyle w:val="ListParagraph"/>
              <w:numPr>
                <w:ilvl w:val="0"/>
                <w:numId w:val="3"/>
              </w:numPr>
              <w:spacing w:after="40" w:before="40"/>
            </w:pPr>
            <w:r>
              <w:rPr>
                <w:rFonts w:ascii="Georgia" w:cs="Georgia" w:eastAsia="Georgia" w:hAnsi="Georgia"/>
                <w:color w:val="333333"/>
                <w:sz w:val="20"/>
                <w:szCs w:val="20"/>
              </w:rPr>
              <w:t xml:space="preserve">Cloud Opacity places storage and processing entirely outside national jurisdiction, rendering regulatory enforcement practically inert.</w:t>
            </w:r>
          </w:p>
        </w:tc>
      </w:tr>
      <w:tr>
        <w:tc>
          <w:tcPr>
            <w:tcW w:type="dxa" w:w="2200"/>
            <w:tcBorders>
              <w:top w:val="single" w:color="CCCCCC" w:sz="1"/>
              <w:left w:val="single" w:color="CCCCCC" w:sz="1"/>
              <w:bottom w:val="single" w:color="CCCCCC" w:sz="1"/>
              <w:right w:val="single" w:color="CCCCCC" w:sz="1"/>
            </w:tcBorders>
            <w:shd w:fill="F2F5F8" w:val="clear"/>
            <w:tcMar>
              <w:top w:type="dxa" w:w="120"/>
              <w:left w:type="dxa" w:w="160"/>
              <w:bottom w:type="dxa" w:w="120"/>
              <w:right w:type="dxa" w:w="160"/>
            </w:tcMar>
            <w:vAlign w:val="center"/>
          </w:tcPr>
          <w:p>
            <w:r>
              <w:rPr>
                <w:rFonts w:ascii="Arial" w:cs="Arial" w:eastAsia="Arial" w:hAnsi="Arial"/>
                <w:b/>
                <w:bCs/>
                <w:color w:val="1A3557"/>
                <w:sz w:val="20"/>
                <w:szCs w:val="20"/>
              </w:rPr>
              <w:t xml:space="preserve">Pillar III — Institutional Silence</w:t>
            </w:r>
          </w:p>
        </w:tc>
        <w:tc>
          <w:tcPr>
            <w:tcW w:type="dxa" w:w="7160"/>
            <w:tcBorders>
              <w:top w:val="single" w:color="CCCCCC" w:sz="1"/>
              <w:left w:val="single" w:color="CCCCCC" w:sz="1"/>
              <w:bottom w:val="single" w:color="CCCCCC" w:sz="1"/>
              <w:right w:val="single" w:color="CCCCCC" w:sz="1"/>
            </w:tcBorders>
            <w:shd w:fill="F2F5F8" w:val="clear"/>
            <w:tcMar>
              <w:top w:type="dxa" w:w="120"/>
              <w:left w:type="dxa" w:w="160"/>
              <w:bottom w:type="dxa" w:w="120"/>
              <w:right w:type="dxa" w:w="160"/>
            </w:tcMar>
          </w:tcPr>
          <w:p>
            <w:pPr>
              <w:pStyle w:val="ListParagraph"/>
              <w:numPr>
                <w:ilvl w:val="0"/>
                <w:numId w:val="3"/>
              </w:numPr>
              <w:spacing w:after="40" w:before="40"/>
            </w:pPr>
            <w:r>
              <w:rPr>
                <w:rFonts w:ascii="Georgia" w:cs="Georgia" w:eastAsia="Georgia" w:hAnsi="Georgia"/>
                <w:color w:val="333333"/>
                <w:sz w:val="20"/>
                <w:szCs w:val="20"/>
              </w:rPr>
              <w:t xml:space="preserve">Absence of explicit Data Sovereignty Legislation creates a de facto legal vacuum that international actors interpret as jurisdictional permission.</w:t>
            </w:r>
          </w:p>
          <w:p>
            <w:pPr>
              <w:pStyle w:val="ListParagraph"/>
              <w:numPr>
                <w:ilvl w:val="0"/>
                <w:numId w:val="3"/>
              </w:numPr>
              <w:spacing w:after="40" w:before="40"/>
            </w:pPr>
            <w:r>
              <w:rPr>
                <w:rFonts w:ascii="Georgia" w:cs="Georgia" w:eastAsia="Georgia" w:hAnsi="Georgia"/>
                <w:color w:val="333333"/>
                <w:sz w:val="20"/>
                <w:szCs w:val="20"/>
              </w:rPr>
              <w:t xml:space="preserve">Weak Procurement Standards in government contracting embed data-nullius assumptions into the foundational relationship between states and technology vendors.</w:t>
            </w:r>
          </w:p>
          <w:p>
            <w:pPr>
              <w:pStyle w:val="ListParagraph"/>
              <w:numPr>
                <w:ilvl w:val="0"/>
                <w:numId w:val="3"/>
              </w:numPr>
              <w:spacing w:after="40" w:before="40"/>
            </w:pPr>
            <w:r>
              <w:rPr>
                <w:rFonts w:ascii="Georgia" w:cs="Georgia" w:eastAsia="Georgia" w:hAnsi="Georgia"/>
                <w:color w:val="333333"/>
                <w:sz w:val="20"/>
                <w:szCs w:val="20"/>
              </w:rPr>
              <w:t xml:space="preserve">The Execution Gap — the systemic failure to operationalise stated digital policy goals — perpetuates silence as a structural condition rather than an anomaly.</w:t>
            </w:r>
          </w:p>
        </w:tc>
      </w:tr>
    </w:tbl>
    <w:p>
      <w:pPr>
        <w:spacing w:after="200" w:before="0"/>
      </w:pPr>
    </w:p>
    <w:p>
      <w:pPr>
        <w:pStyle w:val="Heading2"/>
        <w:spacing w:after="120" w:before="320"/>
      </w:pPr>
      <w:r>
        <w:rPr>
          <w:rFonts w:ascii="Arial" w:cs="Arial" w:eastAsia="Arial" w:hAnsi="Arial"/>
          <w:b/>
          <w:bCs/>
          <w:color w:val="2E6DA4"/>
          <w:sz w:val="24"/>
          <w:szCs w:val="24"/>
        </w:rPr>
        <w:t xml:space="preserve">5.1  Pillar I: Legal Fictions</w:t>
      </w:r>
    </w:p>
    <w:p>
      <w:pPr>
        <w:spacing w:after="160" w:before="0" w:line="276"/>
        <w:jc w:val="both"/>
      </w:pPr>
      <w:r>
        <w:rPr>
          <w:rFonts w:ascii="Georgia" w:cs="Georgia" w:eastAsia="Georgia" w:hAnsi="Georgia"/>
          <w:color w:val="333333"/>
          <w:sz w:val="22"/>
          <w:szCs w:val="22"/>
        </w:rPr>
        <w:t xml:space="preserve">Legal data-nullius conditions are primarily produced through three classes of instrument. Platform Terms of Service routinely include provisions by which users — including sovereign government entities — assign broad data rights to the platform operator, absent any negotiated sovereignty reservation. Choice-of-Law and Jurisdiction Clauses systematically route any dispute arising from data-related arrangements to courts in foreign jurisdictions, typically in the United States or the European Union, effectively placing Caribbean and African states in the position of litigating their own data rights in legal systems that have no accountability to them.</w:t>
      </w:r>
    </w:p>
    <w:p>
      <w:pPr>
        <w:spacing w:after="160" w:before="0" w:line="276"/>
        <w:jc w:val="both"/>
      </w:pPr>
      <w:r>
        <w:rPr>
          <w:rFonts w:ascii="Georgia" w:cs="Georgia" w:eastAsia="Georgia" w:hAnsi="Georgia"/>
          <w:color w:val="333333"/>
          <w:sz w:val="22"/>
          <w:szCs w:val="22"/>
        </w:rPr>
        <w:t xml:space="preserve">Most fundamentally, the legacy intellectual property frameworks inherited from colonial legal systems — including those operative across the Caribbean through CARICOM harmonisation efforts — fail to recognise collective, communal, or sovereign data authorship. These frameworks were designed within individual property rights paradigms that are structurally ill-suited to the assertion of state or community data claims.</w:t>
      </w:r>
    </w:p>
    <w:p>
      <w:pPr>
        <w:pStyle w:val="Heading2"/>
        <w:spacing w:after="120" w:before="320"/>
      </w:pPr>
      <w:r>
        <w:rPr>
          <w:rFonts w:ascii="Arial" w:cs="Arial" w:eastAsia="Arial" w:hAnsi="Arial"/>
          <w:b/>
          <w:bCs/>
          <w:color w:val="2E6DA4"/>
          <w:sz w:val="24"/>
          <w:szCs w:val="24"/>
        </w:rPr>
        <w:t xml:space="preserve">5.2  Pillar II: Technical Architectures</w:t>
      </w:r>
    </w:p>
    <w:p>
      <w:pPr>
        <w:spacing w:after="160" w:before="0" w:line="276"/>
        <w:jc w:val="both"/>
      </w:pPr>
      <w:r>
        <w:rPr>
          <w:rFonts w:ascii="Georgia" w:cs="Georgia" w:eastAsia="Georgia" w:hAnsi="Georgia"/>
          <w:color w:val="333333"/>
          <w:sz w:val="22"/>
          <w:szCs w:val="22"/>
        </w:rPr>
        <w:t xml:space="preserve">Technical data-nullius conditions are embedded in the architecture of contemporary digital infrastructure. Offshore Data Routing causes data generated within a national territory to transit, be processed, and be stored entirely outside that territory, removing it from the reach of national regulatory jurisdiction at the point of greatest commercial value creation. Data De-contextualisation — the stripping of cultural, geographic, and linguistic markers from datasets prior to their incorporation into AI training sets — erases authorship attribution and transforms data generated by a specific community into a jurisdiction-free, author-free input commodity.</w:t>
      </w:r>
    </w:p>
    <w:p>
      <w:pPr>
        <w:spacing w:after="160" w:before="0" w:line="276"/>
        <w:jc w:val="both"/>
      </w:pPr>
      <w:r>
        <w:rPr>
          <w:rFonts w:ascii="Georgia" w:cs="Georgia" w:eastAsia="Georgia" w:hAnsi="Georgia"/>
          <w:color w:val="333333"/>
          <w:sz w:val="22"/>
          <w:szCs w:val="22"/>
        </w:rPr>
        <w:t xml:space="preserve">Cloud Opacity compounds these effects by placing storage and processing in infrastructure located outside national jurisdiction and governed by contractual arrangements that prioritise the platform operator's rights. The result is that the state has, in practice, neither visibility into nor regulatory authority over data generated by its own population.</w:t>
      </w:r>
    </w:p>
    <w:p>
      <w:pPr>
        <w:pStyle w:val="Heading2"/>
        <w:spacing w:after="120" w:before="320"/>
      </w:pPr>
      <w:r>
        <w:rPr>
          <w:rFonts w:ascii="Arial" w:cs="Arial" w:eastAsia="Arial" w:hAnsi="Arial"/>
          <w:b/>
          <w:bCs/>
          <w:color w:val="2E6DA4"/>
          <w:sz w:val="24"/>
          <w:szCs w:val="24"/>
        </w:rPr>
        <w:t xml:space="preserve">5.3  Pillar III: Institutional Silence and the Execution Gap</w:t>
      </w:r>
    </w:p>
    <w:p>
      <w:pPr>
        <w:spacing w:after="160" w:before="0" w:line="276"/>
        <w:jc w:val="both"/>
      </w:pPr>
      <w:r>
        <w:rPr>
          <w:rFonts w:ascii="Georgia" w:cs="Georgia" w:eastAsia="Georgia" w:hAnsi="Georgia"/>
          <w:color w:val="333333"/>
          <w:sz w:val="22"/>
          <w:szCs w:val="22"/>
        </w:rPr>
        <w:t xml:space="preserve">The third pillar is perhaps the most consequential because it is the most remediable. Institutional silence — the absence of explicit data sovereignty legislation, robust procurement standards, and operational enforcement mechanisms — is not merely an oversight but is actively interpreted by platform operators and international counterparties as jurisdictional consent. This silence has a specific structural cause: the Execution Gap.</w:t>
      </w:r>
    </w:p>
    <w:p>
      <w:pPr>
        <w:spacing w:after="160" w:before="0" w:line="276"/>
        <w:jc w:val="both"/>
      </w:pPr>
      <w:r>
        <w:rPr>
          <w:rFonts w:ascii="Georgia" w:cs="Georgia" w:eastAsia="Georgia" w:hAnsi="Georgia"/>
          <w:color w:val="333333"/>
          <w:sz w:val="22"/>
          <w:szCs w:val="22"/>
        </w:rPr>
        <w:t xml:space="preserve">The Execution Gap describes the systemic and recurring failure of governmental and regional institutions to translate digital governance policy commitments into operational legal, regulatory, and contractual reality. It is the gap between a government stating that it values data sovereignty and that same government failing to embed data sovereignty clauses in its cloud procurement contracts; between a regional body adopting an AI Policy Roadmap and member states failing to implement its provisions into domestic law. Closing the Execution Gap is the central practical challenge to which this framework is addressed.</w:t>
      </w:r>
    </w:p>
    <w:p>
      <w:pPr>
        <w:spacing w:after="80" w:before="0"/>
      </w:pPr>
    </w:p>
    <w:p>
      <w:pPr>
        <w:pStyle w:val="Heading1"/>
        <w:spacing w:after="160" w:before="400"/>
      </w:pPr>
      <w:r>
        <w:rPr>
          <w:rFonts w:ascii="Arial" w:cs="Arial" w:eastAsia="Arial" w:hAnsi="Arial"/>
          <w:b/>
          <w:bCs/>
          <w:color w:val="1A3557"/>
          <w:sz w:val="28"/>
          <w:szCs w:val="28"/>
        </w:rPr>
        <w:t xml:space="preserve">6.  Illustrative Case Applications</w:t>
      </w:r>
    </w:p>
    <w:p>
      <w:pPr>
        <w:pBdr>
          <w:bottom w:val="single" w:color="2E6DA4" w:sz="4" w:space="1"/>
        </w:pBdr>
        <w:spacing w:after="0" w:before="0"/>
      </w:pPr>
    </w:p>
    <w:p>
      <w:pPr>
        <w:spacing w:after="80" w:before="0"/>
      </w:pPr>
    </w:p>
    <w:p>
      <w:pPr>
        <w:pStyle w:val="Heading2"/>
        <w:spacing w:after="120" w:before="320"/>
      </w:pPr>
      <w:r>
        <w:rPr>
          <w:rFonts w:ascii="Arial" w:cs="Arial" w:eastAsia="Arial" w:hAnsi="Arial"/>
          <w:b/>
          <w:bCs/>
          <w:color w:val="2E6DA4"/>
          <w:sz w:val="24"/>
          <w:szCs w:val="24"/>
        </w:rPr>
        <w:t xml:space="preserve">6.1  Caribbean Education Technology</w:t>
      </w:r>
    </w:p>
    <w:p>
      <w:pPr>
        <w:spacing w:after="160" w:before="0" w:line="276"/>
        <w:jc w:val="both"/>
      </w:pPr>
      <w:r>
        <w:rPr>
          <w:rFonts w:ascii="Georgia" w:cs="Georgia" w:eastAsia="Georgia" w:hAnsi="Georgia"/>
          <w:color w:val="333333"/>
          <w:sz w:val="22"/>
          <w:szCs w:val="22"/>
        </w:rPr>
        <w:t xml:space="preserve">A regional educational platform operating across several CARICOM member states stores all student data — including assessment records, learning profiles, and behavioural metrics — exclusively on servers located in the United States. The contractual terms of service grant the platform operator the right to re-use and commercially monetise the data, including for the training of artificial intelligence models. The ministries of education of the participating states retain no formal authorship claim, no audit right, and no termination-triggered data return mechanism. This constitutes a textbook data-nullius condition produced through the convergence of all three pillars: a legal instrument that assigns data rights; a technical architecture that removes data from national jurisdiction; and an institutional procurement process that failed to assert sovereignty.</w:t>
      </w:r>
    </w:p>
    <w:p>
      <w:pPr>
        <w:pStyle w:val="Heading2"/>
        <w:spacing w:after="120" w:before="320"/>
      </w:pPr>
      <w:r>
        <w:rPr>
          <w:rFonts w:ascii="Arial" w:cs="Arial" w:eastAsia="Arial" w:hAnsi="Arial"/>
          <w:b/>
          <w:bCs/>
          <w:color w:val="2E6DA4"/>
          <w:sz w:val="24"/>
          <w:szCs w:val="24"/>
        </w:rPr>
        <w:t xml:space="preserve">6.2  Global South Data in AI Development</w:t>
      </w:r>
    </w:p>
    <w:p>
      <w:pPr>
        <w:spacing w:after="160" w:before="0" w:line="276"/>
        <w:jc w:val="both"/>
      </w:pPr>
      <w:r>
        <w:rPr>
          <w:rFonts w:ascii="Georgia" w:cs="Georgia" w:eastAsia="Georgia" w:hAnsi="Georgia"/>
          <w:color w:val="333333"/>
          <w:sz w:val="22"/>
          <w:szCs w:val="22"/>
        </w:rPr>
        <w:t xml:space="preserve">Public health records, financial transaction data, agricultural datasets, and social media content generated across the Global South are routinely harvested — through both direct licensing and de facto appropriation — to train large language models and other AI systems developed by corporations headquartered in the United States and, to a lesser degree, China and the European Union. The data is treated as a costless input: no licensing fee is paid to the states whose populations generated the data, no royalty mechanism is operative, and no recognition of sovereign authorship is recorded. The resulting AI systems are then licensed back to the same states and communities from which the training data was taken, at commercial rates. This constitutes a data-nullius condition of structural, systemic scale.</w:t>
      </w:r>
    </w:p>
    <w:p>
      <w:pPr>
        <w:spacing w:after="80" w:before="0"/>
      </w:pPr>
    </w:p>
    <w:p>
      <w:pPr>
        <w:pStyle w:val="Heading1"/>
        <w:spacing w:after="160" w:before="400"/>
      </w:pPr>
      <w:r>
        <w:rPr>
          <w:rFonts w:ascii="Arial" w:cs="Arial" w:eastAsia="Arial" w:hAnsi="Arial"/>
          <w:b/>
          <w:bCs/>
          <w:color w:val="1A3557"/>
          <w:sz w:val="28"/>
          <w:szCs w:val="28"/>
        </w:rPr>
        <w:t xml:space="preserve">7.  Policy Recommendations: Reclaiming Sovereignty</w:t>
      </w:r>
    </w:p>
    <w:p>
      <w:pPr>
        <w:pBdr>
          <w:bottom w:val="single" w:color="2E6DA4" w:sz="4" w:space="1"/>
        </w:pBdr>
        <w:spacing w:after="0" w:before="0"/>
      </w:pPr>
    </w:p>
    <w:p>
      <w:pPr>
        <w:spacing w:after="8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2F5F8" w:val="clear"/>
            <w:tcMar>
              <w:top w:type="dxa" w:w="140"/>
              <w:left w:type="dxa" w:w="200"/>
              <w:bottom w:type="dxa" w:w="140"/>
              <w:right w:type="dxa" w:w="200"/>
            </w:tcMar>
          </w:tcPr>
          <w:p>
            <w:pPr>
              <w:spacing w:after="80" w:before="0"/>
            </w:pPr>
            <w:r>
              <w:rPr>
                <w:rFonts w:ascii="Arial" w:cs="Arial" w:eastAsia="Arial" w:hAnsi="Arial"/>
                <w:b/>
                <w:bCs/>
                <w:color w:val="2E6DA4"/>
                <w:sz w:val="20"/>
                <w:szCs w:val="20"/>
              </w:rPr>
              <w:t xml:space="preserve">Proposed Principle of Data Reversion</w:t>
            </w:r>
          </w:p>
          <w:p>
            <w:pPr>
              <w:spacing w:after="0" w:before="0" w:line="276"/>
              <w:jc w:val="both"/>
            </w:pPr>
            <w:r>
              <w:rPr>
                <w:rFonts w:ascii="Georgia" w:cs="Georgia" w:eastAsia="Georgia" w:hAnsi="Georgia"/>
                <w:i/>
                <w:iCs/>
                <w:color w:val="333333"/>
                <w:sz w:val="20"/>
                <w:szCs w:val="20"/>
              </w:rPr>
              <w:t xml:space="preserve">In the absence of an explicit, affirmatively negotiated sovereignty agreement, rights over data generated within a territorial jurisdiction should revert by default to the state or to the generating collective, rather than being treated as vacant and available for unilateral appropriation. This principle should be codified in national data governance legislation and incorporated by reference into all government procurement standards.</w:t>
            </w:r>
          </w:p>
        </w:tc>
      </w:tr>
    </w:tbl>
    <w:p>
      <w:pPr>
        <w:spacing w:after="120" w:before="0"/>
      </w:pPr>
    </w:p>
    <w:p>
      <w:pPr>
        <w:pStyle w:val="Heading2"/>
        <w:spacing w:after="120" w:before="320"/>
      </w:pPr>
      <w:r>
        <w:rPr>
          <w:rFonts w:ascii="Arial" w:cs="Arial" w:eastAsia="Arial" w:hAnsi="Arial"/>
          <w:b/>
          <w:bCs/>
          <w:color w:val="2E6DA4"/>
          <w:sz w:val="24"/>
          <w:szCs w:val="24"/>
        </w:rPr>
        <w:t xml:space="preserve">7.1  For National Governments</w:t>
      </w:r>
    </w:p>
    <w:p>
      <w:pPr>
        <w:pStyle w:val="ListParagraph"/>
        <w:numPr>
          <w:ilvl w:val="0"/>
          <w:numId w:val="2"/>
        </w:numPr>
        <w:spacing w:after="60" w:before="60" w:line="276"/>
      </w:pPr>
      <w:r>
        <w:rPr>
          <w:rFonts w:ascii="Georgia" w:cs="Georgia" w:eastAsia="Georgia" w:hAnsi="Georgia"/>
          <w:color w:val="333333"/>
          <w:sz w:val="22"/>
          <w:szCs w:val="22"/>
        </w:rPr>
        <w:t xml:space="preserve">Enact Data Sovereignty Legislation that explicitly establishes the state's authorship and jurisdictional claims over data generated within its territory, including data generated by public institutions, public infrastructure, and publicly funded research.</w:t>
      </w:r>
    </w:p>
    <w:p>
      <w:pPr>
        <w:pStyle w:val="ListParagraph"/>
        <w:numPr>
          <w:ilvl w:val="0"/>
          <w:numId w:val="2"/>
        </w:numPr>
        <w:spacing w:after="60" w:before="60" w:line="276"/>
      </w:pPr>
      <w:r>
        <w:rPr>
          <w:rFonts w:ascii="Georgia" w:cs="Georgia" w:eastAsia="Georgia" w:hAnsi="Georgia"/>
          <w:color w:val="333333"/>
          <w:sz w:val="22"/>
          <w:szCs w:val="22"/>
        </w:rPr>
        <w:t xml:space="preserve">Embed mandatory Data Sovereignty Clauses in all government cloud procurement contracts, covering data localisation, audit rights, data return on contract termination, and prohibition on third-party commercial use of government data.</w:t>
      </w:r>
    </w:p>
    <w:p>
      <w:pPr>
        <w:pStyle w:val="ListParagraph"/>
        <w:numPr>
          <w:ilvl w:val="0"/>
          <w:numId w:val="2"/>
        </w:numPr>
        <w:spacing w:after="60" w:before="60" w:line="276"/>
      </w:pPr>
      <w:r>
        <w:rPr>
          <w:rFonts w:ascii="Georgia" w:cs="Georgia" w:eastAsia="Georgia" w:hAnsi="Georgia"/>
          <w:color w:val="333333"/>
          <w:sz w:val="22"/>
          <w:szCs w:val="22"/>
        </w:rPr>
        <w:t xml:space="preserve">Establish a data audit function within existing digital governance institutions, empowered to conduct regular reviews of active government data contracts against sovereignty standards.</w:t>
      </w:r>
    </w:p>
    <w:p>
      <w:pPr>
        <w:pStyle w:val="Heading2"/>
        <w:spacing w:after="120" w:before="320"/>
      </w:pPr>
      <w:r>
        <w:rPr>
          <w:rFonts w:ascii="Arial" w:cs="Arial" w:eastAsia="Arial" w:hAnsi="Arial"/>
          <w:b/>
          <w:bCs/>
          <w:color w:val="2E6DA4"/>
          <w:sz w:val="24"/>
          <w:szCs w:val="24"/>
        </w:rPr>
        <w:t xml:space="preserve">7.2  For Regional Bodies — CARICOM and CTU</w:t>
      </w:r>
    </w:p>
    <w:p>
      <w:pPr>
        <w:pStyle w:val="ListParagraph"/>
        <w:numPr>
          <w:ilvl w:val="0"/>
          <w:numId w:val="2"/>
        </w:numPr>
        <w:spacing w:after="60" w:before="60" w:line="276"/>
      </w:pPr>
      <w:r>
        <w:rPr>
          <w:rFonts w:ascii="Georgia" w:cs="Georgia" w:eastAsia="Georgia" w:hAnsi="Georgia"/>
          <w:color w:val="333333"/>
          <w:sz w:val="22"/>
          <w:szCs w:val="22"/>
        </w:rPr>
        <w:t xml:space="preserve">Operationalise the CARICOM AI Policy Roadmap (2024) through binding implementation protocols, with measurable milestones and member-state accountability mechanisms, specifically targeting the Execution Gap.</w:t>
      </w:r>
    </w:p>
    <w:p>
      <w:pPr>
        <w:pStyle w:val="ListParagraph"/>
        <w:numPr>
          <w:ilvl w:val="0"/>
          <w:numId w:val="2"/>
        </w:numPr>
        <w:spacing w:after="60" w:before="60" w:line="276"/>
      </w:pPr>
      <w:r>
        <w:rPr>
          <w:rFonts w:ascii="Georgia" w:cs="Georgia" w:eastAsia="Georgia" w:hAnsi="Georgia"/>
          <w:color w:val="333333"/>
          <w:sz w:val="22"/>
          <w:szCs w:val="22"/>
        </w:rPr>
        <w:t xml:space="preserve">Develop, through the Caribbean Telecommunications Union, a model sovereignty clause library for adoption by member states in their procurement standards.</w:t>
      </w:r>
    </w:p>
    <w:p>
      <w:pPr>
        <w:pStyle w:val="ListParagraph"/>
        <w:numPr>
          <w:ilvl w:val="0"/>
          <w:numId w:val="2"/>
        </w:numPr>
        <w:spacing w:after="60" w:before="60" w:line="276"/>
      </w:pPr>
      <w:r>
        <w:rPr>
          <w:rFonts w:ascii="Georgia" w:cs="Georgia" w:eastAsia="Georgia" w:hAnsi="Georgia"/>
          <w:color w:val="333333"/>
          <w:sz w:val="22"/>
          <w:szCs w:val="22"/>
        </w:rPr>
        <w:t xml:space="preserve">Establish a Caribbean Data Sovereignty Compact — a regional instrument that collectively asserts the data authorship and jurisdictional claims of CARICOM member states in negotiations with major platform operators and in multilateral digital trade forums.</w:t>
      </w:r>
    </w:p>
    <w:p>
      <w:pPr>
        <w:pStyle w:val="Heading2"/>
        <w:spacing w:after="120" w:before="320"/>
      </w:pPr>
      <w:r>
        <w:rPr>
          <w:rFonts w:ascii="Arial" w:cs="Arial" w:eastAsia="Arial" w:hAnsi="Arial"/>
          <w:b/>
          <w:bCs/>
          <w:color w:val="2E6DA4"/>
          <w:sz w:val="24"/>
          <w:szCs w:val="24"/>
        </w:rPr>
        <w:t xml:space="preserve">7.3  For Judicial Institutions</w:t>
      </w:r>
    </w:p>
    <w:p>
      <w:pPr>
        <w:pStyle w:val="ListParagraph"/>
        <w:numPr>
          <w:ilvl w:val="0"/>
          <w:numId w:val="2"/>
        </w:numPr>
        <w:spacing w:after="60" w:before="60" w:line="276"/>
      </w:pPr>
      <w:r>
        <w:rPr>
          <w:rFonts w:ascii="Georgia" w:cs="Georgia" w:eastAsia="Georgia" w:hAnsi="Georgia"/>
          <w:color w:val="333333"/>
          <w:sz w:val="22"/>
          <w:szCs w:val="22"/>
        </w:rPr>
        <w:t xml:space="preserve">Assert the Caribbean Court of Justice (CCJ) as the primary interpretive authority for Caribbean digital jurisprudence, rather than as a passive applier of imported legal frameworks. The CCJ should be positioned to develop an autochthonous body of data sovereignty jurisprudence grounded in Caribbean legal traditions and regional governance priorities.</w:t>
      </w:r>
    </w:p>
    <w:p>
      <w:pPr>
        <w:pStyle w:val="Heading2"/>
        <w:spacing w:after="120" w:before="320"/>
      </w:pPr>
      <w:r>
        <w:rPr>
          <w:rFonts w:ascii="Arial" w:cs="Arial" w:eastAsia="Arial" w:hAnsi="Arial"/>
          <w:b/>
          <w:bCs/>
          <w:color w:val="2E6DA4"/>
          <w:sz w:val="24"/>
          <w:szCs w:val="24"/>
        </w:rPr>
        <w:t xml:space="preserve">7.4  Engagement with Multilateral Frameworks</w:t>
      </w:r>
    </w:p>
    <w:p>
      <w:pPr>
        <w:pStyle w:val="ListParagraph"/>
        <w:numPr>
          <w:ilvl w:val="0"/>
          <w:numId w:val="2"/>
        </w:numPr>
        <w:spacing w:after="60" w:before="60" w:line="276"/>
      </w:pPr>
      <w:r>
        <w:rPr>
          <w:rFonts w:ascii="Georgia" w:cs="Georgia" w:eastAsia="Georgia" w:hAnsi="Georgia"/>
          <w:color w:val="333333"/>
          <w:sz w:val="22"/>
          <w:szCs w:val="22"/>
        </w:rPr>
        <w:t xml:space="preserve">Engage the United Nations Global Digital Compact (2024) as a mechanism for advancing sovereign data rights claims in multilateral forums, including through the development of a Global South Data Authorship Protocol as a formal supplement to existing GDC commitments.</w:t>
      </w:r>
    </w:p>
    <w:p>
      <w:pPr>
        <w:spacing w:after="80" w:before="0"/>
      </w:pPr>
    </w:p>
    <w:p>
      <w:pPr>
        <w:pStyle w:val="Heading1"/>
        <w:spacing w:after="160" w:before="400"/>
      </w:pPr>
      <w:r>
        <w:rPr>
          <w:rFonts w:ascii="Arial" w:cs="Arial" w:eastAsia="Arial" w:hAnsi="Arial"/>
          <w:b/>
          <w:bCs/>
          <w:color w:val="1A3557"/>
          <w:sz w:val="28"/>
          <w:szCs w:val="28"/>
        </w:rPr>
        <w:t xml:space="preserve">8.  Conclusion</w:t>
      </w:r>
    </w:p>
    <w:p>
      <w:pPr>
        <w:pBdr>
          <w:bottom w:val="single" w:color="2E6DA4" w:sz="4" w:space="1"/>
        </w:pBdr>
        <w:spacing w:after="0" w:before="0"/>
      </w:pPr>
    </w:p>
    <w:p>
      <w:pPr>
        <w:spacing w:after="80" w:before="0"/>
      </w:pPr>
    </w:p>
    <w:p>
      <w:pPr>
        <w:spacing w:after="160" w:before="0" w:line="276"/>
        <w:jc w:val="both"/>
      </w:pPr>
      <w:r>
        <w:rPr>
          <w:rFonts w:ascii="Georgia" w:cs="Georgia" w:eastAsia="Georgia" w:hAnsi="Georgia"/>
          <w:color w:val="333333"/>
          <w:sz w:val="22"/>
          <w:szCs w:val="22"/>
        </w:rPr>
        <w:t xml:space="preserve">The Inniss Data Nullius Framework provides the vocabulary, doctrinal grounding, and analytical structure required to confront what this paper argues is the most consequential — and least visible — challenge in Global South digital governance: the systematic legal fiction that data generated by states and peoples of the Global South is ownerless and freely appropriable.</w:t>
      </w:r>
    </w:p>
    <w:p>
      <w:pPr>
        <w:spacing w:after="160" w:before="0" w:line="276"/>
        <w:jc w:val="both"/>
      </w:pPr>
      <w:r>
        <w:rPr>
          <w:rFonts w:ascii="Georgia" w:cs="Georgia" w:eastAsia="Georgia" w:hAnsi="Georgia"/>
          <w:color w:val="333333"/>
          <w:sz w:val="22"/>
          <w:szCs w:val="22"/>
        </w:rPr>
        <w:t xml:space="preserve">By naming this fiction, tracing its mechanisms across three interlocking pillars, and providing a structured methodology for contesting it through law, contract, and institutional design, the framework equips governments, regional bodies, legal practitioners, and advocates with the tools to reclaim authorship, assert jurisdiction, and demand value in the global data economy.</w:t>
      </w:r>
    </w:p>
    <w:p>
      <w:pPr>
        <w:spacing w:after="160" w:before="0" w:line="276"/>
        <w:jc w:val="both"/>
      </w:pPr>
      <w:r>
        <w:rPr>
          <w:rFonts w:ascii="Georgia" w:cs="Georgia" w:eastAsia="Georgia" w:hAnsi="Georgia"/>
          <w:color w:val="333333"/>
          <w:sz w:val="22"/>
          <w:szCs w:val="22"/>
        </w:rPr>
        <w:t xml:space="preserve">The path forward requires three simultaneous movements: the legislative inscription of sovereign data rights; the technical and contractual embedding of those rights in procurement and infrastructure; and the institutional resolve to close the Execution Gap — to make policy real. The fiction of vacancy has persisted in part because it has been unnamed. It is now named.</w:t>
      </w:r>
    </w:p>
    <w:p>
      <w:pPr>
        <w:spacing w:after="80" w:before="0"/>
      </w:pPr>
    </w:p>
    <w:p>
      <w:pPr>
        <w:pStyle w:val="Heading1"/>
        <w:spacing w:after="160" w:before="400"/>
      </w:pPr>
      <w:r>
        <w:rPr>
          <w:rFonts w:ascii="Arial" w:cs="Arial" w:eastAsia="Arial" w:hAnsi="Arial"/>
          <w:b/>
          <w:bCs/>
          <w:color w:val="1A3557"/>
          <w:sz w:val="28"/>
          <w:szCs w:val="28"/>
        </w:rPr>
        <w:t xml:space="preserve">References</w:t>
      </w:r>
    </w:p>
    <w:p>
      <w:pPr>
        <w:pBdr>
          <w:bottom w:val="single" w:color="2E6DA4" w:sz="4" w:space="1"/>
        </w:pBdr>
        <w:spacing w:after="0" w:before="0"/>
      </w:pPr>
    </w:p>
    <w:p>
      <w:pPr>
        <w:spacing w:after="80" w:before="0"/>
      </w:pPr>
    </w:p>
    <w:p>
      <w:pPr>
        <w:spacing w:after="80" w:before="60" w:line="276"/>
        <w:ind w:left="720" w:hanging="720"/>
      </w:pPr>
      <w:r>
        <w:rPr>
          <w:rFonts w:ascii="Georgia" w:cs="Georgia" w:eastAsia="Georgia" w:hAnsi="Georgia"/>
          <w:color w:val="333333"/>
          <w:sz w:val="20"/>
          <w:szCs w:val="20"/>
        </w:rPr>
        <w:t xml:space="preserve">CARICOM. (2024). AI Policy Roadmap: Sovereignty-First Digital Governance. Caribbean Community Secretariat.</w:t>
      </w:r>
    </w:p>
    <w:p>
      <w:pPr>
        <w:spacing w:after="80" w:before="60" w:line="276"/>
        <w:ind w:left="720" w:hanging="720"/>
      </w:pPr>
      <w:r>
        <w:rPr>
          <w:rFonts w:ascii="Georgia" w:cs="Georgia" w:eastAsia="Georgia" w:hAnsi="Georgia"/>
          <w:color w:val="333333"/>
          <w:sz w:val="20"/>
          <w:szCs w:val="20"/>
        </w:rPr>
        <w:t xml:space="preserve">Caribbean Telecommunications Union (CTU). (2025). Subregional AI Policy Framework and Strategy. CTU.</w:t>
      </w:r>
    </w:p>
    <w:p>
      <w:pPr>
        <w:spacing w:after="80" w:before="60" w:line="276"/>
        <w:ind w:left="720" w:hanging="720"/>
      </w:pPr>
      <w:r>
        <w:rPr>
          <w:rFonts w:ascii="Georgia" w:cs="Georgia" w:eastAsia="Georgia" w:hAnsi="Georgia"/>
          <w:color w:val="333333"/>
          <w:sz w:val="20"/>
          <w:szCs w:val="20"/>
        </w:rPr>
        <w:t xml:space="preserve">Couldry, N., &amp; Mejias, U. A. (2019). The costs of connection: How data is colonizing human life and appropriating it for capitalism. Stanford University Press.</w:t>
      </w:r>
    </w:p>
    <w:p>
      <w:pPr>
        <w:spacing w:after="80" w:before="60" w:line="276"/>
        <w:ind w:left="720" w:hanging="720"/>
      </w:pPr>
      <w:r>
        <w:rPr>
          <w:rFonts w:ascii="Georgia" w:cs="Georgia" w:eastAsia="Georgia" w:hAnsi="Georgia"/>
          <w:color w:val="333333"/>
          <w:sz w:val="20"/>
          <w:szCs w:val="20"/>
        </w:rPr>
        <w:t xml:space="preserve">High Court of Australia. (1992). Mabo v Queensland (No 2) [1992] HCA 23. Commonwealth Law Reports.</w:t>
      </w:r>
    </w:p>
    <w:p>
      <w:pPr>
        <w:spacing w:after="80" w:before="60" w:line="276"/>
        <w:ind w:left="720" w:hanging="720"/>
      </w:pPr>
      <w:r>
        <w:rPr>
          <w:rFonts w:ascii="Georgia" w:cs="Georgia" w:eastAsia="Georgia" w:hAnsi="Georgia"/>
          <w:color w:val="333333"/>
          <w:sz w:val="20"/>
          <w:szCs w:val="20"/>
        </w:rPr>
        <w:t xml:space="preserve">Inniss, A. (2025). A comprehensive guide to trademark registrations in the Caribbean. The Inniss Institute for Digital Policy and Intellectual Property.</w:t>
      </w:r>
    </w:p>
    <w:p>
      <w:pPr>
        <w:spacing w:after="80" w:before="60" w:line="276"/>
        <w:ind w:left="720" w:hanging="720"/>
      </w:pPr>
      <w:r>
        <w:rPr>
          <w:rFonts w:ascii="Georgia" w:cs="Georgia" w:eastAsia="Georgia" w:hAnsi="Georgia"/>
          <w:color w:val="333333"/>
          <w:sz w:val="20"/>
          <w:szCs w:val="20"/>
        </w:rPr>
        <w:t xml:space="preserve">Inniss, A. (January 2026). The Caribbean is becoming a digital plantation for artificial intelligence. The Village Voice.</w:t>
      </w:r>
    </w:p>
    <w:p>
      <w:pPr>
        <w:spacing w:after="80" w:before="60" w:line="276"/>
        <w:ind w:left="720" w:hanging="720"/>
      </w:pPr>
      <w:r>
        <w:rPr>
          <w:rFonts w:ascii="Georgia" w:cs="Georgia" w:eastAsia="Georgia" w:hAnsi="Georgia"/>
          <w:color w:val="333333"/>
          <w:sz w:val="20"/>
          <w:szCs w:val="20"/>
        </w:rPr>
        <w:t xml:space="preserve">Inniss, A. (2026). Data nullius and the Caribbean's search for digital sovereignty. Caribbean Life News.</w:t>
      </w:r>
    </w:p>
    <w:p>
      <w:pPr>
        <w:spacing w:after="80" w:before="60" w:line="276"/>
        <w:ind w:left="720" w:hanging="720"/>
      </w:pPr>
      <w:r>
        <w:rPr>
          <w:rFonts w:ascii="Georgia" w:cs="Georgia" w:eastAsia="Georgia" w:hAnsi="Georgia"/>
          <w:color w:val="333333"/>
          <w:sz w:val="20"/>
          <w:szCs w:val="20"/>
        </w:rPr>
        <w:t xml:space="preserve">Inniss, A. (2026). The execution gap: The silent crisis in Caribbean digital sovereignty. The Voice St. Lucia.</w:t>
      </w:r>
    </w:p>
    <w:p>
      <w:pPr>
        <w:spacing w:after="80" w:before="60" w:line="276"/>
        <w:ind w:left="720" w:hanging="720"/>
      </w:pPr>
      <w:r>
        <w:rPr>
          <w:rFonts w:ascii="Georgia" w:cs="Georgia" w:eastAsia="Georgia" w:hAnsi="Georgia"/>
          <w:color w:val="333333"/>
          <w:sz w:val="20"/>
          <w:szCs w:val="20"/>
        </w:rPr>
        <w:t xml:space="preserve">Inniss, A. (2026). The Global South's digital future is being decided without us. Top Africa News.</w:t>
      </w:r>
    </w:p>
    <w:p>
      <w:pPr>
        <w:spacing w:after="80" w:before="60" w:line="276"/>
        <w:ind w:left="720" w:hanging="720"/>
      </w:pPr>
      <w:r>
        <w:rPr>
          <w:rFonts w:ascii="Georgia" w:cs="Georgia" w:eastAsia="Georgia" w:hAnsi="Georgia"/>
          <w:color w:val="333333"/>
          <w:sz w:val="20"/>
          <w:szCs w:val="20"/>
        </w:rPr>
        <w:t xml:space="preserve">United Nations. (2024). Global Digital Compact: Formal capability profiles. United Nations General Assembly.</w:t>
      </w:r>
    </w:p>
    <w:p>
      <w:pPr>
        <w:spacing w:after="16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2F5F8" w:val="clear"/>
            <w:tcMar>
              <w:top w:type="dxa" w:w="140"/>
              <w:left w:type="dxa" w:w="200"/>
              <w:bottom w:type="dxa" w:w="140"/>
              <w:right w:type="dxa" w:w="200"/>
            </w:tcMar>
          </w:tcPr>
          <w:p>
            <w:pPr>
              <w:spacing w:after="80" w:before="0"/>
            </w:pPr>
            <w:r>
              <w:rPr>
                <w:rFonts w:ascii="Arial" w:cs="Arial" w:eastAsia="Arial" w:hAnsi="Arial"/>
                <w:b/>
                <w:bCs/>
                <w:color w:val="2E6DA4"/>
                <w:sz w:val="20"/>
                <w:szCs w:val="20"/>
              </w:rPr>
              <w:t xml:space="preserve">Consultancy and Institutional Inquiries</w:t>
            </w:r>
          </w:p>
          <w:p>
            <w:pPr>
              <w:spacing w:after="0" w:before="0" w:line="276"/>
              <w:jc w:val="both"/>
            </w:pPr>
            <w:r>
              <w:rPr>
                <w:rFonts w:ascii="Georgia" w:cs="Georgia" w:eastAsia="Georgia" w:hAnsi="Georgia"/>
                <w:i/>
                <w:iCs/>
                <w:color w:val="333333"/>
                <w:sz w:val="20"/>
                <w:szCs w:val="20"/>
              </w:rPr>
              <w:t xml:space="preserve">For inquiries regarding the practical implementation of the Inniss Data Nullius Framework — including proprietary model sovereignty clause drafting, legislative assistance, and institutional data audits — please contact The Inniss Institute for Digital Policy and Intellectual Property at admin@innissinstitute.org or visit www.innissinstitute.org</w:t>
            </w:r>
          </w:p>
        </w:tc>
      </w:tr>
    </w:tbl>
    <w:p>
      <w:pPr>
        <w:spacing w:after="120" w:before="0"/>
      </w:pPr>
    </w:p>
    <w:p>
      <w:pPr>
        <w:spacing w:after="80" w:before="0"/>
      </w:pPr>
      <w:r>
        <w:rPr>
          <w:rFonts w:ascii="Arial" w:cs="Arial" w:eastAsia="Arial" w:hAnsi="Arial"/>
          <w:b/>
          <w:bCs/>
          <w:color w:val="2E6DA4"/>
          <w:sz w:val="20"/>
          <w:szCs w:val="20"/>
        </w:rPr>
        <w:t xml:space="preserve">Suggested Citation</w:t>
      </w:r>
    </w:p>
    <w:p>
      <w:pPr>
        <w:spacing w:after="0" w:before="0"/>
        <w:ind w:left="360"/>
      </w:pPr>
      <w:r>
        <w:rPr>
          <w:rFonts w:ascii="Georgia" w:cs="Georgia" w:eastAsia="Georgia" w:hAnsi="Georgia"/>
          <w:i w:val="false"/>
          <w:iCs w:val="false"/>
          <w:color w:val="555555"/>
          <w:sz w:val="20"/>
          <w:szCs w:val="20"/>
        </w:rPr>
        <w:t xml:space="preserve">Inniss, A. (2026). The Inniss Data Nullius Framework: Contesting vacant data claims in Global South digital governance [White Paper v2.4]. The Inniss Institute for Digital Policy and Intellectual Property. https://doi.org/10.5281/zenodo.19699299</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6DA4" w:sz="6" w:space="1"/>
      </w:pBdr>
      <w:tabs>
        <w:tab w:val="right" w:pos="9360"/>
      </w:tabs>
      <w:spacing w:after="0" w:before="160"/>
    </w:pPr>
    <w:r>
      <w:rPr>
        <w:rFonts w:ascii="Arial" w:cs="Arial" w:eastAsia="Arial" w:hAnsi="Arial"/>
        <w:color w:val="555555"/>
        <w:sz w:val="16"/>
        <w:szCs w:val="16"/>
      </w:rPr>
      <w:t xml:space="preserve">The Inniss Institute for Digital Policy and Intellectual Property</w:t>
    </w:r>
    <w:r>
      <w:rPr>
        <w:rFonts w:ascii="Arial" w:cs="Arial" w:eastAsia="Arial" w:hAnsi="Arial"/>
        <w:sz w:val="16"/>
        <w:szCs w:val="16"/>
      </w:rPr>
      <w:t xml:space="preserve">	</w:t>
    </w:r>
    <w:r>
      <w:rPr>
        <w:rFonts w:ascii="Arial" w:cs="Arial" w:eastAsia="Arial" w:hAnsi="Arial"/>
        <w:color w:val="55555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6DA4" w:sz="6" w:space="1"/>
      </w:pBdr>
      <w:tabs>
        <w:tab w:val="right" w:pos="9360"/>
      </w:tabs>
      <w:spacing w:after="160" w:before="0"/>
    </w:pPr>
    <w:r>
      <w:rPr>
        <w:rFonts w:ascii="Arial" w:cs="Arial" w:eastAsia="Arial" w:hAnsi="Arial"/>
        <w:color w:val="2E6DA4"/>
        <w:sz w:val="18"/>
        <w:szCs w:val="18"/>
      </w:rPr>
      <w:t xml:space="preserve">The Inniss Data Nullius Framework</w:t>
    </w:r>
    <w:r>
      <w:rPr>
        <w:rFonts w:ascii="Arial" w:cs="Arial" w:eastAsia="Arial" w:hAnsi="Arial"/>
        <w:sz w:val="18"/>
        <w:szCs w:val="18"/>
      </w:rPr>
      <w:t xml:space="preserve">	</w:t>
    </w:r>
    <w:r>
      <w:rPr>
        <w:rFonts w:ascii="Arial" w:cs="Arial" w:eastAsia="Arial" w:hAnsi="Arial"/>
        <w:color w:val="555555"/>
        <w:sz w:val="18"/>
        <w:szCs w:val="18"/>
      </w:rPr>
      <w:t xml:space="preserve">White Paper v2.4 | April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400"/>
      <w:outlineLvl w:val="0"/>
    </w:pPr>
    <w:rPr>
      <w:rFonts w:ascii="Arial" w:cs="Arial" w:eastAsia="Arial" w:hAnsi="Arial"/>
      <w:b/>
      <w:bCs/>
      <w:color w:val="1A3557"/>
      <w:sz w:val="28"/>
      <w:szCs w:val="28"/>
    </w:rPr>
  </w:style>
  <w:style w:type="paragraph" w:styleId="Heading2">
    <w:name w:val="Heading 2"/>
    <w:basedOn w:val="Normal"/>
    <w:next w:val="Normal"/>
    <w:qFormat/>
    <w:pPr>
      <w:spacing w:after="120" w:before="320"/>
      <w:outlineLvl w:val="1"/>
    </w:pPr>
    <w:rPr>
      <w:rFonts w:ascii="Arial" w:cs="Arial" w:eastAsia="Arial" w:hAnsi="Arial"/>
      <w:b/>
      <w:bCs/>
      <w:color w:val="2E6DA4"/>
      <w:sz w:val="24"/>
      <w:szCs w:val="24"/>
    </w:rPr>
  </w:style>
  <w:style w:type="paragraph" w:styleId="Heading3">
    <w:name w:val="Heading 3"/>
    <w:basedOn w:val="Normal"/>
    <w:next w:val="Normal"/>
    <w:qFormat/>
    <w:pPr>
      <w:spacing w:after="100" w:before="240"/>
      <w:outlineLvl w:val="2"/>
    </w:pPr>
    <w:rPr>
      <w:rFonts w:ascii="Arial" w:cs="Arial" w:eastAsia="Arial" w:hAnsi="Arial"/>
      <w:b/>
      <w:bCs/>
      <w:color w:val="333333"/>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ohyq5comhzm7znervwnpu" Type="http://schemas.openxmlformats.org/officeDocument/2006/relationships/hyperlink" Target="https://www.innissinstitute.org" TargetMode="External"/><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2026-04-28T22:19:36.110Z</dcterms:created>
  <dcterms:modified xsi:type="dcterms:W3CDTF">2026-04-28T22:19:36.111Z</dcterms:modified>
</cp:coreProperties>
</file>

<file path=docProps/custom.xml><?xml version="1.0" encoding="utf-8"?>
<Properties xmlns="http://schemas.openxmlformats.org/officeDocument/2006/custom-properties" xmlns:vt="http://schemas.openxmlformats.org/officeDocument/2006/docPropsVTypes"/>
</file>