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CE59C" w14:textId="7ED6A3E9" w:rsidR="006B622E" w:rsidRPr="00744C5D" w:rsidRDefault="00744C5D" w:rsidP="006D78B0">
      <w:pPr>
        <w:jc w:val="both"/>
      </w:pPr>
      <w:r w:rsidRPr="00744C5D">
        <w:t>Policy Memo</w:t>
      </w:r>
    </w:p>
    <w:p w14:paraId="408AA676" w14:textId="3567126E" w:rsidR="00744C5D" w:rsidRPr="00744C5D" w:rsidRDefault="00744C5D" w:rsidP="006D78B0">
      <w:pPr>
        <w:jc w:val="both"/>
      </w:pPr>
      <w:r w:rsidRPr="00744C5D">
        <w:t>LMU Munich</w:t>
      </w:r>
    </w:p>
    <w:p w14:paraId="5AEB925D" w14:textId="77777777" w:rsidR="00744C5D" w:rsidRPr="00744C5D" w:rsidRDefault="00744C5D" w:rsidP="006D78B0">
      <w:pPr>
        <w:pStyle w:val="p1"/>
        <w:jc w:val="both"/>
        <w:rPr>
          <w:sz w:val="24"/>
          <w:szCs w:val="24"/>
        </w:rPr>
      </w:pPr>
      <w:r w:rsidRPr="00744C5D">
        <w:rPr>
          <w:sz w:val="24"/>
          <w:szCs w:val="24"/>
        </w:rPr>
        <w:t>Geschwister-Scholl-Institute of Political Science</w:t>
      </w:r>
    </w:p>
    <w:p w14:paraId="3F8C7C7A" w14:textId="6DED91BA" w:rsidR="00744C5D" w:rsidRPr="00744C5D" w:rsidRDefault="00744C5D" w:rsidP="006D78B0">
      <w:pPr>
        <w:jc w:val="both"/>
      </w:pPr>
      <w:r w:rsidRPr="00744C5D">
        <w:t xml:space="preserve">Seminar: 15039 What Happened with EU Money? Member States in the Final Year of the COVID-19 Recovery and Resilience Facility </w:t>
      </w:r>
    </w:p>
    <w:p w14:paraId="5591ADCD" w14:textId="77777777" w:rsidR="00744C5D" w:rsidRDefault="00744C5D" w:rsidP="006D78B0">
      <w:pPr>
        <w:pStyle w:val="p1"/>
        <w:pBdr>
          <w:bottom w:val="single" w:sz="4" w:space="1" w:color="auto"/>
        </w:pBdr>
        <w:jc w:val="both"/>
        <w:rPr>
          <w:sz w:val="24"/>
          <w:szCs w:val="24"/>
          <w:lang w:val="sk-SK"/>
        </w:rPr>
      </w:pPr>
      <w:r w:rsidRPr="00744C5D">
        <w:rPr>
          <w:sz w:val="24"/>
          <w:szCs w:val="24"/>
        </w:rPr>
        <w:t>Instructor: Dr. Tiziano Zgaga</w:t>
      </w:r>
    </w:p>
    <w:p w14:paraId="3DFB7B5C" w14:textId="77777777" w:rsidR="006D78B0" w:rsidRPr="006D78B0" w:rsidRDefault="006D78B0" w:rsidP="006D78B0">
      <w:pPr>
        <w:pStyle w:val="p1"/>
        <w:pBdr>
          <w:bottom w:val="single" w:sz="4" w:space="1" w:color="auto"/>
        </w:pBdr>
        <w:rPr>
          <w:sz w:val="24"/>
          <w:szCs w:val="24"/>
          <w:lang w:val="sk-SK"/>
        </w:rPr>
      </w:pPr>
    </w:p>
    <w:p w14:paraId="69B4BC13" w14:textId="58BD25DA" w:rsidR="00744C5D" w:rsidRPr="006D78B0" w:rsidRDefault="00744C5D">
      <w:pPr>
        <w:rPr>
          <w:lang w:val="sk-SK"/>
        </w:rPr>
      </w:pPr>
    </w:p>
    <w:p w14:paraId="18304432" w14:textId="499F2D2D" w:rsidR="00744C5D" w:rsidRPr="006D78B0" w:rsidRDefault="00744C5D">
      <w:pPr>
        <w:rPr>
          <w:lang w:val="sk-SK"/>
        </w:rPr>
      </w:pPr>
    </w:p>
    <w:p w14:paraId="5055AE29" w14:textId="77777777" w:rsidR="00744C5D" w:rsidRDefault="00744C5D"/>
    <w:p w14:paraId="67B2F6A9" w14:textId="77777777" w:rsidR="00744C5D" w:rsidRDefault="00744C5D"/>
    <w:p w14:paraId="38C619D5" w14:textId="77777777" w:rsidR="00744C5D" w:rsidRDefault="00744C5D"/>
    <w:p w14:paraId="1B110275" w14:textId="77777777" w:rsidR="00744C5D" w:rsidRDefault="00744C5D"/>
    <w:p w14:paraId="40E3B76A" w14:textId="77777777" w:rsidR="00744C5D" w:rsidRDefault="00744C5D"/>
    <w:p w14:paraId="508C37B2" w14:textId="77777777" w:rsidR="00744C5D" w:rsidRDefault="00744C5D"/>
    <w:p w14:paraId="489F4D26" w14:textId="77777777" w:rsidR="00744C5D" w:rsidRDefault="00744C5D"/>
    <w:p w14:paraId="43FDB04C" w14:textId="77777777" w:rsidR="00744C5D" w:rsidRDefault="00744C5D"/>
    <w:p w14:paraId="083650AB" w14:textId="77777777" w:rsidR="00744C5D" w:rsidRDefault="00744C5D"/>
    <w:p w14:paraId="66D416B2" w14:textId="77777777" w:rsidR="00744C5D" w:rsidRDefault="00744C5D"/>
    <w:p w14:paraId="159B2711" w14:textId="77777777" w:rsidR="00744C5D" w:rsidRDefault="00744C5D"/>
    <w:p w14:paraId="0A6B4713" w14:textId="77777777" w:rsidR="00744C5D" w:rsidRPr="00744C5D" w:rsidRDefault="00744C5D" w:rsidP="00744C5D">
      <w:pPr>
        <w:jc w:val="center"/>
        <w:rPr>
          <w:color w:val="000000"/>
          <w:sz w:val="40"/>
          <w:szCs w:val="40"/>
        </w:rPr>
      </w:pPr>
      <w:r w:rsidRPr="00744C5D">
        <w:rPr>
          <w:b/>
          <w:bCs/>
          <w:i/>
          <w:iCs/>
          <w:color w:val="000000"/>
          <w:sz w:val="40"/>
          <w:szCs w:val="40"/>
        </w:rPr>
        <w:t>Policy Memo</w:t>
      </w:r>
    </w:p>
    <w:p w14:paraId="5092508F" w14:textId="060DDBA4" w:rsidR="00744C5D" w:rsidRPr="00744C5D" w:rsidRDefault="00744C5D" w:rsidP="00744C5D">
      <w:pPr>
        <w:jc w:val="center"/>
        <w:rPr>
          <w:color w:val="000000"/>
          <w:sz w:val="40"/>
          <w:szCs w:val="40"/>
        </w:rPr>
      </w:pPr>
      <w:r w:rsidRPr="00744C5D">
        <w:rPr>
          <w:b/>
          <w:bCs/>
          <w:i/>
          <w:iCs/>
          <w:color w:val="000000"/>
          <w:sz w:val="40"/>
          <w:szCs w:val="40"/>
        </w:rPr>
        <w:t xml:space="preserve">Analysis of Slovakia’s Request </w:t>
      </w:r>
      <w:r w:rsidR="00E274C5">
        <w:rPr>
          <w:b/>
          <w:bCs/>
          <w:i/>
          <w:iCs/>
          <w:color w:val="000000"/>
          <w:sz w:val="40"/>
          <w:szCs w:val="40"/>
        </w:rPr>
        <w:t>for</w:t>
      </w:r>
      <w:r w:rsidRPr="00744C5D">
        <w:rPr>
          <w:b/>
          <w:bCs/>
          <w:i/>
          <w:iCs/>
          <w:color w:val="000000"/>
          <w:sz w:val="40"/>
          <w:szCs w:val="40"/>
        </w:rPr>
        <w:t xml:space="preserve"> the Next Tranche</w:t>
      </w:r>
    </w:p>
    <w:p w14:paraId="182961AE" w14:textId="77777777" w:rsidR="00744C5D" w:rsidRPr="00744C5D" w:rsidRDefault="00744C5D" w:rsidP="00744C5D">
      <w:pPr>
        <w:jc w:val="center"/>
        <w:rPr>
          <w:color w:val="000000"/>
          <w:sz w:val="40"/>
          <w:szCs w:val="40"/>
        </w:rPr>
      </w:pPr>
      <w:r w:rsidRPr="00744C5D">
        <w:rPr>
          <w:b/>
          <w:bCs/>
          <w:i/>
          <w:iCs/>
          <w:color w:val="000000"/>
          <w:sz w:val="40"/>
          <w:szCs w:val="40"/>
        </w:rPr>
        <w:t>of the Recovery and Resilience Plan</w:t>
      </w:r>
    </w:p>
    <w:p w14:paraId="4FFF4AD2" w14:textId="77777777" w:rsidR="00744C5D" w:rsidRDefault="00744C5D"/>
    <w:p w14:paraId="578CA183" w14:textId="77777777" w:rsidR="00744C5D" w:rsidRDefault="00744C5D"/>
    <w:p w14:paraId="100E2DA5" w14:textId="77777777" w:rsidR="00744C5D" w:rsidRDefault="00744C5D"/>
    <w:p w14:paraId="2C9F58A3" w14:textId="77777777" w:rsidR="00744C5D" w:rsidRDefault="00744C5D"/>
    <w:p w14:paraId="53ED3CA1" w14:textId="77777777" w:rsidR="00744C5D" w:rsidRDefault="00744C5D"/>
    <w:p w14:paraId="452E3F6D" w14:textId="77777777" w:rsidR="00744C5D" w:rsidRDefault="00744C5D"/>
    <w:p w14:paraId="40FCDEEE" w14:textId="77777777" w:rsidR="00744C5D" w:rsidRDefault="00744C5D"/>
    <w:p w14:paraId="04BE404F" w14:textId="77777777" w:rsidR="00744C5D" w:rsidRDefault="00744C5D"/>
    <w:p w14:paraId="04D240C4" w14:textId="77777777" w:rsidR="00744C5D" w:rsidRDefault="00744C5D"/>
    <w:p w14:paraId="7BC89F5C" w14:textId="77777777" w:rsidR="00744C5D" w:rsidRDefault="00744C5D"/>
    <w:p w14:paraId="5D2D6167" w14:textId="77777777" w:rsidR="00744C5D" w:rsidRDefault="00744C5D"/>
    <w:p w14:paraId="34090EC1" w14:textId="77777777" w:rsidR="00744C5D" w:rsidRDefault="00744C5D"/>
    <w:p w14:paraId="295B8DD3" w14:textId="77777777" w:rsidR="00744C5D" w:rsidRDefault="00744C5D"/>
    <w:p w14:paraId="51D39CD7" w14:textId="77777777" w:rsidR="00744C5D" w:rsidRDefault="00744C5D">
      <w:pPr>
        <w:rPr>
          <w:lang w:val="sk-SK"/>
        </w:rPr>
      </w:pPr>
    </w:p>
    <w:p w14:paraId="7F083B3C" w14:textId="77777777" w:rsidR="006D78B0" w:rsidRPr="006D78B0" w:rsidRDefault="006D78B0">
      <w:pPr>
        <w:rPr>
          <w:lang w:val="sk-SK"/>
        </w:rPr>
      </w:pPr>
    </w:p>
    <w:p w14:paraId="094AD45F" w14:textId="77777777" w:rsidR="00744C5D" w:rsidRDefault="00744C5D" w:rsidP="006D78B0">
      <w:pPr>
        <w:pBdr>
          <w:bottom w:val="single" w:sz="4" w:space="1" w:color="auto"/>
        </w:pBdr>
      </w:pPr>
    </w:p>
    <w:p w14:paraId="4F1A6094" w14:textId="1B6B3177" w:rsidR="00744C5D" w:rsidRPr="006D78B0" w:rsidRDefault="00744C5D">
      <w:pPr>
        <w:rPr>
          <w:lang w:val="sk-SK"/>
        </w:rPr>
      </w:pPr>
    </w:p>
    <w:p w14:paraId="18116122" w14:textId="77777777" w:rsidR="00744C5D" w:rsidRDefault="00744C5D"/>
    <w:p w14:paraId="2DBCC20D" w14:textId="3F865AA3" w:rsidR="00744C5D" w:rsidRPr="006D78B0" w:rsidRDefault="00744C5D" w:rsidP="00744C5D">
      <w:pPr>
        <w:jc w:val="center"/>
        <w:rPr>
          <w:rFonts w:asciiTheme="majorBidi" w:hAnsiTheme="majorBidi" w:cstheme="majorBidi"/>
        </w:rPr>
      </w:pPr>
      <w:r w:rsidRPr="006D78B0">
        <w:rPr>
          <w:rFonts w:asciiTheme="majorBidi" w:hAnsiTheme="majorBidi" w:cstheme="majorBidi"/>
        </w:rPr>
        <w:t>Author: Oliver Suchý</w:t>
      </w:r>
    </w:p>
    <w:p w14:paraId="6E7752D5" w14:textId="0A884BE6" w:rsidR="00744C5D" w:rsidRPr="006D78B0" w:rsidRDefault="00744C5D" w:rsidP="00744C5D">
      <w:pPr>
        <w:jc w:val="center"/>
        <w:rPr>
          <w:rFonts w:asciiTheme="majorBidi" w:hAnsiTheme="majorBidi" w:cstheme="majorBidi"/>
          <w:b/>
          <w:bCs/>
        </w:rPr>
      </w:pPr>
      <w:r w:rsidRPr="006D78B0">
        <w:rPr>
          <w:rFonts w:asciiTheme="majorBidi" w:hAnsiTheme="majorBidi" w:cstheme="majorBidi"/>
        </w:rPr>
        <w:t>Matriculation Number: 13161791</w:t>
      </w:r>
    </w:p>
    <w:p w14:paraId="088DA774" w14:textId="770165BC" w:rsidR="00744C5D" w:rsidRPr="006D78B0" w:rsidRDefault="00744C5D" w:rsidP="00744C5D">
      <w:pPr>
        <w:jc w:val="center"/>
        <w:rPr>
          <w:rFonts w:asciiTheme="majorBidi" w:hAnsiTheme="majorBidi" w:cstheme="majorBidi"/>
        </w:rPr>
      </w:pPr>
      <w:r w:rsidRPr="006D78B0">
        <w:rPr>
          <w:rFonts w:asciiTheme="majorBidi" w:hAnsiTheme="majorBidi" w:cstheme="majorBidi"/>
        </w:rPr>
        <w:t>Email:</w:t>
      </w:r>
      <w:r w:rsidRPr="006D78B0">
        <w:rPr>
          <w:rFonts w:asciiTheme="majorBidi" w:hAnsiTheme="majorBidi" w:cstheme="majorBidi"/>
          <w:b/>
          <w:bCs/>
        </w:rPr>
        <w:t xml:space="preserve"> </w:t>
      </w:r>
      <w:hyperlink r:id="rId8" w:history="1">
        <w:r w:rsidR="006D78B0" w:rsidRPr="00CD45D3">
          <w:rPr>
            <w:rStyle w:val="Hyperlink"/>
            <w:rFonts w:asciiTheme="majorBidi" w:hAnsiTheme="majorBidi" w:cstheme="majorBidi"/>
          </w:rPr>
          <w:t>oliver.Suchy@campus.lmu.de/</w:t>
        </w:r>
      </w:hyperlink>
      <w:r w:rsidRPr="006D78B0">
        <w:rPr>
          <w:rFonts w:asciiTheme="majorBidi" w:hAnsiTheme="majorBidi" w:cstheme="majorBidi"/>
        </w:rPr>
        <w:t xml:space="preserve"> </w:t>
      </w:r>
      <w:r w:rsidR="006D78B0">
        <w:rPr>
          <w:rFonts w:asciiTheme="majorBidi" w:hAnsiTheme="majorBidi" w:cstheme="majorBidi"/>
          <w:lang w:val="sk-SK"/>
        </w:rPr>
        <w:br/>
      </w:r>
      <w:r w:rsidRPr="006D78B0">
        <w:rPr>
          <w:rFonts w:asciiTheme="majorBidi" w:hAnsiTheme="majorBidi" w:cstheme="majorBidi"/>
        </w:rPr>
        <w:t xml:space="preserve">Personal Email: </w:t>
      </w:r>
      <w:hyperlink r:id="rId9" w:history="1">
        <w:r w:rsidRPr="006D78B0">
          <w:rPr>
            <w:rStyle w:val="Hyperlink"/>
            <w:rFonts w:asciiTheme="majorBidi" w:hAnsiTheme="majorBidi" w:cstheme="majorBidi"/>
          </w:rPr>
          <w:t>suchyoliver2001@gmail.com</w:t>
        </w:r>
      </w:hyperlink>
    </w:p>
    <w:p w14:paraId="4212F4E4" w14:textId="4B344ED0" w:rsidR="00C90868" w:rsidRPr="006D78B0" w:rsidRDefault="00744C5D" w:rsidP="00744C5D">
      <w:pPr>
        <w:jc w:val="center"/>
        <w:rPr>
          <w:rFonts w:asciiTheme="majorBidi" w:hAnsiTheme="majorBidi" w:cstheme="majorBidi"/>
        </w:rPr>
      </w:pPr>
      <w:r w:rsidRPr="006D78B0">
        <w:rPr>
          <w:rFonts w:asciiTheme="majorBidi" w:hAnsiTheme="majorBidi" w:cstheme="majorBidi"/>
        </w:rPr>
        <w:t>Characters Count:</w:t>
      </w:r>
      <w:r w:rsidR="002D56B0">
        <w:rPr>
          <w:rFonts w:asciiTheme="majorBidi" w:hAnsiTheme="majorBidi" w:cstheme="majorBidi"/>
        </w:rPr>
        <w:t xml:space="preserve"> 28 838</w:t>
      </w:r>
    </w:p>
    <w:p w14:paraId="15963819" w14:textId="77777777" w:rsidR="001228A7" w:rsidRDefault="001228A7">
      <w:pPr>
        <w:rPr>
          <w:rFonts w:ascii="AppleSystemUIFont" w:hAnsi="AppleSystemUIFont" w:cs="AppleSystemUIFont"/>
          <w:sz w:val="26"/>
          <w:szCs w:val="26"/>
        </w:rPr>
      </w:pPr>
    </w:p>
    <w:p w14:paraId="0756B354" w14:textId="7A58648B" w:rsidR="001228A7" w:rsidRDefault="001228A7">
      <w:pPr>
        <w:rPr>
          <w:rFonts w:ascii="AppleSystemUIFont" w:hAnsi="AppleSystemUIFont" w:cs="AppleSystemUIFont"/>
          <w:sz w:val="26"/>
          <w:szCs w:val="26"/>
        </w:rPr>
      </w:pPr>
    </w:p>
    <w:p w14:paraId="0EAA1A0E" w14:textId="77777777" w:rsidR="001E07ED" w:rsidRDefault="001E07ED">
      <w:pPr>
        <w:rPr>
          <w:rFonts w:ascii="AppleSystemUIFont" w:hAnsi="AppleSystemUIFont" w:cs="AppleSystemUIFont"/>
          <w:sz w:val="26"/>
          <w:szCs w:val="26"/>
        </w:rPr>
      </w:pPr>
    </w:p>
    <w:p w14:paraId="0ADD548C" w14:textId="77777777" w:rsidR="00AC4591" w:rsidRPr="002D56B0" w:rsidRDefault="00AC4591" w:rsidP="00AC4591">
      <w:pPr>
        <w:rPr>
          <w:b/>
          <w:bCs/>
          <w:sz w:val="32"/>
          <w:szCs w:val="32"/>
        </w:rPr>
      </w:pPr>
      <w:r w:rsidRPr="002D56B0">
        <w:rPr>
          <w:b/>
          <w:bCs/>
          <w:sz w:val="32"/>
          <w:szCs w:val="32"/>
        </w:rPr>
        <w:lastRenderedPageBreak/>
        <w:t>Declaration of originality</w:t>
      </w:r>
    </w:p>
    <w:p w14:paraId="680130AF" w14:textId="417A6828" w:rsidR="00AC4591" w:rsidRPr="00AC4591" w:rsidRDefault="00AC4591" w:rsidP="00AC4591">
      <w:r w:rsidRPr="00AC4591">
        <w:br/>
        <w:t>I hereby declare that I have written this seminar paper on my own, have not used any sources or aids other than those specified, and have marked the passages taken from them as such. All aids used are listed in the table below. Regarding the use of Large Language Models (LLM, e.g.</w:t>
      </w:r>
      <w:r>
        <w:t>,</w:t>
      </w:r>
      <w:r w:rsidRPr="00AC4591">
        <w:t xml:space="preserve"> Chat-GPT), I have archived the entire LLM interaction history with reference to the submitted work and can present it upon request. This seminar paper has not been presented in this or a similar form in any other course.</w:t>
      </w:r>
    </w:p>
    <w:p w14:paraId="10B5A1C3" w14:textId="77777777" w:rsidR="00AC4591" w:rsidRPr="00AC4591" w:rsidRDefault="00AC4591" w:rsidP="00AC4591"/>
    <w:tbl>
      <w:tblPr>
        <w:tblStyle w:val="TableGrid"/>
        <w:tblW w:w="0" w:type="auto"/>
        <w:tblLook w:val="04A0" w:firstRow="1" w:lastRow="0" w:firstColumn="1" w:lastColumn="0" w:noHBand="0" w:noVBand="1"/>
      </w:tblPr>
      <w:tblGrid>
        <w:gridCol w:w="4505"/>
        <w:gridCol w:w="4505"/>
      </w:tblGrid>
      <w:tr w:rsidR="00AC4591" w:rsidRPr="00AC4591" w14:paraId="787C7ECA" w14:textId="77777777" w:rsidTr="00671B8C">
        <w:tc>
          <w:tcPr>
            <w:tcW w:w="4505" w:type="dxa"/>
          </w:tcPr>
          <w:p w14:paraId="230B76CE" w14:textId="77777777" w:rsidR="00AC4591" w:rsidRPr="00AC4591" w:rsidRDefault="00AC4591" w:rsidP="00671B8C">
            <w:pPr>
              <w:rPr>
                <w:b/>
                <w:bCs/>
              </w:rPr>
            </w:pPr>
            <w:r w:rsidRPr="00AC4591">
              <w:rPr>
                <w:b/>
                <w:bCs/>
              </w:rPr>
              <w:t>Name of aid</w:t>
            </w:r>
          </w:p>
        </w:tc>
        <w:tc>
          <w:tcPr>
            <w:tcW w:w="4505" w:type="dxa"/>
          </w:tcPr>
          <w:p w14:paraId="09D982D3" w14:textId="77777777" w:rsidR="00AC4591" w:rsidRPr="00AC4591" w:rsidRDefault="00AC4591" w:rsidP="00671B8C">
            <w:pPr>
              <w:rPr>
                <w:b/>
                <w:bCs/>
              </w:rPr>
            </w:pPr>
            <w:r w:rsidRPr="00AC4591">
              <w:rPr>
                <w:b/>
                <w:bCs/>
              </w:rPr>
              <w:t>Purpose</w:t>
            </w:r>
          </w:p>
        </w:tc>
      </w:tr>
      <w:tr w:rsidR="00AC4591" w:rsidRPr="00AC4591" w14:paraId="3E38FC27" w14:textId="77777777" w:rsidTr="00671B8C">
        <w:tc>
          <w:tcPr>
            <w:tcW w:w="4505" w:type="dxa"/>
          </w:tcPr>
          <w:p w14:paraId="5B18F6AE" w14:textId="77777777" w:rsidR="00AC4591" w:rsidRPr="00AC4591" w:rsidRDefault="00AC4591" w:rsidP="00671B8C">
            <w:r w:rsidRPr="00AC4591">
              <w:t>ChatGPT</w:t>
            </w:r>
          </w:p>
        </w:tc>
        <w:tc>
          <w:tcPr>
            <w:tcW w:w="4505" w:type="dxa"/>
          </w:tcPr>
          <w:p w14:paraId="67BC4F3E" w14:textId="77777777" w:rsidR="00AC4591" w:rsidRPr="00AC4591" w:rsidRDefault="00AC4591" w:rsidP="00671B8C">
            <w:r w:rsidRPr="00AC4591">
              <w:t>In section 3 (Plan Implementation and Absorption Policy) AI have been used to translate the NRRP from Slovak to English, since the author speaks Slovak, he worked in the Slovak language, which he later translated using AI and pasted into the term paper.</w:t>
            </w:r>
          </w:p>
        </w:tc>
      </w:tr>
      <w:tr w:rsidR="00AC4591" w:rsidRPr="00AC4591" w14:paraId="268EEBFA" w14:textId="77777777" w:rsidTr="00671B8C">
        <w:tc>
          <w:tcPr>
            <w:tcW w:w="4505" w:type="dxa"/>
          </w:tcPr>
          <w:p w14:paraId="2B2E3CF6" w14:textId="77777777" w:rsidR="00AC4591" w:rsidRPr="00AC4591" w:rsidRDefault="00AC4591" w:rsidP="00671B8C"/>
        </w:tc>
        <w:tc>
          <w:tcPr>
            <w:tcW w:w="4505" w:type="dxa"/>
          </w:tcPr>
          <w:p w14:paraId="27E56636" w14:textId="77777777" w:rsidR="00AC4591" w:rsidRPr="00AC4591" w:rsidRDefault="00AC4591" w:rsidP="00671B8C">
            <w:hyperlink r:id="rId10" w:history="1">
              <w:r w:rsidRPr="00AC4591">
                <w:rPr>
                  <w:rStyle w:val="Hyperlink"/>
                </w:rPr>
                <w:t>https://chatgpt.com/share/69762783-183c-800f-af1e-369276010149</w:t>
              </w:r>
            </w:hyperlink>
            <w:r w:rsidRPr="00AC4591">
              <w:t xml:space="preserve"> </w:t>
            </w:r>
          </w:p>
        </w:tc>
      </w:tr>
    </w:tbl>
    <w:p w14:paraId="53FF9ECD" w14:textId="77777777" w:rsidR="00AC4591" w:rsidRPr="00AC4591" w:rsidRDefault="00AC4591" w:rsidP="00AC4591">
      <w:r w:rsidRPr="00AC4591">
        <w:br w:type="page"/>
      </w:r>
    </w:p>
    <w:p w14:paraId="03C010FD" w14:textId="77777777" w:rsidR="001228A7" w:rsidRDefault="001228A7">
      <w:pPr>
        <w:rPr>
          <w:rFonts w:ascii="AppleSystemUIFont" w:hAnsi="AppleSystemUIFont" w:cs="AppleSystemUIFont"/>
          <w:sz w:val="26"/>
          <w:szCs w:val="26"/>
        </w:rPr>
      </w:pPr>
    </w:p>
    <w:p w14:paraId="53080043" w14:textId="420202DB" w:rsidR="00D00AF7" w:rsidRPr="00D00AF7" w:rsidRDefault="00D00AF7" w:rsidP="00D00AF7">
      <w:pPr>
        <w:pStyle w:val="Style1"/>
        <w:rPr>
          <w:rFonts w:ascii="Times New Roman" w:hAnsi="Times New Roman" w:cs="Times New Roman"/>
          <w:sz w:val="32"/>
          <w:szCs w:val="32"/>
        </w:rPr>
      </w:pPr>
      <w:r w:rsidRPr="00D00AF7">
        <w:rPr>
          <w:rFonts w:ascii="Times New Roman" w:hAnsi="Times New Roman" w:cs="Times New Roman"/>
          <w:sz w:val="32"/>
          <w:szCs w:val="32"/>
        </w:rPr>
        <w:t>Executive Summary</w:t>
      </w:r>
    </w:p>
    <w:p w14:paraId="732277C2" w14:textId="77777777" w:rsidR="00D00AF7" w:rsidRDefault="00D00AF7">
      <w:pPr>
        <w:rPr>
          <w:rFonts w:asciiTheme="majorBidi" w:hAnsiTheme="majorBidi" w:cstheme="majorBidi"/>
        </w:rPr>
      </w:pPr>
    </w:p>
    <w:p w14:paraId="703ACC8F" w14:textId="70A53023" w:rsidR="00D00AF7" w:rsidRPr="00D00AF7" w:rsidRDefault="00D00AF7" w:rsidP="00D00AF7">
      <w:pPr>
        <w:jc w:val="both"/>
        <w:rPr>
          <w:sz w:val="26"/>
          <w:szCs w:val="26"/>
        </w:rPr>
      </w:pPr>
      <w:r w:rsidRPr="00D00AF7">
        <w:rPr>
          <w:sz w:val="26"/>
          <w:szCs w:val="26"/>
        </w:rPr>
        <w:t xml:space="preserve">The COVID-19 pandemic caused significant economic </w:t>
      </w:r>
      <w:r>
        <w:rPr>
          <w:sz w:val="26"/>
          <w:szCs w:val="26"/>
        </w:rPr>
        <w:t xml:space="preserve">consequences </w:t>
      </w:r>
      <w:r w:rsidRPr="00D00AF7">
        <w:rPr>
          <w:sz w:val="26"/>
          <w:szCs w:val="26"/>
        </w:rPr>
        <w:t xml:space="preserve">in Slovakia and revealed structural weaknesses, particularly </w:t>
      </w:r>
      <w:r>
        <w:rPr>
          <w:sz w:val="26"/>
          <w:szCs w:val="26"/>
        </w:rPr>
        <w:t>the country'</w:t>
      </w:r>
      <w:r w:rsidRPr="00D00AF7">
        <w:rPr>
          <w:sz w:val="26"/>
          <w:szCs w:val="26"/>
        </w:rPr>
        <w:t>s high dependence on the automotive industry</w:t>
      </w:r>
      <w:r w:rsidR="006A158B">
        <w:rPr>
          <w:sz w:val="26"/>
          <w:szCs w:val="26"/>
        </w:rPr>
        <w:t xml:space="preserve"> and exports</w:t>
      </w:r>
      <w:r w:rsidRPr="00D00AF7">
        <w:rPr>
          <w:sz w:val="26"/>
          <w:szCs w:val="26"/>
        </w:rPr>
        <w:t>. Although the main macroeconomic indicators stabilized by the end of 2022, negative effects persist in the areas of education,</w:t>
      </w:r>
      <w:r>
        <w:rPr>
          <w:sz w:val="26"/>
          <w:szCs w:val="26"/>
        </w:rPr>
        <w:t xml:space="preserve"> tourism,</w:t>
      </w:r>
      <w:r w:rsidRPr="00D00AF7">
        <w:rPr>
          <w:sz w:val="26"/>
          <w:szCs w:val="26"/>
        </w:rPr>
        <w:t xml:space="preserve"> and human capital formation. The National Recovery and Resilience Plan (NRRP), with a total budget of EUR 6.4 billion, financed exclusively through grants, is the main instrument for supporting economic recovery and implementing the green and digital transformation. The implementation of the NRRP is ensured by a centralized management structure led by the National Implementation and Coordination Agency (NIKA), supplemented by a control, audit, and monitoring system</w:t>
      </w:r>
      <w:r w:rsidR="00D4724D">
        <w:rPr>
          <w:sz w:val="26"/>
          <w:szCs w:val="26"/>
        </w:rPr>
        <w:t xml:space="preserve"> </w:t>
      </w:r>
      <w:r w:rsidRPr="00D00AF7">
        <w:rPr>
          <w:sz w:val="26"/>
          <w:szCs w:val="26"/>
        </w:rPr>
        <w:t>and a zero-tolerance policy towards fraud and corruption. After three approved revisions, the plan continues to meet all EU requirements and maintains the original overall allocation. The cross-border effects of other Member States' plans are expected to further strengthen the economic impact of the N</w:t>
      </w:r>
      <w:r>
        <w:rPr>
          <w:sz w:val="26"/>
          <w:szCs w:val="26"/>
        </w:rPr>
        <w:t>RRP</w:t>
      </w:r>
      <w:r w:rsidRPr="00D00AF7">
        <w:rPr>
          <w:sz w:val="26"/>
          <w:szCs w:val="26"/>
        </w:rPr>
        <w:t xml:space="preserve">, with Slovakia </w:t>
      </w:r>
      <w:r>
        <w:rPr>
          <w:sz w:val="26"/>
          <w:szCs w:val="26"/>
        </w:rPr>
        <w:t>among</w:t>
      </w:r>
      <w:r w:rsidRPr="00D00AF7">
        <w:rPr>
          <w:sz w:val="26"/>
          <w:szCs w:val="26"/>
        </w:rPr>
        <w:t xml:space="preserve"> the largest beneficiaries</w:t>
      </w:r>
      <w:r w:rsidR="00D4724D">
        <w:rPr>
          <w:sz w:val="26"/>
          <w:szCs w:val="26"/>
        </w:rPr>
        <w:t xml:space="preserve"> of the spill-over</w:t>
      </w:r>
      <w:r w:rsidRPr="00D00AF7">
        <w:rPr>
          <w:sz w:val="26"/>
          <w:szCs w:val="26"/>
        </w:rPr>
        <w:t xml:space="preserve"> </w:t>
      </w:r>
      <w:r>
        <w:rPr>
          <w:sz w:val="26"/>
          <w:szCs w:val="26"/>
        </w:rPr>
        <w:t>relative</w:t>
      </w:r>
      <w:r w:rsidRPr="00D00AF7">
        <w:rPr>
          <w:sz w:val="26"/>
          <w:szCs w:val="26"/>
        </w:rPr>
        <w:t xml:space="preserve"> to GDP.</w:t>
      </w:r>
    </w:p>
    <w:p w14:paraId="493F5EEC" w14:textId="77777777" w:rsidR="00D00AF7" w:rsidRPr="00D00AF7" w:rsidRDefault="00D00AF7" w:rsidP="00D00AF7">
      <w:pPr>
        <w:jc w:val="both"/>
        <w:rPr>
          <w:sz w:val="26"/>
          <w:szCs w:val="26"/>
        </w:rPr>
      </w:pPr>
    </w:p>
    <w:p w14:paraId="010CE78B" w14:textId="15555E73" w:rsidR="00D00AF7" w:rsidRPr="00D00AF7" w:rsidRDefault="00D00AF7" w:rsidP="00D00AF7">
      <w:pPr>
        <w:jc w:val="both"/>
        <w:rPr>
          <w:sz w:val="26"/>
          <w:szCs w:val="26"/>
        </w:rPr>
      </w:pPr>
      <w:r w:rsidRPr="00D00AF7">
        <w:rPr>
          <w:sz w:val="26"/>
          <w:szCs w:val="26"/>
        </w:rPr>
        <w:t>On November 25, 2025, Slovakia submitted its seventh payment request for EUR 761.2 million, which includes 18 milestones in the areas of education, healthcare, justice, digitization, the fight against corruption, and REPowerEU measures. Fifteen milestones have been met. Two milestones are on track</w:t>
      </w:r>
      <w:r>
        <w:rPr>
          <w:sz w:val="26"/>
          <w:szCs w:val="26"/>
        </w:rPr>
        <w:t xml:space="preserve"> and expected to be completed</w:t>
      </w:r>
      <w:r w:rsidRPr="00D00AF7">
        <w:rPr>
          <w:sz w:val="26"/>
          <w:szCs w:val="26"/>
        </w:rPr>
        <w:t xml:space="preserve">, and one milestone relating to the modernization of IT equipment in courts (C15/I2) is delayed and </w:t>
      </w:r>
      <w:r>
        <w:rPr>
          <w:sz w:val="26"/>
          <w:szCs w:val="26"/>
        </w:rPr>
        <w:t xml:space="preserve">is </w:t>
      </w:r>
      <w:r w:rsidRPr="00D00AF7">
        <w:rPr>
          <w:sz w:val="26"/>
          <w:szCs w:val="26"/>
        </w:rPr>
        <w:t xml:space="preserve">currently not sufficiently documented publicly. </w:t>
      </w:r>
    </w:p>
    <w:p w14:paraId="20256E04" w14:textId="77777777" w:rsidR="00D00AF7" w:rsidRPr="00D00AF7" w:rsidRDefault="00D00AF7" w:rsidP="00D00AF7">
      <w:pPr>
        <w:jc w:val="both"/>
        <w:rPr>
          <w:sz w:val="26"/>
          <w:szCs w:val="26"/>
        </w:rPr>
      </w:pPr>
    </w:p>
    <w:p w14:paraId="33E8B55A" w14:textId="68D80D6C" w:rsidR="00CB641D" w:rsidRPr="00D00AF7" w:rsidRDefault="00D00AF7" w:rsidP="00D00AF7">
      <w:pPr>
        <w:jc w:val="both"/>
        <w:rPr>
          <w:sz w:val="26"/>
          <w:szCs w:val="26"/>
        </w:rPr>
      </w:pPr>
      <w:r w:rsidRPr="00D00AF7">
        <w:rPr>
          <w:sz w:val="26"/>
          <w:szCs w:val="26"/>
        </w:rPr>
        <w:t xml:space="preserve">Given the Slovak Republic's high rate of compliance with its commitments to date and its reliable implementation history, it is recommended that the seventh payment request be approved, subject to clear and evidence-based fulfillment of the remaining milestone. Before the funds are released, the Ministry of Justice should formally adopt the relevant investment measures and provide verifiable evidence of their implementation in accordance with the requirements of the Recovery and Resilience Facility. </w:t>
      </w:r>
      <w:r w:rsidR="00CB641D" w:rsidRPr="00D00AF7">
        <w:rPr>
          <w:sz w:val="26"/>
          <w:szCs w:val="26"/>
        </w:rPr>
        <w:br w:type="page"/>
      </w:r>
    </w:p>
    <w:sdt>
      <w:sdtPr>
        <w:rPr>
          <w:rFonts w:ascii="Times New Roman" w:eastAsia="Times New Roman" w:hAnsi="Times New Roman" w:cs="Times New Roman"/>
          <w:b w:val="0"/>
          <w:bCs w:val="0"/>
          <w:color w:val="auto"/>
          <w:sz w:val="24"/>
          <w:szCs w:val="24"/>
          <w:lang w:val="en-SK" w:eastAsia="en-GB"/>
        </w:rPr>
        <w:id w:val="-365597650"/>
        <w:docPartObj>
          <w:docPartGallery w:val="Table of Contents"/>
          <w:docPartUnique/>
        </w:docPartObj>
      </w:sdtPr>
      <w:sdtEndPr>
        <w:rPr>
          <w:noProof/>
        </w:rPr>
      </w:sdtEndPr>
      <w:sdtContent>
        <w:p w14:paraId="73EA74A4" w14:textId="71B7B638" w:rsidR="00CB641D" w:rsidRPr="00B24320" w:rsidRDefault="00CB641D">
          <w:pPr>
            <w:pStyle w:val="TOCHeading"/>
            <w:rPr>
              <w:rFonts w:asciiTheme="majorBidi" w:hAnsiTheme="majorBidi"/>
              <w:color w:val="000000" w:themeColor="text1"/>
              <w:sz w:val="32"/>
              <w:szCs w:val="32"/>
            </w:rPr>
          </w:pPr>
          <w:r w:rsidRPr="00B24320">
            <w:rPr>
              <w:rFonts w:asciiTheme="majorBidi" w:hAnsiTheme="majorBidi"/>
              <w:color w:val="000000" w:themeColor="text1"/>
              <w:sz w:val="32"/>
              <w:szCs w:val="32"/>
            </w:rPr>
            <w:t>Table of Contents</w:t>
          </w:r>
        </w:p>
        <w:p w14:paraId="07955871" w14:textId="5082D34B" w:rsidR="00CE408C" w:rsidRDefault="00CB641D">
          <w:pPr>
            <w:pStyle w:val="TOC2"/>
            <w:rPr>
              <w:rFonts w:asciiTheme="minorHAnsi" w:eastAsiaTheme="minorEastAsia" w:hAnsiTheme="minorHAnsi" w:cstheme="minorBidi"/>
              <w:lang w:val="en-SK" w:eastAsia="en-GB"/>
            </w:rPr>
          </w:pPr>
          <w:r w:rsidRPr="006D78B0">
            <w:rPr>
              <w:noProof w:val="0"/>
            </w:rPr>
            <w:fldChar w:fldCharType="begin"/>
          </w:r>
          <w:r w:rsidRPr="006D78B0">
            <w:instrText xml:space="preserve"> TOC \o "1-3" \h \z \u </w:instrText>
          </w:r>
          <w:r w:rsidRPr="006D78B0">
            <w:rPr>
              <w:noProof w:val="0"/>
            </w:rPr>
            <w:fldChar w:fldCharType="separate"/>
          </w:r>
          <w:hyperlink w:anchor="_Toc220360247" w:history="1">
            <w:r w:rsidR="00CE408C" w:rsidRPr="00314A13">
              <w:rPr>
                <w:rStyle w:val="Hyperlink"/>
                <w:b/>
                <w:bCs/>
              </w:rPr>
              <w:t>1.</w:t>
            </w:r>
            <w:r w:rsidR="00CE408C" w:rsidRPr="00314A13">
              <w:rPr>
                <w:rStyle w:val="Hyperlink"/>
              </w:rPr>
              <w:t xml:space="preserve"> </w:t>
            </w:r>
            <w:r w:rsidR="00CE408C" w:rsidRPr="00314A13">
              <w:rPr>
                <w:rStyle w:val="Hyperlink"/>
                <w:b/>
                <w:bCs/>
              </w:rPr>
              <w:t>Pandemic Impact on Slovakia</w:t>
            </w:r>
            <w:r w:rsidR="00CE408C">
              <w:rPr>
                <w:webHidden/>
              </w:rPr>
              <w:tab/>
            </w:r>
            <w:r w:rsidR="00CE408C">
              <w:rPr>
                <w:webHidden/>
              </w:rPr>
              <w:fldChar w:fldCharType="begin"/>
            </w:r>
            <w:r w:rsidR="00CE408C">
              <w:rPr>
                <w:webHidden/>
              </w:rPr>
              <w:instrText xml:space="preserve"> PAGEREF _Toc220360247 \h </w:instrText>
            </w:r>
            <w:r w:rsidR="00CE408C">
              <w:rPr>
                <w:webHidden/>
              </w:rPr>
            </w:r>
            <w:r w:rsidR="00CE408C">
              <w:rPr>
                <w:webHidden/>
              </w:rPr>
              <w:fldChar w:fldCharType="separate"/>
            </w:r>
            <w:r w:rsidR="00CE408C">
              <w:rPr>
                <w:webHidden/>
              </w:rPr>
              <w:t>5</w:t>
            </w:r>
            <w:r w:rsidR="00CE408C">
              <w:rPr>
                <w:webHidden/>
              </w:rPr>
              <w:fldChar w:fldCharType="end"/>
            </w:r>
          </w:hyperlink>
        </w:p>
        <w:p w14:paraId="076E962F" w14:textId="3ED32E03" w:rsidR="00CE408C" w:rsidRDefault="00CE408C">
          <w:pPr>
            <w:pStyle w:val="TOC2"/>
            <w:rPr>
              <w:rFonts w:asciiTheme="minorHAnsi" w:eastAsiaTheme="minorEastAsia" w:hAnsiTheme="minorHAnsi" w:cstheme="minorBidi"/>
              <w:lang w:val="en-SK" w:eastAsia="en-GB"/>
            </w:rPr>
          </w:pPr>
          <w:hyperlink w:anchor="_Toc220360248" w:history="1">
            <w:r w:rsidRPr="00314A13">
              <w:rPr>
                <w:rStyle w:val="Hyperlink"/>
                <w:b/>
                <w:bCs/>
              </w:rPr>
              <w:t>2. Slovakia’s Recovery and Resilience Plan (NRRP)</w:t>
            </w:r>
            <w:r>
              <w:rPr>
                <w:webHidden/>
              </w:rPr>
              <w:tab/>
            </w:r>
            <w:r>
              <w:rPr>
                <w:webHidden/>
              </w:rPr>
              <w:fldChar w:fldCharType="begin"/>
            </w:r>
            <w:r>
              <w:rPr>
                <w:webHidden/>
              </w:rPr>
              <w:instrText xml:space="preserve"> PAGEREF _Toc220360248 \h </w:instrText>
            </w:r>
            <w:r>
              <w:rPr>
                <w:webHidden/>
              </w:rPr>
            </w:r>
            <w:r>
              <w:rPr>
                <w:webHidden/>
              </w:rPr>
              <w:fldChar w:fldCharType="separate"/>
            </w:r>
            <w:r>
              <w:rPr>
                <w:webHidden/>
              </w:rPr>
              <w:t>6</w:t>
            </w:r>
            <w:r>
              <w:rPr>
                <w:webHidden/>
              </w:rPr>
              <w:fldChar w:fldCharType="end"/>
            </w:r>
          </w:hyperlink>
        </w:p>
        <w:p w14:paraId="38844637" w14:textId="74AB11CE" w:rsidR="00CE408C" w:rsidRDefault="00CE408C">
          <w:pPr>
            <w:pStyle w:val="TOC2"/>
            <w:rPr>
              <w:rFonts w:asciiTheme="minorHAnsi" w:eastAsiaTheme="minorEastAsia" w:hAnsiTheme="minorHAnsi" w:cstheme="minorBidi"/>
              <w:lang w:val="en-SK" w:eastAsia="en-GB"/>
            </w:rPr>
          </w:pPr>
          <w:hyperlink w:anchor="_Toc220360249" w:history="1">
            <w:r w:rsidRPr="00314A13">
              <w:rPr>
                <w:rStyle w:val="Hyperlink"/>
                <w:b/>
                <w:bCs/>
              </w:rPr>
              <w:t>3. Plan Implementation and Absorption Capacity</w:t>
            </w:r>
            <w:r>
              <w:rPr>
                <w:webHidden/>
              </w:rPr>
              <w:tab/>
            </w:r>
            <w:r>
              <w:rPr>
                <w:webHidden/>
              </w:rPr>
              <w:fldChar w:fldCharType="begin"/>
            </w:r>
            <w:r>
              <w:rPr>
                <w:webHidden/>
              </w:rPr>
              <w:instrText xml:space="preserve"> PAGEREF _Toc220360249 \h </w:instrText>
            </w:r>
            <w:r>
              <w:rPr>
                <w:webHidden/>
              </w:rPr>
            </w:r>
            <w:r>
              <w:rPr>
                <w:webHidden/>
              </w:rPr>
              <w:fldChar w:fldCharType="separate"/>
            </w:r>
            <w:r>
              <w:rPr>
                <w:webHidden/>
              </w:rPr>
              <w:t>7</w:t>
            </w:r>
            <w:r>
              <w:rPr>
                <w:webHidden/>
              </w:rPr>
              <w:fldChar w:fldCharType="end"/>
            </w:r>
          </w:hyperlink>
        </w:p>
        <w:p w14:paraId="45868E36" w14:textId="11D32EEF" w:rsidR="00CE408C" w:rsidRDefault="00CE408C">
          <w:pPr>
            <w:pStyle w:val="TOC3"/>
            <w:tabs>
              <w:tab w:val="right" w:leader="dot" w:pos="9010"/>
            </w:tabs>
            <w:rPr>
              <w:rFonts w:eastAsiaTheme="minorEastAsia"/>
              <w:noProof/>
              <w:sz w:val="24"/>
              <w:szCs w:val="24"/>
              <w:lang w:val="en-SK" w:eastAsia="en-GB"/>
            </w:rPr>
          </w:pPr>
          <w:hyperlink w:anchor="_Toc220360250" w:history="1">
            <w:r w:rsidRPr="00314A13">
              <w:rPr>
                <w:rStyle w:val="Hyperlink"/>
                <w:rFonts w:asciiTheme="majorBidi" w:hAnsiTheme="majorBidi"/>
                <w:b/>
                <w:bCs/>
                <w:noProof/>
              </w:rPr>
              <w:t>3.1. Implementation Architecture</w:t>
            </w:r>
            <w:r>
              <w:rPr>
                <w:noProof/>
                <w:webHidden/>
              </w:rPr>
              <w:tab/>
            </w:r>
            <w:r>
              <w:rPr>
                <w:noProof/>
                <w:webHidden/>
              </w:rPr>
              <w:fldChar w:fldCharType="begin"/>
            </w:r>
            <w:r>
              <w:rPr>
                <w:noProof/>
                <w:webHidden/>
              </w:rPr>
              <w:instrText xml:space="preserve"> PAGEREF _Toc220360250 \h </w:instrText>
            </w:r>
            <w:r>
              <w:rPr>
                <w:noProof/>
                <w:webHidden/>
              </w:rPr>
            </w:r>
            <w:r>
              <w:rPr>
                <w:noProof/>
                <w:webHidden/>
              </w:rPr>
              <w:fldChar w:fldCharType="separate"/>
            </w:r>
            <w:r>
              <w:rPr>
                <w:noProof/>
                <w:webHidden/>
              </w:rPr>
              <w:t>8</w:t>
            </w:r>
            <w:r>
              <w:rPr>
                <w:noProof/>
                <w:webHidden/>
              </w:rPr>
              <w:fldChar w:fldCharType="end"/>
            </w:r>
          </w:hyperlink>
        </w:p>
        <w:p w14:paraId="560A8C7A" w14:textId="6BB8EF40" w:rsidR="00CE408C" w:rsidRDefault="00CE408C">
          <w:pPr>
            <w:pStyle w:val="TOC3"/>
            <w:tabs>
              <w:tab w:val="right" w:leader="dot" w:pos="9010"/>
            </w:tabs>
            <w:rPr>
              <w:rFonts w:eastAsiaTheme="minorEastAsia"/>
              <w:noProof/>
              <w:sz w:val="24"/>
              <w:szCs w:val="24"/>
              <w:lang w:val="en-SK" w:eastAsia="en-GB"/>
            </w:rPr>
          </w:pPr>
          <w:hyperlink w:anchor="_Toc220360251" w:history="1">
            <w:r w:rsidRPr="00314A13">
              <w:rPr>
                <w:rStyle w:val="Hyperlink"/>
                <w:rFonts w:asciiTheme="majorBidi" w:hAnsiTheme="majorBidi"/>
                <w:b/>
                <w:bCs/>
                <w:noProof/>
              </w:rPr>
              <w:t>3.2. Coordination and anti-Freud Policy</w:t>
            </w:r>
            <w:r>
              <w:rPr>
                <w:noProof/>
                <w:webHidden/>
              </w:rPr>
              <w:tab/>
            </w:r>
            <w:r>
              <w:rPr>
                <w:noProof/>
                <w:webHidden/>
              </w:rPr>
              <w:fldChar w:fldCharType="begin"/>
            </w:r>
            <w:r>
              <w:rPr>
                <w:noProof/>
                <w:webHidden/>
              </w:rPr>
              <w:instrText xml:space="preserve"> PAGEREF _Toc220360251 \h </w:instrText>
            </w:r>
            <w:r>
              <w:rPr>
                <w:noProof/>
                <w:webHidden/>
              </w:rPr>
            </w:r>
            <w:r>
              <w:rPr>
                <w:noProof/>
                <w:webHidden/>
              </w:rPr>
              <w:fldChar w:fldCharType="separate"/>
            </w:r>
            <w:r>
              <w:rPr>
                <w:noProof/>
                <w:webHidden/>
              </w:rPr>
              <w:t>8</w:t>
            </w:r>
            <w:r>
              <w:rPr>
                <w:noProof/>
                <w:webHidden/>
              </w:rPr>
              <w:fldChar w:fldCharType="end"/>
            </w:r>
          </w:hyperlink>
        </w:p>
        <w:p w14:paraId="6DBBFC82" w14:textId="38EE06B3" w:rsidR="00CE408C" w:rsidRDefault="00CE408C">
          <w:pPr>
            <w:pStyle w:val="TOC3"/>
            <w:tabs>
              <w:tab w:val="right" w:leader="dot" w:pos="9010"/>
            </w:tabs>
            <w:rPr>
              <w:rFonts w:eastAsiaTheme="minorEastAsia"/>
              <w:noProof/>
              <w:sz w:val="24"/>
              <w:szCs w:val="24"/>
              <w:lang w:val="en-SK" w:eastAsia="en-GB"/>
            </w:rPr>
          </w:pPr>
          <w:hyperlink w:anchor="_Toc220360252" w:history="1">
            <w:r w:rsidRPr="00314A13">
              <w:rPr>
                <w:rStyle w:val="Hyperlink"/>
                <w:rFonts w:asciiTheme="majorBidi" w:hAnsiTheme="majorBidi"/>
                <w:b/>
                <w:bCs/>
                <w:noProof/>
              </w:rPr>
              <w:t>3.3. Economic Impacts of the RRF in Slovakia</w:t>
            </w:r>
            <w:r>
              <w:rPr>
                <w:noProof/>
                <w:webHidden/>
              </w:rPr>
              <w:tab/>
            </w:r>
            <w:r>
              <w:rPr>
                <w:noProof/>
                <w:webHidden/>
              </w:rPr>
              <w:fldChar w:fldCharType="begin"/>
            </w:r>
            <w:r>
              <w:rPr>
                <w:noProof/>
                <w:webHidden/>
              </w:rPr>
              <w:instrText xml:space="preserve"> PAGEREF _Toc220360252 \h </w:instrText>
            </w:r>
            <w:r>
              <w:rPr>
                <w:noProof/>
                <w:webHidden/>
              </w:rPr>
            </w:r>
            <w:r>
              <w:rPr>
                <w:noProof/>
                <w:webHidden/>
              </w:rPr>
              <w:fldChar w:fldCharType="separate"/>
            </w:r>
            <w:r>
              <w:rPr>
                <w:noProof/>
                <w:webHidden/>
              </w:rPr>
              <w:t>9</w:t>
            </w:r>
            <w:r>
              <w:rPr>
                <w:noProof/>
                <w:webHidden/>
              </w:rPr>
              <w:fldChar w:fldCharType="end"/>
            </w:r>
          </w:hyperlink>
        </w:p>
        <w:p w14:paraId="5FD2FF69" w14:textId="44369F66" w:rsidR="00CE408C" w:rsidRDefault="00CE408C">
          <w:pPr>
            <w:pStyle w:val="TOC2"/>
            <w:rPr>
              <w:rFonts w:asciiTheme="minorHAnsi" w:eastAsiaTheme="minorEastAsia" w:hAnsiTheme="minorHAnsi" w:cstheme="minorBidi"/>
              <w:lang w:val="en-SK" w:eastAsia="en-GB"/>
            </w:rPr>
          </w:pPr>
          <w:hyperlink w:anchor="_Toc220360253" w:history="1">
            <w:r w:rsidRPr="00314A13">
              <w:rPr>
                <w:rStyle w:val="Hyperlink"/>
                <w:b/>
                <w:bCs/>
              </w:rPr>
              <w:t>4. The Next Trench of the NRRP</w:t>
            </w:r>
            <w:r>
              <w:rPr>
                <w:webHidden/>
              </w:rPr>
              <w:tab/>
            </w:r>
            <w:r>
              <w:rPr>
                <w:webHidden/>
              </w:rPr>
              <w:fldChar w:fldCharType="begin"/>
            </w:r>
            <w:r>
              <w:rPr>
                <w:webHidden/>
              </w:rPr>
              <w:instrText xml:space="preserve"> PAGEREF _Toc220360253 \h </w:instrText>
            </w:r>
            <w:r>
              <w:rPr>
                <w:webHidden/>
              </w:rPr>
            </w:r>
            <w:r>
              <w:rPr>
                <w:webHidden/>
              </w:rPr>
              <w:fldChar w:fldCharType="separate"/>
            </w:r>
            <w:r>
              <w:rPr>
                <w:webHidden/>
              </w:rPr>
              <w:t>9</w:t>
            </w:r>
            <w:r>
              <w:rPr>
                <w:webHidden/>
              </w:rPr>
              <w:fldChar w:fldCharType="end"/>
            </w:r>
          </w:hyperlink>
        </w:p>
        <w:p w14:paraId="3C9D4679" w14:textId="22498FEE" w:rsidR="00CE408C" w:rsidRDefault="00CE408C">
          <w:pPr>
            <w:pStyle w:val="TOC2"/>
            <w:rPr>
              <w:rFonts w:asciiTheme="minorHAnsi" w:eastAsiaTheme="minorEastAsia" w:hAnsiTheme="minorHAnsi" w:cstheme="minorBidi"/>
              <w:lang w:val="en-SK" w:eastAsia="en-GB"/>
            </w:rPr>
          </w:pPr>
          <w:hyperlink w:anchor="_Toc220360254" w:history="1">
            <w:r w:rsidRPr="00314A13">
              <w:rPr>
                <w:rStyle w:val="Hyperlink"/>
                <w:b/>
                <w:bCs/>
              </w:rPr>
              <w:t>4. Final Assessment of the Next Trench</w:t>
            </w:r>
            <w:r>
              <w:rPr>
                <w:webHidden/>
              </w:rPr>
              <w:tab/>
            </w:r>
            <w:r>
              <w:rPr>
                <w:webHidden/>
              </w:rPr>
              <w:fldChar w:fldCharType="begin"/>
            </w:r>
            <w:r>
              <w:rPr>
                <w:webHidden/>
              </w:rPr>
              <w:instrText xml:space="preserve"> PAGEREF _Toc220360254 \h </w:instrText>
            </w:r>
            <w:r>
              <w:rPr>
                <w:webHidden/>
              </w:rPr>
            </w:r>
            <w:r>
              <w:rPr>
                <w:webHidden/>
              </w:rPr>
              <w:fldChar w:fldCharType="separate"/>
            </w:r>
            <w:r>
              <w:rPr>
                <w:webHidden/>
              </w:rPr>
              <w:t>10</w:t>
            </w:r>
            <w:r>
              <w:rPr>
                <w:webHidden/>
              </w:rPr>
              <w:fldChar w:fldCharType="end"/>
            </w:r>
          </w:hyperlink>
        </w:p>
        <w:p w14:paraId="78A555F0" w14:textId="169F84F2" w:rsidR="00CE408C" w:rsidRDefault="00CE408C">
          <w:pPr>
            <w:pStyle w:val="TOC2"/>
            <w:rPr>
              <w:rFonts w:asciiTheme="minorHAnsi" w:eastAsiaTheme="minorEastAsia" w:hAnsiTheme="minorHAnsi" w:cstheme="minorBidi"/>
              <w:lang w:val="en-SK" w:eastAsia="en-GB"/>
            </w:rPr>
          </w:pPr>
          <w:hyperlink w:anchor="_Toc220360255" w:history="1">
            <w:r w:rsidRPr="00314A13">
              <w:rPr>
                <w:rStyle w:val="Hyperlink"/>
                <w:b/>
                <w:bCs/>
              </w:rPr>
              <w:t>References</w:t>
            </w:r>
            <w:r>
              <w:rPr>
                <w:webHidden/>
              </w:rPr>
              <w:tab/>
            </w:r>
            <w:r>
              <w:rPr>
                <w:webHidden/>
              </w:rPr>
              <w:fldChar w:fldCharType="begin"/>
            </w:r>
            <w:r>
              <w:rPr>
                <w:webHidden/>
              </w:rPr>
              <w:instrText xml:space="preserve"> PAGEREF _Toc220360255 \h </w:instrText>
            </w:r>
            <w:r>
              <w:rPr>
                <w:webHidden/>
              </w:rPr>
            </w:r>
            <w:r>
              <w:rPr>
                <w:webHidden/>
              </w:rPr>
              <w:fldChar w:fldCharType="separate"/>
            </w:r>
            <w:r>
              <w:rPr>
                <w:webHidden/>
              </w:rPr>
              <w:t>12</w:t>
            </w:r>
            <w:r>
              <w:rPr>
                <w:webHidden/>
              </w:rPr>
              <w:fldChar w:fldCharType="end"/>
            </w:r>
          </w:hyperlink>
        </w:p>
        <w:p w14:paraId="79DECB0D" w14:textId="46D18F83" w:rsidR="00CE408C" w:rsidRDefault="00CE408C">
          <w:pPr>
            <w:pStyle w:val="TOC2"/>
            <w:rPr>
              <w:rFonts w:asciiTheme="minorHAnsi" w:eastAsiaTheme="minorEastAsia" w:hAnsiTheme="minorHAnsi" w:cstheme="minorBidi"/>
              <w:lang w:val="en-SK" w:eastAsia="en-GB"/>
            </w:rPr>
          </w:pPr>
          <w:hyperlink w:anchor="_Toc220360256" w:history="1">
            <w:r w:rsidRPr="00314A13">
              <w:rPr>
                <w:rStyle w:val="Hyperlink"/>
                <w:b/>
                <w:bCs/>
              </w:rPr>
              <w:t>Annex</w:t>
            </w:r>
            <w:r>
              <w:rPr>
                <w:webHidden/>
              </w:rPr>
              <w:tab/>
            </w:r>
            <w:r>
              <w:rPr>
                <w:webHidden/>
              </w:rPr>
              <w:fldChar w:fldCharType="begin"/>
            </w:r>
            <w:r>
              <w:rPr>
                <w:webHidden/>
              </w:rPr>
              <w:instrText xml:space="preserve"> PAGEREF _Toc220360256 \h </w:instrText>
            </w:r>
            <w:r>
              <w:rPr>
                <w:webHidden/>
              </w:rPr>
            </w:r>
            <w:r>
              <w:rPr>
                <w:webHidden/>
              </w:rPr>
              <w:fldChar w:fldCharType="separate"/>
            </w:r>
            <w:r>
              <w:rPr>
                <w:webHidden/>
              </w:rPr>
              <w:t>15</w:t>
            </w:r>
            <w:r>
              <w:rPr>
                <w:webHidden/>
              </w:rPr>
              <w:fldChar w:fldCharType="end"/>
            </w:r>
          </w:hyperlink>
        </w:p>
        <w:p w14:paraId="73209D18" w14:textId="4D226E3F" w:rsidR="00CE408C" w:rsidRDefault="00CE408C">
          <w:pPr>
            <w:pStyle w:val="TOC3"/>
            <w:tabs>
              <w:tab w:val="right" w:leader="dot" w:pos="9010"/>
            </w:tabs>
            <w:rPr>
              <w:rFonts w:eastAsiaTheme="minorEastAsia"/>
              <w:noProof/>
              <w:sz w:val="24"/>
              <w:szCs w:val="24"/>
              <w:lang w:val="en-SK" w:eastAsia="en-GB"/>
            </w:rPr>
          </w:pPr>
          <w:hyperlink w:anchor="_Toc220360257" w:history="1">
            <w:r w:rsidRPr="00314A13">
              <w:rPr>
                <w:rStyle w:val="Hyperlink"/>
                <w:rFonts w:asciiTheme="majorBidi" w:hAnsiTheme="majorBidi"/>
                <w:b/>
                <w:bCs/>
                <w:noProof/>
              </w:rPr>
              <w:t>Graphs</w:t>
            </w:r>
            <w:r>
              <w:rPr>
                <w:noProof/>
                <w:webHidden/>
              </w:rPr>
              <w:tab/>
            </w:r>
            <w:r>
              <w:rPr>
                <w:noProof/>
                <w:webHidden/>
              </w:rPr>
              <w:fldChar w:fldCharType="begin"/>
            </w:r>
            <w:r>
              <w:rPr>
                <w:noProof/>
                <w:webHidden/>
              </w:rPr>
              <w:instrText xml:space="preserve"> PAGEREF _Toc220360257 \h </w:instrText>
            </w:r>
            <w:r>
              <w:rPr>
                <w:noProof/>
                <w:webHidden/>
              </w:rPr>
            </w:r>
            <w:r>
              <w:rPr>
                <w:noProof/>
                <w:webHidden/>
              </w:rPr>
              <w:fldChar w:fldCharType="separate"/>
            </w:r>
            <w:r>
              <w:rPr>
                <w:noProof/>
                <w:webHidden/>
              </w:rPr>
              <w:t>16</w:t>
            </w:r>
            <w:r>
              <w:rPr>
                <w:noProof/>
                <w:webHidden/>
              </w:rPr>
              <w:fldChar w:fldCharType="end"/>
            </w:r>
          </w:hyperlink>
        </w:p>
        <w:p w14:paraId="453786CC" w14:textId="51561065" w:rsidR="00CE408C" w:rsidRDefault="00CE408C">
          <w:pPr>
            <w:pStyle w:val="TOC3"/>
            <w:tabs>
              <w:tab w:val="right" w:leader="dot" w:pos="9010"/>
            </w:tabs>
            <w:rPr>
              <w:rFonts w:eastAsiaTheme="minorEastAsia"/>
              <w:noProof/>
              <w:sz w:val="24"/>
              <w:szCs w:val="24"/>
              <w:lang w:val="en-SK" w:eastAsia="en-GB"/>
            </w:rPr>
          </w:pPr>
          <w:hyperlink w:anchor="_Toc220360258" w:history="1">
            <w:r w:rsidRPr="00314A13">
              <w:rPr>
                <w:rStyle w:val="Hyperlink"/>
                <w:rFonts w:asciiTheme="majorBidi" w:hAnsiTheme="majorBidi"/>
                <w:b/>
                <w:bCs/>
                <w:noProof/>
              </w:rPr>
              <w:t>Tables</w:t>
            </w:r>
            <w:r>
              <w:rPr>
                <w:noProof/>
                <w:webHidden/>
              </w:rPr>
              <w:tab/>
            </w:r>
            <w:r>
              <w:rPr>
                <w:noProof/>
                <w:webHidden/>
              </w:rPr>
              <w:fldChar w:fldCharType="begin"/>
            </w:r>
            <w:r>
              <w:rPr>
                <w:noProof/>
                <w:webHidden/>
              </w:rPr>
              <w:instrText xml:space="preserve"> PAGEREF _Toc220360258 \h </w:instrText>
            </w:r>
            <w:r>
              <w:rPr>
                <w:noProof/>
                <w:webHidden/>
              </w:rPr>
            </w:r>
            <w:r>
              <w:rPr>
                <w:noProof/>
                <w:webHidden/>
              </w:rPr>
              <w:fldChar w:fldCharType="separate"/>
            </w:r>
            <w:r>
              <w:rPr>
                <w:noProof/>
                <w:webHidden/>
              </w:rPr>
              <w:t>20</w:t>
            </w:r>
            <w:r>
              <w:rPr>
                <w:noProof/>
                <w:webHidden/>
              </w:rPr>
              <w:fldChar w:fldCharType="end"/>
            </w:r>
          </w:hyperlink>
        </w:p>
        <w:p w14:paraId="7E3B1B4B" w14:textId="706162BC" w:rsidR="00CE408C" w:rsidRDefault="00CE408C">
          <w:pPr>
            <w:pStyle w:val="TOC3"/>
            <w:tabs>
              <w:tab w:val="right" w:leader="dot" w:pos="9010"/>
            </w:tabs>
            <w:rPr>
              <w:rFonts w:eastAsiaTheme="minorEastAsia"/>
              <w:noProof/>
              <w:sz w:val="24"/>
              <w:szCs w:val="24"/>
              <w:lang w:val="en-SK" w:eastAsia="en-GB"/>
            </w:rPr>
          </w:pPr>
          <w:hyperlink w:anchor="_Toc220360259" w:history="1">
            <w:r w:rsidRPr="00314A13">
              <w:rPr>
                <w:rStyle w:val="Hyperlink"/>
                <w:rFonts w:asciiTheme="majorBidi" w:hAnsiTheme="majorBidi"/>
                <w:b/>
                <w:bCs/>
                <w:noProof/>
              </w:rPr>
              <w:t>Figures</w:t>
            </w:r>
            <w:r>
              <w:rPr>
                <w:noProof/>
                <w:webHidden/>
              </w:rPr>
              <w:tab/>
            </w:r>
            <w:r>
              <w:rPr>
                <w:noProof/>
                <w:webHidden/>
              </w:rPr>
              <w:fldChar w:fldCharType="begin"/>
            </w:r>
            <w:r>
              <w:rPr>
                <w:noProof/>
                <w:webHidden/>
              </w:rPr>
              <w:instrText xml:space="preserve"> PAGEREF _Toc220360259 \h </w:instrText>
            </w:r>
            <w:r>
              <w:rPr>
                <w:noProof/>
                <w:webHidden/>
              </w:rPr>
            </w:r>
            <w:r>
              <w:rPr>
                <w:noProof/>
                <w:webHidden/>
              </w:rPr>
              <w:fldChar w:fldCharType="separate"/>
            </w:r>
            <w:r>
              <w:rPr>
                <w:noProof/>
                <w:webHidden/>
              </w:rPr>
              <w:t>22</w:t>
            </w:r>
            <w:r>
              <w:rPr>
                <w:noProof/>
                <w:webHidden/>
              </w:rPr>
              <w:fldChar w:fldCharType="end"/>
            </w:r>
          </w:hyperlink>
        </w:p>
        <w:p w14:paraId="0489BCA8" w14:textId="3C930E9F" w:rsidR="00CB641D" w:rsidRPr="006D78B0" w:rsidRDefault="00CB641D">
          <w:r w:rsidRPr="006D78B0">
            <w:rPr>
              <w:rFonts w:asciiTheme="majorBidi" w:hAnsiTheme="majorBidi" w:cstheme="majorBidi"/>
              <w:b/>
              <w:bCs/>
              <w:noProof/>
            </w:rPr>
            <w:fldChar w:fldCharType="end"/>
          </w:r>
        </w:p>
      </w:sdtContent>
    </w:sdt>
    <w:p w14:paraId="39DE93D7" w14:textId="19119528" w:rsidR="00CB641D" w:rsidRDefault="00CB641D" w:rsidP="00C90868"/>
    <w:p w14:paraId="5293E849" w14:textId="319590AB" w:rsidR="00CB641D" w:rsidRPr="003800A2" w:rsidRDefault="00CB641D">
      <w:pPr>
        <w:rPr>
          <w:lang w:val="sk-SK"/>
        </w:rPr>
      </w:pPr>
      <w:r>
        <w:br w:type="page"/>
      </w:r>
    </w:p>
    <w:p w14:paraId="4EB45F7B" w14:textId="77777777" w:rsidR="006D78B0" w:rsidRPr="006D78B0" w:rsidRDefault="006D78B0" w:rsidP="006D78B0">
      <w:pPr>
        <w:jc w:val="both"/>
        <w:rPr>
          <w:lang w:val="sk-SK"/>
        </w:rPr>
      </w:pPr>
    </w:p>
    <w:p w14:paraId="3CEE326F" w14:textId="75529C6F" w:rsidR="00744C5D" w:rsidRPr="007A5787" w:rsidRDefault="00CB641D" w:rsidP="00CB641D">
      <w:pPr>
        <w:pStyle w:val="Heading2"/>
        <w:rPr>
          <w:color w:val="000000" w:themeColor="text1"/>
        </w:rPr>
      </w:pPr>
      <w:bookmarkStart w:id="0" w:name="_Toc220360247"/>
      <w:r w:rsidRPr="007A5787">
        <w:rPr>
          <w:rFonts w:asciiTheme="majorBidi" w:hAnsiTheme="majorBidi"/>
          <w:b/>
          <w:bCs/>
          <w:color w:val="000000" w:themeColor="text1"/>
        </w:rPr>
        <w:t>1.</w:t>
      </w:r>
      <w:r w:rsidRPr="007A5787">
        <w:rPr>
          <w:color w:val="000000" w:themeColor="text1"/>
        </w:rPr>
        <w:t xml:space="preserve"> </w:t>
      </w:r>
      <w:r w:rsidRPr="007A5787">
        <w:rPr>
          <w:rFonts w:asciiTheme="majorBidi" w:hAnsiTheme="majorBidi"/>
          <w:b/>
          <w:bCs/>
          <w:color w:val="000000" w:themeColor="text1"/>
        </w:rPr>
        <w:t>Pandemic Impact on Slovakia</w:t>
      </w:r>
      <w:bookmarkEnd w:id="0"/>
    </w:p>
    <w:p w14:paraId="37C2C2F6" w14:textId="779B0B58" w:rsidR="006D78B0" w:rsidRDefault="00CD299E" w:rsidP="00953DE7">
      <w:pPr>
        <w:spacing w:before="240" w:line="360" w:lineRule="auto"/>
        <w:jc w:val="both"/>
        <w:rPr>
          <w:lang w:val="sk-SK"/>
        </w:rPr>
      </w:pPr>
      <w:r>
        <w:t xml:space="preserve">During and after the COVID-19 pandemic Slovak Republic experienced </w:t>
      </w:r>
      <w:r w:rsidR="00E93F23">
        <w:t xml:space="preserve">a </w:t>
      </w:r>
      <w:r>
        <w:t xml:space="preserve">historical economic decline affecting all levels of society – national and private, and gradually negatively </w:t>
      </w:r>
      <w:r w:rsidRPr="00770CB0">
        <w:t xml:space="preserve">affected the quality of life (Petrovič &amp; </w:t>
      </w:r>
      <w:r w:rsidRPr="00770CB0">
        <w:rPr>
          <w:color w:val="141413"/>
        </w:rPr>
        <w:t xml:space="preserve">Maturkanič, 2022; </w:t>
      </w:r>
      <w:r w:rsidRPr="00770CB0">
        <w:rPr>
          <w:color w:val="222222"/>
          <w:shd w:val="clear" w:color="auto" w:fill="FFFFFF"/>
        </w:rPr>
        <w:t>Tomková</w:t>
      </w:r>
      <w:r w:rsidRPr="00770CB0">
        <w:t xml:space="preserve"> et al., 2023). Impacts on </w:t>
      </w:r>
      <w:r w:rsidR="00797439">
        <w:t>the economy have been deepened, as in 2019, before the pandemic, in Q2, the gross domestic product increased by 3.7% to the year before, but later,</w:t>
      </w:r>
      <w:r w:rsidR="00416B4D" w:rsidRPr="00770CB0">
        <w:t xml:space="preserve"> when the pandemic </w:t>
      </w:r>
      <w:r w:rsidR="00797439">
        <w:t>broke out</w:t>
      </w:r>
      <w:r w:rsidRPr="00770CB0">
        <w:t xml:space="preserve"> </w:t>
      </w:r>
      <w:r w:rsidR="006D78B0">
        <w:rPr>
          <w:lang w:val="sk-SK"/>
        </w:rPr>
        <w:br/>
      </w:r>
      <w:r w:rsidRPr="00770CB0">
        <w:t xml:space="preserve">the Slovak </w:t>
      </w:r>
      <w:r w:rsidR="00416B4D" w:rsidRPr="00770CB0">
        <w:t xml:space="preserve">GDP </w:t>
      </w:r>
      <w:r w:rsidRPr="00770CB0">
        <w:t xml:space="preserve">decreased by </w:t>
      </w:r>
      <w:r w:rsidR="00416B4D" w:rsidRPr="00770CB0">
        <w:t>8.9</w:t>
      </w:r>
      <w:r w:rsidRPr="00770CB0">
        <w:t>%</w:t>
      </w:r>
      <w:r w:rsidR="00416B4D" w:rsidRPr="00770CB0">
        <w:t xml:space="preserve"> in the Q2 in 2020</w:t>
      </w:r>
      <w:r w:rsidRPr="00770CB0">
        <w:t xml:space="preserve"> due to the decrease of exports, lowering of foreign demand and domestic measures to increase the safety of citizens</w:t>
      </w:r>
      <w:r w:rsidR="00CD385B" w:rsidRPr="00770CB0">
        <w:t xml:space="preserve">. The economy’s lack of diversification has been pinpointed by the policy-makers, and became apparent during the COVID-19. Automobile production, including smaller local suppliers, made up nearly half of industrial output and 47% of total exports. All four of the country’s car manufacturers completely stopped production in April 2020, but partially resumed operations in May (European Bank for Reconstruction and Development, 2020). </w:t>
      </w:r>
      <w:r w:rsidR="00416B4D" w:rsidRPr="00770CB0">
        <w:t>Indeed, in Q2 in 2021, the GDP increase</w:t>
      </w:r>
      <w:r w:rsidR="00CD385B" w:rsidRPr="00770CB0">
        <w:t>d</w:t>
      </w:r>
      <w:r w:rsidR="00416B4D" w:rsidRPr="00770CB0">
        <w:t xml:space="preserve"> by volume of 12.7%</w:t>
      </w:r>
      <w:r w:rsidR="00E93F23">
        <w:t>;</w:t>
      </w:r>
      <w:r w:rsidR="00416B4D" w:rsidRPr="00770CB0">
        <w:t xml:space="preserve"> however</w:t>
      </w:r>
      <w:r w:rsidR="00E93F23">
        <w:t>,</w:t>
      </w:r>
      <w:r w:rsidR="00416B4D" w:rsidRPr="00770CB0">
        <w:t xml:space="preserve"> in relation to the previous year, meaning </w:t>
      </w:r>
      <w:r w:rsidR="006D78B0">
        <w:rPr>
          <w:lang w:val="sk-SK"/>
        </w:rPr>
        <w:br/>
      </w:r>
      <w:r w:rsidR="00416B4D" w:rsidRPr="00770CB0">
        <w:t xml:space="preserve">that </w:t>
      </w:r>
      <w:r w:rsidR="00E93F23">
        <w:t xml:space="preserve">the </w:t>
      </w:r>
      <w:r w:rsidR="00416B4D" w:rsidRPr="00770CB0">
        <w:t>economy started to stabilise itself until Q4 in 2022, when the econom</w:t>
      </w:r>
      <w:r w:rsidR="00E93F23">
        <w:t>ic</w:t>
      </w:r>
      <w:r w:rsidR="00416B4D" w:rsidRPr="00770CB0">
        <w:t xml:space="preserve"> growth slowly reached the numbers just before </w:t>
      </w:r>
      <w:r w:rsidR="00797439">
        <w:t>the pandemic</w:t>
      </w:r>
      <w:r w:rsidR="00416B4D" w:rsidRPr="00770CB0">
        <w:rPr>
          <w:rStyle w:val="FootnoteReference"/>
        </w:rPr>
        <w:footnoteReference w:id="1"/>
      </w:r>
      <w:r w:rsidR="005D3D6C">
        <w:rPr>
          <w:rStyle w:val="FootnoteReference"/>
        </w:rPr>
        <w:footnoteReference w:id="2"/>
      </w:r>
      <w:r w:rsidR="004F3254" w:rsidRPr="00770CB0">
        <w:t xml:space="preserve"> (Statistical Office of the Slovak Republic, 2025a)</w:t>
      </w:r>
      <w:r w:rsidR="00416B4D" w:rsidRPr="00770CB0">
        <w:t>.</w:t>
      </w:r>
      <w:r w:rsidR="00CD385B" w:rsidRPr="00770CB0">
        <w:t xml:space="preserve"> Moreover, the general macroeconomic performance decreased rapidly after the start </w:t>
      </w:r>
      <w:r w:rsidR="006D78B0">
        <w:rPr>
          <w:lang w:val="sk-SK"/>
        </w:rPr>
        <w:br/>
      </w:r>
      <w:r w:rsidR="00CD385B" w:rsidRPr="00770CB0">
        <w:t xml:space="preserve">of the crisis </w:t>
      </w:r>
      <w:r w:rsidR="00455DC0" w:rsidRPr="00770CB0">
        <w:t>(</w:t>
      </w:r>
      <w:r w:rsidR="00455DC0" w:rsidRPr="00770CB0">
        <w:rPr>
          <w:rStyle w:val="Strong"/>
          <w:b w:val="0"/>
          <w:bCs w:val="0"/>
          <w:color w:val="333333"/>
        </w:rPr>
        <w:t>Ibrahim &amp; Ozturk Ofluoglu, 2025</w:t>
      </w:r>
      <w:r w:rsidR="00455DC0" w:rsidRPr="00770CB0">
        <w:t>)</w:t>
      </w:r>
      <w:r w:rsidR="00E874F0" w:rsidRPr="00770CB0">
        <w:rPr>
          <w:rStyle w:val="FootnoteReference"/>
          <w:b/>
          <w:bCs/>
        </w:rPr>
        <w:footnoteReference w:id="3"/>
      </w:r>
      <w:r w:rsidR="00CD385B" w:rsidRPr="00770CB0">
        <w:rPr>
          <w:b/>
          <w:bCs/>
        </w:rPr>
        <w:t>.</w:t>
      </w:r>
    </w:p>
    <w:p w14:paraId="6F37237D" w14:textId="2610AE5F" w:rsidR="00BD5445" w:rsidRDefault="003354A7" w:rsidP="006D78B0">
      <w:pPr>
        <w:spacing w:line="360" w:lineRule="auto"/>
        <w:jc w:val="both"/>
      </w:pPr>
      <w:r w:rsidRPr="00770CB0">
        <w:br/>
        <w:t xml:space="preserve">Generally, the main macroeconomic indicators proved the impact of </w:t>
      </w:r>
      <w:r w:rsidR="00E93F23">
        <w:t xml:space="preserve">the </w:t>
      </w:r>
      <w:r w:rsidRPr="00770CB0">
        <w:t xml:space="preserve">COVID-19 pandemic to Slovak economy and production. </w:t>
      </w:r>
      <w:r w:rsidR="00D169E3" w:rsidRPr="00770CB0">
        <w:t>The positive trends before the crisis changed drastically</w:t>
      </w:r>
      <w:r w:rsidR="00E93F23">
        <w:t>,</w:t>
      </w:r>
      <w:r w:rsidR="00D169E3" w:rsidRPr="00770CB0">
        <w:t xml:space="preserve"> and </w:t>
      </w:r>
      <w:r w:rsidR="00E93F23">
        <w:t xml:space="preserve">the </w:t>
      </w:r>
      <w:r w:rsidR="00D169E3" w:rsidRPr="00770CB0">
        <w:t xml:space="preserve">Slovak economy was stagnating and healing for </w:t>
      </w:r>
      <w:r w:rsidR="00E93F23">
        <w:t xml:space="preserve">the </w:t>
      </w:r>
      <w:r w:rsidR="00D169E3" w:rsidRPr="00770CB0">
        <w:t xml:space="preserve">next </w:t>
      </w:r>
      <w:r w:rsidR="00E93F23">
        <w:t xml:space="preserve">few </w:t>
      </w:r>
      <w:r w:rsidR="00D169E3" w:rsidRPr="00770CB0">
        <w:t>years. Namely</w:t>
      </w:r>
      <w:r w:rsidR="00E93F23">
        <w:t>,</w:t>
      </w:r>
      <w:r w:rsidR="00D169E3" w:rsidRPr="00770CB0">
        <w:t xml:space="preserve"> </w:t>
      </w:r>
      <w:r w:rsidR="006D78B0">
        <w:rPr>
          <w:lang w:val="sk-SK"/>
        </w:rPr>
        <w:br/>
      </w:r>
      <w:r w:rsidR="00D169E3" w:rsidRPr="00770CB0">
        <w:t xml:space="preserve">in the indicators of GDP growth, government balance, net flow of investment, external debt, general government gross debt and unemployment rate (European Bank for Reconstruction </w:t>
      </w:r>
      <w:r w:rsidR="006D78B0">
        <w:rPr>
          <w:lang w:val="sk-SK"/>
        </w:rPr>
        <w:br/>
      </w:r>
      <w:r w:rsidR="00D169E3" w:rsidRPr="00770CB0">
        <w:t>and Development, 202</w:t>
      </w:r>
      <w:r w:rsidR="00DC5506" w:rsidRPr="00770CB0">
        <w:t>2</w:t>
      </w:r>
      <w:r w:rsidR="00D169E3" w:rsidRPr="00770CB0">
        <w:t>)</w:t>
      </w:r>
      <w:r w:rsidR="00744211" w:rsidRPr="00770CB0">
        <w:rPr>
          <w:rStyle w:val="FootnoteReference"/>
        </w:rPr>
        <w:footnoteReference w:id="4"/>
      </w:r>
    </w:p>
    <w:p w14:paraId="6C7C21F7" w14:textId="77777777" w:rsidR="00145897" w:rsidRDefault="00145897" w:rsidP="00C90868"/>
    <w:p w14:paraId="4B9DD01A" w14:textId="6FCE8D85" w:rsidR="00BD5445" w:rsidRPr="007A5787" w:rsidRDefault="00145897" w:rsidP="007A5787">
      <w:pPr>
        <w:spacing w:after="240" w:line="360" w:lineRule="auto"/>
        <w:jc w:val="both"/>
        <w:rPr>
          <w:lang w:val="sk-SK"/>
        </w:rPr>
      </w:pPr>
      <w:r>
        <w:t>The negative implications of the crisis, together with Russian ag</w:t>
      </w:r>
      <w:r w:rsidR="00E93F23">
        <w:t>g</w:t>
      </w:r>
      <w:r>
        <w:t xml:space="preserve">ression directly on Slovakia’s </w:t>
      </w:r>
      <w:r w:rsidR="00797439">
        <w:t>border, are catalyzed with a decrease of 54% accommodated</w:t>
      </w:r>
      <w:r>
        <w:t xml:space="preserve"> tourists</w:t>
      </w:r>
      <w:r w:rsidR="0058475D">
        <w:rPr>
          <w:rStyle w:val="FootnoteReference"/>
        </w:rPr>
        <w:footnoteReference w:id="5"/>
      </w:r>
      <w:r>
        <w:t xml:space="preserve"> </w:t>
      </w:r>
      <w:r w:rsidRPr="006D78B0">
        <w:rPr>
          <w:rFonts w:asciiTheme="majorBidi" w:hAnsiTheme="majorBidi" w:cstheme="majorBidi"/>
        </w:rPr>
        <w:t>(</w:t>
      </w:r>
      <w:r w:rsidRPr="006D78B0">
        <w:rPr>
          <w:rFonts w:asciiTheme="majorBidi" w:hAnsiTheme="majorBidi" w:cstheme="majorBidi"/>
          <w:color w:val="222222"/>
          <w:shd w:val="clear" w:color="auto" w:fill="FFFFFF"/>
        </w:rPr>
        <w:t xml:space="preserve">Petrikovičová et al., </w:t>
      </w:r>
      <w:r w:rsidRPr="006D78B0">
        <w:rPr>
          <w:rFonts w:asciiTheme="majorBidi" w:hAnsiTheme="majorBidi" w:cstheme="majorBidi"/>
          <w:color w:val="222222"/>
          <w:shd w:val="clear" w:color="auto" w:fill="FFFFFF"/>
        </w:rPr>
        <w:lastRenderedPageBreak/>
        <w:t>2023</w:t>
      </w:r>
      <w:r w:rsidRPr="006D78B0">
        <w:rPr>
          <w:rFonts w:asciiTheme="majorBidi" w:hAnsiTheme="majorBidi" w:cstheme="majorBidi"/>
        </w:rPr>
        <w:t>)</w:t>
      </w:r>
      <w:r w:rsidRPr="006D78B0">
        <w:rPr>
          <w:sz w:val="28"/>
          <w:szCs w:val="28"/>
        </w:rPr>
        <w:t xml:space="preserve"> </w:t>
      </w:r>
      <w:r>
        <w:t xml:space="preserve">and </w:t>
      </w:r>
      <w:r w:rsidR="00E93F23">
        <w:t>a drop in</w:t>
      </w:r>
      <w:r>
        <w:t xml:space="preserve"> the </w:t>
      </w:r>
      <w:r w:rsidR="0058475D">
        <w:t>nominal input of roughly 50%</w:t>
      </w:r>
      <w:r w:rsidR="0058475D">
        <w:rPr>
          <w:rStyle w:val="FootnoteReference"/>
        </w:rPr>
        <w:footnoteReference w:id="6"/>
      </w:r>
      <w:r w:rsidR="0058475D">
        <w:t xml:space="preserve"> (Statistical Office of the Slovak Republic, 2025b).</w:t>
      </w:r>
      <w:r w:rsidR="00473F7B">
        <w:t xml:space="preserve"> Moreover, </w:t>
      </w:r>
      <w:r w:rsidR="007E5534">
        <w:t>the COVID-19</w:t>
      </w:r>
      <w:r w:rsidR="00473F7B">
        <w:t xml:space="preserve"> crisis negatively affected education. </w:t>
      </w:r>
      <w:r w:rsidR="00473F7B" w:rsidRPr="00473F7B">
        <w:t xml:space="preserve">In addition </w:t>
      </w:r>
      <w:r w:rsidR="006D78B0">
        <w:rPr>
          <w:lang w:val="sk-SK"/>
        </w:rPr>
        <w:br/>
      </w:r>
      <w:r w:rsidR="00473F7B" w:rsidRPr="00473F7B">
        <w:t xml:space="preserve">to its immediate impact on education and social development, school closures are expected </w:t>
      </w:r>
      <w:r w:rsidR="006D78B0">
        <w:rPr>
          <w:lang w:val="sk-SK"/>
        </w:rPr>
        <w:br/>
      </w:r>
      <w:r w:rsidR="00473F7B" w:rsidRPr="00473F7B">
        <w:t>to have long-lasting effects on children’s economic outcomes and earnings. The World Bank</w:t>
      </w:r>
      <w:r w:rsidR="00473F7B">
        <w:t xml:space="preserve"> (2020)</w:t>
      </w:r>
      <w:r w:rsidR="00473F7B" w:rsidRPr="00473F7B">
        <w:t xml:space="preserve"> estimates that a loss of 0.6 years of schooling could reduce the future monthly earnings of students by €872. According to data from the Organi</w:t>
      </w:r>
      <w:r w:rsidR="00E93F23">
        <w:t>s</w:t>
      </w:r>
      <w:r w:rsidR="00473F7B" w:rsidRPr="00473F7B">
        <w:t xml:space="preserve">ation for Economic </w:t>
      </w:r>
      <w:r w:rsidR="00473F7B">
        <w:t>Co-operation</w:t>
      </w:r>
      <w:r w:rsidR="00473F7B" w:rsidRPr="00473F7B">
        <w:t xml:space="preserve"> and Development</w:t>
      </w:r>
      <w:r w:rsidR="00B214C6">
        <w:t xml:space="preserve"> (</w:t>
      </w:r>
      <w:r w:rsidR="00B214C6" w:rsidRPr="00B214C6">
        <w:t>Hanushek</w:t>
      </w:r>
      <w:r w:rsidR="00B214C6">
        <w:t xml:space="preserve"> </w:t>
      </w:r>
      <w:r w:rsidR="00B214C6" w:rsidRPr="00B214C6">
        <w:t>&amp; Woessmann</w:t>
      </w:r>
      <w:r w:rsidR="00B214C6">
        <w:t>, 2020)</w:t>
      </w:r>
      <w:r w:rsidR="00E93F23">
        <w:t>,</w:t>
      </w:r>
      <w:r w:rsidR="00473F7B" w:rsidRPr="00473F7B">
        <w:t xml:space="preserve"> each additional year of school increases wages by 7.5–10%. This means that a loss of one-third of a school year would result in a reduction </w:t>
      </w:r>
      <w:r w:rsidR="006D78B0">
        <w:rPr>
          <w:lang w:val="sk-SK"/>
        </w:rPr>
        <w:br/>
      </w:r>
      <w:r w:rsidR="00473F7B" w:rsidRPr="00473F7B">
        <w:t>of approximately 3 percentage points</w:t>
      </w:r>
      <w:r w:rsidR="00473F7B">
        <w:t xml:space="preserve">. </w:t>
      </w:r>
      <w:r w:rsidR="00473F7B" w:rsidRPr="00473F7B">
        <w:t xml:space="preserve">For Slovakia, the closure of schools during </w:t>
      </w:r>
      <w:r w:rsidR="00473F7B">
        <w:t xml:space="preserve">the first wave </w:t>
      </w:r>
      <w:r w:rsidR="00473F7B" w:rsidRPr="00473F7B">
        <w:t xml:space="preserve">was estimated to reduce the lifetime earnings of primary and secondary school </w:t>
      </w:r>
      <w:r w:rsidR="00473F7B">
        <w:t>students</w:t>
      </w:r>
      <w:r w:rsidR="00473F7B" w:rsidRPr="00473F7B">
        <w:t xml:space="preserve"> </w:t>
      </w:r>
      <w:r w:rsidR="006D78B0">
        <w:rPr>
          <w:lang w:val="sk-SK"/>
        </w:rPr>
        <w:br/>
      </w:r>
      <w:r w:rsidR="00473F7B" w:rsidRPr="00473F7B">
        <w:t>by 0.3–0.9% (Hellebrandt, 2020)</w:t>
      </w:r>
      <w:r w:rsidR="00B214C6">
        <w:rPr>
          <w:rStyle w:val="FootnoteReference"/>
        </w:rPr>
        <w:footnoteReference w:id="7"/>
      </w:r>
      <w:r w:rsidR="00473F7B" w:rsidRPr="00473F7B">
        <w:t>.</w:t>
      </w:r>
    </w:p>
    <w:p w14:paraId="059B6EC3" w14:textId="2750A1A6" w:rsidR="00CD299E" w:rsidRPr="007A5787" w:rsidRDefault="00416B4D" w:rsidP="00BA2D83">
      <w:pPr>
        <w:pStyle w:val="Heading2"/>
        <w:rPr>
          <w:rFonts w:asciiTheme="majorBidi" w:hAnsiTheme="majorBidi"/>
          <w:b/>
          <w:bCs/>
          <w:color w:val="000000" w:themeColor="text1"/>
          <w:sz w:val="36"/>
          <w:szCs w:val="36"/>
        </w:rPr>
      </w:pPr>
      <w:r w:rsidRPr="007A5787">
        <w:rPr>
          <w:rFonts w:asciiTheme="majorBidi" w:hAnsiTheme="majorBidi"/>
          <w:b/>
          <w:bCs/>
          <w:color w:val="000000" w:themeColor="text1"/>
          <w:sz w:val="36"/>
          <w:szCs w:val="36"/>
        </w:rPr>
        <w:t xml:space="preserve"> </w:t>
      </w:r>
      <w:bookmarkStart w:id="1" w:name="_Toc220360248"/>
      <w:r w:rsidR="00BA2D83" w:rsidRPr="007A5787">
        <w:rPr>
          <w:rFonts w:asciiTheme="majorBidi" w:hAnsiTheme="majorBidi"/>
          <w:b/>
          <w:bCs/>
          <w:color w:val="000000" w:themeColor="text1"/>
        </w:rPr>
        <w:t>2. Slovakia’s Recovery and Resilience Plan (NRRP</w:t>
      </w:r>
      <w:r w:rsidR="007A5787">
        <w:rPr>
          <w:rFonts w:asciiTheme="majorBidi" w:hAnsiTheme="majorBidi"/>
          <w:b/>
          <w:bCs/>
          <w:color w:val="000000" w:themeColor="text1"/>
        </w:rPr>
        <w:t>)</w:t>
      </w:r>
      <w:bookmarkEnd w:id="1"/>
    </w:p>
    <w:p w14:paraId="121B020F" w14:textId="79207BD7" w:rsidR="00BA0E82" w:rsidRPr="00953DE7" w:rsidRDefault="00BA2D83" w:rsidP="00953DE7">
      <w:pPr>
        <w:spacing w:before="240" w:line="360" w:lineRule="auto"/>
        <w:jc w:val="both"/>
        <w:rPr>
          <w:rFonts w:asciiTheme="majorBidi" w:hAnsiTheme="majorBidi" w:cstheme="majorBidi"/>
          <w:lang w:val="en-GB" w:eastAsia="en-US"/>
        </w:rPr>
      </w:pPr>
      <w:r w:rsidRPr="00953DE7">
        <w:rPr>
          <w:rFonts w:asciiTheme="majorBidi" w:hAnsiTheme="majorBidi" w:cstheme="majorBidi"/>
          <w:lang w:val="en-GB" w:eastAsia="en-US"/>
        </w:rPr>
        <w:t>C</w:t>
      </w:r>
      <w:r w:rsidR="00E93F23" w:rsidRPr="00953DE7">
        <w:rPr>
          <w:rFonts w:asciiTheme="majorBidi" w:hAnsiTheme="majorBidi" w:cstheme="majorBidi"/>
          <w:lang w:val="en-GB" w:eastAsia="en-US"/>
        </w:rPr>
        <w:t>OVID</w:t>
      </w:r>
      <w:r w:rsidRPr="00953DE7">
        <w:rPr>
          <w:rFonts w:asciiTheme="majorBidi" w:hAnsiTheme="majorBidi" w:cstheme="majorBidi"/>
          <w:lang w:val="en-GB" w:eastAsia="en-US"/>
        </w:rPr>
        <w:t xml:space="preserve">-19 impacts were drastic throughout the world. </w:t>
      </w:r>
      <w:r w:rsidR="00E93F23" w:rsidRPr="00953DE7">
        <w:rPr>
          <w:rFonts w:asciiTheme="majorBidi" w:hAnsiTheme="majorBidi" w:cstheme="majorBidi"/>
          <w:lang w:val="en-GB" w:eastAsia="en-US"/>
        </w:rPr>
        <w:t xml:space="preserve">The </w:t>
      </w:r>
      <w:r w:rsidRPr="00953DE7">
        <w:rPr>
          <w:rFonts w:asciiTheme="majorBidi" w:hAnsiTheme="majorBidi" w:cstheme="majorBidi"/>
          <w:lang w:val="en-GB" w:eastAsia="en-US"/>
        </w:rPr>
        <w:t xml:space="preserve">European Commission </w:t>
      </w:r>
      <w:r w:rsidR="00A9134C" w:rsidRPr="00953DE7">
        <w:rPr>
          <w:rFonts w:asciiTheme="majorBidi" w:hAnsiTheme="majorBidi" w:cstheme="majorBidi"/>
          <w:lang w:val="en-GB" w:eastAsia="en-US"/>
        </w:rPr>
        <w:t>adopted NextGenerationEU</w:t>
      </w:r>
      <w:r w:rsidR="00F5228B" w:rsidRPr="00953DE7">
        <w:rPr>
          <w:rFonts w:asciiTheme="majorBidi" w:hAnsiTheme="majorBidi" w:cstheme="majorBidi"/>
          <w:lang w:val="en-GB" w:eastAsia="en-US"/>
        </w:rPr>
        <w:t>, which is</w:t>
      </w:r>
      <w:r w:rsidR="00A9134C" w:rsidRPr="00953DE7">
        <w:rPr>
          <w:rFonts w:asciiTheme="majorBidi" w:hAnsiTheme="majorBidi" w:cstheme="majorBidi"/>
          <w:lang w:val="en-GB" w:eastAsia="en-US"/>
        </w:rPr>
        <w:t xml:space="preserve"> an instrument designed to address the immediate economic </w:t>
      </w:r>
      <w:r w:rsidR="00953DE7">
        <w:rPr>
          <w:rFonts w:asciiTheme="majorBidi" w:hAnsiTheme="majorBidi" w:cstheme="majorBidi"/>
          <w:lang w:val="en-GB" w:eastAsia="en-US"/>
        </w:rPr>
        <w:br/>
      </w:r>
      <w:r w:rsidR="00A9134C" w:rsidRPr="00953DE7">
        <w:rPr>
          <w:rFonts w:asciiTheme="majorBidi" w:hAnsiTheme="majorBidi" w:cstheme="majorBidi"/>
          <w:lang w:val="en-GB" w:eastAsia="en-US"/>
        </w:rPr>
        <w:t>and social impacts of the C</w:t>
      </w:r>
      <w:r w:rsidR="00F5228B" w:rsidRPr="00953DE7">
        <w:rPr>
          <w:rFonts w:asciiTheme="majorBidi" w:hAnsiTheme="majorBidi" w:cstheme="majorBidi"/>
          <w:lang w:val="en-GB" w:eastAsia="en-US"/>
        </w:rPr>
        <w:t>OVID</w:t>
      </w:r>
      <w:r w:rsidR="00A9134C" w:rsidRPr="00953DE7">
        <w:rPr>
          <w:rFonts w:asciiTheme="majorBidi" w:hAnsiTheme="majorBidi" w:cstheme="majorBidi"/>
          <w:lang w:val="en-GB" w:eastAsia="en-US"/>
        </w:rPr>
        <w:t>-19 crisis. With its core component Recovery and Resilience Facility (RRF), the EU aims to ensure a</w:t>
      </w:r>
      <w:r w:rsidR="00F5228B" w:rsidRPr="00953DE7">
        <w:rPr>
          <w:rFonts w:asciiTheme="majorBidi" w:hAnsiTheme="majorBidi" w:cstheme="majorBidi"/>
          <w:lang w:val="en-GB" w:eastAsia="en-US"/>
        </w:rPr>
        <w:t>n</w:t>
      </w:r>
      <w:r w:rsidR="00A9134C" w:rsidRPr="00953DE7">
        <w:rPr>
          <w:rFonts w:asciiTheme="majorBidi" w:hAnsiTheme="majorBidi" w:cstheme="majorBidi"/>
          <w:lang w:val="en-GB" w:eastAsia="en-US"/>
        </w:rPr>
        <w:t xml:space="preserve"> </w:t>
      </w:r>
      <w:r w:rsidR="00F5228B" w:rsidRPr="00953DE7">
        <w:rPr>
          <w:rFonts w:asciiTheme="majorBidi" w:hAnsiTheme="majorBidi" w:cstheme="majorBidi"/>
          <w:lang w:val="en-GB" w:eastAsia="en-US"/>
        </w:rPr>
        <w:t xml:space="preserve">effective </w:t>
      </w:r>
      <w:r w:rsidR="00A9134C" w:rsidRPr="00953DE7">
        <w:rPr>
          <w:rFonts w:asciiTheme="majorBidi" w:hAnsiTheme="majorBidi" w:cstheme="majorBidi"/>
          <w:lang w:val="en-GB" w:eastAsia="en-US"/>
        </w:rPr>
        <w:t>and more rapid recovery of the Member States (European Commission, n.d.</w:t>
      </w:r>
      <w:r w:rsidR="0087241A" w:rsidRPr="00953DE7">
        <w:rPr>
          <w:rFonts w:asciiTheme="majorBidi" w:hAnsiTheme="majorBidi" w:cstheme="majorBidi"/>
          <w:lang w:val="en-GB" w:eastAsia="en-US"/>
        </w:rPr>
        <w:t>-</w:t>
      </w:r>
      <w:r w:rsidR="00A9134C" w:rsidRPr="00953DE7">
        <w:rPr>
          <w:rFonts w:asciiTheme="majorBidi" w:hAnsiTheme="majorBidi" w:cstheme="majorBidi"/>
          <w:lang w:val="en-GB" w:eastAsia="en-US"/>
        </w:rPr>
        <w:t xml:space="preserve">a). </w:t>
      </w:r>
      <w:r w:rsidR="00E93F23" w:rsidRPr="00953DE7">
        <w:rPr>
          <w:rFonts w:asciiTheme="majorBidi" w:hAnsiTheme="majorBidi" w:cstheme="majorBidi"/>
          <w:lang w:val="en-GB" w:eastAsia="en-US"/>
        </w:rPr>
        <w:t xml:space="preserve">The </w:t>
      </w:r>
      <w:r w:rsidR="00F5228B" w:rsidRPr="00953DE7">
        <w:rPr>
          <w:rFonts w:asciiTheme="majorBidi" w:hAnsiTheme="majorBidi" w:cstheme="majorBidi"/>
          <w:lang w:val="en-GB" w:eastAsia="en-US"/>
        </w:rPr>
        <w:t>Member States create their</w:t>
      </w:r>
      <w:r w:rsidR="00A9134C" w:rsidRPr="00953DE7">
        <w:rPr>
          <w:rFonts w:asciiTheme="majorBidi" w:hAnsiTheme="majorBidi" w:cstheme="majorBidi"/>
          <w:lang w:val="en-GB" w:eastAsia="en-US"/>
        </w:rPr>
        <w:t xml:space="preserve"> NRRP to address </w:t>
      </w:r>
      <w:r w:rsidR="00953DE7">
        <w:rPr>
          <w:rFonts w:asciiTheme="majorBidi" w:hAnsiTheme="majorBidi" w:cstheme="majorBidi"/>
          <w:lang w:val="en-GB" w:eastAsia="en-US"/>
        </w:rPr>
        <w:br/>
      </w:r>
      <w:r w:rsidR="00797439">
        <w:rPr>
          <w:rFonts w:asciiTheme="majorBidi" w:hAnsiTheme="majorBidi" w:cstheme="majorBidi"/>
          <w:lang w:val="en-GB" w:eastAsia="en-US"/>
        </w:rPr>
        <w:t>t</w:t>
      </w:r>
      <w:r w:rsidR="00A9134C" w:rsidRPr="00953DE7">
        <w:rPr>
          <w:rFonts w:asciiTheme="majorBidi" w:hAnsiTheme="majorBidi" w:cstheme="majorBidi"/>
          <w:lang w:val="en-GB" w:eastAsia="en-US"/>
        </w:rPr>
        <w:t>he specific structural and macroeconomic challenges identified in the European Semester, while aligning fully with NextGenerationEU priorities on digitalisation and the green transition (</w:t>
      </w:r>
      <w:r w:rsidR="0087241A" w:rsidRPr="00953DE7">
        <w:rPr>
          <w:rFonts w:asciiTheme="majorBidi" w:hAnsiTheme="majorBidi" w:cstheme="majorBidi"/>
          <w:lang w:val="en-GB" w:eastAsia="en-US"/>
        </w:rPr>
        <w:t xml:space="preserve">European Commission, </w:t>
      </w:r>
      <w:r w:rsidR="00A9134C" w:rsidRPr="00953DE7">
        <w:rPr>
          <w:rFonts w:asciiTheme="majorBidi" w:hAnsiTheme="majorBidi" w:cstheme="majorBidi"/>
          <w:lang w:val="en-GB" w:eastAsia="en-US"/>
        </w:rPr>
        <w:t>n.d.</w:t>
      </w:r>
      <w:r w:rsidR="0087241A" w:rsidRPr="00953DE7">
        <w:rPr>
          <w:rFonts w:asciiTheme="majorBidi" w:hAnsiTheme="majorBidi" w:cstheme="majorBidi"/>
          <w:lang w:val="en-GB" w:eastAsia="en-US"/>
        </w:rPr>
        <w:t>-</w:t>
      </w:r>
      <w:r w:rsidR="00A9134C" w:rsidRPr="00953DE7">
        <w:rPr>
          <w:rFonts w:asciiTheme="majorBidi" w:hAnsiTheme="majorBidi" w:cstheme="majorBidi"/>
          <w:lang w:val="en-GB" w:eastAsia="en-US"/>
        </w:rPr>
        <w:t>b).</w:t>
      </w:r>
    </w:p>
    <w:p w14:paraId="7B1561FB" w14:textId="09EC1B5F" w:rsidR="00BA0E82" w:rsidRPr="00953DE7" w:rsidRDefault="00BA0E82" w:rsidP="00953DE7">
      <w:pPr>
        <w:spacing w:before="100" w:beforeAutospacing="1" w:after="100" w:afterAutospacing="1" w:line="360" w:lineRule="auto"/>
        <w:jc w:val="both"/>
        <w:rPr>
          <w:rFonts w:asciiTheme="majorBidi" w:hAnsiTheme="majorBidi" w:cstheme="majorBidi"/>
        </w:rPr>
      </w:pPr>
      <w:r w:rsidRPr="00953DE7">
        <w:rPr>
          <w:rFonts w:asciiTheme="majorBidi" w:hAnsiTheme="majorBidi" w:cstheme="majorBidi"/>
        </w:rPr>
        <w:t xml:space="preserve">Slovakia has so far received €3.96 billion out of the total €6.408 billion allocated </w:t>
      </w:r>
      <w:r w:rsidR="00953DE7">
        <w:rPr>
          <w:rFonts w:asciiTheme="majorBidi" w:hAnsiTheme="majorBidi" w:cstheme="majorBidi"/>
          <w:lang w:val="sk-SK"/>
        </w:rPr>
        <w:br/>
      </w:r>
      <w:r w:rsidRPr="00953DE7">
        <w:rPr>
          <w:rFonts w:asciiTheme="majorBidi" w:hAnsiTheme="majorBidi" w:cstheme="majorBidi"/>
        </w:rPr>
        <w:t xml:space="preserve">under the Facility, corresponding to 5.21% of its GDP. The entire €6.408 billion </w:t>
      </w:r>
      <w:r w:rsidR="005B6CFB" w:rsidRPr="00953DE7">
        <w:rPr>
          <w:rFonts w:asciiTheme="majorBidi" w:hAnsiTheme="majorBidi" w:cstheme="majorBidi"/>
        </w:rPr>
        <w:t xml:space="preserve">grant </w:t>
      </w:r>
      <w:r w:rsidRPr="00953DE7">
        <w:rPr>
          <w:rFonts w:asciiTheme="majorBidi" w:hAnsiTheme="majorBidi" w:cstheme="majorBidi"/>
        </w:rPr>
        <w:t>has been provided in the form of grants, wit</w:t>
      </w:r>
      <w:r w:rsidR="005B6CFB" w:rsidRPr="00953DE7">
        <w:rPr>
          <w:rFonts w:asciiTheme="majorBidi" w:hAnsiTheme="majorBidi" w:cstheme="majorBidi"/>
        </w:rPr>
        <w:t>hout any loans allocated (European Commission, n.d.-c)</w:t>
      </w:r>
      <w:r w:rsidR="005B6CFB" w:rsidRPr="00953DE7">
        <w:rPr>
          <w:rStyle w:val="FootnoteReference"/>
          <w:rFonts w:asciiTheme="majorBidi" w:hAnsiTheme="majorBidi" w:cstheme="majorBidi"/>
        </w:rPr>
        <w:footnoteReference w:id="8"/>
      </w:r>
      <w:r w:rsidR="005B6CFB" w:rsidRPr="00953DE7">
        <w:rPr>
          <w:rFonts w:asciiTheme="majorBidi" w:hAnsiTheme="majorBidi" w:cstheme="majorBidi"/>
        </w:rPr>
        <w:t xml:space="preserve">. </w:t>
      </w:r>
    </w:p>
    <w:p w14:paraId="515B3FFD" w14:textId="6A664F77" w:rsidR="00C00F47" w:rsidRPr="007A5787" w:rsidRDefault="00C00F47" w:rsidP="00C00F47">
      <w:pPr>
        <w:pStyle w:val="Heading2"/>
        <w:rPr>
          <w:rFonts w:asciiTheme="majorBidi" w:hAnsiTheme="majorBidi"/>
          <w:b/>
          <w:bCs/>
          <w:color w:val="000000" w:themeColor="text1"/>
        </w:rPr>
      </w:pPr>
      <w:bookmarkStart w:id="2" w:name="_Toc220360249"/>
      <w:r w:rsidRPr="007A5787">
        <w:rPr>
          <w:rFonts w:asciiTheme="majorBidi" w:hAnsiTheme="majorBidi"/>
          <w:b/>
          <w:bCs/>
          <w:color w:val="000000" w:themeColor="text1"/>
        </w:rPr>
        <w:t>3. Plan Implementation and Absorption Capacity</w:t>
      </w:r>
      <w:bookmarkEnd w:id="2"/>
    </w:p>
    <w:p w14:paraId="4E12007B" w14:textId="6952FF48" w:rsidR="00466393" w:rsidRDefault="00466393" w:rsidP="00953DE7">
      <w:pPr>
        <w:spacing w:before="240" w:line="360" w:lineRule="auto"/>
        <w:jc w:val="both"/>
        <w:rPr>
          <w:lang w:val="en-GB" w:eastAsia="en-US"/>
        </w:rPr>
      </w:pPr>
      <w:r w:rsidRPr="00466393">
        <w:rPr>
          <w:lang w:val="en-GB" w:eastAsia="en-US"/>
        </w:rPr>
        <w:t xml:space="preserve">The Recovery and Resilience Plan was adopted in 2021 and underwent a first revision </w:t>
      </w:r>
      <w:r w:rsidR="00953DE7">
        <w:rPr>
          <w:lang w:val="en-GB" w:eastAsia="en-US"/>
        </w:rPr>
        <w:br/>
      </w:r>
      <w:r w:rsidRPr="00466393">
        <w:rPr>
          <w:lang w:val="en-GB" w:eastAsia="en-US"/>
        </w:rPr>
        <w:t xml:space="preserve">in 2022–2023, which primarily reflected the inclusion of the new green </w:t>
      </w:r>
      <w:proofErr w:type="spellStart"/>
      <w:r w:rsidRPr="00466393">
        <w:rPr>
          <w:lang w:val="en-GB" w:eastAsia="en-US"/>
        </w:rPr>
        <w:t>REPowerEU</w:t>
      </w:r>
      <w:proofErr w:type="spellEnd"/>
      <w:r w:rsidRPr="00466393">
        <w:rPr>
          <w:lang w:val="en-GB" w:eastAsia="en-US"/>
        </w:rPr>
        <w:t xml:space="preserve"> </w:t>
      </w:r>
      <w:r w:rsidR="006973FB">
        <w:rPr>
          <w:lang w:val="en-GB" w:eastAsia="en-US"/>
        </w:rPr>
        <w:t>plan</w:t>
      </w:r>
      <w:r w:rsidRPr="00466393">
        <w:rPr>
          <w:lang w:val="en-GB" w:eastAsia="en-US"/>
        </w:rPr>
        <w:t xml:space="preserve"> aimed at reducing dependence on Russian fossil fuels and </w:t>
      </w:r>
      <w:r w:rsidR="006973FB">
        <w:rPr>
          <w:lang w:val="en-GB" w:eastAsia="en-US"/>
        </w:rPr>
        <w:t xml:space="preserve">decreasing the effects of </w:t>
      </w:r>
      <w:r w:rsidRPr="00466393">
        <w:rPr>
          <w:lang w:val="en-GB" w:eastAsia="en-US"/>
        </w:rPr>
        <w:t xml:space="preserve">the climate crisis, the recalculation of 30% of the allocation based on GDP growth in 2020–2021 </w:t>
      </w:r>
      <w:r w:rsidR="00953DE7">
        <w:rPr>
          <w:lang w:val="en-GB" w:eastAsia="en-US"/>
        </w:rPr>
        <w:br/>
      </w:r>
      <w:r w:rsidRPr="00466393">
        <w:rPr>
          <w:lang w:val="en-GB" w:eastAsia="en-US"/>
        </w:rPr>
        <w:lastRenderedPageBreak/>
        <w:t>on the principle of solidarity (which, due to the faster recovery of the economy, reduced Slovakia’s allocation by</w:t>
      </w:r>
      <w:r w:rsidR="00D00AF7">
        <w:rPr>
          <w:lang w:val="en-GB" w:eastAsia="en-US"/>
        </w:rPr>
        <w:t xml:space="preserve"> </w:t>
      </w:r>
      <w:r w:rsidRPr="00466393">
        <w:rPr>
          <w:lang w:val="en-GB" w:eastAsia="en-US"/>
        </w:rPr>
        <w:t>323 million</w:t>
      </w:r>
      <w:r w:rsidR="00D00AF7">
        <w:rPr>
          <w:lang w:val="en-GB" w:eastAsia="en-US"/>
        </w:rPr>
        <w:t xml:space="preserve"> EUR</w:t>
      </w:r>
      <w:r w:rsidRPr="00466393">
        <w:rPr>
          <w:lang w:val="en-GB" w:eastAsia="en-US"/>
        </w:rPr>
        <w:t xml:space="preserve">), and the impact of high inflation on energy </w:t>
      </w:r>
      <w:r w:rsidR="00953DE7">
        <w:rPr>
          <w:lang w:val="en-GB" w:eastAsia="en-US"/>
        </w:rPr>
        <w:br/>
      </w:r>
      <w:r w:rsidRPr="00466393">
        <w:rPr>
          <w:lang w:val="en-GB" w:eastAsia="en-US"/>
        </w:rPr>
        <w:t xml:space="preserve">and construction material prices, leading to higher unit costs and a reduction of some targets. The revision had to comply with strict criteria: maintaining at least 20% of expenditure </w:t>
      </w:r>
      <w:r w:rsidR="00953DE7">
        <w:rPr>
          <w:lang w:val="en-GB" w:eastAsia="en-US"/>
        </w:rPr>
        <w:br/>
      </w:r>
      <w:r w:rsidRPr="00466393">
        <w:rPr>
          <w:lang w:val="en-GB" w:eastAsia="en-US"/>
        </w:rPr>
        <w:t>on digital and 37% on green measures, respecting the Council’s recommendations, avoiding significant harm to the environment, not fundamentally changing reforms</w:t>
      </w:r>
      <w:r w:rsidR="00797439">
        <w:rPr>
          <w:lang w:val="en-GB" w:eastAsia="en-US"/>
        </w:rPr>
        <w:t>,</w:t>
      </w:r>
      <w:r w:rsidRPr="00466393">
        <w:rPr>
          <w:lang w:val="en-GB" w:eastAsia="en-US"/>
        </w:rPr>
        <w:t xml:space="preserve"> and not shifting </w:t>
      </w:r>
      <w:r w:rsidR="00953DE7">
        <w:rPr>
          <w:lang w:val="en-GB" w:eastAsia="en-US"/>
        </w:rPr>
        <w:br/>
      </w:r>
      <w:r w:rsidRPr="00466393">
        <w:rPr>
          <w:lang w:val="en-GB" w:eastAsia="en-US"/>
        </w:rPr>
        <w:t xml:space="preserve">a substantial share of targets to the end of the implementation period, while new measures could only be added within the </w:t>
      </w:r>
      <w:proofErr w:type="spellStart"/>
      <w:r w:rsidRPr="00466393">
        <w:rPr>
          <w:lang w:val="en-GB" w:eastAsia="en-US"/>
        </w:rPr>
        <w:t>REPowerEU</w:t>
      </w:r>
      <w:proofErr w:type="spellEnd"/>
      <w:r w:rsidRPr="00466393">
        <w:rPr>
          <w:lang w:val="en-GB" w:eastAsia="en-US"/>
        </w:rPr>
        <w:t xml:space="preserve"> chapter. Slovakia submitted the revised plan </w:t>
      </w:r>
      <w:r w:rsidR="00953DE7">
        <w:rPr>
          <w:lang w:val="en-GB" w:eastAsia="en-US"/>
        </w:rPr>
        <w:br/>
      </w:r>
      <w:r w:rsidRPr="00466393">
        <w:rPr>
          <w:lang w:val="en-GB" w:eastAsia="en-US"/>
        </w:rPr>
        <w:t xml:space="preserve">on 26 April 2023, the European Commission gave it a positive assessment on 27 June 2023, and the ECOFIN Council approved it on 14 July 2023. </w:t>
      </w:r>
      <w:proofErr w:type="gramStart"/>
      <w:r w:rsidRPr="00466393">
        <w:rPr>
          <w:lang w:val="en-GB" w:eastAsia="en-US"/>
        </w:rPr>
        <w:t>The second revision,</w:t>
      </w:r>
      <w:proofErr w:type="gramEnd"/>
      <w:r w:rsidRPr="00466393">
        <w:rPr>
          <w:lang w:val="en-GB" w:eastAsia="en-US"/>
        </w:rPr>
        <w:t xml:space="preserve"> submitted </w:t>
      </w:r>
      <w:r w:rsidR="00953DE7">
        <w:rPr>
          <w:lang w:val="en-GB" w:eastAsia="en-US"/>
        </w:rPr>
        <w:br/>
      </w:r>
      <w:r w:rsidRPr="00466393">
        <w:rPr>
          <w:lang w:val="en-GB" w:eastAsia="en-US"/>
        </w:rPr>
        <w:t>on 21 March 2025</w:t>
      </w:r>
      <w:r w:rsidR="00797439">
        <w:rPr>
          <w:lang w:val="en-GB" w:eastAsia="en-US"/>
        </w:rPr>
        <w:t>,</w:t>
      </w:r>
      <w:r w:rsidRPr="00466393">
        <w:rPr>
          <w:lang w:val="en-GB" w:eastAsia="en-US"/>
        </w:rPr>
        <w:t xml:space="preserve"> pursuant to Article 21 of Regulation (EU) 2021/241, adjusted measures </w:t>
      </w:r>
      <w:r w:rsidR="00953DE7">
        <w:rPr>
          <w:lang w:val="en-GB" w:eastAsia="en-US"/>
        </w:rPr>
        <w:br/>
      </w:r>
      <w:r w:rsidRPr="00466393">
        <w:rPr>
          <w:lang w:val="en-GB" w:eastAsia="en-US"/>
        </w:rPr>
        <w:t xml:space="preserve">that could not be fully implemented, strengthened those with sufficient absorption capacity (so-called scale-up measures) and added new measures; it was approved by ECOFIN </w:t>
      </w:r>
      <w:r w:rsidR="00953DE7">
        <w:rPr>
          <w:lang w:val="en-GB" w:eastAsia="en-US"/>
        </w:rPr>
        <w:br/>
      </w:r>
      <w:r w:rsidRPr="00466393">
        <w:rPr>
          <w:lang w:val="en-GB" w:eastAsia="en-US"/>
        </w:rPr>
        <w:t xml:space="preserve">on 13 May 2025. The third revision of 2 October 2025, initiated by the European Commission with the aim of simplifying implementation and maximising the likelihood of achieving </w:t>
      </w:r>
      <w:r w:rsidR="00953DE7">
        <w:rPr>
          <w:lang w:val="en-GB" w:eastAsia="en-US"/>
        </w:rPr>
        <w:br/>
      </w:r>
      <w:r w:rsidRPr="00466393">
        <w:rPr>
          <w:lang w:val="en-GB" w:eastAsia="en-US"/>
        </w:rPr>
        <w:t xml:space="preserve">the milestones and targets, was approved by the ECOFIN Council on 13 November 2025, </w:t>
      </w:r>
      <w:r w:rsidR="00953DE7">
        <w:rPr>
          <w:lang w:val="en-GB" w:eastAsia="en-US"/>
        </w:rPr>
        <w:br/>
      </w:r>
      <w:r w:rsidRPr="00466393">
        <w:rPr>
          <w:lang w:val="en-GB" w:eastAsia="en-US"/>
        </w:rPr>
        <w:t>with the total allocation of the Recovery and Resilience Plan for the Slovak Republic amounting to EUR 6.4 billion remaining unchanged even after the second and third revisions</w:t>
      </w:r>
      <w:r>
        <w:rPr>
          <w:lang w:val="en-GB" w:eastAsia="en-US"/>
        </w:rPr>
        <w:t xml:space="preserve"> (</w:t>
      </w:r>
      <w:r w:rsidRPr="00466393">
        <w:rPr>
          <w:color w:val="141413"/>
        </w:rPr>
        <w:t>Plán obnovy</w:t>
      </w:r>
      <w:r w:rsidR="00CF423B">
        <w:rPr>
          <w:color w:val="141413"/>
        </w:rPr>
        <w:t xml:space="preserve">, </w:t>
      </w:r>
      <w:r w:rsidRPr="00466393">
        <w:rPr>
          <w:color w:val="141413"/>
        </w:rPr>
        <w:t>n.d.</w:t>
      </w:r>
      <w:r>
        <w:rPr>
          <w:color w:val="141413"/>
        </w:rPr>
        <w:t>-a</w:t>
      </w:r>
      <w:r w:rsidRPr="00466393">
        <w:rPr>
          <w:color w:val="141413"/>
        </w:rPr>
        <w:t>)</w:t>
      </w:r>
      <w:r w:rsidR="00147E66">
        <w:rPr>
          <w:rStyle w:val="FootnoteReference"/>
          <w:color w:val="141413"/>
        </w:rPr>
        <w:footnoteReference w:id="9"/>
      </w:r>
      <w:r w:rsidRPr="00466393">
        <w:rPr>
          <w:lang w:val="en-GB" w:eastAsia="en-US"/>
        </w:rPr>
        <w:t>.</w:t>
      </w:r>
    </w:p>
    <w:p w14:paraId="04AB3598" w14:textId="77777777" w:rsidR="007A5787" w:rsidRPr="00466393" w:rsidRDefault="007A5787" w:rsidP="00953DE7">
      <w:pPr>
        <w:spacing w:before="240" w:line="360" w:lineRule="auto"/>
        <w:jc w:val="both"/>
        <w:rPr>
          <w:lang w:val="en-GB" w:eastAsia="en-US"/>
        </w:rPr>
      </w:pPr>
    </w:p>
    <w:p w14:paraId="28B8F0C9" w14:textId="6A149F6D" w:rsidR="00C00F47" w:rsidRPr="00953DE7" w:rsidRDefault="00C00F47" w:rsidP="00C00F47">
      <w:pPr>
        <w:pStyle w:val="Heading3"/>
        <w:ind w:firstLine="720"/>
        <w:rPr>
          <w:rFonts w:asciiTheme="majorBidi" w:hAnsiTheme="majorBidi"/>
          <w:b/>
          <w:bCs/>
          <w:color w:val="000000" w:themeColor="text1"/>
        </w:rPr>
      </w:pPr>
      <w:bookmarkStart w:id="3" w:name="_Toc220360250"/>
      <w:r w:rsidRPr="00953DE7">
        <w:rPr>
          <w:rFonts w:asciiTheme="majorBidi" w:hAnsiTheme="majorBidi"/>
          <w:b/>
          <w:bCs/>
          <w:color w:val="000000" w:themeColor="text1"/>
        </w:rPr>
        <w:t>3.1. Implementation Architecture</w:t>
      </w:r>
      <w:bookmarkEnd w:id="3"/>
    </w:p>
    <w:p w14:paraId="612054C8" w14:textId="602814AE" w:rsidR="007A5787" w:rsidRPr="00953DE7" w:rsidRDefault="003E0DE6" w:rsidP="007A5787">
      <w:pPr>
        <w:spacing w:before="240" w:after="240" w:line="360" w:lineRule="auto"/>
        <w:jc w:val="both"/>
        <w:rPr>
          <w:rFonts w:asciiTheme="majorBidi" w:hAnsiTheme="majorBidi" w:cstheme="majorBidi"/>
          <w:lang w:val="en-GB" w:eastAsia="en-US"/>
        </w:rPr>
      </w:pPr>
      <w:r w:rsidRPr="00953DE7">
        <w:rPr>
          <w:rFonts w:asciiTheme="majorBidi" w:hAnsiTheme="majorBidi" w:cstheme="majorBidi"/>
          <w:lang w:val="en-GB" w:eastAsia="en-US"/>
        </w:rPr>
        <w:t>The EU Recovery and Resilience Facility was created after the outbreak of the COVID-19 pandemic as an instrument to finance strategic reforms and investments, aimed at mitigating the economic and social impacts of the crisis and supporting the green and digital transformation. At the Government Office of the Slovak Republic, NIKA</w:t>
      </w:r>
      <w:r w:rsidR="00CA2960" w:rsidRPr="00953DE7">
        <w:rPr>
          <w:rFonts w:asciiTheme="majorBidi" w:hAnsiTheme="majorBidi" w:cstheme="majorBidi"/>
          <w:lang w:val="en-GB" w:eastAsia="en-US"/>
        </w:rPr>
        <w:t xml:space="preserve"> (National Implementation and Coordination Agency)</w:t>
      </w:r>
      <w:r w:rsidRPr="00953DE7">
        <w:rPr>
          <w:rFonts w:asciiTheme="majorBidi" w:hAnsiTheme="majorBidi" w:cstheme="majorBidi"/>
          <w:lang w:val="en-GB" w:eastAsia="en-US"/>
        </w:rPr>
        <w:t xml:space="preserve"> was established as the national contact point </w:t>
      </w:r>
      <w:r w:rsidR="007A5787">
        <w:rPr>
          <w:rFonts w:asciiTheme="majorBidi" w:hAnsiTheme="majorBidi" w:cstheme="majorBidi"/>
          <w:lang w:val="en-GB" w:eastAsia="en-US"/>
        </w:rPr>
        <w:br/>
      </w:r>
      <w:r w:rsidRPr="00953DE7">
        <w:rPr>
          <w:rFonts w:asciiTheme="majorBidi" w:hAnsiTheme="majorBidi" w:cstheme="majorBidi"/>
          <w:lang w:val="en-GB" w:eastAsia="en-US"/>
        </w:rPr>
        <w:t xml:space="preserve">and central coordinator of the Recovery and Resilience Plan for the period 2021–2026. </w:t>
      </w:r>
      <w:r w:rsidR="007A5787">
        <w:rPr>
          <w:rFonts w:asciiTheme="majorBidi" w:hAnsiTheme="majorBidi" w:cstheme="majorBidi"/>
          <w:lang w:val="en-GB" w:eastAsia="en-US"/>
        </w:rPr>
        <w:br/>
      </w:r>
      <w:r w:rsidRPr="00953DE7">
        <w:rPr>
          <w:rFonts w:asciiTheme="majorBidi" w:hAnsiTheme="majorBidi" w:cstheme="majorBidi"/>
          <w:lang w:val="en-GB" w:eastAsia="en-US"/>
        </w:rPr>
        <w:t>The national project (2021</w:t>
      </w:r>
      <w:r w:rsidR="00CF423B" w:rsidRPr="00953DE7">
        <w:rPr>
          <w:rFonts w:asciiTheme="majorBidi" w:hAnsiTheme="majorBidi" w:cstheme="majorBidi"/>
          <w:lang w:val="en-GB" w:eastAsia="en-US"/>
        </w:rPr>
        <w:t>-</w:t>
      </w:r>
      <w:r w:rsidRPr="00953DE7">
        <w:rPr>
          <w:rFonts w:asciiTheme="majorBidi" w:hAnsiTheme="majorBidi" w:cstheme="majorBidi"/>
          <w:lang w:val="en-GB" w:eastAsia="en-US"/>
        </w:rPr>
        <w:t xml:space="preserve">2023) focuses on building human and institutional capacities </w:t>
      </w:r>
      <w:r w:rsidR="007A5787">
        <w:rPr>
          <w:rFonts w:asciiTheme="majorBidi" w:hAnsiTheme="majorBidi" w:cstheme="majorBidi"/>
          <w:lang w:val="en-GB" w:eastAsia="en-US"/>
        </w:rPr>
        <w:br/>
      </w:r>
      <w:r w:rsidRPr="00953DE7">
        <w:rPr>
          <w:rFonts w:asciiTheme="majorBidi" w:hAnsiTheme="majorBidi" w:cstheme="majorBidi"/>
          <w:lang w:val="en-GB" w:eastAsia="en-US"/>
        </w:rPr>
        <w:t>for the management, coordination, control</w:t>
      </w:r>
      <w:r w:rsidR="00797439">
        <w:rPr>
          <w:rFonts w:asciiTheme="majorBidi" w:hAnsiTheme="majorBidi" w:cstheme="majorBidi"/>
          <w:lang w:val="en-GB" w:eastAsia="en-US"/>
        </w:rPr>
        <w:t>,</w:t>
      </w:r>
      <w:r w:rsidRPr="00953DE7">
        <w:rPr>
          <w:rFonts w:asciiTheme="majorBidi" w:hAnsiTheme="majorBidi" w:cstheme="majorBidi"/>
          <w:lang w:val="en-GB" w:eastAsia="en-US"/>
        </w:rPr>
        <w:t xml:space="preserve"> and audit of the Plan, including the preparation </w:t>
      </w:r>
      <w:r w:rsidR="007A5787">
        <w:rPr>
          <w:rFonts w:asciiTheme="majorBidi" w:hAnsiTheme="majorBidi" w:cstheme="majorBidi"/>
          <w:lang w:val="en-GB" w:eastAsia="en-US"/>
        </w:rPr>
        <w:br/>
      </w:r>
      <w:r w:rsidRPr="00953DE7">
        <w:rPr>
          <w:rFonts w:asciiTheme="majorBidi" w:hAnsiTheme="majorBidi" w:cstheme="majorBidi"/>
          <w:lang w:val="en-GB" w:eastAsia="en-US"/>
        </w:rPr>
        <w:t>of legislation, methodologies, the implementation system</w:t>
      </w:r>
      <w:r w:rsidR="00797439">
        <w:rPr>
          <w:rFonts w:asciiTheme="majorBidi" w:hAnsiTheme="majorBidi" w:cstheme="majorBidi"/>
          <w:lang w:val="en-GB" w:eastAsia="en-US"/>
        </w:rPr>
        <w:t>,</w:t>
      </w:r>
      <w:r w:rsidRPr="00953DE7">
        <w:rPr>
          <w:rFonts w:asciiTheme="majorBidi" w:hAnsiTheme="majorBidi" w:cstheme="majorBidi"/>
          <w:lang w:val="en-GB" w:eastAsia="en-US"/>
        </w:rPr>
        <w:t xml:space="preserve"> and updates of the Plan. The Ministry of Finance of the Slovak Republic and the Office of Government Audit are also </w:t>
      </w:r>
      <w:r w:rsidRPr="00953DE7">
        <w:rPr>
          <w:rFonts w:asciiTheme="majorBidi" w:hAnsiTheme="majorBidi" w:cstheme="majorBidi"/>
          <w:lang w:val="en-GB" w:eastAsia="en-US"/>
        </w:rPr>
        <w:lastRenderedPageBreak/>
        <w:t xml:space="preserve">involved in the management and control system. The activities include training, workshops </w:t>
      </w:r>
      <w:r w:rsidR="007A5787">
        <w:rPr>
          <w:rFonts w:asciiTheme="majorBidi" w:hAnsiTheme="majorBidi" w:cstheme="majorBidi"/>
          <w:lang w:val="en-GB" w:eastAsia="en-US"/>
        </w:rPr>
        <w:br/>
      </w:r>
      <w:r w:rsidRPr="00953DE7">
        <w:rPr>
          <w:rFonts w:asciiTheme="majorBidi" w:hAnsiTheme="majorBidi" w:cstheme="majorBidi"/>
          <w:lang w:val="en-GB" w:eastAsia="en-US"/>
        </w:rPr>
        <w:t xml:space="preserve">and conferences for entities involved in implementation. For each payment request, a summary of </w:t>
      </w:r>
      <w:r w:rsidR="00797439">
        <w:rPr>
          <w:rFonts w:asciiTheme="majorBidi" w:hAnsiTheme="majorBidi" w:cstheme="majorBidi"/>
          <w:lang w:val="en-GB" w:eastAsia="en-US"/>
        </w:rPr>
        <w:t xml:space="preserve">the </w:t>
      </w:r>
      <w:r w:rsidRPr="00953DE7">
        <w:rPr>
          <w:rFonts w:asciiTheme="majorBidi" w:hAnsiTheme="majorBidi" w:cstheme="majorBidi"/>
          <w:lang w:val="en-GB" w:eastAsia="en-US"/>
        </w:rPr>
        <w:t xml:space="preserve">audits carried out is submitted to the European Commission, including findings </w:t>
      </w:r>
      <w:r w:rsidR="007A5787">
        <w:rPr>
          <w:rFonts w:asciiTheme="majorBidi" w:hAnsiTheme="majorBidi" w:cstheme="majorBidi"/>
          <w:lang w:val="en-GB" w:eastAsia="en-US"/>
        </w:rPr>
        <w:br/>
      </w:r>
      <w:r w:rsidRPr="00953DE7">
        <w:rPr>
          <w:rFonts w:asciiTheme="majorBidi" w:hAnsiTheme="majorBidi" w:cstheme="majorBidi"/>
          <w:lang w:val="en-GB" w:eastAsia="en-US"/>
        </w:rPr>
        <w:t xml:space="preserve">and corrective measures, with a focus on preventing and detecting fraud, corruption </w:t>
      </w:r>
      <w:r w:rsidR="007A5787">
        <w:rPr>
          <w:rFonts w:asciiTheme="majorBidi" w:hAnsiTheme="majorBidi" w:cstheme="majorBidi"/>
          <w:lang w:val="en-GB" w:eastAsia="en-US"/>
        </w:rPr>
        <w:br/>
      </w:r>
      <w:r w:rsidRPr="00953DE7">
        <w:rPr>
          <w:rFonts w:asciiTheme="majorBidi" w:hAnsiTheme="majorBidi" w:cstheme="majorBidi"/>
          <w:lang w:val="en-GB" w:eastAsia="en-US"/>
        </w:rPr>
        <w:t>and conflicts of interest</w:t>
      </w:r>
      <w:r w:rsidR="0033061D" w:rsidRPr="00953DE7">
        <w:rPr>
          <w:rFonts w:asciiTheme="majorBidi" w:hAnsiTheme="majorBidi" w:cstheme="majorBidi"/>
          <w:lang w:val="en-GB" w:eastAsia="en-US"/>
        </w:rPr>
        <w:t xml:space="preserve"> (</w:t>
      </w:r>
      <w:r w:rsidR="00CF423B" w:rsidRPr="00953DE7">
        <w:rPr>
          <w:rFonts w:asciiTheme="majorBidi" w:hAnsiTheme="majorBidi" w:cstheme="majorBidi"/>
        </w:rPr>
        <w:t>Ministry of Finance of the Slovak Republic, n.d.</w:t>
      </w:r>
      <w:r w:rsidR="0033061D" w:rsidRPr="00953DE7">
        <w:rPr>
          <w:rFonts w:asciiTheme="majorBidi" w:hAnsiTheme="majorBidi" w:cstheme="majorBidi"/>
          <w:lang w:val="en-GB" w:eastAsia="en-US"/>
        </w:rPr>
        <w:t>)</w:t>
      </w:r>
      <w:r w:rsidRPr="00953DE7">
        <w:rPr>
          <w:rFonts w:asciiTheme="majorBidi" w:hAnsiTheme="majorBidi" w:cstheme="majorBidi"/>
          <w:lang w:val="en-GB" w:eastAsia="en-US"/>
        </w:rPr>
        <w:t>.</w:t>
      </w:r>
    </w:p>
    <w:p w14:paraId="2AA48BB3" w14:textId="09BDF13F" w:rsidR="00ED2663" w:rsidRPr="007A5787" w:rsidRDefault="00C00F47" w:rsidP="007A5787">
      <w:pPr>
        <w:pStyle w:val="Heading3"/>
        <w:rPr>
          <w:rFonts w:asciiTheme="majorBidi" w:hAnsiTheme="majorBidi"/>
          <w:b/>
          <w:bCs/>
          <w:color w:val="000000" w:themeColor="text1"/>
        </w:rPr>
      </w:pPr>
      <w:r>
        <w:tab/>
      </w:r>
      <w:bookmarkStart w:id="4" w:name="_Toc220360251"/>
      <w:r w:rsidRPr="007A5787">
        <w:rPr>
          <w:rFonts w:asciiTheme="majorBidi" w:hAnsiTheme="majorBidi"/>
          <w:b/>
          <w:bCs/>
          <w:color w:val="000000" w:themeColor="text1"/>
        </w:rPr>
        <w:t xml:space="preserve">3.2. </w:t>
      </w:r>
      <w:r w:rsidR="00EA4286" w:rsidRPr="007A5787">
        <w:rPr>
          <w:rFonts w:asciiTheme="majorBidi" w:hAnsiTheme="majorBidi"/>
          <w:b/>
          <w:bCs/>
          <w:color w:val="000000" w:themeColor="text1"/>
        </w:rPr>
        <w:t>Coordination</w:t>
      </w:r>
      <w:r w:rsidR="003E0DE6" w:rsidRPr="007A5787">
        <w:rPr>
          <w:rFonts w:asciiTheme="majorBidi" w:hAnsiTheme="majorBidi"/>
          <w:b/>
          <w:bCs/>
          <w:color w:val="000000" w:themeColor="text1"/>
        </w:rPr>
        <w:t xml:space="preserve"> and anti-Freud Policy</w:t>
      </w:r>
      <w:bookmarkEnd w:id="4"/>
    </w:p>
    <w:p w14:paraId="16C15A11" w14:textId="2850B722" w:rsidR="00ED2663" w:rsidRDefault="00ED2663" w:rsidP="007A5787">
      <w:pPr>
        <w:spacing w:before="240" w:line="360" w:lineRule="auto"/>
        <w:jc w:val="both"/>
        <w:rPr>
          <w:lang w:val="en-GB" w:eastAsia="en-US"/>
        </w:rPr>
      </w:pPr>
      <w:r>
        <w:rPr>
          <w:lang w:val="en-GB" w:eastAsia="en-US"/>
        </w:rPr>
        <w:t xml:space="preserve">NRRP in </w:t>
      </w:r>
      <w:r w:rsidR="00E93F23">
        <w:rPr>
          <w:lang w:val="en-GB" w:eastAsia="en-US"/>
        </w:rPr>
        <w:t xml:space="preserve">the </w:t>
      </w:r>
      <w:r>
        <w:rPr>
          <w:lang w:val="en-GB" w:eastAsia="en-US"/>
        </w:rPr>
        <w:t xml:space="preserve">Slovak Republic is governed by Intergovernmental Committees consisting </w:t>
      </w:r>
      <w:r w:rsidR="007A5787">
        <w:rPr>
          <w:lang w:val="en-GB" w:eastAsia="en-US"/>
        </w:rPr>
        <w:br/>
      </w:r>
      <w:r>
        <w:rPr>
          <w:lang w:val="en-GB" w:eastAsia="en-US"/>
        </w:rPr>
        <w:t xml:space="preserve">of members from every ministry, except the Ministry of Defence, </w:t>
      </w:r>
      <w:r w:rsidRPr="00ED2663">
        <w:rPr>
          <w:lang w:val="en-GB" w:eastAsia="en-US"/>
        </w:rPr>
        <w:t xml:space="preserve">Public Procurement </w:t>
      </w:r>
      <w:r w:rsidR="009B214D" w:rsidRPr="00ED2663">
        <w:rPr>
          <w:lang w:val="en-GB" w:eastAsia="en-US"/>
        </w:rPr>
        <w:t>Office</w:t>
      </w:r>
      <w:r w:rsidR="00E93F23">
        <w:rPr>
          <w:lang w:val="en-GB" w:eastAsia="en-US"/>
        </w:rPr>
        <w:t>,</w:t>
      </w:r>
      <w:r w:rsidR="009B214D" w:rsidRPr="00ED2663">
        <w:rPr>
          <w:lang w:val="en-GB" w:eastAsia="en-US"/>
        </w:rPr>
        <w:t xml:space="preserve"> Government</w:t>
      </w:r>
      <w:r w:rsidRPr="00ED2663">
        <w:rPr>
          <w:lang w:val="en-GB" w:eastAsia="en-US"/>
        </w:rPr>
        <w:t xml:space="preserve"> Office of the Slovak Republic</w:t>
      </w:r>
      <w:r w:rsidR="00E93F23">
        <w:rPr>
          <w:lang w:val="en-GB" w:eastAsia="en-US"/>
        </w:rPr>
        <w:t>, and</w:t>
      </w:r>
      <w:r w:rsidRPr="00ED2663">
        <w:rPr>
          <w:lang w:val="en-GB" w:eastAsia="en-US"/>
        </w:rPr>
        <w:t xml:space="preserve"> Research and Innovation Authority</w:t>
      </w:r>
      <w:r w:rsidR="00E93F23">
        <w:rPr>
          <w:lang w:val="en-GB" w:eastAsia="en-US"/>
        </w:rPr>
        <w:t>,</w:t>
      </w:r>
      <w:r>
        <w:rPr>
          <w:lang w:val="en-GB" w:eastAsia="en-US"/>
        </w:rPr>
        <w:t xml:space="preserve"> mandated by the government of the state (</w:t>
      </w:r>
      <w:proofErr w:type="spellStart"/>
      <w:r w:rsidR="002F230C">
        <w:rPr>
          <w:lang w:val="en-GB" w:eastAsia="en-US"/>
        </w:rPr>
        <w:t>Plán</w:t>
      </w:r>
      <w:proofErr w:type="spellEnd"/>
      <w:r w:rsidR="002F230C">
        <w:rPr>
          <w:lang w:val="en-GB" w:eastAsia="en-US"/>
        </w:rPr>
        <w:t xml:space="preserve"> </w:t>
      </w:r>
      <w:proofErr w:type="spellStart"/>
      <w:r w:rsidR="002F230C">
        <w:rPr>
          <w:lang w:val="en-GB" w:eastAsia="en-US"/>
        </w:rPr>
        <w:t>Obnovy</w:t>
      </w:r>
      <w:proofErr w:type="spellEnd"/>
      <w:r w:rsidR="002F230C">
        <w:rPr>
          <w:lang w:val="en-GB" w:eastAsia="en-US"/>
        </w:rPr>
        <w:t>, n.d.-b</w:t>
      </w:r>
      <w:r>
        <w:rPr>
          <w:lang w:val="en-GB" w:eastAsia="en-US"/>
        </w:rPr>
        <w:t>).</w:t>
      </w:r>
    </w:p>
    <w:p w14:paraId="799E3F0E" w14:textId="77777777" w:rsidR="00ED2663" w:rsidRDefault="00ED2663" w:rsidP="007A5787">
      <w:pPr>
        <w:spacing w:line="360" w:lineRule="auto"/>
        <w:jc w:val="both"/>
        <w:rPr>
          <w:lang w:val="en-GB" w:eastAsia="en-US"/>
        </w:rPr>
      </w:pPr>
    </w:p>
    <w:p w14:paraId="731B938E" w14:textId="7CAE2ECC" w:rsidR="00EA4286" w:rsidRDefault="00ED2663" w:rsidP="007A5787">
      <w:pPr>
        <w:spacing w:line="360" w:lineRule="auto"/>
        <w:jc w:val="both"/>
        <w:rPr>
          <w:lang w:val="en-GB" w:eastAsia="en-US"/>
        </w:rPr>
      </w:pPr>
      <w:r w:rsidRPr="00ED2663">
        <w:rPr>
          <w:lang w:val="en-GB" w:eastAsia="en-US"/>
        </w:rPr>
        <w:t xml:space="preserve">The Recovery Plan Section of the Office of the Deputy Prime Minister for the Recovery Plan and the Knowledge Economy of the Slovak Republic, which serves as the National Implementation and Coordination Authority (NIKA), follows a strict zero-tolerance policy </w:t>
      </w:r>
      <w:r w:rsidR="007A5787">
        <w:rPr>
          <w:lang w:val="en-GB" w:eastAsia="en-US"/>
        </w:rPr>
        <w:br/>
      </w:r>
      <w:r w:rsidRPr="00ED2663">
        <w:rPr>
          <w:lang w:val="en-GB" w:eastAsia="en-US"/>
        </w:rPr>
        <w:t>on fraud and corruption. It is committed to working in a transparent, honest</w:t>
      </w:r>
      <w:r w:rsidR="00797439">
        <w:rPr>
          <w:lang w:val="en-GB" w:eastAsia="en-US"/>
        </w:rPr>
        <w:t>,</w:t>
      </w:r>
      <w:r w:rsidRPr="00ED2663">
        <w:rPr>
          <w:lang w:val="en-GB" w:eastAsia="en-US"/>
        </w:rPr>
        <w:t xml:space="preserve"> and impartial way and to respecting high legal and ethical standards. The goal of its anti-fraud and anti-corruption policy is to strengthen transparency, prevent risks early, quickly detect suspicious behaviour, and make sure that all cases are properly investigated and</w:t>
      </w:r>
      <w:r>
        <w:rPr>
          <w:lang w:val="en-GB" w:eastAsia="en-US"/>
        </w:rPr>
        <w:t xml:space="preserve"> </w:t>
      </w:r>
      <w:proofErr w:type="gramStart"/>
      <w:r>
        <w:rPr>
          <w:lang w:val="en-GB" w:eastAsia="en-US"/>
        </w:rPr>
        <w:t>fairly</w:t>
      </w:r>
      <w:r w:rsidRPr="00ED2663">
        <w:rPr>
          <w:lang w:val="en-GB" w:eastAsia="en-US"/>
        </w:rPr>
        <w:t xml:space="preserve"> punished</w:t>
      </w:r>
      <w:proofErr w:type="gramEnd"/>
      <w:r w:rsidR="00921CB3">
        <w:rPr>
          <w:lang w:val="en-GB" w:eastAsia="en-US"/>
        </w:rPr>
        <w:t xml:space="preserve"> (</w:t>
      </w:r>
      <w:r w:rsidR="00921CB3" w:rsidRPr="00921CB3">
        <w:t>Office of the Deputy Prime Minister of the Slovak Republic for the Recovery Plan and the Knowledge Economy</w:t>
      </w:r>
      <w:r w:rsidR="00CF423B">
        <w:t xml:space="preserve">, </w:t>
      </w:r>
      <w:r w:rsidR="00921CB3" w:rsidRPr="00921CB3">
        <w:t>n.d.</w:t>
      </w:r>
      <w:r w:rsidR="00921CB3">
        <w:rPr>
          <w:lang w:val="en-GB" w:eastAsia="en-US"/>
        </w:rPr>
        <w:t>)</w:t>
      </w:r>
      <w:r w:rsidRPr="00ED2663">
        <w:rPr>
          <w:lang w:val="en-GB" w:eastAsia="en-US"/>
        </w:rPr>
        <w:t>.</w:t>
      </w:r>
    </w:p>
    <w:p w14:paraId="2362B357" w14:textId="4DB6F885" w:rsidR="00E61E39" w:rsidRPr="007A5787" w:rsidRDefault="00E61E39" w:rsidP="00E61E39">
      <w:pPr>
        <w:pStyle w:val="Heading3"/>
        <w:rPr>
          <w:rFonts w:asciiTheme="majorBidi" w:hAnsiTheme="majorBidi"/>
          <w:b/>
          <w:bCs/>
        </w:rPr>
      </w:pPr>
      <w:r>
        <w:tab/>
      </w:r>
      <w:bookmarkStart w:id="5" w:name="_Toc220360252"/>
      <w:r w:rsidRPr="007A5787">
        <w:rPr>
          <w:rFonts w:asciiTheme="majorBidi" w:hAnsiTheme="majorBidi"/>
          <w:b/>
          <w:bCs/>
          <w:color w:val="000000" w:themeColor="text1"/>
        </w:rPr>
        <w:t>3.3. Economic Impacts of the RRF in Slovakia</w:t>
      </w:r>
      <w:bookmarkEnd w:id="5"/>
    </w:p>
    <w:p w14:paraId="36004A68" w14:textId="6FF95468" w:rsidR="00607920" w:rsidRPr="007A5787" w:rsidRDefault="00607920" w:rsidP="007A5787">
      <w:pPr>
        <w:pStyle w:val="p1"/>
        <w:spacing w:before="240" w:after="240" w:line="360" w:lineRule="auto"/>
        <w:jc w:val="both"/>
        <w:rPr>
          <w:sz w:val="24"/>
          <w:szCs w:val="24"/>
          <w:lang w:val="sk-SK"/>
        </w:rPr>
      </w:pPr>
      <w:r w:rsidRPr="0077331D">
        <w:rPr>
          <w:sz w:val="24"/>
          <w:szCs w:val="24"/>
          <w:lang w:val="en-GB" w:eastAsia="en-US"/>
        </w:rPr>
        <w:t xml:space="preserve">According to the report by </w:t>
      </w:r>
      <w:r w:rsidR="00E93F23">
        <w:rPr>
          <w:sz w:val="24"/>
          <w:szCs w:val="24"/>
          <w:lang w:val="en-GB" w:eastAsia="en-US"/>
        </w:rPr>
        <w:t xml:space="preserve">the </w:t>
      </w:r>
      <w:r w:rsidRPr="0077331D">
        <w:rPr>
          <w:sz w:val="24"/>
          <w:szCs w:val="24"/>
          <w:lang w:val="en-GB" w:eastAsia="en-US"/>
        </w:rPr>
        <w:t>European Commission (2025), with the effect of spillovers from other Member States’ RRPs, the allocation is</w:t>
      </w:r>
      <w:r w:rsidR="0067249B">
        <w:rPr>
          <w:sz w:val="24"/>
          <w:szCs w:val="24"/>
          <w:lang w:val="en-GB" w:eastAsia="en-US"/>
        </w:rPr>
        <w:t xml:space="preserve"> </w:t>
      </w:r>
      <w:r w:rsidRPr="0077331D">
        <w:rPr>
          <w:sz w:val="24"/>
          <w:szCs w:val="24"/>
          <w:lang w:val="en-GB" w:eastAsia="en-US"/>
        </w:rPr>
        <w:t>expected to increase</w:t>
      </w:r>
      <w:r w:rsidR="0067249B">
        <w:rPr>
          <w:sz w:val="24"/>
          <w:szCs w:val="24"/>
          <w:lang w:val="en-GB" w:eastAsia="en-US"/>
        </w:rPr>
        <w:t xml:space="preserve"> the amount allocated</w:t>
      </w:r>
      <w:r w:rsidRPr="0077331D">
        <w:rPr>
          <w:sz w:val="24"/>
          <w:szCs w:val="24"/>
          <w:lang w:val="en-GB" w:eastAsia="en-US"/>
        </w:rPr>
        <w:t xml:space="preserve"> </w:t>
      </w:r>
      <w:r w:rsidR="0067249B">
        <w:rPr>
          <w:sz w:val="24"/>
          <w:szCs w:val="24"/>
          <w:lang w:val="en-GB" w:eastAsia="en-US"/>
        </w:rPr>
        <w:t xml:space="preserve">by </w:t>
      </w:r>
      <w:r w:rsidRPr="0077331D">
        <w:rPr>
          <w:sz w:val="24"/>
          <w:szCs w:val="24"/>
          <w:lang w:val="en-GB" w:eastAsia="en-US"/>
        </w:rPr>
        <w:t xml:space="preserve">10% from </w:t>
      </w:r>
      <w:r w:rsidR="00E93F23">
        <w:rPr>
          <w:sz w:val="24"/>
          <w:szCs w:val="24"/>
          <w:lang w:val="en-GB" w:eastAsia="en-US"/>
        </w:rPr>
        <w:t xml:space="preserve">the </w:t>
      </w:r>
      <w:r w:rsidRPr="0077331D">
        <w:rPr>
          <w:sz w:val="24"/>
          <w:szCs w:val="24"/>
          <w:lang w:val="en-GB" w:eastAsia="en-US"/>
        </w:rPr>
        <w:t xml:space="preserve">initial request of </w:t>
      </w:r>
      <w:r w:rsidR="00D00AF7">
        <w:rPr>
          <w:sz w:val="24"/>
          <w:szCs w:val="24"/>
          <w:lang w:val="en-GB" w:eastAsia="en-US"/>
        </w:rPr>
        <w:t xml:space="preserve">EUR </w:t>
      </w:r>
      <w:r w:rsidRPr="0077331D">
        <w:rPr>
          <w:sz w:val="24"/>
          <w:szCs w:val="24"/>
          <w:lang w:val="en-GB" w:eastAsia="en-US"/>
        </w:rPr>
        <w:t>6.4 billion to 7.02 billion</w:t>
      </w:r>
      <w:r w:rsidR="0067249B">
        <w:rPr>
          <w:sz w:val="24"/>
          <w:szCs w:val="24"/>
          <w:lang w:val="en-GB" w:eastAsia="en-US"/>
        </w:rPr>
        <w:t>. Slovakia is the highest beneficiary from spillovers relative to GDP</w:t>
      </w:r>
      <w:r w:rsidR="00E93F23">
        <w:rPr>
          <w:sz w:val="24"/>
          <w:szCs w:val="24"/>
          <w:lang w:val="en-GB" w:eastAsia="en-US"/>
        </w:rPr>
        <w:t>,</w:t>
      </w:r>
      <w:r w:rsidR="0067249B">
        <w:rPr>
          <w:sz w:val="24"/>
          <w:szCs w:val="24"/>
          <w:lang w:val="en-GB" w:eastAsia="en-US"/>
        </w:rPr>
        <w:t xml:space="preserve"> </w:t>
      </w:r>
      <w:r w:rsidR="00797439">
        <w:rPr>
          <w:sz w:val="24"/>
          <w:szCs w:val="24"/>
          <w:lang w:val="en-GB" w:eastAsia="en-US"/>
        </w:rPr>
        <w:t>with</w:t>
      </w:r>
      <w:r w:rsidR="0067249B">
        <w:rPr>
          <w:sz w:val="24"/>
          <w:szCs w:val="24"/>
          <w:lang w:val="en-GB" w:eastAsia="en-US"/>
        </w:rPr>
        <w:t xml:space="preserve"> </w:t>
      </w:r>
      <w:r w:rsidR="00797439">
        <w:rPr>
          <w:sz w:val="24"/>
          <w:szCs w:val="24"/>
          <w:lang w:val="en-GB" w:eastAsia="en-US"/>
        </w:rPr>
        <w:t>a</w:t>
      </w:r>
      <w:r w:rsidR="0067249B">
        <w:rPr>
          <w:sz w:val="24"/>
          <w:szCs w:val="24"/>
          <w:lang w:val="en-GB" w:eastAsia="en-US"/>
        </w:rPr>
        <w:t xml:space="preserve"> 1.8% increase</w:t>
      </w:r>
      <w:r w:rsidR="00E772E5">
        <w:rPr>
          <w:rStyle w:val="FootnoteReference"/>
          <w:sz w:val="24"/>
          <w:szCs w:val="24"/>
          <w:lang w:val="en-GB" w:eastAsia="en-US"/>
        </w:rPr>
        <w:footnoteReference w:id="10"/>
      </w:r>
      <w:r w:rsidR="00E93F23">
        <w:rPr>
          <w:sz w:val="24"/>
          <w:szCs w:val="24"/>
          <w:lang w:val="en-GB" w:eastAsia="en-US"/>
        </w:rPr>
        <w:t>,</w:t>
      </w:r>
      <w:r w:rsidR="00E772E5">
        <w:rPr>
          <w:sz w:val="24"/>
          <w:szCs w:val="24"/>
          <w:lang w:val="en-GB" w:eastAsia="en-US"/>
        </w:rPr>
        <w:t xml:space="preserve"> due to high integration within the European Single Market</w:t>
      </w:r>
      <w:r w:rsidRPr="0077331D">
        <w:rPr>
          <w:sz w:val="24"/>
          <w:szCs w:val="24"/>
          <w:lang w:val="en-GB" w:eastAsia="en-US"/>
        </w:rPr>
        <w:t xml:space="preserve">. Spillover impacts arise from higher exports to other Member States due to </w:t>
      </w:r>
      <w:r w:rsidR="00E93F23">
        <w:rPr>
          <w:sz w:val="24"/>
          <w:szCs w:val="24"/>
          <w:lang w:val="en-GB" w:eastAsia="en-US"/>
        </w:rPr>
        <w:t xml:space="preserve">the </w:t>
      </w:r>
      <w:r w:rsidRPr="0077331D">
        <w:rPr>
          <w:sz w:val="24"/>
          <w:szCs w:val="24"/>
          <w:lang w:val="en-GB" w:eastAsia="en-US"/>
        </w:rPr>
        <w:t xml:space="preserve">implementation of </w:t>
      </w:r>
      <w:r w:rsidR="00E93F23">
        <w:rPr>
          <w:sz w:val="24"/>
          <w:szCs w:val="24"/>
          <w:lang w:val="en-GB" w:eastAsia="en-US"/>
        </w:rPr>
        <w:t xml:space="preserve">the </w:t>
      </w:r>
      <w:r w:rsidRPr="0077331D">
        <w:rPr>
          <w:sz w:val="24"/>
          <w:szCs w:val="24"/>
          <w:lang w:val="en-GB" w:eastAsia="en-US"/>
        </w:rPr>
        <w:t>NRRP</w:t>
      </w:r>
      <w:r w:rsidRPr="0077331D">
        <w:rPr>
          <w:rStyle w:val="FootnoteReference"/>
          <w:sz w:val="24"/>
          <w:szCs w:val="24"/>
          <w:lang w:val="en-GB" w:eastAsia="en-US"/>
        </w:rPr>
        <w:footnoteReference w:id="11"/>
      </w:r>
      <w:r w:rsidR="003F13F5" w:rsidRPr="0077331D">
        <w:rPr>
          <w:sz w:val="24"/>
          <w:szCs w:val="24"/>
          <w:lang w:val="en-GB" w:eastAsia="en-US"/>
        </w:rPr>
        <w:t xml:space="preserve">. Slovakia’s NRRP consists in total </w:t>
      </w:r>
      <w:r w:rsidR="007A5787">
        <w:rPr>
          <w:sz w:val="24"/>
          <w:szCs w:val="24"/>
          <w:lang w:val="en-GB" w:eastAsia="en-US"/>
        </w:rPr>
        <w:br/>
      </w:r>
      <w:r w:rsidR="003F13F5" w:rsidRPr="0077331D">
        <w:rPr>
          <w:sz w:val="24"/>
          <w:szCs w:val="24"/>
          <w:lang w:val="en-GB" w:eastAsia="en-US"/>
        </w:rPr>
        <w:t xml:space="preserve">of 63 reforms, </w:t>
      </w:r>
      <w:r w:rsidR="00E93F23">
        <w:rPr>
          <w:sz w:val="24"/>
          <w:szCs w:val="24"/>
          <w:lang w:val="en-GB" w:eastAsia="en-US"/>
        </w:rPr>
        <w:t>of</w:t>
      </w:r>
      <w:r w:rsidR="003F13F5" w:rsidRPr="0077331D">
        <w:rPr>
          <w:sz w:val="24"/>
          <w:szCs w:val="24"/>
          <w:lang w:val="en-GB" w:eastAsia="en-US"/>
        </w:rPr>
        <w:t xml:space="preserve"> which almost half </w:t>
      </w:r>
      <w:r w:rsidR="00E93F23">
        <w:rPr>
          <w:sz w:val="24"/>
          <w:szCs w:val="24"/>
          <w:lang w:val="en-GB" w:eastAsia="en-US"/>
        </w:rPr>
        <w:t>are</w:t>
      </w:r>
      <w:r w:rsidR="003F13F5" w:rsidRPr="0077331D">
        <w:rPr>
          <w:sz w:val="24"/>
          <w:szCs w:val="24"/>
          <w:lang w:val="en-GB" w:eastAsia="en-US"/>
        </w:rPr>
        <w:t xml:space="preserve"> aimed towards </w:t>
      </w:r>
      <w:r w:rsidR="00E93F23">
        <w:rPr>
          <w:sz w:val="24"/>
          <w:szCs w:val="24"/>
          <w:lang w:val="en-GB" w:eastAsia="en-US"/>
        </w:rPr>
        <w:t xml:space="preserve">the </w:t>
      </w:r>
      <w:r w:rsidR="003F13F5" w:rsidRPr="0077331D">
        <w:rPr>
          <w:sz w:val="24"/>
          <w:szCs w:val="24"/>
          <w:lang w:val="en-GB" w:eastAsia="en-US"/>
        </w:rPr>
        <w:t>labour market (16) and green transition (15).</w:t>
      </w:r>
      <w:r w:rsidR="003F13F5" w:rsidRPr="0077331D">
        <w:rPr>
          <w:rStyle w:val="FootnoteReference"/>
          <w:sz w:val="24"/>
          <w:szCs w:val="24"/>
          <w:lang w:val="en-GB" w:eastAsia="en-US"/>
        </w:rPr>
        <w:footnoteReference w:id="12"/>
      </w:r>
      <w:r w:rsidR="0077331D" w:rsidRPr="0077331D">
        <w:rPr>
          <w:sz w:val="24"/>
          <w:szCs w:val="24"/>
          <w:lang w:val="en-GB" w:eastAsia="en-US"/>
        </w:rPr>
        <w:t xml:space="preserve"> These reforms consist</w:t>
      </w:r>
      <w:r w:rsidR="00E93F23">
        <w:rPr>
          <w:sz w:val="24"/>
          <w:szCs w:val="24"/>
          <w:lang w:val="en-GB" w:eastAsia="en-US"/>
        </w:rPr>
        <w:t>,</w:t>
      </w:r>
      <w:r w:rsidR="0077331D" w:rsidRPr="0077331D">
        <w:rPr>
          <w:sz w:val="24"/>
          <w:szCs w:val="24"/>
          <w:lang w:val="en-GB" w:eastAsia="en-US"/>
        </w:rPr>
        <w:t xml:space="preserve"> for example</w:t>
      </w:r>
      <w:r w:rsidR="00E93F23">
        <w:rPr>
          <w:sz w:val="24"/>
          <w:szCs w:val="24"/>
          <w:lang w:val="en-GB" w:eastAsia="en-US"/>
        </w:rPr>
        <w:t>,</w:t>
      </w:r>
      <w:r w:rsidR="0077331D" w:rsidRPr="0077331D">
        <w:rPr>
          <w:sz w:val="24"/>
          <w:szCs w:val="24"/>
          <w:lang w:val="en-GB" w:eastAsia="en-US"/>
        </w:rPr>
        <w:t xml:space="preserve"> of </w:t>
      </w:r>
      <w:r w:rsidR="0077331D" w:rsidRPr="0077331D">
        <w:rPr>
          <w:sz w:val="24"/>
          <w:szCs w:val="24"/>
        </w:rPr>
        <w:t xml:space="preserve">A reform to improve the long-term </w:t>
      </w:r>
      <w:r w:rsidR="0077331D" w:rsidRPr="0077331D">
        <w:rPr>
          <w:sz w:val="24"/>
          <w:szCs w:val="24"/>
        </w:rPr>
        <w:lastRenderedPageBreak/>
        <w:t>fiscal sustainability of the pension system or A national strategy for Research, Development and Innovation (RDI)</w:t>
      </w:r>
      <w:r w:rsidR="0077331D">
        <w:rPr>
          <w:sz w:val="24"/>
          <w:szCs w:val="24"/>
        </w:rPr>
        <w:t xml:space="preserve"> (European Commission, 2025).</w:t>
      </w:r>
    </w:p>
    <w:p w14:paraId="55164ECF" w14:textId="3EB39DE5" w:rsidR="00746D30" w:rsidRPr="007A5787" w:rsidRDefault="00746D30" w:rsidP="00746D30">
      <w:pPr>
        <w:pStyle w:val="Heading2"/>
        <w:rPr>
          <w:rFonts w:asciiTheme="majorBidi" w:hAnsiTheme="majorBidi"/>
          <w:b/>
          <w:bCs/>
          <w:color w:val="000000" w:themeColor="text1"/>
        </w:rPr>
      </w:pPr>
      <w:bookmarkStart w:id="6" w:name="_Toc220360253"/>
      <w:r w:rsidRPr="007A5787">
        <w:rPr>
          <w:rFonts w:asciiTheme="majorBidi" w:hAnsiTheme="majorBidi"/>
          <w:b/>
          <w:bCs/>
          <w:color w:val="000000" w:themeColor="text1"/>
        </w:rPr>
        <w:t>4. The Next Trench of the NRRP</w:t>
      </w:r>
      <w:bookmarkEnd w:id="6"/>
      <w:r w:rsidR="00CE0F50" w:rsidRPr="007A5787">
        <w:rPr>
          <w:rFonts w:asciiTheme="majorBidi" w:hAnsiTheme="majorBidi"/>
          <w:b/>
          <w:bCs/>
          <w:color w:val="000000" w:themeColor="text1"/>
        </w:rPr>
        <w:t xml:space="preserve"> </w:t>
      </w:r>
    </w:p>
    <w:p w14:paraId="5B2EF04B" w14:textId="450506E3" w:rsidR="0028123D" w:rsidRPr="00F3390A" w:rsidRDefault="00E20164" w:rsidP="007A5787">
      <w:pPr>
        <w:pStyle w:val="p1"/>
        <w:spacing w:before="240" w:line="360" w:lineRule="auto"/>
        <w:jc w:val="both"/>
        <w:rPr>
          <w:color w:val="auto"/>
          <w:sz w:val="24"/>
          <w:szCs w:val="24"/>
        </w:rPr>
      </w:pPr>
      <w:r w:rsidRPr="00F3390A">
        <w:rPr>
          <w:sz w:val="24"/>
          <w:szCs w:val="24"/>
          <w:lang w:val="en-GB" w:eastAsia="en-US"/>
        </w:rPr>
        <w:t>On the 25</w:t>
      </w:r>
      <w:r w:rsidRPr="00F3390A">
        <w:rPr>
          <w:sz w:val="24"/>
          <w:szCs w:val="24"/>
          <w:vertAlign w:val="superscript"/>
          <w:lang w:val="en-GB" w:eastAsia="en-US"/>
        </w:rPr>
        <w:t>th</w:t>
      </w:r>
      <w:r w:rsidRPr="00F3390A">
        <w:rPr>
          <w:sz w:val="24"/>
          <w:szCs w:val="24"/>
          <w:lang w:val="en-GB" w:eastAsia="en-US"/>
        </w:rPr>
        <w:t xml:space="preserve"> of November 2025, Slovakia submitted the 7</w:t>
      </w:r>
      <w:r w:rsidRPr="00F3390A">
        <w:rPr>
          <w:sz w:val="24"/>
          <w:szCs w:val="24"/>
          <w:vertAlign w:val="superscript"/>
          <w:lang w:val="en-GB" w:eastAsia="en-US"/>
        </w:rPr>
        <w:t>th</w:t>
      </w:r>
      <w:r w:rsidRPr="00F3390A">
        <w:rPr>
          <w:sz w:val="24"/>
          <w:szCs w:val="24"/>
          <w:lang w:val="en-GB" w:eastAsia="en-US"/>
        </w:rPr>
        <w:t xml:space="preserve"> payment request of </w:t>
      </w:r>
      <w:r w:rsidR="00D00AF7">
        <w:rPr>
          <w:sz w:val="24"/>
          <w:szCs w:val="24"/>
          <w:lang w:val="en-GB" w:eastAsia="en-US"/>
        </w:rPr>
        <w:t xml:space="preserve">EUR </w:t>
      </w:r>
      <w:r w:rsidRPr="00F3390A">
        <w:rPr>
          <w:sz w:val="24"/>
          <w:szCs w:val="24"/>
          <w:lang w:val="en-GB" w:eastAsia="en-US"/>
        </w:rPr>
        <w:t xml:space="preserve">761.2 </w:t>
      </w:r>
      <w:r w:rsidR="00E61E39" w:rsidRPr="00F3390A">
        <w:rPr>
          <w:sz w:val="24"/>
          <w:szCs w:val="24"/>
          <w:lang w:val="en-GB" w:eastAsia="en-US"/>
        </w:rPr>
        <w:t>million</w:t>
      </w:r>
      <w:r w:rsidR="00D00AF7">
        <w:rPr>
          <w:sz w:val="24"/>
          <w:szCs w:val="24"/>
          <w:lang w:val="en-GB" w:eastAsia="en-US"/>
        </w:rPr>
        <w:t xml:space="preserve"> </w:t>
      </w:r>
      <w:r w:rsidRPr="00F3390A">
        <w:rPr>
          <w:sz w:val="24"/>
          <w:szCs w:val="24"/>
          <w:lang w:val="en-GB" w:eastAsia="en-US"/>
        </w:rPr>
        <w:t>(</w:t>
      </w:r>
      <w:r w:rsidR="00E61E39" w:rsidRPr="00F3390A">
        <w:rPr>
          <w:sz w:val="24"/>
          <w:szCs w:val="24"/>
        </w:rPr>
        <w:t xml:space="preserve">European Commission, n.d.-e; </w:t>
      </w:r>
      <w:r w:rsidRPr="00F3390A">
        <w:rPr>
          <w:sz w:val="24"/>
          <w:szCs w:val="24"/>
        </w:rPr>
        <w:t>Plán obnovy, 2025</w:t>
      </w:r>
      <w:r w:rsidRPr="00F3390A">
        <w:rPr>
          <w:sz w:val="24"/>
          <w:szCs w:val="24"/>
          <w:lang w:val="en-GB" w:eastAsia="en-US"/>
        </w:rPr>
        <w:t xml:space="preserve">). </w:t>
      </w:r>
      <w:r w:rsidR="00E82062" w:rsidRPr="00F3390A">
        <w:rPr>
          <w:sz w:val="24"/>
          <w:szCs w:val="24"/>
          <w:lang w:val="en-GB" w:eastAsia="en-US"/>
        </w:rPr>
        <w:t>Part of the requests are 18 milestones focusing on healthcare</w:t>
      </w:r>
      <w:r w:rsidR="00CA2960" w:rsidRPr="00F3390A">
        <w:rPr>
          <w:sz w:val="24"/>
          <w:szCs w:val="24"/>
          <w:lang w:val="en-GB" w:eastAsia="en-US"/>
        </w:rPr>
        <w:t>, education, digitalization</w:t>
      </w:r>
      <w:r w:rsidR="00797439">
        <w:rPr>
          <w:sz w:val="24"/>
          <w:szCs w:val="24"/>
          <w:lang w:val="en-GB" w:eastAsia="en-US"/>
        </w:rPr>
        <w:t>,</w:t>
      </w:r>
      <w:r w:rsidR="00CA2960" w:rsidRPr="00F3390A">
        <w:rPr>
          <w:sz w:val="24"/>
          <w:szCs w:val="24"/>
          <w:lang w:val="en-GB" w:eastAsia="en-US"/>
        </w:rPr>
        <w:t xml:space="preserve"> and environment. National Implementation and Coordination Agency (NIKA) </w:t>
      </w:r>
      <w:proofErr w:type="gramStart"/>
      <w:r w:rsidR="00CA2960" w:rsidRPr="00F3390A">
        <w:rPr>
          <w:sz w:val="24"/>
          <w:szCs w:val="24"/>
          <w:lang w:val="en-GB" w:eastAsia="en-US"/>
        </w:rPr>
        <w:t>urges</w:t>
      </w:r>
      <w:proofErr w:type="gramEnd"/>
      <w:r w:rsidR="00CA2960" w:rsidRPr="00F3390A">
        <w:rPr>
          <w:sz w:val="24"/>
          <w:szCs w:val="24"/>
          <w:lang w:val="en-GB" w:eastAsia="en-US"/>
        </w:rPr>
        <w:t xml:space="preserve"> that non-</w:t>
      </w:r>
      <w:proofErr w:type="spellStart"/>
      <w:r w:rsidR="00CA2960" w:rsidRPr="00F3390A">
        <w:rPr>
          <w:sz w:val="24"/>
          <w:szCs w:val="24"/>
          <w:lang w:val="en-GB" w:eastAsia="en-US"/>
        </w:rPr>
        <w:t>fulfil</w:t>
      </w:r>
      <w:r w:rsidR="00797439">
        <w:rPr>
          <w:sz w:val="24"/>
          <w:szCs w:val="24"/>
          <w:lang w:val="en-GB" w:eastAsia="en-US"/>
        </w:rPr>
        <w:t>l</w:t>
      </w:r>
      <w:r w:rsidR="00CA2960" w:rsidRPr="00F3390A">
        <w:rPr>
          <w:sz w:val="24"/>
          <w:szCs w:val="24"/>
          <w:lang w:val="en-GB" w:eastAsia="en-US"/>
        </w:rPr>
        <w:t>ment</w:t>
      </w:r>
      <w:proofErr w:type="spellEnd"/>
      <w:r w:rsidR="00CA2960" w:rsidRPr="00F3390A">
        <w:rPr>
          <w:sz w:val="24"/>
          <w:szCs w:val="24"/>
          <w:lang w:val="en-GB" w:eastAsia="en-US"/>
        </w:rPr>
        <w:t xml:space="preserve"> of one milestone can lead </w:t>
      </w:r>
      <w:r w:rsidR="007A5787">
        <w:rPr>
          <w:sz w:val="24"/>
          <w:szCs w:val="24"/>
          <w:lang w:val="en-GB" w:eastAsia="en-US"/>
        </w:rPr>
        <w:br/>
      </w:r>
      <w:r w:rsidR="00CA2960" w:rsidRPr="00F3390A">
        <w:rPr>
          <w:sz w:val="24"/>
          <w:szCs w:val="24"/>
          <w:lang w:val="en-GB" w:eastAsia="en-US"/>
        </w:rPr>
        <w:t>to the block of the whole payment. For that reason, NIKA is regularly evaluating the milestones and their fulfilment</w:t>
      </w:r>
      <w:r w:rsidR="00CA2960" w:rsidRPr="00F3390A">
        <w:rPr>
          <w:rStyle w:val="FootnoteReference"/>
          <w:sz w:val="24"/>
          <w:szCs w:val="24"/>
          <w:lang w:val="en-GB" w:eastAsia="en-US"/>
        </w:rPr>
        <w:footnoteReference w:id="13"/>
      </w:r>
      <w:r w:rsidR="00CA2960" w:rsidRPr="00F3390A">
        <w:rPr>
          <w:sz w:val="24"/>
          <w:szCs w:val="24"/>
          <w:lang w:val="en-GB" w:eastAsia="en-US"/>
        </w:rPr>
        <w:t xml:space="preserve">. </w:t>
      </w:r>
      <w:r w:rsidR="0028123D" w:rsidRPr="00F3390A">
        <w:rPr>
          <w:sz w:val="24"/>
          <w:szCs w:val="24"/>
          <w:lang w:val="en-GB" w:eastAsia="en-US"/>
        </w:rPr>
        <w:t>NIKA concluded</w:t>
      </w:r>
      <w:r w:rsidR="00D8311C" w:rsidRPr="00F3390A">
        <w:rPr>
          <w:sz w:val="24"/>
          <w:szCs w:val="24"/>
          <w:lang w:val="en-GB" w:eastAsia="en-US"/>
        </w:rPr>
        <w:t>, on the 5</w:t>
      </w:r>
      <w:r w:rsidR="00D8311C" w:rsidRPr="00F3390A">
        <w:rPr>
          <w:sz w:val="24"/>
          <w:szCs w:val="24"/>
          <w:vertAlign w:val="superscript"/>
          <w:lang w:val="en-GB" w:eastAsia="en-US"/>
        </w:rPr>
        <w:t>th</w:t>
      </w:r>
      <w:r w:rsidR="00D8311C" w:rsidRPr="00F3390A">
        <w:rPr>
          <w:sz w:val="24"/>
          <w:szCs w:val="24"/>
          <w:lang w:val="en-GB" w:eastAsia="en-US"/>
        </w:rPr>
        <w:t xml:space="preserve"> of December 2025</w:t>
      </w:r>
      <w:r w:rsidR="0028123D" w:rsidRPr="00F3390A">
        <w:rPr>
          <w:sz w:val="24"/>
          <w:szCs w:val="24"/>
          <w:lang w:val="en-GB" w:eastAsia="en-US"/>
        </w:rPr>
        <w:t xml:space="preserve">, that in </w:t>
      </w:r>
      <w:r w:rsidR="00E93F23">
        <w:rPr>
          <w:sz w:val="24"/>
          <w:szCs w:val="24"/>
          <w:lang w:val="en-GB" w:eastAsia="en-US"/>
        </w:rPr>
        <w:t xml:space="preserve">the </w:t>
      </w:r>
      <w:r w:rsidR="0028123D" w:rsidRPr="00F3390A">
        <w:rPr>
          <w:sz w:val="24"/>
          <w:szCs w:val="24"/>
          <w:lang w:val="en-GB" w:eastAsia="en-US"/>
        </w:rPr>
        <w:t>7</w:t>
      </w:r>
      <w:r w:rsidR="0028123D" w:rsidRPr="00F3390A">
        <w:rPr>
          <w:sz w:val="24"/>
          <w:szCs w:val="24"/>
          <w:vertAlign w:val="superscript"/>
          <w:lang w:val="en-GB" w:eastAsia="en-US"/>
        </w:rPr>
        <w:t>th</w:t>
      </w:r>
      <w:r w:rsidR="0028123D" w:rsidRPr="00F3390A">
        <w:rPr>
          <w:sz w:val="24"/>
          <w:szCs w:val="24"/>
          <w:lang w:val="en-GB" w:eastAsia="en-US"/>
        </w:rPr>
        <w:t xml:space="preserve"> request</w:t>
      </w:r>
      <w:r w:rsidR="00E93F23">
        <w:rPr>
          <w:sz w:val="24"/>
          <w:szCs w:val="24"/>
          <w:lang w:val="en-GB" w:eastAsia="en-US"/>
        </w:rPr>
        <w:t>,</w:t>
      </w:r>
      <w:r w:rsidR="0028123D" w:rsidRPr="00F3390A">
        <w:rPr>
          <w:sz w:val="24"/>
          <w:szCs w:val="24"/>
          <w:lang w:val="en-GB" w:eastAsia="en-US"/>
        </w:rPr>
        <w:t xml:space="preserve"> two milestones </w:t>
      </w:r>
      <w:r w:rsidR="00E93F23">
        <w:rPr>
          <w:sz w:val="24"/>
          <w:szCs w:val="24"/>
          <w:lang w:val="en-GB" w:eastAsia="en-US"/>
        </w:rPr>
        <w:t xml:space="preserve">are </w:t>
      </w:r>
      <w:r w:rsidR="0028123D" w:rsidRPr="00F3390A">
        <w:rPr>
          <w:sz w:val="24"/>
          <w:szCs w:val="24"/>
          <w:lang w:val="en-GB" w:eastAsia="en-US"/>
        </w:rPr>
        <w:t xml:space="preserve">going according to the plan, yet are not fulfilled. The first one </w:t>
      </w:r>
      <w:r w:rsidR="007A5787">
        <w:rPr>
          <w:sz w:val="24"/>
          <w:szCs w:val="24"/>
          <w:lang w:val="en-GB" w:eastAsia="en-US"/>
        </w:rPr>
        <w:br/>
      </w:r>
      <w:r w:rsidR="0028123D" w:rsidRPr="00F3390A">
        <w:rPr>
          <w:sz w:val="24"/>
          <w:szCs w:val="24"/>
          <w:lang w:val="en-GB" w:eastAsia="en-US"/>
        </w:rPr>
        <w:t>is milestone 1,</w:t>
      </w:r>
      <w:r w:rsidR="007A5787">
        <w:rPr>
          <w:sz w:val="24"/>
          <w:szCs w:val="24"/>
          <w:lang w:val="en-GB" w:eastAsia="en-US"/>
        </w:rPr>
        <w:t xml:space="preserve"> </w:t>
      </w:r>
      <w:r w:rsidR="0028123D" w:rsidRPr="00F3390A">
        <w:rPr>
          <w:sz w:val="24"/>
          <w:szCs w:val="24"/>
          <w:lang w:val="en-GB" w:eastAsia="en-US"/>
        </w:rPr>
        <w:t>‘</w:t>
      </w:r>
      <w:r w:rsidR="0028123D" w:rsidRPr="00F3390A">
        <w:rPr>
          <w:sz w:val="24"/>
          <w:szCs w:val="24"/>
        </w:rPr>
        <w:t>Increasing the capacity of the Slovak Environmental Inspectorate’</w:t>
      </w:r>
      <w:r w:rsidR="0028123D" w:rsidRPr="00F3390A">
        <w:rPr>
          <w:sz w:val="24"/>
          <w:szCs w:val="24"/>
          <w:lang w:val="en-GB" w:eastAsia="en-US"/>
        </w:rPr>
        <w:t xml:space="preserve">, </w:t>
      </w:r>
      <w:r w:rsidR="007A5787">
        <w:rPr>
          <w:sz w:val="24"/>
          <w:szCs w:val="24"/>
          <w:lang w:val="en-GB" w:eastAsia="en-US"/>
        </w:rPr>
        <w:br/>
      </w:r>
      <w:r w:rsidR="0028123D" w:rsidRPr="00F3390A">
        <w:rPr>
          <w:sz w:val="24"/>
          <w:szCs w:val="24"/>
          <w:lang w:val="en-GB" w:eastAsia="en-US"/>
        </w:rPr>
        <w:t xml:space="preserve">from C4 – decarbonisation from </w:t>
      </w:r>
      <w:r w:rsidR="00E93F23">
        <w:rPr>
          <w:sz w:val="24"/>
          <w:szCs w:val="24"/>
          <w:lang w:val="en-GB" w:eastAsia="en-US"/>
        </w:rPr>
        <w:t xml:space="preserve">the </w:t>
      </w:r>
      <w:r w:rsidR="0028123D" w:rsidRPr="00F3390A">
        <w:rPr>
          <w:sz w:val="24"/>
          <w:szCs w:val="24"/>
          <w:lang w:val="en-GB" w:eastAsia="en-US"/>
        </w:rPr>
        <w:t>Ministry of Environment. The second one is milestone 14, ‘</w:t>
      </w:r>
      <w:r w:rsidR="0028123D" w:rsidRPr="00F3390A">
        <w:rPr>
          <w:sz w:val="24"/>
          <w:szCs w:val="24"/>
        </w:rPr>
        <w:t>Extent of renovated floor area of police buildings with a view to reducing the energy intensity of the buildings (in m²)’, from C16</w:t>
      </w:r>
      <w:r w:rsidR="00D8311C" w:rsidRPr="00F3390A">
        <w:rPr>
          <w:sz w:val="24"/>
          <w:szCs w:val="24"/>
        </w:rPr>
        <w:t xml:space="preserve"> - Fight against corruption and money laundering, </w:t>
      </w:r>
      <w:r w:rsidR="007A5787">
        <w:rPr>
          <w:sz w:val="24"/>
          <w:szCs w:val="24"/>
          <w:lang w:val="sk-SK"/>
        </w:rPr>
        <w:br/>
      </w:r>
      <w:r w:rsidR="00D8311C" w:rsidRPr="00F3390A">
        <w:rPr>
          <w:sz w:val="24"/>
          <w:szCs w:val="24"/>
        </w:rPr>
        <w:t xml:space="preserve">from </w:t>
      </w:r>
      <w:r w:rsidR="00E93F23">
        <w:rPr>
          <w:sz w:val="24"/>
          <w:szCs w:val="24"/>
        </w:rPr>
        <w:t xml:space="preserve">the </w:t>
      </w:r>
      <w:r w:rsidR="00D8311C" w:rsidRPr="00F3390A">
        <w:rPr>
          <w:sz w:val="24"/>
          <w:szCs w:val="24"/>
        </w:rPr>
        <w:t xml:space="preserve">Ministry of Interior. Out of 18 milestones, there is, however, </w:t>
      </w:r>
      <w:r w:rsidR="00E93F23">
        <w:rPr>
          <w:sz w:val="24"/>
          <w:szCs w:val="24"/>
        </w:rPr>
        <w:t xml:space="preserve">one </w:t>
      </w:r>
      <w:r w:rsidR="00D8311C" w:rsidRPr="00F3390A">
        <w:rPr>
          <w:sz w:val="24"/>
          <w:szCs w:val="24"/>
        </w:rPr>
        <w:t>which is delayed, yet expected to be completed before the submission, namely</w:t>
      </w:r>
      <w:r w:rsidR="00E93F23">
        <w:rPr>
          <w:sz w:val="24"/>
          <w:szCs w:val="24"/>
        </w:rPr>
        <w:t>,</w:t>
      </w:r>
      <w:r w:rsidR="00D8311C" w:rsidRPr="00F3390A">
        <w:rPr>
          <w:sz w:val="24"/>
          <w:szCs w:val="24"/>
        </w:rPr>
        <w:t xml:space="preserve"> it is milestone 17, ‘Modernisation of court IT equipment for court staff’, from C15 – Reform of Justice. </w:t>
      </w:r>
      <w:r w:rsidR="00F3390A">
        <w:rPr>
          <w:sz w:val="24"/>
          <w:szCs w:val="24"/>
        </w:rPr>
        <w:t>All in all</w:t>
      </w:r>
      <w:r w:rsidR="00E93F23">
        <w:rPr>
          <w:sz w:val="24"/>
          <w:szCs w:val="24"/>
        </w:rPr>
        <w:t>,</w:t>
      </w:r>
      <w:r w:rsidR="00F3390A">
        <w:rPr>
          <w:sz w:val="24"/>
          <w:szCs w:val="24"/>
        </w:rPr>
        <w:t xml:space="preserve"> 15</w:t>
      </w:r>
      <w:r w:rsidR="00D8311C" w:rsidRPr="00F3390A">
        <w:rPr>
          <w:sz w:val="24"/>
          <w:szCs w:val="24"/>
        </w:rPr>
        <w:t xml:space="preserve"> milestones have been successfully completed.</w:t>
      </w:r>
      <w:r w:rsidR="00E93F23">
        <w:rPr>
          <w:sz w:val="24"/>
          <w:szCs w:val="24"/>
        </w:rPr>
        <w:t xml:space="preserve"> </w:t>
      </w:r>
      <w:r w:rsidR="00F3390A">
        <w:rPr>
          <w:sz w:val="24"/>
          <w:szCs w:val="24"/>
        </w:rPr>
        <w:t>Out of all 18 milestones</w:t>
      </w:r>
      <w:r w:rsidR="00D8311C" w:rsidRPr="00F3390A">
        <w:rPr>
          <w:sz w:val="24"/>
          <w:szCs w:val="24"/>
        </w:rPr>
        <w:t xml:space="preserve">, </w:t>
      </w:r>
      <w:r w:rsidR="00F3390A" w:rsidRPr="00F3390A">
        <w:rPr>
          <w:sz w:val="24"/>
          <w:szCs w:val="24"/>
        </w:rPr>
        <w:t xml:space="preserve">two milestones </w:t>
      </w:r>
      <w:r w:rsidR="007A5787">
        <w:rPr>
          <w:sz w:val="24"/>
          <w:szCs w:val="24"/>
          <w:lang w:val="sk-SK"/>
        </w:rPr>
        <w:br/>
      </w:r>
      <w:r w:rsidR="00F3390A" w:rsidRPr="00F3390A">
        <w:rPr>
          <w:sz w:val="24"/>
          <w:szCs w:val="24"/>
        </w:rPr>
        <w:t xml:space="preserve">are C6 - Availability, development and quality of inclusive education; two milestones </w:t>
      </w:r>
      <w:r w:rsidR="007A5787">
        <w:rPr>
          <w:sz w:val="24"/>
          <w:szCs w:val="24"/>
          <w:lang w:val="sk-SK"/>
        </w:rPr>
        <w:br/>
      </w:r>
      <w:r w:rsidR="00F3390A" w:rsidRPr="00F3390A">
        <w:rPr>
          <w:sz w:val="24"/>
          <w:szCs w:val="24"/>
        </w:rPr>
        <w:t xml:space="preserve">are C11 - Modern and accessible healthcare; two milestones are C12 - Humane, modern </w:t>
      </w:r>
      <w:r w:rsidR="007A5787">
        <w:rPr>
          <w:sz w:val="24"/>
          <w:szCs w:val="24"/>
          <w:lang w:val="sk-SK"/>
        </w:rPr>
        <w:br/>
      </w:r>
      <w:r w:rsidR="00F3390A" w:rsidRPr="00F3390A">
        <w:rPr>
          <w:sz w:val="24"/>
          <w:szCs w:val="24"/>
        </w:rPr>
        <w:t xml:space="preserve">and accessible mental health care; two milestones are C13 - Accessible and high-quality long-term social and healthcare services; one milestone is C14 - Improvement of the business environment; one milestone is C15 - </w:t>
      </w:r>
      <w:r w:rsidR="00F3390A" w:rsidRPr="00F3390A">
        <w:rPr>
          <w:color w:val="auto"/>
          <w:sz w:val="24"/>
          <w:szCs w:val="24"/>
        </w:rPr>
        <w:t>Justice reform</w:t>
      </w:r>
      <w:r w:rsidR="00F3390A" w:rsidRPr="00F3390A">
        <w:rPr>
          <w:sz w:val="24"/>
          <w:szCs w:val="24"/>
        </w:rPr>
        <w:t>;</w:t>
      </w:r>
      <w:r w:rsidR="00E93F23">
        <w:rPr>
          <w:sz w:val="24"/>
          <w:szCs w:val="24"/>
        </w:rPr>
        <w:t xml:space="preserve"> </w:t>
      </w:r>
      <w:r w:rsidR="00F3390A" w:rsidRPr="00F3390A">
        <w:rPr>
          <w:sz w:val="24"/>
          <w:szCs w:val="24"/>
        </w:rPr>
        <w:t xml:space="preserve">two milestones are C16 - </w:t>
      </w:r>
      <w:r w:rsidR="00F3390A" w:rsidRPr="00F3390A">
        <w:rPr>
          <w:color w:val="auto"/>
          <w:sz w:val="24"/>
          <w:szCs w:val="24"/>
        </w:rPr>
        <w:t>Fight against corruption and money laundering</w:t>
      </w:r>
      <w:r w:rsidR="00F3390A" w:rsidRPr="00F3390A">
        <w:rPr>
          <w:sz w:val="24"/>
          <w:szCs w:val="24"/>
        </w:rPr>
        <w:t>;</w:t>
      </w:r>
      <w:r w:rsidR="00E93F23">
        <w:rPr>
          <w:sz w:val="24"/>
          <w:szCs w:val="24"/>
        </w:rPr>
        <w:t xml:space="preserve"> </w:t>
      </w:r>
      <w:r w:rsidR="00F3390A" w:rsidRPr="00F3390A">
        <w:rPr>
          <w:sz w:val="24"/>
          <w:szCs w:val="24"/>
        </w:rPr>
        <w:t xml:space="preserve">one milestone is C17 - </w:t>
      </w:r>
      <w:r w:rsidR="00F3390A" w:rsidRPr="00F3390A">
        <w:rPr>
          <w:color w:val="auto"/>
          <w:sz w:val="24"/>
          <w:szCs w:val="24"/>
        </w:rPr>
        <w:t>Digital Slovakia</w:t>
      </w:r>
      <w:r w:rsidR="00F3390A" w:rsidRPr="00F3390A">
        <w:rPr>
          <w:sz w:val="24"/>
          <w:szCs w:val="24"/>
        </w:rPr>
        <w:t>;</w:t>
      </w:r>
      <w:r w:rsidR="00E93F23">
        <w:rPr>
          <w:sz w:val="24"/>
          <w:szCs w:val="24"/>
        </w:rPr>
        <w:t xml:space="preserve"> </w:t>
      </w:r>
      <w:r w:rsidR="00F3390A" w:rsidRPr="00F3390A">
        <w:rPr>
          <w:sz w:val="24"/>
          <w:szCs w:val="24"/>
        </w:rPr>
        <w:t xml:space="preserve">and four milestones are </w:t>
      </w:r>
      <w:r w:rsidR="00F3390A" w:rsidRPr="0078612F">
        <w:rPr>
          <w:sz w:val="24"/>
          <w:szCs w:val="24"/>
        </w:rPr>
        <w:t>RePowerEU</w:t>
      </w:r>
      <w:r w:rsidR="0078612F" w:rsidRPr="0078612F">
        <w:rPr>
          <w:sz w:val="24"/>
          <w:szCs w:val="24"/>
        </w:rPr>
        <w:t xml:space="preserve"> (Plán obnovy, n.d.-c)</w:t>
      </w:r>
      <w:r w:rsidR="00F3390A" w:rsidRPr="0078612F">
        <w:rPr>
          <w:sz w:val="24"/>
          <w:szCs w:val="24"/>
        </w:rPr>
        <w:t>.</w:t>
      </w:r>
      <w:r w:rsidR="00F3390A" w:rsidRPr="00F3390A">
        <w:rPr>
          <w:sz w:val="24"/>
          <w:szCs w:val="24"/>
        </w:rPr>
        <w:t xml:space="preserve"> </w:t>
      </w:r>
    </w:p>
    <w:p w14:paraId="7E7BF45C" w14:textId="32C54690" w:rsidR="00746D30" w:rsidRDefault="00746D30" w:rsidP="00746D30">
      <w:pPr>
        <w:rPr>
          <w:rFonts w:ascii="Aptos Narrow" w:hAnsi="Aptos Narrow"/>
          <w:color w:val="000000"/>
        </w:rPr>
      </w:pPr>
    </w:p>
    <w:p w14:paraId="7AAA502E" w14:textId="4482E2FF" w:rsidR="00634323" w:rsidRDefault="00E93F23" w:rsidP="007A5787">
      <w:pPr>
        <w:spacing w:after="240" w:line="360" w:lineRule="auto"/>
        <w:jc w:val="both"/>
        <w:rPr>
          <w:lang w:val="en-GB" w:eastAsia="en-US"/>
        </w:rPr>
      </w:pPr>
      <w:r>
        <w:t>D</w:t>
      </w:r>
      <w:r w:rsidR="000C22D1">
        <w:t>ue to C</w:t>
      </w:r>
      <w:r>
        <w:t>OVID</w:t>
      </w:r>
      <w:r w:rsidR="000C22D1">
        <w:t>-19 and health protection regulations in 2020, the Slovak schools ha</w:t>
      </w:r>
      <w:r>
        <w:t>ve</w:t>
      </w:r>
      <w:r w:rsidR="000C22D1">
        <w:t xml:space="preserve"> been partially o</w:t>
      </w:r>
      <w:r>
        <w:t>r</w:t>
      </w:r>
      <w:r w:rsidR="000C22D1">
        <w:t xml:space="preserve"> fully closed for </w:t>
      </w:r>
      <w:r>
        <w:t xml:space="preserve">a </w:t>
      </w:r>
      <w:r w:rsidR="000C22D1">
        <w:t>long period of time</w:t>
      </w:r>
      <w:r w:rsidR="00634323">
        <w:t xml:space="preserve"> (Petrikovičová et al., 2023)</w:t>
      </w:r>
      <w:r>
        <w:t>.</w:t>
      </w:r>
      <w:r w:rsidR="00634323">
        <w:t xml:space="preserve"> </w:t>
      </w:r>
      <w:r>
        <w:t>T</w:t>
      </w:r>
      <w:r w:rsidR="00634323">
        <w:t>he 7</w:t>
      </w:r>
      <w:r w:rsidR="00634323">
        <w:rPr>
          <w:vertAlign w:val="superscript"/>
        </w:rPr>
        <w:t xml:space="preserve">th </w:t>
      </w:r>
      <w:r w:rsidR="00634323">
        <w:rPr>
          <w:lang w:val="en-GB" w:eastAsia="en-US"/>
        </w:rPr>
        <w:t>payment includes measures to counter. According to the Ministry of Education (n.d.)</w:t>
      </w:r>
      <w:r>
        <w:rPr>
          <w:lang w:val="en-GB" w:eastAsia="en-US"/>
        </w:rPr>
        <w:t>,</w:t>
      </w:r>
      <w:r w:rsidR="00634323">
        <w:rPr>
          <w:lang w:val="en-GB" w:eastAsia="en-US"/>
        </w:rPr>
        <w:t xml:space="preserve"> the C6 consist</w:t>
      </w:r>
      <w:r>
        <w:rPr>
          <w:lang w:val="en-GB" w:eastAsia="en-US"/>
        </w:rPr>
        <w:t>s</w:t>
      </w:r>
      <w:r w:rsidR="00634323">
        <w:rPr>
          <w:lang w:val="en-GB" w:eastAsia="en-US"/>
        </w:rPr>
        <w:t xml:space="preserve"> </w:t>
      </w:r>
      <w:r w:rsidR="007A5787">
        <w:rPr>
          <w:lang w:val="en-GB" w:eastAsia="en-US"/>
        </w:rPr>
        <w:br/>
      </w:r>
      <w:r w:rsidR="00634323">
        <w:rPr>
          <w:lang w:val="en-GB" w:eastAsia="en-US"/>
        </w:rPr>
        <w:t>of 6 reforms and 1 investment, which</w:t>
      </w:r>
      <w:r>
        <w:rPr>
          <w:lang w:val="en-GB" w:eastAsia="en-US"/>
        </w:rPr>
        <w:t>,</w:t>
      </w:r>
      <w:r w:rsidR="00634323">
        <w:rPr>
          <w:lang w:val="en-GB" w:eastAsia="en-US"/>
        </w:rPr>
        <w:t xml:space="preserve"> for example</w:t>
      </w:r>
      <w:r>
        <w:rPr>
          <w:lang w:val="en-GB" w:eastAsia="en-US"/>
        </w:rPr>
        <w:t>,</w:t>
      </w:r>
      <w:r w:rsidR="00634323">
        <w:rPr>
          <w:lang w:val="en-GB" w:eastAsia="en-US"/>
        </w:rPr>
        <w:t xml:space="preserve"> will ensure that every child under 5 years </w:t>
      </w:r>
      <w:r w:rsidR="00634323">
        <w:rPr>
          <w:lang w:val="en-GB" w:eastAsia="en-US"/>
        </w:rPr>
        <w:lastRenderedPageBreak/>
        <w:t xml:space="preserve">of age will have a place in pre-educational institutions; improvement of the mental health </w:t>
      </w:r>
      <w:r w:rsidR="007A5787">
        <w:rPr>
          <w:lang w:val="en-GB" w:eastAsia="en-US"/>
        </w:rPr>
        <w:br/>
      </w:r>
      <w:r w:rsidR="00634323">
        <w:rPr>
          <w:lang w:val="en-GB" w:eastAsia="en-US"/>
        </w:rPr>
        <w:t xml:space="preserve">of students and children; desegregation measures; or decarbonization of the buildings.  </w:t>
      </w:r>
    </w:p>
    <w:p w14:paraId="2286211F" w14:textId="6766B497" w:rsidR="00634323" w:rsidRPr="007A5787" w:rsidRDefault="00634323" w:rsidP="00634323">
      <w:pPr>
        <w:pStyle w:val="Heading2"/>
        <w:rPr>
          <w:rFonts w:asciiTheme="majorBidi" w:hAnsiTheme="majorBidi"/>
          <w:b/>
          <w:bCs/>
          <w:color w:val="000000" w:themeColor="text1"/>
        </w:rPr>
      </w:pPr>
      <w:bookmarkStart w:id="7" w:name="_Toc220360254"/>
      <w:r w:rsidRPr="007A5787">
        <w:rPr>
          <w:rFonts w:asciiTheme="majorBidi" w:hAnsiTheme="majorBidi"/>
          <w:b/>
          <w:bCs/>
          <w:color w:val="000000" w:themeColor="text1"/>
        </w:rPr>
        <w:t>4. Final Assessment of the Next Trench</w:t>
      </w:r>
      <w:bookmarkEnd w:id="7"/>
    </w:p>
    <w:p w14:paraId="0DF3FBD7" w14:textId="075D3804" w:rsidR="00676EC8" w:rsidRPr="00676EC8" w:rsidRDefault="00676EC8" w:rsidP="007A5787">
      <w:pPr>
        <w:spacing w:before="100" w:beforeAutospacing="1" w:after="100" w:afterAutospacing="1" w:line="360" w:lineRule="auto"/>
        <w:jc w:val="both"/>
      </w:pPr>
      <w:r w:rsidRPr="00676EC8">
        <w:t xml:space="preserve">This </w:t>
      </w:r>
      <w:r>
        <w:t>policy memo</w:t>
      </w:r>
      <w:r w:rsidRPr="00676EC8">
        <w:t xml:space="preserve"> summari</w:t>
      </w:r>
      <w:r w:rsidR="00E93F23">
        <w:t>s</w:t>
      </w:r>
      <w:r w:rsidRPr="00676EC8">
        <w:t xml:space="preserve">es the pandemic’s impacts on Slovakia, with a particular focus </w:t>
      </w:r>
      <w:r w:rsidR="007A5787">
        <w:rPr>
          <w:lang w:val="sk-SK"/>
        </w:rPr>
        <w:br/>
      </w:r>
      <w:r w:rsidR="00797439">
        <w:t>i</w:t>
      </w:r>
      <w:r w:rsidRPr="00676EC8">
        <w:t xml:space="preserve">n the education sector. It then outlines Slovakia’s implementation approach </w:t>
      </w:r>
      <w:r w:rsidR="007A5787">
        <w:rPr>
          <w:lang w:val="sk-SK"/>
        </w:rPr>
        <w:br/>
      </w:r>
      <w:r w:rsidRPr="00676EC8">
        <w:t xml:space="preserve">under the National Recovery and Resilience Plan (NRRP), including absorption measures </w:t>
      </w:r>
      <w:r w:rsidR="007A5787">
        <w:rPr>
          <w:lang w:val="sk-SK"/>
        </w:rPr>
        <w:br/>
      </w:r>
      <w:r w:rsidRPr="00676EC8">
        <w:t>and the country’s anti-fraud and anti-corruption capacity.</w:t>
      </w:r>
    </w:p>
    <w:p w14:paraId="0199DC42" w14:textId="341E0B5C" w:rsidR="00676EC8" w:rsidRPr="00676EC8" w:rsidRDefault="00676EC8" w:rsidP="007A5787">
      <w:pPr>
        <w:spacing w:before="100" w:beforeAutospacing="1" w:after="100" w:afterAutospacing="1" w:line="360" w:lineRule="auto"/>
        <w:jc w:val="both"/>
      </w:pPr>
      <w:r w:rsidRPr="00676EC8">
        <w:t>As of the 7</w:t>
      </w:r>
      <w:r>
        <w:rPr>
          <w:vertAlign w:val="superscript"/>
        </w:rPr>
        <w:t>th</w:t>
      </w:r>
      <w:r w:rsidRPr="00676EC8">
        <w:t xml:space="preserve"> payment request submitted on 25 November 2025, the European Commission </w:t>
      </w:r>
      <w:r w:rsidR="007A5787">
        <w:rPr>
          <w:lang w:val="sk-SK"/>
        </w:rPr>
        <w:br/>
      </w:r>
      <w:r w:rsidRPr="00676EC8">
        <w:t xml:space="preserve">had positively assessed the relevant milestones and disbursed nearly EUR 3.9 billion </w:t>
      </w:r>
      <w:r w:rsidR="007A5787">
        <w:rPr>
          <w:lang w:val="sk-SK"/>
        </w:rPr>
        <w:br/>
      </w:r>
      <w:r w:rsidRPr="00676EC8">
        <w:t>to Slovakia. In addition, in January 2026, the Commission accepted Slovakia’s 6th payment</w:t>
      </w:r>
      <w:r w:rsidR="00E86D69">
        <w:t xml:space="preserve"> (European Commission, n.d.-c)</w:t>
      </w:r>
      <w:r w:rsidRPr="00676EC8">
        <w:t>.</w:t>
      </w:r>
    </w:p>
    <w:p w14:paraId="4A94E3B3" w14:textId="3949B738" w:rsidR="00676EC8" w:rsidRPr="00676EC8" w:rsidRDefault="00676EC8" w:rsidP="007A5787">
      <w:pPr>
        <w:spacing w:before="100" w:beforeAutospacing="1" w:after="100" w:afterAutospacing="1" w:line="360" w:lineRule="auto"/>
        <w:jc w:val="both"/>
      </w:pPr>
      <w:r w:rsidRPr="00676EC8">
        <w:t xml:space="preserve">The </w:t>
      </w:r>
      <w:r>
        <w:t>7</w:t>
      </w:r>
      <w:r>
        <w:rPr>
          <w:vertAlign w:val="superscript"/>
        </w:rPr>
        <w:t>th</w:t>
      </w:r>
      <w:r w:rsidRPr="00676EC8">
        <w:t xml:space="preserve"> payment request covers 18 milestones. One milestone</w:t>
      </w:r>
      <w:r>
        <w:t xml:space="preserve"> - </w:t>
      </w:r>
      <w:r w:rsidRPr="00676EC8">
        <w:t xml:space="preserve">C15, Investment 2 (“Support tools for the judicial map reform </w:t>
      </w:r>
      <w:r>
        <w:t>-</w:t>
      </w:r>
      <w:r w:rsidRPr="00676EC8">
        <w:t xml:space="preserve"> digiti</w:t>
      </w:r>
      <w:r w:rsidR="00E93F23">
        <w:t>s</w:t>
      </w:r>
      <w:r w:rsidRPr="00676EC8">
        <w:t>ation of tools, moderni</w:t>
      </w:r>
      <w:r w:rsidR="00E93F23">
        <w:t>s</w:t>
      </w:r>
      <w:r w:rsidRPr="00676EC8">
        <w:t xml:space="preserve">ation of IT equipment, </w:t>
      </w:r>
      <w:r w:rsidR="007A5787">
        <w:rPr>
          <w:lang w:val="sk-SK"/>
        </w:rPr>
        <w:br/>
      </w:r>
      <w:r w:rsidRPr="00676EC8">
        <w:t>and analytical capacities”)</w:t>
      </w:r>
      <w:r>
        <w:t xml:space="preserve"> - </w:t>
      </w:r>
      <w:r w:rsidRPr="00676EC8">
        <w:t>is delayed, and should therefore be assessed as a specific implementation risk for the overall payment decision, notwithstanding the memorandum’s primary focus on education impacts. While completion has been reportedly expected before the Commission’s final assessment of the 7</w:t>
      </w:r>
      <w:r>
        <w:rPr>
          <w:vertAlign w:val="superscript"/>
        </w:rPr>
        <w:t>th</w:t>
      </w:r>
      <w:r w:rsidRPr="00676EC8">
        <w:t xml:space="preserve"> payment request, neither the Ministry of Justice nor the N</w:t>
      </w:r>
      <w:r w:rsidR="00E86D69">
        <w:t>IKA</w:t>
      </w:r>
      <w:r w:rsidRPr="00676EC8">
        <w:t xml:space="preserve"> currently provides clear public information on the milestone’s targets, implementation status, or evidence of completion</w:t>
      </w:r>
      <w:r w:rsidR="00E86D69">
        <w:t xml:space="preserve"> (Plán Obnovy, n.d.-c)</w:t>
      </w:r>
      <w:r w:rsidRPr="00676EC8">
        <w:t>.</w:t>
      </w:r>
    </w:p>
    <w:p w14:paraId="4CF03271" w14:textId="3B0670E1" w:rsidR="00676EC8" w:rsidRPr="00676EC8" w:rsidRDefault="00676EC8" w:rsidP="007A5787">
      <w:pPr>
        <w:spacing w:before="100" w:beforeAutospacing="1" w:after="100" w:afterAutospacing="1" w:line="360" w:lineRule="auto"/>
        <w:jc w:val="both"/>
      </w:pPr>
      <w:r w:rsidRPr="00676EC8">
        <w:t>Given Slovakia’s strong record of timely and accurate delivery across the previous six payment requests, acceptance of the 7</w:t>
      </w:r>
      <w:r>
        <w:rPr>
          <w:vertAlign w:val="superscript"/>
        </w:rPr>
        <w:t>th</w:t>
      </w:r>
      <w:r w:rsidRPr="00676EC8">
        <w:t xml:space="preserve"> payment request is recommended</w:t>
      </w:r>
      <w:r w:rsidR="00E93F23">
        <w:t>,</w:t>
      </w:r>
      <w:r w:rsidRPr="00676EC8">
        <w:t xml:space="preserve"> only subject to a clear, evidence-based condition</w:t>
      </w:r>
      <w:r w:rsidR="00BF348A">
        <w:t>. P</w:t>
      </w:r>
      <w:r w:rsidRPr="00676EC8">
        <w:t>rior to disbursement, the Ministry of Justice should (i) formally adopt the investment measures, and (ii) provide verifiable proof of implementation consistent with the milestone. The decision pathway should be explicit</w:t>
      </w:r>
      <w:r>
        <w:t xml:space="preserve"> - </w:t>
      </w:r>
      <w:r w:rsidRPr="00676EC8">
        <w:t>either withholding disbursement until C15/I2 is completed</w:t>
      </w:r>
      <w:r w:rsidR="00BF348A">
        <w:t>, or sufficiently proven</w:t>
      </w:r>
      <w:r w:rsidRPr="00676EC8">
        <w:t>, or proceeding with the request while conditioning the release of funds on documented completion of the milestone.</w:t>
      </w:r>
    </w:p>
    <w:p w14:paraId="0AA55938" w14:textId="7257F1FB" w:rsidR="00634323" w:rsidRPr="00634323" w:rsidRDefault="00634323" w:rsidP="00634323">
      <w:pPr>
        <w:rPr>
          <w:lang w:val="en-GB" w:eastAsia="en-US"/>
        </w:rPr>
      </w:pPr>
    </w:p>
    <w:p w14:paraId="697BC78A" w14:textId="77777777" w:rsidR="00CD299E" w:rsidRDefault="00CD299E">
      <w:r>
        <w:br w:type="page"/>
      </w:r>
    </w:p>
    <w:p w14:paraId="16825F5B" w14:textId="77777777" w:rsidR="00CD299E" w:rsidRPr="007A5787" w:rsidRDefault="00CD299E" w:rsidP="00CD299E">
      <w:pPr>
        <w:pStyle w:val="Heading2"/>
        <w:rPr>
          <w:rFonts w:asciiTheme="majorBidi" w:hAnsiTheme="majorBidi"/>
          <w:b/>
          <w:bCs/>
          <w:color w:val="000000" w:themeColor="text1"/>
        </w:rPr>
      </w:pPr>
      <w:bookmarkStart w:id="8" w:name="_Toc220360255"/>
      <w:r w:rsidRPr="007A5787">
        <w:rPr>
          <w:rFonts w:asciiTheme="majorBidi" w:hAnsiTheme="majorBidi"/>
          <w:b/>
          <w:bCs/>
          <w:color w:val="000000" w:themeColor="text1"/>
        </w:rPr>
        <w:lastRenderedPageBreak/>
        <w:t>References</w:t>
      </w:r>
      <w:bookmarkEnd w:id="8"/>
    </w:p>
    <w:p w14:paraId="53AD6BBD" w14:textId="5FCEDE89" w:rsidR="00CD385B" w:rsidRPr="007A5787" w:rsidRDefault="00CD385B"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European Bank for Reconstruction and Development</w:t>
      </w:r>
      <w:r w:rsidR="00DC5506" w:rsidRPr="007A5787">
        <w:rPr>
          <w:rFonts w:asciiTheme="majorBidi" w:hAnsiTheme="majorBidi" w:cstheme="majorBidi"/>
        </w:rPr>
        <w:t>,</w:t>
      </w:r>
      <w:r w:rsidRPr="007A5787">
        <w:rPr>
          <w:rFonts w:asciiTheme="majorBidi" w:hAnsiTheme="majorBidi" w:cstheme="majorBidi"/>
        </w:rPr>
        <w:t xml:space="preserve"> (2020). </w:t>
      </w:r>
      <w:r w:rsidRPr="007A5787">
        <w:rPr>
          <w:rFonts w:asciiTheme="majorBidi" w:hAnsiTheme="majorBidi" w:cstheme="majorBidi"/>
          <w:i/>
          <w:iCs/>
        </w:rPr>
        <w:t>Slovak Republic</w:t>
      </w:r>
      <w:r w:rsidRPr="007A5787">
        <w:rPr>
          <w:rFonts w:asciiTheme="majorBidi" w:hAnsiTheme="majorBidi" w:cstheme="majorBidi"/>
        </w:rPr>
        <w:t xml:space="preserve">. In </w:t>
      </w:r>
      <w:r w:rsidRPr="007A5787">
        <w:rPr>
          <w:rFonts w:asciiTheme="majorBidi" w:hAnsiTheme="majorBidi" w:cstheme="majorBidi"/>
          <w:i/>
          <w:iCs/>
        </w:rPr>
        <w:t>Transition report 2020-21: The state strikes back</w:t>
      </w:r>
      <w:r w:rsidRPr="007A5787">
        <w:rPr>
          <w:rFonts w:asciiTheme="majorBidi" w:hAnsiTheme="majorBidi" w:cstheme="majorBidi"/>
        </w:rPr>
        <w:t>. European Bank for Reconstruction and Development.</w:t>
      </w:r>
    </w:p>
    <w:p w14:paraId="1121989A" w14:textId="779E63B9" w:rsidR="00DC5506" w:rsidRPr="007A5787" w:rsidRDefault="00DC5506" w:rsidP="007A5787">
      <w:pPr>
        <w:jc w:val="both"/>
        <w:rPr>
          <w:rStyle w:val="ylgvce"/>
          <w:rFonts w:asciiTheme="majorBidi" w:eastAsiaTheme="majorEastAsia" w:hAnsiTheme="majorBidi" w:cstheme="majorBidi"/>
          <w:color w:val="4D5156"/>
        </w:rPr>
      </w:pPr>
      <w:r w:rsidRPr="007A5787">
        <w:rPr>
          <w:rFonts w:asciiTheme="majorBidi" w:hAnsiTheme="majorBidi" w:cstheme="majorBidi"/>
        </w:rPr>
        <w:t xml:space="preserve">European Bank for Reconstruction and Development, (2022). The Slovak Republic diagnostic 2022. </w:t>
      </w:r>
      <w:r w:rsidRPr="007A5787">
        <w:rPr>
          <w:rStyle w:val="HTMLCite"/>
          <w:rFonts w:asciiTheme="majorBidi" w:eastAsiaTheme="majorEastAsia" w:hAnsiTheme="majorBidi" w:cstheme="majorBidi"/>
          <w:i w:val="0"/>
          <w:iCs w:val="0"/>
          <w:color w:val="4D5156"/>
        </w:rPr>
        <w:t>https://www.ebrd.com</w:t>
      </w:r>
      <w:r w:rsidRPr="007A5787">
        <w:rPr>
          <w:rStyle w:val="apple-converted-space"/>
          <w:rFonts w:asciiTheme="majorBidi" w:eastAsiaTheme="majorEastAsia" w:hAnsiTheme="majorBidi" w:cstheme="majorBidi"/>
          <w:color w:val="4D5156"/>
        </w:rPr>
        <w:t> </w:t>
      </w:r>
      <w:r w:rsidRPr="007A5787">
        <w:rPr>
          <w:rStyle w:val="ylgvce"/>
          <w:rFonts w:asciiTheme="majorBidi" w:eastAsiaTheme="majorEastAsia" w:hAnsiTheme="majorBidi" w:cstheme="majorBidi"/>
          <w:color w:val="4D5156"/>
        </w:rPr>
        <w:t xml:space="preserve">› country-strategies › slovak </w:t>
      </w:r>
    </w:p>
    <w:p w14:paraId="15D9E5C0" w14:textId="77777777" w:rsidR="00A9134C" w:rsidRPr="007A5787" w:rsidRDefault="00A9134C" w:rsidP="007A5787">
      <w:pPr>
        <w:jc w:val="both"/>
        <w:rPr>
          <w:rStyle w:val="ylgvce"/>
          <w:rFonts w:asciiTheme="majorBidi" w:eastAsiaTheme="majorEastAsia" w:hAnsiTheme="majorBidi" w:cstheme="majorBidi"/>
          <w:color w:val="4D5156"/>
        </w:rPr>
      </w:pPr>
    </w:p>
    <w:p w14:paraId="03E03220" w14:textId="39A5367D" w:rsidR="00A9134C" w:rsidRPr="007A5787" w:rsidRDefault="00A9134C" w:rsidP="007A5787">
      <w:pPr>
        <w:jc w:val="both"/>
        <w:rPr>
          <w:rFonts w:asciiTheme="majorBidi" w:eastAsiaTheme="majorEastAsia" w:hAnsiTheme="majorBidi" w:cstheme="majorBidi"/>
        </w:rPr>
      </w:pPr>
      <w:r w:rsidRPr="007A5787">
        <w:rPr>
          <w:rFonts w:asciiTheme="majorBidi" w:eastAsiaTheme="majorEastAsia" w:hAnsiTheme="majorBidi" w:cstheme="majorBidi"/>
        </w:rPr>
        <w:t>European Commission</w:t>
      </w:r>
      <w:r w:rsidR="0087241A" w:rsidRPr="007A5787">
        <w:rPr>
          <w:rFonts w:asciiTheme="majorBidi" w:eastAsiaTheme="majorEastAsia" w:hAnsiTheme="majorBidi" w:cstheme="majorBidi"/>
        </w:rPr>
        <w:t>,</w:t>
      </w:r>
      <w:r w:rsidRPr="007A5787">
        <w:rPr>
          <w:rFonts w:asciiTheme="majorBidi" w:eastAsiaTheme="majorEastAsia" w:hAnsiTheme="majorBidi" w:cstheme="majorBidi"/>
        </w:rPr>
        <w:t xml:space="preserve"> (n.d.</w:t>
      </w:r>
      <w:r w:rsidR="0087241A" w:rsidRPr="007A5787">
        <w:rPr>
          <w:rFonts w:asciiTheme="majorBidi" w:eastAsiaTheme="majorEastAsia" w:hAnsiTheme="majorBidi" w:cstheme="majorBidi"/>
        </w:rPr>
        <w:t>-a</w:t>
      </w:r>
      <w:r w:rsidRPr="007A5787">
        <w:rPr>
          <w:rFonts w:asciiTheme="majorBidi" w:eastAsiaTheme="majorEastAsia" w:hAnsiTheme="majorBidi" w:cstheme="majorBidi"/>
        </w:rPr>
        <w:t xml:space="preserve">). Recovery plan for Europe. European Union. </w:t>
      </w:r>
      <w:hyperlink r:id="rId11" w:history="1">
        <w:r w:rsidRPr="007A5787">
          <w:rPr>
            <w:rStyle w:val="Hyperlink"/>
            <w:rFonts w:asciiTheme="majorBidi" w:eastAsiaTheme="majorEastAsia" w:hAnsiTheme="majorBidi" w:cstheme="majorBidi"/>
          </w:rPr>
          <w:t>https://commission.europa.eu/strategy-and-policy/recovery-plan-europe_en</w:t>
        </w:r>
      </w:hyperlink>
      <w:r w:rsidRPr="007A5787">
        <w:rPr>
          <w:rFonts w:asciiTheme="majorBidi" w:eastAsiaTheme="majorEastAsia" w:hAnsiTheme="majorBidi" w:cstheme="majorBidi"/>
        </w:rPr>
        <w:t xml:space="preserve"> </w:t>
      </w:r>
    </w:p>
    <w:p w14:paraId="27D077A0" w14:textId="77777777" w:rsidR="0087241A" w:rsidRPr="007A5787" w:rsidRDefault="0087241A" w:rsidP="007A5787">
      <w:pPr>
        <w:jc w:val="both"/>
        <w:rPr>
          <w:rFonts w:asciiTheme="majorBidi" w:eastAsiaTheme="majorEastAsia" w:hAnsiTheme="majorBidi" w:cstheme="majorBidi"/>
        </w:rPr>
      </w:pPr>
    </w:p>
    <w:p w14:paraId="4F9DCB03" w14:textId="7FD56A54" w:rsidR="00BA0E82" w:rsidRPr="007A5787" w:rsidRDefault="0087241A" w:rsidP="007A5787">
      <w:pPr>
        <w:jc w:val="both"/>
        <w:rPr>
          <w:rFonts w:asciiTheme="majorBidi" w:eastAsiaTheme="majorEastAsia" w:hAnsiTheme="majorBidi" w:cstheme="majorBidi"/>
        </w:rPr>
      </w:pPr>
      <w:r w:rsidRPr="007A5787">
        <w:rPr>
          <w:rFonts w:asciiTheme="majorBidi" w:eastAsiaTheme="majorEastAsia" w:hAnsiTheme="majorBidi" w:cstheme="majorBidi"/>
        </w:rPr>
        <w:t>European Commission, (n.d.-b).</w:t>
      </w:r>
      <w:r w:rsidRPr="007A5787">
        <w:rPr>
          <w:rFonts w:asciiTheme="majorBidi" w:hAnsiTheme="majorBidi" w:cstheme="majorBidi"/>
        </w:rPr>
        <w:t xml:space="preserve"> </w:t>
      </w:r>
      <w:r w:rsidRPr="007A5787">
        <w:rPr>
          <w:rFonts w:asciiTheme="majorBidi" w:eastAsiaTheme="majorEastAsia" w:hAnsiTheme="majorBidi" w:cstheme="majorBidi"/>
        </w:rPr>
        <w:t xml:space="preserve">Recovery and Resilience Facility. European Union. </w:t>
      </w:r>
      <w:hyperlink r:id="rId12" w:history="1">
        <w:r w:rsidRPr="007A5787">
          <w:rPr>
            <w:rStyle w:val="Hyperlink"/>
            <w:rFonts w:asciiTheme="majorBidi" w:eastAsiaTheme="majorEastAsia" w:hAnsiTheme="majorBidi" w:cstheme="majorBidi"/>
          </w:rPr>
          <w:t>https://commission.europa.eu/business-economy-euro/economic-recovery/recovery-and-resilience-facility_en</w:t>
        </w:r>
      </w:hyperlink>
      <w:r w:rsidRPr="007A5787">
        <w:rPr>
          <w:rFonts w:asciiTheme="majorBidi" w:eastAsiaTheme="majorEastAsia" w:hAnsiTheme="majorBidi" w:cstheme="majorBidi"/>
        </w:rPr>
        <w:t xml:space="preserve"> </w:t>
      </w:r>
    </w:p>
    <w:p w14:paraId="79CB4ED8" w14:textId="09FC0EA6" w:rsidR="00DC5506" w:rsidRPr="007A5787" w:rsidRDefault="00BA0E82"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European </w:t>
      </w:r>
      <w:r w:rsidR="00CF423B" w:rsidRPr="007A5787">
        <w:rPr>
          <w:rFonts w:asciiTheme="majorBidi" w:hAnsiTheme="majorBidi" w:cstheme="majorBidi"/>
        </w:rPr>
        <w:t>C</w:t>
      </w:r>
      <w:r w:rsidRPr="007A5787">
        <w:rPr>
          <w:rFonts w:asciiTheme="majorBidi" w:hAnsiTheme="majorBidi" w:cstheme="majorBidi"/>
        </w:rPr>
        <w:t xml:space="preserve">ommission. (n.d.-c). </w:t>
      </w:r>
      <w:r w:rsidRPr="007A5787">
        <w:rPr>
          <w:rFonts w:asciiTheme="majorBidi" w:hAnsiTheme="majorBidi" w:cstheme="majorBidi"/>
          <w:i/>
          <w:iCs/>
        </w:rPr>
        <w:t>Recovery and Resilience Scoreboard: Country overview – Slovakia</w:t>
      </w:r>
      <w:r w:rsidRPr="007A5787">
        <w:rPr>
          <w:rFonts w:asciiTheme="majorBidi" w:hAnsiTheme="majorBidi" w:cstheme="majorBidi"/>
        </w:rPr>
        <w:t xml:space="preserve">. European Union. Retrieved January </w:t>
      </w:r>
      <w:r w:rsidR="00850202">
        <w:rPr>
          <w:rFonts w:asciiTheme="majorBidi" w:hAnsiTheme="majorBidi" w:cstheme="majorBidi"/>
        </w:rPr>
        <w:t>23</w:t>
      </w:r>
      <w:r w:rsidRPr="007A5787">
        <w:rPr>
          <w:rFonts w:asciiTheme="majorBidi" w:hAnsiTheme="majorBidi" w:cstheme="majorBidi"/>
        </w:rPr>
        <w:t xml:space="preserve">, 2026, from </w:t>
      </w:r>
      <w:r w:rsidR="00E61E39">
        <w:fldChar w:fldCharType="begin"/>
      </w:r>
      <w:r w:rsidR="00E61E39">
        <w:instrText>HYPERLINK "https://ec.europa.eu/economy_finance/recovery-and-resilience-scoreboard/country_overview.html?country=Slovakia"</w:instrText>
      </w:r>
      <w:r w:rsidR="00E61E39">
        <w:fldChar w:fldCharType="separate"/>
      </w:r>
      <w:r w:rsidR="00E61E39" w:rsidRPr="007A5787">
        <w:rPr>
          <w:rStyle w:val="Hyperlink"/>
          <w:rFonts w:asciiTheme="majorBidi" w:hAnsiTheme="majorBidi" w:cstheme="majorBidi"/>
        </w:rPr>
        <w:t>https://ec.europa.eu/economy_finance/recovery-and-resilience-scoreboard/country_overview.html?country=Slovakia</w:t>
      </w:r>
      <w:r w:rsidR="00E61E39">
        <w:fldChar w:fldCharType="end"/>
      </w:r>
      <w:r w:rsidRPr="007A5787">
        <w:rPr>
          <w:rFonts w:asciiTheme="majorBidi" w:hAnsiTheme="majorBidi" w:cstheme="majorBidi"/>
        </w:rPr>
        <w:t xml:space="preserve"> </w:t>
      </w:r>
    </w:p>
    <w:p w14:paraId="4D46EA8E" w14:textId="552A1C5F" w:rsidR="00E61E39" w:rsidRPr="007A5787" w:rsidRDefault="00E61E39"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European Commission. (n.d.-e). </w:t>
      </w:r>
      <w:r w:rsidRPr="007A5787">
        <w:rPr>
          <w:rFonts w:asciiTheme="majorBidi" w:hAnsiTheme="majorBidi" w:cstheme="majorBidi"/>
          <w:i/>
          <w:iCs/>
        </w:rPr>
        <w:t>Recovery and Resilience Scoreboard: Timeline – Slovakia</w:t>
      </w:r>
      <w:r w:rsidRPr="007A5787">
        <w:rPr>
          <w:rFonts w:asciiTheme="majorBidi" w:hAnsiTheme="majorBidi" w:cstheme="majorBidi"/>
        </w:rPr>
        <w:t>. Retrieved January 2</w:t>
      </w:r>
      <w:r w:rsidR="00850202">
        <w:rPr>
          <w:rFonts w:asciiTheme="majorBidi" w:hAnsiTheme="majorBidi" w:cstheme="majorBidi"/>
        </w:rPr>
        <w:t>3</w:t>
      </w:r>
      <w:r w:rsidRPr="007A5787">
        <w:rPr>
          <w:rFonts w:asciiTheme="majorBidi" w:hAnsiTheme="majorBidi" w:cstheme="majorBidi"/>
        </w:rPr>
        <w:t xml:space="preserve">, 2026, from </w:t>
      </w:r>
      <w:r>
        <w:fldChar w:fldCharType="begin"/>
      </w:r>
      <w:r>
        <w:instrText>HYPERLINK "https://ec.europa.eu/economy_finance/recovery-and-resilience-scoreboard/timeline.html?country=Slovakia"</w:instrText>
      </w:r>
      <w:r>
        <w:fldChar w:fldCharType="separate"/>
      </w:r>
      <w:r w:rsidRPr="007A5787">
        <w:rPr>
          <w:rStyle w:val="Hyperlink"/>
          <w:rFonts w:asciiTheme="majorBidi" w:hAnsiTheme="majorBidi" w:cstheme="majorBidi"/>
        </w:rPr>
        <w:t>https://ec.europa.eu/economy_finance/recovery-and-resilience-scoreboard/timeline.html?country=Slovakia</w:t>
      </w:r>
      <w:r>
        <w:fldChar w:fldCharType="end"/>
      </w:r>
      <w:r w:rsidRPr="007A5787">
        <w:rPr>
          <w:rFonts w:asciiTheme="majorBidi" w:hAnsiTheme="majorBidi" w:cstheme="majorBidi"/>
        </w:rPr>
        <w:t xml:space="preserve"> </w:t>
      </w:r>
    </w:p>
    <w:p w14:paraId="0F03D0F2" w14:textId="1DF41F6A" w:rsidR="00607920" w:rsidRPr="007A5787" w:rsidRDefault="00607920"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European Commission. (2025, July). </w:t>
      </w:r>
      <w:r w:rsidRPr="007A5787">
        <w:rPr>
          <w:rFonts w:asciiTheme="majorBidi" w:hAnsiTheme="majorBidi" w:cstheme="majorBidi"/>
          <w:i/>
          <w:iCs/>
        </w:rPr>
        <w:t>The impact of the Recovery and Resilience Facility in Slovakia</w:t>
      </w:r>
      <w:r w:rsidRPr="007A5787">
        <w:rPr>
          <w:rFonts w:asciiTheme="majorBidi" w:hAnsiTheme="majorBidi" w:cstheme="majorBidi"/>
        </w:rPr>
        <w:t xml:space="preserve"> [PDF]. </w:t>
      </w:r>
      <w:r>
        <w:fldChar w:fldCharType="begin"/>
      </w:r>
      <w:r>
        <w:instrText>HYPERLINK "https://commission.europa.eu/document/download/3cca8ae1-d5ab-4c97-89b0-050fde3bb18d_en?filename=250611%20RRF_impact_SK_v4_PRINT.pdf"</w:instrText>
      </w:r>
      <w:r>
        <w:fldChar w:fldCharType="separate"/>
      </w:r>
      <w:r w:rsidRPr="007A5787">
        <w:rPr>
          <w:rStyle w:val="Hyperlink"/>
          <w:rFonts w:asciiTheme="majorBidi" w:hAnsiTheme="majorBidi" w:cstheme="majorBidi"/>
        </w:rPr>
        <w:t>https://commission.europa.eu/document/download/3cca8ae1-d5ab-4c97-89b0-050fde3bb18d_en?filename=250611%20RRF_impact_SK_v4_PRINT.pdf</w:t>
      </w:r>
      <w:r>
        <w:fldChar w:fldCharType="end"/>
      </w:r>
      <w:r w:rsidRPr="007A5787">
        <w:rPr>
          <w:rFonts w:asciiTheme="majorBidi" w:hAnsiTheme="majorBidi" w:cstheme="majorBidi"/>
        </w:rPr>
        <w:t xml:space="preserve"> </w:t>
      </w:r>
    </w:p>
    <w:p w14:paraId="5418375C" w14:textId="3008F894" w:rsidR="00B214C6" w:rsidRPr="007A5787" w:rsidRDefault="00B214C6"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Hanushek, E. A., &amp; Woessmann, L. (2020). </w:t>
      </w:r>
      <w:r w:rsidRPr="007A5787">
        <w:rPr>
          <w:rFonts w:asciiTheme="majorBidi" w:hAnsiTheme="majorBidi" w:cstheme="majorBidi"/>
          <w:i/>
          <w:iCs/>
        </w:rPr>
        <w:t>The economic impacts of learning losses</w:t>
      </w:r>
      <w:r w:rsidRPr="007A5787">
        <w:rPr>
          <w:rFonts w:asciiTheme="majorBidi" w:hAnsiTheme="majorBidi" w:cstheme="majorBidi"/>
        </w:rPr>
        <w:t xml:space="preserve"> (OECD Education Working Papers, No. 225). OECD Publishing. </w:t>
      </w:r>
      <w:r>
        <w:fldChar w:fldCharType="begin"/>
      </w:r>
      <w:r>
        <w:instrText>HYPERLINK "https://doi.org/10.1787/21908d74-en"</w:instrText>
      </w:r>
      <w:r>
        <w:fldChar w:fldCharType="separate"/>
      </w:r>
      <w:r w:rsidRPr="007A5787">
        <w:rPr>
          <w:rStyle w:val="Hyperlink"/>
          <w:rFonts w:asciiTheme="majorBidi" w:hAnsiTheme="majorBidi" w:cstheme="majorBidi"/>
        </w:rPr>
        <w:t>https://doi.org/10.1787/21908d74-en</w:t>
      </w:r>
      <w:r>
        <w:fldChar w:fldCharType="end"/>
      </w:r>
      <w:r w:rsidRPr="007A5787">
        <w:rPr>
          <w:rFonts w:asciiTheme="majorBidi" w:hAnsiTheme="majorBidi" w:cstheme="majorBidi"/>
        </w:rPr>
        <w:t xml:space="preserve"> </w:t>
      </w:r>
    </w:p>
    <w:p w14:paraId="3D16B6F1" w14:textId="50248D93" w:rsidR="00B214C6" w:rsidRPr="007A5787" w:rsidRDefault="00B214C6"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Hellebrandt, T. (2020). </w:t>
      </w:r>
      <w:r w:rsidRPr="007A5787">
        <w:rPr>
          <w:rFonts w:asciiTheme="majorBidi" w:hAnsiTheme="majorBidi" w:cstheme="majorBidi"/>
          <w:i/>
          <w:iCs/>
        </w:rPr>
        <w:t>Koľko stratia deti na budúcich príjmoch kvôli zatvoreným školám?</w:t>
      </w:r>
      <w:r w:rsidRPr="007A5787">
        <w:rPr>
          <w:rFonts w:asciiTheme="majorBidi" w:hAnsiTheme="majorBidi" w:cstheme="majorBidi"/>
        </w:rPr>
        <w:t xml:space="preserve"> [How much will children lose in future income due to closed schools?]. Ministry of Finance of the Slovak Republic. </w:t>
      </w:r>
      <w:r>
        <w:fldChar w:fldCharType="begin"/>
      </w:r>
      <w:r>
        <w:instrText>HYPERLINK "https://www.mfsr.sk/sk/financie/hodnota-za-peniaze/blogy-uhp/2020/vplyv-zatvorenych-skol-buduce-prijmy-ziakov/?forceBrowserDetector=blind"</w:instrText>
      </w:r>
      <w:r>
        <w:fldChar w:fldCharType="separate"/>
      </w:r>
      <w:r w:rsidRPr="007A5787">
        <w:rPr>
          <w:rStyle w:val="Hyperlink"/>
          <w:rFonts w:asciiTheme="majorBidi" w:hAnsiTheme="majorBidi" w:cstheme="majorBidi"/>
        </w:rPr>
        <w:t>https://www.mfsr.sk/sk/financie/hodnota-za-peniaze/blogy-uhp/2020/vplyv-zatvorenych-skol-buduce-prijmy-ziakov/?forceBrowserDetector=blind</w:t>
      </w:r>
      <w:r>
        <w:fldChar w:fldCharType="end"/>
      </w:r>
      <w:r w:rsidRPr="007A5787">
        <w:rPr>
          <w:rFonts w:asciiTheme="majorBidi" w:hAnsiTheme="majorBidi" w:cstheme="majorBidi"/>
        </w:rPr>
        <w:t xml:space="preserve"> </w:t>
      </w:r>
    </w:p>
    <w:p w14:paraId="433C8002" w14:textId="618C13E0" w:rsidR="00CF423B" w:rsidRPr="006A22F3" w:rsidRDefault="00455DC0" w:rsidP="006A22F3">
      <w:pPr>
        <w:jc w:val="both"/>
        <w:rPr>
          <w:rFonts w:asciiTheme="majorBidi" w:hAnsiTheme="majorBidi" w:cstheme="majorBidi"/>
          <w:b/>
          <w:bCs/>
          <w:color w:val="333333"/>
          <w:lang w:val="sk-SK"/>
        </w:rPr>
      </w:pPr>
      <w:r w:rsidRPr="00B24320">
        <w:rPr>
          <w:rStyle w:val="Strong"/>
          <w:rFonts w:asciiTheme="majorBidi" w:hAnsiTheme="majorBidi" w:cstheme="majorBidi"/>
          <w:b w:val="0"/>
          <w:bCs w:val="0"/>
          <w:color w:val="333333"/>
        </w:rPr>
        <w:t>Ibrahim, A., Ozturk Ofluoglu, N. (2025). Measuring Slovakia’s macroeconomic performance with Kaldor’s magic square.</w:t>
      </w:r>
      <w:r w:rsidR="00B24320">
        <w:rPr>
          <w:rStyle w:val="Strong"/>
          <w:rFonts w:asciiTheme="majorBidi" w:hAnsiTheme="majorBidi" w:cstheme="majorBidi"/>
          <w:color w:val="333333"/>
          <w:lang w:val="sk-SK"/>
        </w:rPr>
        <w:t xml:space="preserve"> </w:t>
      </w:r>
      <w:r w:rsidRPr="007A5787">
        <w:rPr>
          <w:rStyle w:val="Emphasis"/>
          <w:rFonts w:asciiTheme="majorBidi" w:eastAsiaTheme="majorEastAsia" w:hAnsiTheme="majorBidi" w:cstheme="majorBidi"/>
          <w:color w:val="333333"/>
        </w:rPr>
        <w:t>Economic Review</w:t>
      </w:r>
      <w:r w:rsidRPr="007A5787">
        <w:rPr>
          <w:rFonts w:asciiTheme="majorBidi" w:hAnsiTheme="majorBidi" w:cstheme="majorBidi"/>
          <w:color w:val="333333"/>
          <w:shd w:val="clear" w:color="auto" w:fill="FFFFFF"/>
        </w:rPr>
        <w:t>, 54(4), 235 ─ 255. </w:t>
      </w:r>
      <w:r>
        <w:fldChar w:fldCharType="begin"/>
      </w:r>
      <w:r>
        <w:instrText>HYPERLINK "https://doi.org/10.53465/ER.2644-7185.2025.4.235-255"</w:instrText>
      </w:r>
      <w:r>
        <w:fldChar w:fldCharType="separate"/>
      </w:r>
      <w:r w:rsidRPr="007A5787">
        <w:rPr>
          <w:rStyle w:val="Hyperlink"/>
          <w:rFonts w:asciiTheme="majorBidi" w:eastAsiaTheme="majorEastAsia" w:hAnsiTheme="majorBidi" w:cstheme="majorBidi"/>
          <w:color w:val="124990"/>
          <w:u w:val="none"/>
        </w:rPr>
        <w:t>https://doi.org/10.53465/ER.2644-7185.2025.4.235-255</w:t>
      </w:r>
      <w:r>
        <w:fldChar w:fldCharType="end"/>
      </w:r>
    </w:p>
    <w:p w14:paraId="19F8367C" w14:textId="6BBAE12F" w:rsidR="00634323" w:rsidRPr="007A5787" w:rsidRDefault="00634323"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Ministry of Education, Science, Research and Sport of the Slovak Republic. (n.d.). </w:t>
      </w:r>
      <w:r w:rsidRPr="007A5787">
        <w:rPr>
          <w:rFonts w:asciiTheme="majorBidi" w:hAnsiTheme="majorBidi" w:cstheme="majorBidi"/>
          <w:i/>
          <w:iCs/>
        </w:rPr>
        <w:t>Component 6: Accessibility, development and quality of inclusive education at all levels</w:t>
      </w:r>
      <w:r w:rsidRPr="007A5787">
        <w:rPr>
          <w:rFonts w:asciiTheme="majorBidi" w:hAnsiTheme="majorBidi" w:cstheme="majorBidi"/>
        </w:rPr>
        <w:t xml:space="preserve">. Retrieved January </w:t>
      </w:r>
      <w:r w:rsidR="00850202">
        <w:rPr>
          <w:rFonts w:asciiTheme="majorBidi" w:hAnsiTheme="majorBidi" w:cstheme="majorBidi"/>
        </w:rPr>
        <w:t>27</w:t>
      </w:r>
      <w:r w:rsidRPr="007A5787">
        <w:rPr>
          <w:rFonts w:asciiTheme="majorBidi" w:hAnsiTheme="majorBidi" w:cstheme="majorBidi"/>
        </w:rPr>
        <w:t xml:space="preserve">, 2026, from </w:t>
      </w:r>
      <w:r>
        <w:fldChar w:fldCharType="begin"/>
      </w:r>
      <w:r>
        <w:instrText>HYPERLINK "https://www.minedu.sk/komponent-6-dostupnost-rozvoj-a-kvalita-inkluzivneho-vzdelavania-na-vsetkych-stupnoch/"</w:instrText>
      </w:r>
      <w:r>
        <w:fldChar w:fldCharType="separate"/>
      </w:r>
      <w:r w:rsidRPr="007A5787">
        <w:rPr>
          <w:rStyle w:val="Hyperlink"/>
          <w:rFonts w:asciiTheme="majorBidi" w:hAnsiTheme="majorBidi" w:cstheme="majorBidi"/>
        </w:rPr>
        <w:t>https://www.minedu.sk/komponent-6-dostupnost-rozvoj-a-kvalita-inkluzivneho-vzdelavania-na-vsetkych-stupnoch/</w:t>
      </w:r>
      <w:r>
        <w:fldChar w:fldCharType="end"/>
      </w:r>
      <w:r w:rsidRPr="007A5787">
        <w:rPr>
          <w:rFonts w:asciiTheme="majorBidi" w:hAnsiTheme="majorBidi" w:cstheme="majorBidi"/>
        </w:rPr>
        <w:t xml:space="preserve"> </w:t>
      </w:r>
    </w:p>
    <w:p w14:paraId="56EA01B8" w14:textId="34573D5D" w:rsidR="00CF423B" w:rsidRPr="007A5787" w:rsidRDefault="00CF423B"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Ministry of Finance of the Slovak Republic. (n.d.). </w:t>
      </w:r>
      <w:r w:rsidRPr="007A5787">
        <w:rPr>
          <w:rFonts w:asciiTheme="majorBidi" w:hAnsiTheme="majorBidi" w:cstheme="majorBidi"/>
          <w:i/>
          <w:iCs/>
        </w:rPr>
        <w:t>Building the implementation structure for the implementation of the Recovery and Resilience Facility</w:t>
      </w:r>
      <w:r w:rsidRPr="007A5787">
        <w:rPr>
          <w:rFonts w:asciiTheme="majorBidi" w:hAnsiTheme="majorBidi" w:cstheme="majorBidi"/>
        </w:rPr>
        <w:t xml:space="preserve">. Retrieved January </w:t>
      </w:r>
      <w:r w:rsidR="00850202">
        <w:rPr>
          <w:rFonts w:asciiTheme="majorBidi" w:hAnsiTheme="majorBidi" w:cstheme="majorBidi"/>
        </w:rPr>
        <w:t>24</w:t>
      </w:r>
      <w:r w:rsidRPr="007A5787">
        <w:rPr>
          <w:rFonts w:asciiTheme="majorBidi" w:hAnsiTheme="majorBidi" w:cstheme="majorBidi"/>
        </w:rPr>
        <w:t xml:space="preserve">, 2026, from </w:t>
      </w:r>
      <w:r>
        <w:fldChar w:fldCharType="begin"/>
      </w:r>
      <w:r>
        <w:instrText>HYPERLINK "https://www.mfsr.sk/sk/projekty-mfsr/projekty-mfsr/projekty-op-evs/budovanie-implementacnej-struktury-implementaciu-mechanizmu-podporu-obnovy-odolnosti.html?forceBrowserDetector=blind"</w:instrText>
      </w:r>
      <w:r>
        <w:fldChar w:fldCharType="separate"/>
      </w:r>
      <w:r w:rsidRPr="007A5787">
        <w:rPr>
          <w:rStyle w:val="Hyperlink"/>
          <w:rFonts w:asciiTheme="majorBidi" w:hAnsiTheme="majorBidi" w:cstheme="majorBidi"/>
        </w:rPr>
        <w:t>https://www.mfsr.sk/sk/projekty-mfsr/projekty-mfsr/projekty-op-evs/budovanie-implementacnej-struktury-implementaciu-mechanizmu-podporu-obnovy-odolnosti.html?forceBrowserDetector=blind</w:t>
      </w:r>
      <w:r>
        <w:fldChar w:fldCharType="end"/>
      </w:r>
      <w:r w:rsidRPr="007A5787">
        <w:rPr>
          <w:rFonts w:asciiTheme="majorBidi" w:hAnsiTheme="majorBidi" w:cstheme="majorBidi"/>
        </w:rPr>
        <w:t xml:space="preserve"> </w:t>
      </w:r>
    </w:p>
    <w:p w14:paraId="7B29E996" w14:textId="7B0C67F3" w:rsidR="00455DC0" w:rsidRPr="007A5787" w:rsidRDefault="00921CB3"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lastRenderedPageBreak/>
        <w:t xml:space="preserve">Office of the Deputy Prime Minister of the Slovak Republic for the Recovery Plan and the Knowledge Economy. (n.d.). </w:t>
      </w:r>
      <w:r w:rsidRPr="007A5787">
        <w:rPr>
          <w:rFonts w:asciiTheme="majorBidi" w:hAnsiTheme="majorBidi" w:cstheme="majorBidi"/>
          <w:i/>
          <w:iCs/>
        </w:rPr>
        <w:t>Anti-fraud policy</w:t>
      </w:r>
      <w:r w:rsidRPr="007A5787">
        <w:rPr>
          <w:rFonts w:asciiTheme="majorBidi" w:hAnsiTheme="majorBidi" w:cstheme="majorBidi"/>
        </w:rPr>
        <w:t xml:space="preserve">. Retrieved January </w:t>
      </w:r>
      <w:r w:rsidR="00850202">
        <w:rPr>
          <w:rFonts w:asciiTheme="majorBidi" w:hAnsiTheme="majorBidi" w:cstheme="majorBidi"/>
        </w:rPr>
        <w:t>24</w:t>
      </w:r>
      <w:r w:rsidRPr="007A5787">
        <w:rPr>
          <w:rFonts w:asciiTheme="majorBidi" w:hAnsiTheme="majorBidi" w:cstheme="majorBidi"/>
        </w:rPr>
        <w:t xml:space="preserve">, 2026, from </w:t>
      </w:r>
      <w:r w:rsidR="00CF423B">
        <w:fldChar w:fldCharType="begin"/>
      </w:r>
      <w:r w:rsidR="00CF423B">
        <w:instrText>HYPERLINK "https://www.planobnovy.sk/site/assets/files/2958/politka-boja-proti-podvodom.pdf"</w:instrText>
      </w:r>
      <w:r w:rsidR="00CF423B">
        <w:fldChar w:fldCharType="separate"/>
      </w:r>
      <w:r w:rsidR="00CF423B" w:rsidRPr="007A5787">
        <w:rPr>
          <w:rStyle w:val="Hyperlink"/>
          <w:rFonts w:asciiTheme="majorBidi" w:hAnsiTheme="majorBidi" w:cstheme="majorBidi"/>
        </w:rPr>
        <w:t>https://www.planobnovy.sk/site/assets/files/2958/politka-boja-proti-podvodom.pdf</w:t>
      </w:r>
      <w:r w:rsidR="00CF423B">
        <w:fldChar w:fldCharType="end"/>
      </w:r>
      <w:r w:rsidR="00CF423B" w:rsidRPr="007A5787">
        <w:rPr>
          <w:rFonts w:asciiTheme="majorBidi" w:hAnsiTheme="majorBidi" w:cstheme="majorBidi"/>
        </w:rPr>
        <w:t xml:space="preserve"> </w:t>
      </w:r>
    </w:p>
    <w:p w14:paraId="25E60759" w14:textId="5AC02B4B" w:rsidR="00145897" w:rsidRPr="007A5787" w:rsidRDefault="00145897" w:rsidP="007A5787">
      <w:pPr>
        <w:jc w:val="both"/>
        <w:rPr>
          <w:rFonts w:asciiTheme="majorBidi" w:hAnsiTheme="majorBidi" w:cstheme="majorBidi"/>
          <w:color w:val="141413"/>
        </w:rPr>
      </w:pPr>
      <w:r w:rsidRPr="007A5787">
        <w:rPr>
          <w:rFonts w:asciiTheme="majorBidi" w:hAnsiTheme="majorBidi" w:cstheme="majorBidi"/>
          <w:color w:val="222222"/>
          <w:shd w:val="clear" w:color="auto" w:fill="FFFFFF"/>
        </w:rPr>
        <w:t>Petrikovičová, L., Petrikovič, J., Kurilenko, V., Taraj, M., Kholov, S., &amp; Azizi, M. (2023). Impact of the Global COVID-19 Pandemic on the Slovak Economy (Tourism and Education).</w:t>
      </w:r>
      <w:r w:rsidRPr="007A5787">
        <w:rPr>
          <w:rStyle w:val="apple-converted-space"/>
          <w:rFonts w:asciiTheme="majorBidi" w:hAnsiTheme="majorBidi" w:cstheme="majorBidi"/>
          <w:color w:val="222222"/>
          <w:shd w:val="clear" w:color="auto" w:fill="FFFFFF"/>
        </w:rPr>
        <w:t> </w:t>
      </w:r>
      <w:r w:rsidRPr="007A5787">
        <w:rPr>
          <w:rFonts w:asciiTheme="majorBidi" w:hAnsiTheme="majorBidi" w:cstheme="majorBidi"/>
          <w:i/>
          <w:iCs/>
          <w:color w:val="222222"/>
        </w:rPr>
        <w:t>Journal of Education Culture and Society</w:t>
      </w:r>
      <w:r w:rsidRPr="007A5787">
        <w:rPr>
          <w:rFonts w:asciiTheme="majorBidi" w:hAnsiTheme="majorBidi" w:cstheme="majorBidi"/>
          <w:color w:val="222222"/>
          <w:shd w:val="clear" w:color="auto" w:fill="FFFFFF"/>
        </w:rPr>
        <w:t>,</w:t>
      </w:r>
      <w:r w:rsidRPr="007A5787">
        <w:rPr>
          <w:rStyle w:val="apple-converted-space"/>
          <w:rFonts w:asciiTheme="majorBidi" w:hAnsiTheme="majorBidi" w:cstheme="majorBidi"/>
          <w:color w:val="222222"/>
          <w:shd w:val="clear" w:color="auto" w:fill="FFFFFF"/>
        </w:rPr>
        <w:t> </w:t>
      </w:r>
      <w:r w:rsidRPr="007A5787">
        <w:rPr>
          <w:rFonts w:asciiTheme="majorBidi" w:hAnsiTheme="majorBidi" w:cstheme="majorBidi"/>
          <w:i/>
          <w:iCs/>
          <w:color w:val="222222"/>
        </w:rPr>
        <w:t>14</w:t>
      </w:r>
      <w:r w:rsidRPr="007A5787">
        <w:rPr>
          <w:rFonts w:asciiTheme="majorBidi" w:hAnsiTheme="majorBidi" w:cstheme="majorBidi"/>
          <w:color w:val="222222"/>
          <w:shd w:val="clear" w:color="auto" w:fill="FFFFFF"/>
        </w:rPr>
        <w:t>(2), 468-483.</w:t>
      </w:r>
    </w:p>
    <w:p w14:paraId="205E681F" w14:textId="77777777" w:rsidR="00145897" w:rsidRPr="007A5787" w:rsidRDefault="00145897" w:rsidP="007A5787">
      <w:pPr>
        <w:jc w:val="both"/>
        <w:rPr>
          <w:rFonts w:asciiTheme="majorBidi" w:hAnsiTheme="majorBidi" w:cstheme="majorBidi"/>
          <w:color w:val="141413"/>
        </w:rPr>
      </w:pPr>
    </w:p>
    <w:p w14:paraId="11C7AFA8" w14:textId="34AA68CB" w:rsidR="00921CB3" w:rsidRPr="007A5787" w:rsidRDefault="00CD299E" w:rsidP="007A5787">
      <w:pPr>
        <w:jc w:val="both"/>
        <w:rPr>
          <w:rFonts w:asciiTheme="majorBidi" w:hAnsiTheme="majorBidi" w:cstheme="majorBidi"/>
          <w:color w:val="141413"/>
        </w:rPr>
      </w:pPr>
      <w:r w:rsidRPr="007A5787">
        <w:rPr>
          <w:rFonts w:asciiTheme="majorBidi" w:hAnsiTheme="majorBidi" w:cstheme="majorBidi"/>
          <w:color w:val="141413"/>
        </w:rPr>
        <w:t xml:space="preserve">Petrovič, F., &amp; Maturkanič, P. (2022). Urban-Rural Dichotomy of Quality of Life. </w:t>
      </w:r>
      <w:r w:rsidRPr="007A5787">
        <w:rPr>
          <w:rFonts w:asciiTheme="majorBidi" w:hAnsiTheme="majorBidi" w:cstheme="majorBidi"/>
          <w:i/>
          <w:iCs/>
          <w:color w:val="141413"/>
        </w:rPr>
        <w:t>Sustainability</w:t>
      </w:r>
      <w:r w:rsidRPr="007A5787">
        <w:rPr>
          <w:rFonts w:asciiTheme="majorBidi" w:hAnsiTheme="majorBidi" w:cstheme="majorBidi"/>
          <w:color w:val="141413"/>
        </w:rPr>
        <w:t xml:space="preserve">, </w:t>
      </w:r>
      <w:r w:rsidRPr="007A5787">
        <w:rPr>
          <w:rFonts w:asciiTheme="majorBidi" w:hAnsiTheme="majorBidi" w:cstheme="majorBidi"/>
          <w:i/>
          <w:iCs/>
          <w:color w:val="141413"/>
        </w:rPr>
        <w:t>14</w:t>
      </w:r>
      <w:r w:rsidRPr="007A5787">
        <w:rPr>
          <w:rFonts w:asciiTheme="majorBidi" w:hAnsiTheme="majorBidi" w:cstheme="majorBidi"/>
          <w:color w:val="141413"/>
        </w:rPr>
        <w:t xml:space="preserve">(14), 8658, </w:t>
      </w:r>
      <w:r w:rsidR="00466393">
        <w:fldChar w:fldCharType="begin"/>
      </w:r>
      <w:r w:rsidR="00466393">
        <w:instrText>HYPERLINK "https://doi.org/10.3390/su14148658"</w:instrText>
      </w:r>
      <w:r w:rsidR="00466393">
        <w:fldChar w:fldCharType="separate"/>
      </w:r>
      <w:r w:rsidR="00466393" w:rsidRPr="007A5787">
        <w:rPr>
          <w:rStyle w:val="Hyperlink"/>
          <w:rFonts w:asciiTheme="majorBidi" w:hAnsiTheme="majorBidi" w:cstheme="majorBidi"/>
        </w:rPr>
        <w:t>https://doi.org/10.3390/su14148658</w:t>
      </w:r>
      <w:r w:rsidR="00466393">
        <w:fldChar w:fldCharType="end"/>
      </w:r>
    </w:p>
    <w:p w14:paraId="502994ED" w14:textId="77777777" w:rsidR="00466393" w:rsidRPr="007A5787" w:rsidRDefault="00466393" w:rsidP="007A5787">
      <w:pPr>
        <w:jc w:val="both"/>
        <w:rPr>
          <w:rFonts w:asciiTheme="majorBidi" w:hAnsiTheme="majorBidi" w:cstheme="majorBidi"/>
          <w:color w:val="141413"/>
        </w:rPr>
      </w:pPr>
    </w:p>
    <w:p w14:paraId="7A29C4F3" w14:textId="1EBCC813" w:rsidR="002F230C" w:rsidRPr="007A5787" w:rsidRDefault="00466393" w:rsidP="007A5787">
      <w:pPr>
        <w:jc w:val="both"/>
        <w:rPr>
          <w:rFonts w:asciiTheme="majorBidi" w:hAnsiTheme="majorBidi" w:cstheme="majorBidi"/>
          <w:color w:val="141413"/>
        </w:rPr>
      </w:pPr>
      <w:r w:rsidRPr="007A5787">
        <w:rPr>
          <w:rFonts w:asciiTheme="majorBidi" w:hAnsiTheme="majorBidi" w:cstheme="majorBidi"/>
          <w:color w:val="141413"/>
        </w:rPr>
        <w:t xml:space="preserve">Plán obnovy, (n.d.-a). Kompletný plán obnovy. Retrieved January </w:t>
      </w:r>
      <w:r w:rsidR="00850202">
        <w:rPr>
          <w:rFonts w:asciiTheme="majorBidi" w:hAnsiTheme="majorBidi" w:cstheme="majorBidi"/>
          <w:color w:val="141413"/>
        </w:rPr>
        <w:t>24</w:t>
      </w:r>
      <w:r w:rsidRPr="007A5787">
        <w:rPr>
          <w:rFonts w:asciiTheme="majorBidi" w:hAnsiTheme="majorBidi" w:cstheme="majorBidi"/>
          <w:color w:val="141413"/>
        </w:rPr>
        <w:t xml:space="preserve">, 2026, from </w:t>
      </w:r>
      <w:r>
        <w:fldChar w:fldCharType="begin"/>
      </w:r>
      <w:r>
        <w:instrText>HYPERLINK "https://www.planobnovy.sk/kompletny-plan-obnovy/"</w:instrText>
      </w:r>
      <w:r>
        <w:fldChar w:fldCharType="separate"/>
      </w:r>
      <w:r w:rsidRPr="007A5787">
        <w:rPr>
          <w:rStyle w:val="Hyperlink"/>
          <w:rFonts w:asciiTheme="majorBidi" w:hAnsiTheme="majorBidi" w:cstheme="majorBidi"/>
        </w:rPr>
        <w:t>https://www.planobnovy.sk/kompletny-plan-obnovy/</w:t>
      </w:r>
      <w:r>
        <w:fldChar w:fldCharType="end"/>
      </w:r>
      <w:r w:rsidRPr="007A5787">
        <w:rPr>
          <w:rFonts w:asciiTheme="majorBidi" w:hAnsiTheme="majorBidi" w:cstheme="majorBidi"/>
          <w:color w:val="141413"/>
        </w:rPr>
        <w:t xml:space="preserve"> </w:t>
      </w:r>
    </w:p>
    <w:p w14:paraId="4E6A6523" w14:textId="372F2F99" w:rsidR="002F230C" w:rsidRPr="007A5787" w:rsidRDefault="002F230C"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Plán obnovy. (n.d.</w:t>
      </w:r>
      <w:r w:rsidR="00E20164" w:rsidRPr="007A5787">
        <w:rPr>
          <w:rFonts w:asciiTheme="majorBidi" w:hAnsiTheme="majorBidi" w:cstheme="majorBidi"/>
        </w:rPr>
        <w:t>-b</w:t>
      </w:r>
      <w:r w:rsidRPr="007A5787">
        <w:rPr>
          <w:rFonts w:asciiTheme="majorBidi" w:hAnsiTheme="majorBidi" w:cstheme="majorBidi"/>
        </w:rPr>
        <w:t xml:space="preserve">). </w:t>
      </w:r>
      <w:r w:rsidRPr="007A5787">
        <w:rPr>
          <w:rFonts w:asciiTheme="majorBidi" w:hAnsiTheme="majorBidi" w:cstheme="majorBidi"/>
          <w:i/>
          <w:iCs/>
        </w:rPr>
        <w:t>Otázky a odpovede</w:t>
      </w:r>
      <w:r w:rsidRPr="007A5787">
        <w:rPr>
          <w:rFonts w:asciiTheme="majorBidi" w:hAnsiTheme="majorBidi" w:cstheme="majorBidi"/>
        </w:rPr>
        <w:t>. Retrieved January 2</w:t>
      </w:r>
      <w:r w:rsidR="00850202">
        <w:rPr>
          <w:rFonts w:asciiTheme="majorBidi" w:hAnsiTheme="majorBidi" w:cstheme="majorBidi"/>
        </w:rPr>
        <w:t>4</w:t>
      </w:r>
      <w:r w:rsidRPr="007A5787">
        <w:rPr>
          <w:rFonts w:asciiTheme="majorBidi" w:hAnsiTheme="majorBidi" w:cstheme="majorBidi"/>
        </w:rPr>
        <w:t xml:space="preserve">, 2026, from </w:t>
      </w:r>
      <w:r>
        <w:fldChar w:fldCharType="begin"/>
      </w:r>
      <w:r>
        <w:instrText>HYPERLINK "https://www.planobnovy.sk/otazky-a-odpovede/"</w:instrText>
      </w:r>
      <w:r>
        <w:fldChar w:fldCharType="separate"/>
      </w:r>
      <w:r w:rsidRPr="007A5787">
        <w:rPr>
          <w:rStyle w:val="Hyperlink"/>
          <w:rFonts w:asciiTheme="majorBidi" w:hAnsiTheme="majorBidi" w:cstheme="majorBidi"/>
        </w:rPr>
        <w:t>https://www.planobnovy.sk/otazky-a-odpovede/</w:t>
      </w:r>
      <w:r>
        <w:fldChar w:fldCharType="end"/>
      </w:r>
      <w:r w:rsidRPr="007A5787">
        <w:rPr>
          <w:rFonts w:asciiTheme="majorBidi" w:hAnsiTheme="majorBidi" w:cstheme="majorBidi"/>
        </w:rPr>
        <w:t xml:space="preserve"> </w:t>
      </w:r>
    </w:p>
    <w:p w14:paraId="7C3A6754" w14:textId="7F402B9B" w:rsidR="0078612F" w:rsidRPr="007A5787" w:rsidRDefault="0078612F"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Plán obnovy. (n.d.-c). </w:t>
      </w:r>
      <w:r w:rsidRPr="007A5787">
        <w:rPr>
          <w:rFonts w:asciiTheme="majorBidi" w:hAnsiTheme="majorBidi" w:cstheme="majorBidi"/>
          <w:i/>
          <w:iCs/>
        </w:rPr>
        <w:t>7. žiadosť o platbu</w:t>
      </w:r>
      <w:r w:rsidRPr="007A5787">
        <w:rPr>
          <w:rFonts w:asciiTheme="majorBidi" w:hAnsiTheme="majorBidi" w:cstheme="majorBidi"/>
        </w:rPr>
        <w:t xml:space="preserve"> [7th payment request]. Retrieved January 2</w:t>
      </w:r>
      <w:r w:rsidR="00850202">
        <w:rPr>
          <w:rFonts w:asciiTheme="majorBidi" w:hAnsiTheme="majorBidi" w:cstheme="majorBidi"/>
        </w:rPr>
        <w:t>4</w:t>
      </w:r>
      <w:r w:rsidRPr="007A5787">
        <w:rPr>
          <w:rFonts w:asciiTheme="majorBidi" w:hAnsiTheme="majorBidi" w:cstheme="majorBidi"/>
        </w:rPr>
        <w:t xml:space="preserve">, 2026, from </w:t>
      </w:r>
      <w:r w:rsidR="0022125E">
        <w:fldChar w:fldCharType="begin"/>
      </w:r>
      <w:r w:rsidR="0022125E">
        <w:instrText>HYPERLINK "https://www.planobnovy.sk/realizacia/semafor/7-ziadost-o-platbu/"</w:instrText>
      </w:r>
      <w:r w:rsidR="0022125E">
        <w:fldChar w:fldCharType="separate"/>
      </w:r>
      <w:r w:rsidR="0022125E" w:rsidRPr="007A5787">
        <w:rPr>
          <w:rStyle w:val="Hyperlink"/>
          <w:rFonts w:asciiTheme="majorBidi" w:hAnsiTheme="majorBidi" w:cstheme="majorBidi"/>
        </w:rPr>
        <w:t>https://www.planobnovy.sk/realizacia/semafor/7-ziadost-o-platbu/</w:t>
      </w:r>
      <w:r w:rsidR="0022125E">
        <w:fldChar w:fldCharType="end"/>
      </w:r>
      <w:r w:rsidR="0022125E" w:rsidRPr="007A5787">
        <w:rPr>
          <w:rFonts w:asciiTheme="majorBidi" w:hAnsiTheme="majorBidi" w:cstheme="majorBidi"/>
        </w:rPr>
        <w:t xml:space="preserve"> </w:t>
      </w:r>
    </w:p>
    <w:p w14:paraId="3F194BDD" w14:textId="79A390CF" w:rsidR="00416B4D" w:rsidRPr="007A5787" w:rsidRDefault="00E20164"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Plán obnovy. (2025, November 28). </w:t>
      </w:r>
      <w:r w:rsidRPr="007A5787">
        <w:rPr>
          <w:rFonts w:asciiTheme="majorBidi" w:hAnsiTheme="majorBidi" w:cstheme="majorBidi"/>
          <w:i/>
          <w:iCs/>
        </w:rPr>
        <w:t>Slovakia has requested the disbursement of €761 million from the Recovery Plan</w:t>
      </w:r>
      <w:r w:rsidRPr="007A5787">
        <w:rPr>
          <w:rFonts w:asciiTheme="majorBidi" w:hAnsiTheme="majorBidi" w:cstheme="majorBidi"/>
        </w:rPr>
        <w:t xml:space="preserve"> [Slovensko požiadalo o vyplatenie 761 mil. eur z plánu obnovy]. Retrieved January </w:t>
      </w:r>
      <w:r w:rsidR="00850202">
        <w:rPr>
          <w:rFonts w:asciiTheme="majorBidi" w:hAnsiTheme="majorBidi" w:cstheme="majorBidi"/>
        </w:rPr>
        <w:t>24</w:t>
      </w:r>
      <w:r w:rsidRPr="007A5787">
        <w:rPr>
          <w:rFonts w:asciiTheme="majorBidi" w:hAnsiTheme="majorBidi" w:cstheme="majorBidi"/>
        </w:rPr>
        <w:t xml:space="preserve">, 2026, from </w:t>
      </w:r>
      <w:r>
        <w:fldChar w:fldCharType="begin"/>
      </w:r>
      <w:r>
        <w:instrText>HYPERLINK "https://www.planobnovy.sk/aktuality/slovensko-poziadalo-o-vyplatenie-761-mil-eur-z-planu-obnovy/"</w:instrText>
      </w:r>
      <w:r>
        <w:fldChar w:fldCharType="separate"/>
      </w:r>
      <w:r w:rsidRPr="007A5787">
        <w:rPr>
          <w:rStyle w:val="Hyperlink"/>
          <w:rFonts w:asciiTheme="majorBidi" w:hAnsiTheme="majorBidi" w:cstheme="majorBidi"/>
        </w:rPr>
        <w:t>https://www.planobnovy.sk/aktuality/slovensko-poziadalo-o-vyplatenie-761-mil-eur-z-planu-obnovy/</w:t>
      </w:r>
      <w:r>
        <w:fldChar w:fldCharType="end"/>
      </w:r>
      <w:r w:rsidRPr="007A5787">
        <w:rPr>
          <w:rFonts w:asciiTheme="majorBidi" w:hAnsiTheme="majorBidi" w:cstheme="majorBidi"/>
        </w:rPr>
        <w:t xml:space="preserve"> </w:t>
      </w:r>
    </w:p>
    <w:p w14:paraId="7C08BEB0" w14:textId="434F42CB" w:rsidR="00416B4D" w:rsidRPr="007A5787" w:rsidRDefault="00416B4D" w:rsidP="007A5787">
      <w:pPr>
        <w:jc w:val="both"/>
        <w:rPr>
          <w:rFonts w:asciiTheme="majorBidi" w:hAnsiTheme="majorBidi" w:cstheme="majorBidi"/>
          <w:color w:val="000000" w:themeColor="text1"/>
        </w:rPr>
      </w:pPr>
      <w:r w:rsidRPr="007A5787">
        <w:rPr>
          <w:rFonts w:asciiTheme="majorBidi" w:hAnsiTheme="majorBidi" w:cstheme="majorBidi"/>
          <w:color w:val="000000" w:themeColor="text1"/>
        </w:rPr>
        <w:t>Statistical Office of</w:t>
      </w:r>
      <w:r w:rsidR="004F3254" w:rsidRPr="007A5787">
        <w:rPr>
          <w:rFonts w:asciiTheme="majorBidi" w:hAnsiTheme="majorBidi" w:cstheme="majorBidi"/>
          <w:color w:val="000000" w:themeColor="text1"/>
        </w:rPr>
        <w:t xml:space="preserve"> the</w:t>
      </w:r>
      <w:r w:rsidRPr="007A5787">
        <w:rPr>
          <w:rFonts w:asciiTheme="majorBidi" w:hAnsiTheme="majorBidi" w:cstheme="majorBidi"/>
          <w:color w:val="000000" w:themeColor="text1"/>
        </w:rPr>
        <w:t xml:space="preserve"> Slovak Republic, (2025a). </w:t>
      </w:r>
      <w:r w:rsidR="004F3254" w:rsidRPr="007A5787">
        <w:rPr>
          <w:rFonts w:asciiTheme="majorBidi" w:hAnsiTheme="majorBidi" w:cstheme="majorBidi"/>
          <w:color w:val="000000" w:themeColor="text1"/>
        </w:rPr>
        <w:t xml:space="preserve">Gross domestic product in the 2nd quarter of 2025. </w:t>
      </w:r>
      <w:r w:rsidR="004F3254">
        <w:fldChar w:fldCharType="begin"/>
      </w:r>
      <w:r w:rsidR="004F3254">
        <w:instrText>HYPERLINK "https://slovak.statistics.sk/wps/portal/ext/products/informationmessages/inf_sprava_detail/1578d489-3b04-4c23-910f-fab7d44c2a2a/!ut/p/z1/tVJNb6MwFPwte-Bo_MCmdnpzojYfm1TbpGkSX1aGmEATMAUvNP31NVUvlbYfe1hf7CfNjGbeGEu8xbJUbX5QNjelOrl5Jy9-37IpHw4DATCcE5jOfq5uJqPrcLyO8OY9gN8sr2B6J36NlzMaAI2w_Jx_jyWWSWkrm-GdiRuVoeaI8jJF6mg9cA9TF85NW2rUVLVqzx60jbZHdwcR43vKB4jEQBFNQoIGAaQoVTHbUzerUPXyVZLv8e5b6M1Xefs48MER4PjyFTIaiwllcwA-H0cwFZP1cnBLCAjyBvhEY-c8sA89BAxv2lx3eF32mznh1T9GnACefdWKqz2sF6PFwSkrm_V9GLz9lryj5g-Pj1K4Wk1p9ZPF2__Rq8uQx4XfJYUPPuMMCGOchnRwERHSuxBlTLgLUOtU17r2_9TuO2fWVs2lBx50XecfjDmctJ-YwoO_UTLTOPfvkbgq1gUnZ3RMF1eEyvhMnud6I368AIJvrdw!/dz/d5/L2dBISEvZ0FBIS9nQSEh/"</w:instrText>
      </w:r>
      <w:r w:rsidR="004F3254">
        <w:fldChar w:fldCharType="separate"/>
      </w:r>
      <w:r w:rsidR="004F3254" w:rsidRPr="007A5787">
        <w:rPr>
          <w:rStyle w:val="Hyperlink"/>
          <w:rFonts w:asciiTheme="majorBidi" w:hAnsiTheme="majorBidi" w:cstheme="majorBidi"/>
        </w:rPr>
        <w:t>https://slovak.statistics.sk/wps/portal/ext/products/informationmessages/inf_sprava_detail/1578d489-3b04-4c23-910f-fab7d44c2a2a/!ut/p/z1/tVJNb6MwFPwte-Bo_MCmdnpzojYfm1TbpGkSX1aGmEATMAUvNP31NVUvlbYfe1hf7CfNjGbeGEu8xbJUbX5QNjelOrl5Jy9-37IpHw4DATCcE5jOfq5uJqPrcLyO8OY9gN8sr2B6J36NlzMaAI2w_Jx_jyWWSWkrm-GdiRuVoeaI8jJF6mg9cA9TF85NW2rUVLVqzx60jbZHdwcR43vKB4jEQBFNQoIGAaQoVTHbUzerUPXyVZLv8e5b6M1Xefs48MER4PjyFTIaiwllcwA-H0cwFZP1cnBLCAjyBvhEY-c8sA89BAxv2lx3eF32mznh1T9GnACefdWKqz2sF6PFwSkrm_V9GLz9lryj5g-Pj1K4Wk1p9ZPF2__Rq8uQx4XfJYUPPuMMCGOchnRwERHSuxBlTLgLUOtU17r2_9TuO2fWVs2lBx50XecfjDmctJ-YwoO_UTLTOPfvkbgq1gUnZ3RMF1eEyvhMnud6I368AIJvrdw!/dz/d5/L2dBISEvZ0FBIS9nQSEh/</w:t>
      </w:r>
      <w:r w:rsidR="004F3254">
        <w:fldChar w:fldCharType="end"/>
      </w:r>
      <w:r w:rsidR="004F3254" w:rsidRPr="007A5787">
        <w:rPr>
          <w:rFonts w:asciiTheme="majorBidi" w:hAnsiTheme="majorBidi" w:cstheme="majorBidi"/>
          <w:color w:val="000000" w:themeColor="text1"/>
        </w:rPr>
        <w:t xml:space="preserve"> </w:t>
      </w:r>
    </w:p>
    <w:p w14:paraId="52E94DC4" w14:textId="488045F6" w:rsidR="00CB641D" w:rsidRPr="007A5787" w:rsidRDefault="00CD299E" w:rsidP="007A5787">
      <w:pPr>
        <w:jc w:val="both"/>
        <w:rPr>
          <w:rFonts w:asciiTheme="majorBidi" w:hAnsiTheme="majorBidi" w:cstheme="majorBidi"/>
        </w:rPr>
      </w:pPr>
      <w:r w:rsidRPr="007A5787">
        <w:rPr>
          <w:rFonts w:asciiTheme="majorBidi" w:hAnsiTheme="majorBidi" w:cstheme="majorBidi"/>
        </w:rPr>
        <w:t xml:space="preserve"> </w:t>
      </w:r>
    </w:p>
    <w:p w14:paraId="2B4F3DFB" w14:textId="20753C4E" w:rsidR="0058475D" w:rsidRPr="007A5787" w:rsidRDefault="0058475D" w:rsidP="007A5787">
      <w:pPr>
        <w:jc w:val="both"/>
        <w:rPr>
          <w:rFonts w:asciiTheme="majorBidi" w:hAnsiTheme="majorBidi" w:cstheme="majorBidi"/>
        </w:rPr>
      </w:pPr>
      <w:r w:rsidRPr="007A5787">
        <w:rPr>
          <w:rFonts w:asciiTheme="majorBidi" w:hAnsiTheme="majorBidi" w:cstheme="majorBidi"/>
        </w:rPr>
        <w:t xml:space="preserve">Statistical Office of the Slovak Republic, (2025b). Tourism Satellite Account 2023. </w:t>
      </w:r>
      <w:r>
        <w:fldChar w:fldCharType="begin"/>
      </w:r>
      <w:r>
        <w:instrText>HYPERLINK "https://slovak.statistics.sk/wps/portal/ext/products/informationmessages/inf_sprava_detail/!ut/p/z0/zVVNU-JAEP0rXjg26fmeOaJVsrpqFWupyGVrvgLZQIIksIu_fgesdaVKEPe0l2TSybx-r_O6Jxtlw2xU2VUxtm1RV3aanh9H8vtAXejTU9JDPL1ieHH59fbmy9k57d-J7DZW2WU2Ktys-9PPutjVkhhUlBpCkQsiNhDFj6enUS8b-bpq4682G9ausRNoyg5aVy_bWWwaO45NB4mA3JbtcrEGioSlAHM0ZzKARSuB51qBDcZDzhjxHmnkOt-koIvrs-txNprbdgJFldfZ8KitO9yN0EYh0YYZwxg1e4C95cQFLcHbPABHEUBHQYHKIMw2q1Ofk426e1IHILrLu0m3hPkiTqY2wLMt7XMRS2igKp7LegmTOlR1Wy87eBSNHX2caY0MCUdKTJL4AcmmTTbwsH1TtR2cL-qwLNt1Wi3dtCitL2IHS9vaaT0-eY0Ve8r2zoc77AjVSnJKuDaUpfUBdrGChLLLwy78pFj9Be9gLmiMJFoIinrggQdwKlcQLRcs_eDIid2loLRCppTmlBspGNujJGdcaYwaFCqSKp8bMMQiSO5ZchdVGA_7foMDyecd3AAuZqnOqypCM1_YVSrvqoltme5H5dmtodZSc5RECK5SI8o9Cl4ybDrNTot2nQ0ZczJP5QduMQL3ioMO0YGkzjNnvCGBHykpXYpVAn1F_yPoTeCodLve5UJpIVWSjdroz_VXnMayXdRV4csIdlluDUMdI9yqAD7wHDghCJpqAUKEwEjuKMV9E-CorYl-mp29wWBwe3V_j_17eo4XjPTx5u4uTVL5QZu8ccbaT0623vjnhn3XZgczHWb_Tf0Ps-Pw0XRwfBzXgDQdGNZLB9YYl_6zJeAIOshNGg4kEpXrmM3L_oNu9ZpNV7OXxfNVfIDR425ws-j9Bj8KECE!/"</w:instrText>
      </w:r>
      <w:r>
        <w:fldChar w:fldCharType="separate"/>
      </w:r>
      <w:r w:rsidRPr="007A5787">
        <w:rPr>
          <w:rStyle w:val="Hyperlink"/>
          <w:rFonts w:asciiTheme="majorBidi" w:hAnsiTheme="majorBidi" w:cstheme="majorBidi"/>
        </w:rPr>
        <w:t>https://slovak.statistics.sk/wps/portal/ext/products/informationmessages/inf_sprava_detail/!ut/p/z0/zVVNU-JAEP0rXjg26fmeOaJVsrpqFWupyGVrvgLZQIIksIu_fgesdaVKEPe0l2TSybx-r_O6Jxtlw2xU2VUxtm1RV3aanh9H8vtAXejTU9JDPL1ieHH59fbmy9k57d-J7DZW2WU2Ktys-9PPutjVkhhUlBpCkQsiNhDFj6enUS8b-bpq4682G9ausRNoyg5aVy_bWWwaO45NB4mA3JbtcrEGioSlAHM0ZzKARSuB51qBDcZDzhjxHmnkOt-koIvrs-txNprbdgJFldfZ8KitO9yN0EYh0YYZwxg1e4C95cQFLcHbPABHEUBHQYHKIMw2q1Ofk426e1IHILrLu0m3hPkiTqY2wLMt7XMRS2igKp7LegmTOlR1Wy87eBSNHX2caY0MCU</w:t>
      </w:r>
      <w:r w:rsidRPr="007A5787">
        <w:rPr>
          <w:rStyle w:val="Hyperlink"/>
          <w:rFonts w:asciiTheme="majorBidi" w:hAnsiTheme="majorBidi" w:cstheme="majorBidi"/>
        </w:rPr>
        <w:lastRenderedPageBreak/>
        <w:t>dKTJL4AcmmTTbwsH1TtR2cL-qwLNt1Wi3dtCitL2IHS9vaaT0-eY0Ve8r2zoc77AjVSnJKuDaUpfUBdrGChLLLwy78pFj9Be9gLmiMJFoIinrggQdwKlcQLRcs_eDIid2loLRCppTmlBspGNujJGdcaYwaFCqSKp8bMMQiSO5ZchdVGA_7foMDyecd3AAuZqnOqypCM1_YVSrvqoltme5H5dmtodZSc5RECK5SI8o9Cl4ybDrNTot2nQ0ZczJP5QduMQL3ioMO0YGkzjNnvCGBHykpXYpVAn1F_yPoTeCodLve5UJpIVWSjdroz_VXnMayXdRV4csIdlluDUMdI9yqAD7wHDghCJpqAUKEwEjuKMV9E-CorYl-mp29wWBwe3V_j_17eo4XjPTx5u4uTVL5QZu8ccbaT0623vjnhn3XZgczHWb_Tf0Ps-Pw0XRwfBzXgDQdGNZLB9YYl_6zJeAIOshNGg4kEpXrmM3L_oNu9ZpNV7OXxfNVfIDR425ws-j9Bj8KECE!/</w:t>
      </w:r>
      <w:r>
        <w:fldChar w:fldCharType="end"/>
      </w:r>
      <w:r w:rsidRPr="007A5787">
        <w:rPr>
          <w:rFonts w:asciiTheme="majorBidi" w:hAnsiTheme="majorBidi" w:cstheme="majorBidi"/>
        </w:rPr>
        <w:t xml:space="preserve"> </w:t>
      </w:r>
    </w:p>
    <w:p w14:paraId="74A982C6" w14:textId="77777777" w:rsidR="0058475D" w:rsidRPr="007A5787" w:rsidRDefault="0058475D" w:rsidP="007A5787">
      <w:pPr>
        <w:jc w:val="both"/>
        <w:rPr>
          <w:rFonts w:asciiTheme="majorBidi" w:hAnsiTheme="majorBidi" w:cstheme="majorBidi"/>
        </w:rPr>
      </w:pPr>
    </w:p>
    <w:p w14:paraId="01AB93D4" w14:textId="195B4137" w:rsidR="00416B4D" w:rsidRPr="007A5787" w:rsidRDefault="00CD299E" w:rsidP="007A5787">
      <w:pPr>
        <w:jc w:val="both"/>
        <w:rPr>
          <w:rFonts w:asciiTheme="majorBidi" w:hAnsiTheme="majorBidi" w:cstheme="majorBidi"/>
          <w:color w:val="222222"/>
          <w:shd w:val="clear" w:color="auto" w:fill="FFFFFF"/>
        </w:rPr>
      </w:pPr>
      <w:r w:rsidRPr="007A5787">
        <w:rPr>
          <w:rFonts w:asciiTheme="majorBidi" w:hAnsiTheme="majorBidi" w:cstheme="majorBidi"/>
          <w:color w:val="222222"/>
          <w:shd w:val="clear" w:color="auto" w:fill="FFFFFF"/>
        </w:rPr>
        <w:t>Tomková, A., Gonos, J., Čulková, K., &amp; Rovňák, M. (2024). The Impact of the COVID-19 Pandemic on the Economy of the Slovak Republic.</w:t>
      </w:r>
      <w:r w:rsidRPr="007A5787">
        <w:rPr>
          <w:rStyle w:val="apple-converted-space"/>
          <w:rFonts w:asciiTheme="majorBidi" w:hAnsiTheme="majorBidi" w:cstheme="majorBidi"/>
          <w:color w:val="222222"/>
          <w:shd w:val="clear" w:color="auto" w:fill="FFFFFF"/>
        </w:rPr>
        <w:t> </w:t>
      </w:r>
      <w:r w:rsidRPr="007A5787">
        <w:rPr>
          <w:rFonts w:asciiTheme="majorBidi" w:hAnsiTheme="majorBidi" w:cstheme="majorBidi"/>
          <w:i/>
          <w:iCs/>
          <w:color w:val="222222"/>
        </w:rPr>
        <w:t>Economies</w:t>
      </w:r>
      <w:r w:rsidRPr="007A5787">
        <w:rPr>
          <w:rFonts w:asciiTheme="majorBidi" w:hAnsiTheme="majorBidi" w:cstheme="majorBidi"/>
          <w:color w:val="222222"/>
          <w:shd w:val="clear" w:color="auto" w:fill="FFFFFF"/>
        </w:rPr>
        <w:t>,</w:t>
      </w:r>
      <w:r w:rsidRPr="007A5787">
        <w:rPr>
          <w:rStyle w:val="apple-converted-space"/>
          <w:rFonts w:asciiTheme="majorBidi" w:hAnsiTheme="majorBidi" w:cstheme="majorBidi"/>
          <w:color w:val="222222"/>
          <w:shd w:val="clear" w:color="auto" w:fill="FFFFFF"/>
        </w:rPr>
        <w:t> </w:t>
      </w:r>
      <w:r w:rsidRPr="007A5787">
        <w:rPr>
          <w:rFonts w:asciiTheme="majorBidi" w:hAnsiTheme="majorBidi" w:cstheme="majorBidi"/>
          <w:i/>
          <w:iCs/>
          <w:color w:val="222222"/>
        </w:rPr>
        <w:t>12</w:t>
      </w:r>
      <w:r w:rsidRPr="007A5787">
        <w:rPr>
          <w:rFonts w:asciiTheme="majorBidi" w:hAnsiTheme="majorBidi" w:cstheme="majorBidi"/>
          <w:color w:val="222222"/>
          <w:shd w:val="clear" w:color="auto" w:fill="FFFFFF"/>
        </w:rPr>
        <w:t>(2), 27.</w:t>
      </w:r>
    </w:p>
    <w:p w14:paraId="1BC7A643" w14:textId="5F2FB902" w:rsidR="00473F7B" w:rsidRPr="007A5787" w:rsidRDefault="00473F7B" w:rsidP="007A5787">
      <w:pPr>
        <w:spacing w:before="100" w:beforeAutospacing="1" w:after="100" w:afterAutospacing="1"/>
        <w:jc w:val="both"/>
        <w:rPr>
          <w:rFonts w:asciiTheme="majorBidi" w:hAnsiTheme="majorBidi" w:cstheme="majorBidi"/>
        </w:rPr>
      </w:pPr>
      <w:r w:rsidRPr="007A5787">
        <w:rPr>
          <w:rFonts w:asciiTheme="majorBidi" w:hAnsiTheme="majorBidi" w:cstheme="majorBidi"/>
        </w:rPr>
        <w:t xml:space="preserve">World Bank. (2020, June 18). </w:t>
      </w:r>
      <w:r w:rsidRPr="007A5787">
        <w:rPr>
          <w:rFonts w:asciiTheme="majorBidi" w:hAnsiTheme="majorBidi" w:cstheme="majorBidi"/>
          <w:i/>
          <w:iCs/>
        </w:rPr>
        <w:t>Simulating the potential impacts of the COVID-19 school closures on schooling and learning outcomes: A set of global estimates</w:t>
      </w:r>
      <w:r w:rsidRPr="007A5787">
        <w:rPr>
          <w:rFonts w:asciiTheme="majorBidi" w:hAnsiTheme="majorBidi" w:cstheme="majorBidi"/>
        </w:rPr>
        <w:t xml:space="preserve">. </w:t>
      </w:r>
      <w:hyperlink r:id="rId13" w:history="1">
        <w:r w:rsidRPr="007A5787">
          <w:rPr>
            <w:rStyle w:val="Hyperlink"/>
            <w:rFonts w:asciiTheme="majorBidi" w:hAnsiTheme="majorBidi" w:cstheme="majorBidi"/>
          </w:rPr>
          <w:t>https://www.worldbank.org/en/topic/education/publication/simulating-potential-impacts-of-covid-19-school-closures-learning-outcomes-a-set-of-global-estimates</w:t>
        </w:r>
      </w:hyperlink>
      <w:r w:rsidRPr="007A5787">
        <w:rPr>
          <w:rFonts w:asciiTheme="majorBidi" w:hAnsiTheme="majorBidi" w:cstheme="majorBidi"/>
        </w:rPr>
        <w:t xml:space="preserve"> </w:t>
      </w:r>
    </w:p>
    <w:p w14:paraId="2A2E2311" w14:textId="324885F2" w:rsidR="00473F7B" w:rsidRDefault="00473F7B" w:rsidP="00CD299E">
      <w:pPr>
        <w:rPr>
          <w:rFonts w:ascii="Arial" w:hAnsi="Arial" w:cs="Arial"/>
          <w:color w:val="222222"/>
          <w:sz w:val="20"/>
          <w:szCs w:val="20"/>
          <w:shd w:val="clear" w:color="auto" w:fill="FFFFFF"/>
        </w:rPr>
      </w:pPr>
    </w:p>
    <w:p w14:paraId="3B240428" w14:textId="77777777" w:rsidR="00416B4D" w:rsidRDefault="00416B4D" w:rsidP="00CD299E">
      <w:pPr>
        <w:rPr>
          <w:rFonts w:ascii="Arial" w:hAnsi="Arial" w:cs="Arial"/>
          <w:color w:val="222222"/>
          <w:sz w:val="20"/>
          <w:szCs w:val="20"/>
          <w:shd w:val="clear" w:color="auto" w:fill="FFFFFF"/>
        </w:rPr>
      </w:pPr>
    </w:p>
    <w:p w14:paraId="45F1B86A" w14:textId="77777777" w:rsidR="00416B4D" w:rsidRDefault="00416B4D">
      <w:pPr>
        <w:rPr>
          <w:rFonts w:ascii="Arial" w:hAnsi="Arial" w:cs="Arial"/>
          <w:color w:val="222222"/>
          <w:sz w:val="20"/>
          <w:szCs w:val="20"/>
          <w:shd w:val="clear" w:color="auto" w:fill="FFFFFF"/>
        </w:rPr>
      </w:pPr>
      <w:r>
        <w:rPr>
          <w:rFonts w:ascii="Arial" w:hAnsi="Arial" w:cs="Arial"/>
          <w:color w:val="222222"/>
          <w:sz w:val="20"/>
          <w:szCs w:val="20"/>
          <w:shd w:val="clear" w:color="auto" w:fill="FFFFFF"/>
        </w:rPr>
        <w:br w:type="page"/>
      </w:r>
    </w:p>
    <w:p w14:paraId="11CC607E" w14:textId="77777777" w:rsidR="006A22F3" w:rsidRDefault="006A22F3" w:rsidP="0090544F">
      <w:pPr>
        <w:pStyle w:val="Heading2"/>
        <w:jc w:val="center"/>
        <w:rPr>
          <w:rFonts w:asciiTheme="majorBidi" w:hAnsiTheme="majorBidi"/>
          <w:b/>
          <w:bCs/>
          <w:color w:val="000000" w:themeColor="text1"/>
          <w:sz w:val="96"/>
          <w:szCs w:val="96"/>
        </w:rPr>
      </w:pPr>
    </w:p>
    <w:p w14:paraId="24F0484D" w14:textId="77777777" w:rsidR="006A22F3" w:rsidRDefault="006A22F3" w:rsidP="0090544F">
      <w:pPr>
        <w:pStyle w:val="Heading2"/>
        <w:jc w:val="center"/>
        <w:rPr>
          <w:rFonts w:asciiTheme="majorBidi" w:hAnsiTheme="majorBidi"/>
          <w:b/>
          <w:bCs/>
          <w:color w:val="000000" w:themeColor="text1"/>
          <w:sz w:val="96"/>
          <w:szCs w:val="96"/>
        </w:rPr>
      </w:pPr>
    </w:p>
    <w:p w14:paraId="2A20FA92" w14:textId="77777777" w:rsidR="006A22F3" w:rsidRDefault="006A22F3" w:rsidP="0090544F">
      <w:pPr>
        <w:pStyle w:val="Heading2"/>
        <w:jc w:val="center"/>
        <w:rPr>
          <w:rFonts w:asciiTheme="majorBidi" w:hAnsiTheme="majorBidi"/>
          <w:b/>
          <w:bCs/>
          <w:color w:val="000000" w:themeColor="text1"/>
          <w:sz w:val="96"/>
          <w:szCs w:val="96"/>
        </w:rPr>
      </w:pPr>
    </w:p>
    <w:p w14:paraId="0F8574EF" w14:textId="77777777" w:rsidR="006A22F3" w:rsidRDefault="006A22F3" w:rsidP="006A22F3">
      <w:pPr>
        <w:rPr>
          <w:lang w:val="en-GB" w:eastAsia="en-US"/>
        </w:rPr>
      </w:pPr>
    </w:p>
    <w:p w14:paraId="710A2BA9" w14:textId="77777777" w:rsidR="006A22F3" w:rsidRDefault="006A22F3" w:rsidP="006A22F3">
      <w:pPr>
        <w:rPr>
          <w:lang w:val="en-GB" w:eastAsia="en-US"/>
        </w:rPr>
      </w:pPr>
    </w:p>
    <w:p w14:paraId="7E17409B" w14:textId="77777777" w:rsidR="006A22F3" w:rsidRDefault="006A22F3" w:rsidP="006A22F3">
      <w:pPr>
        <w:rPr>
          <w:lang w:val="en-GB" w:eastAsia="en-US"/>
        </w:rPr>
      </w:pPr>
    </w:p>
    <w:p w14:paraId="3F8F8622" w14:textId="77777777" w:rsidR="006A22F3" w:rsidRDefault="006A22F3" w:rsidP="006A22F3">
      <w:pPr>
        <w:rPr>
          <w:lang w:val="en-GB" w:eastAsia="en-US"/>
        </w:rPr>
      </w:pPr>
    </w:p>
    <w:p w14:paraId="6F6E88A3" w14:textId="77777777" w:rsidR="006A22F3" w:rsidRDefault="006A22F3" w:rsidP="006A22F3">
      <w:pPr>
        <w:rPr>
          <w:lang w:val="en-GB" w:eastAsia="en-US"/>
        </w:rPr>
      </w:pPr>
    </w:p>
    <w:p w14:paraId="155F317B" w14:textId="77777777" w:rsidR="006A22F3" w:rsidRDefault="006A22F3" w:rsidP="006A22F3">
      <w:pPr>
        <w:rPr>
          <w:lang w:val="en-GB" w:eastAsia="en-US"/>
        </w:rPr>
      </w:pPr>
    </w:p>
    <w:p w14:paraId="33613DAB" w14:textId="77777777" w:rsidR="006A22F3" w:rsidRDefault="006A22F3" w:rsidP="006A22F3">
      <w:pPr>
        <w:rPr>
          <w:lang w:val="en-GB" w:eastAsia="en-US"/>
        </w:rPr>
      </w:pPr>
    </w:p>
    <w:p w14:paraId="532481CC" w14:textId="77777777" w:rsidR="006A22F3" w:rsidRPr="006A22F3" w:rsidRDefault="006A22F3" w:rsidP="006A22F3">
      <w:pPr>
        <w:rPr>
          <w:lang w:val="en-GB" w:eastAsia="en-US"/>
        </w:rPr>
      </w:pPr>
    </w:p>
    <w:p w14:paraId="1C7E1968" w14:textId="311267B3" w:rsidR="0090544F" w:rsidRPr="007A5787" w:rsidRDefault="00416B4D" w:rsidP="0090544F">
      <w:pPr>
        <w:pStyle w:val="Heading2"/>
        <w:jc w:val="center"/>
        <w:rPr>
          <w:rFonts w:asciiTheme="majorBidi" w:hAnsiTheme="majorBidi"/>
          <w:b/>
          <w:bCs/>
          <w:color w:val="000000" w:themeColor="text1"/>
          <w:sz w:val="96"/>
          <w:szCs w:val="96"/>
        </w:rPr>
      </w:pPr>
      <w:bookmarkStart w:id="9" w:name="_Toc220360256"/>
      <w:r w:rsidRPr="007A5787">
        <w:rPr>
          <w:rFonts w:asciiTheme="majorBidi" w:hAnsiTheme="majorBidi"/>
          <w:b/>
          <w:bCs/>
          <w:color w:val="000000" w:themeColor="text1"/>
          <w:sz w:val="96"/>
          <w:szCs w:val="96"/>
        </w:rPr>
        <w:t>Annex</w:t>
      </w:r>
      <w:bookmarkEnd w:id="9"/>
    </w:p>
    <w:p w14:paraId="4E693F68" w14:textId="77777777" w:rsidR="0090544F" w:rsidRDefault="0090544F">
      <w:pPr>
        <w:rPr>
          <w:rFonts w:asciiTheme="majorHAnsi" w:eastAsiaTheme="majorEastAsia" w:hAnsiTheme="majorHAnsi" w:cstheme="majorBidi"/>
          <w:color w:val="0F4761" w:themeColor="accent1" w:themeShade="BF"/>
          <w:kern w:val="2"/>
          <w:sz w:val="32"/>
          <w:szCs w:val="32"/>
          <w:lang w:val="en-GB" w:eastAsia="en-US"/>
          <w14:ligatures w14:val="standardContextual"/>
        </w:rPr>
      </w:pPr>
      <w:r>
        <w:br w:type="page"/>
      </w:r>
    </w:p>
    <w:p w14:paraId="372D4042" w14:textId="5AF46D26" w:rsidR="0090544F" w:rsidRPr="00C23CEF" w:rsidRDefault="0090544F" w:rsidP="0090544F">
      <w:pPr>
        <w:pStyle w:val="Heading3"/>
        <w:rPr>
          <w:rFonts w:asciiTheme="majorBidi" w:hAnsiTheme="majorBidi"/>
          <w:b/>
          <w:bCs/>
          <w:color w:val="000000" w:themeColor="text1"/>
          <w:sz w:val="32"/>
          <w:szCs w:val="32"/>
        </w:rPr>
      </w:pPr>
      <w:bookmarkStart w:id="10" w:name="_Toc220360257"/>
      <w:r w:rsidRPr="00C23CEF">
        <w:rPr>
          <w:rFonts w:asciiTheme="majorBidi" w:hAnsiTheme="majorBidi"/>
          <w:b/>
          <w:bCs/>
          <w:color w:val="000000" w:themeColor="text1"/>
          <w:sz w:val="32"/>
          <w:szCs w:val="32"/>
        </w:rPr>
        <w:lastRenderedPageBreak/>
        <w:t>Graphs</w:t>
      </w:r>
      <w:bookmarkEnd w:id="10"/>
    </w:p>
    <w:p w14:paraId="738E6704" w14:textId="77777777" w:rsidR="0090544F" w:rsidRPr="00C23CEF" w:rsidRDefault="0090544F" w:rsidP="0090544F">
      <w:pPr>
        <w:rPr>
          <w:rFonts w:asciiTheme="majorBidi" w:hAnsiTheme="majorBidi" w:cstheme="majorBidi"/>
          <w:lang w:val="en-GB" w:eastAsia="en-US"/>
        </w:rPr>
      </w:pPr>
    </w:p>
    <w:p w14:paraId="7FC699B6" w14:textId="77777777" w:rsidR="00C23CEF" w:rsidRPr="00C23CEF" w:rsidRDefault="00C23CEF" w:rsidP="00C23CEF">
      <w:pPr>
        <w:pStyle w:val="Caption"/>
        <w:keepNext/>
        <w:jc w:val="center"/>
        <w:rPr>
          <w:rFonts w:asciiTheme="majorBidi" w:hAnsiTheme="majorBidi" w:cstheme="majorBidi"/>
          <w:b/>
          <w:bCs/>
          <w:color w:val="000000" w:themeColor="text1"/>
          <w:sz w:val="24"/>
          <w:szCs w:val="24"/>
        </w:rPr>
      </w:pPr>
      <w:r w:rsidRPr="00C23CEF">
        <w:rPr>
          <w:rFonts w:asciiTheme="majorBidi" w:hAnsiTheme="majorBidi" w:cstheme="majorBidi"/>
          <w:b/>
          <w:bCs/>
          <w:color w:val="000000" w:themeColor="text1"/>
          <w:sz w:val="24"/>
          <w:szCs w:val="24"/>
        </w:rPr>
        <w:t xml:space="preserve">Graph </w:t>
      </w:r>
      <w:r w:rsidRPr="00C23CEF">
        <w:rPr>
          <w:rFonts w:asciiTheme="majorBidi" w:hAnsiTheme="majorBidi" w:cstheme="majorBidi"/>
          <w:b/>
          <w:bCs/>
          <w:color w:val="000000" w:themeColor="text1"/>
          <w:sz w:val="24"/>
          <w:szCs w:val="24"/>
        </w:rPr>
        <w:fldChar w:fldCharType="begin"/>
      </w:r>
      <w:r w:rsidRPr="00C23CEF">
        <w:rPr>
          <w:rFonts w:asciiTheme="majorBidi" w:hAnsiTheme="majorBidi" w:cstheme="majorBidi"/>
          <w:b/>
          <w:bCs/>
          <w:color w:val="000000" w:themeColor="text1"/>
          <w:sz w:val="24"/>
          <w:szCs w:val="24"/>
        </w:rPr>
        <w:instrText xml:space="preserve"> SEQ Graph \* ARABIC </w:instrText>
      </w:r>
      <w:r w:rsidRPr="00C23CEF">
        <w:rPr>
          <w:rFonts w:asciiTheme="majorBidi" w:hAnsiTheme="majorBidi" w:cstheme="majorBidi"/>
          <w:b/>
          <w:bCs/>
          <w:color w:val="000000" w:themeColor="text1"/>
          <w:sz w:val="24"/>
          <w:szCs w:val="24"/>
        </w:rPr>
        <w:fldChar w:fldCharType="separate"/>
      </w:r>
      <w:r w:rsidRPr="00C23CEF">
        <w:rPr>
          <w:rFonts w:asciiTheme="majorBidi" w:hAnsiTheme="majorBidi" w:cstheme="majorBidi"/>
          <w:b/>
          <w:bCs/>
          <w:noProof/>
          <w:color w:val="000000" w:themeColor="text1"/>
          <w:sz w:val="24"/>
          <w:szCs w:val="24"/>
        </w:rPr>
        <w:t>1</w:t>
      </w:r>
      <w:r w:rsidRPr="00C23CEF">
        <w:rPr>
          <w:rFonts w:asciiTheme="majorBidi" w:hAnsiTheme="majorBidi" w:cstheme="majorBidi"/>
          <w:b/>
          <w:bCs/>
          <w:color w:val="000000" w:themeColor="text1"/>
          <w:sz w:val="24"/>
          <w:szCs w:val="24"/>
        </w:rPr>
        <w:fldChar w:fldCharType="end"/>
      </w:r>
      <w:r w:rsidRPr="00C23CEF">
        <w:rPr>
          <w:rFonts w:asciiTheme="majorBidi" w:hAnsiTheme="majorBidi" w:cstheme="majorBidi"/>
          <w:b/>
          <w:bCs/>
          <w:color w:val="000000" w:themeColor="text1"/>
          <w:sz w:val="24"/>
          <w:szCs w:val="24"/>
        </w:rPr>
        <w:t>: Gross Domestic Product of Slovakia</w:t>
      </w:r>
    </w:p>
    <w:p w14:paraId="0103DA93" w14:textId="77777777" w:rsidR="00C23CEF" w:rsidRDefault="00C23CEF" w:rsidP="00C23CEF">
      <w:pPr>
        <w:keepNext/>
        <w:spacing w:after="240"/>
        <w:jc w:val="center"/>
      </w:pPr>
      <w:r>
        <w:rPr>
          <w:noProof/>
        </w:rPr>
        <w:drawing>
          <wp:inline distT="0" distB="0" distL="0" distR="0" wp14:anchorId="68380738" wp14:editId="4879E791">
            <wp:extent cx="4090737" cy="3803206"/>
            <wp:effectExtent l="0" t="0" r="0" b="0"/>
            <wp:docPr id="1533961560" name="Picture 2"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10035" name="Picture 2" descr="A graph of a lin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52391" cy="3860527"/>
                    </a:xfrm>
                    <a:prstGeom prst="rect">
                      <a:avLst/>
                    </a:prstGeom>
                  </pic:spPr>
                </pic:pic>
              </a:graphicData>
            </a:graphic>
          </wp:inline>
        </w:drawing>
      </w:r>
    </w:p>
    <w:p w14:paraId="0BE4EBD5" w14:textId="77777777" w:rsidR="00C23CEF" w:rsidRPr="00C23CEF" w:rsidRDefault="00C23CEF" w:rsidP="00C23CEF">
      <w:pPr>
        <w:pStyle w:val="Caption"/>
        <w:jc w:val="center"/>
        <w:rPr>
          <w:rFonts w:asciiTheme="majorBidi" w:hAnsiTheme="majorBidi" w:cstheme="majorBidi"/>
          <w:color w:val="000000" w:themeColor="text1"/>
          <w:sz w:val="20"/>
          <w:szCs w:val="20"/>
        </w:rPr>
      </w:pPr>
      <w:r w:rsidRPr="00C23CEF">
        <w:rPr>
          <w:rFonts w:asciiTheme="majorBidi" w:hAnsiTheme="majorBidi" w:cstheme="majorBidi"/>
          <w:color w:val="000000" w:themeColor="text1"/>
          <w:sz w:val="20"/>
          <w:szCs w:val="20"/>
        </w:rPr>
        <w:t xml:space="preserve">Source </w:t>
      </w:r>
      <w:r w:rsidRPr="00C23CEF">
        <w:rPr>
          <w:rFonts w:asciiTheme="majorBidi" w:hAnsiTheme="majorBidi" w:cstheme="majorBidi"/>
          <w:color w:val="000000" w:themeColor="text1"/>
          <w:sz w:val="20"/>
          <w:szCs w:val="20"/>
        </w:rPr>
        <w:fldChar w:fldCharType="begin"/>
      </w:r>
      <w:r w:rsidRPr="00C23CEF">
        <w:rPr>
          <w:rFonts w:asciiTheme="majorBidi" w:hAnsiTheme="majorBidi" w:cstheme="majorBidi"/>
          <w:color w:val="000000" w:themeColor="text1"/>
          <w:sz w:val="20"/>
          <w:szCs w:val="20"/>
        </w:rPr>
        <w:instrText xml:space="preserve"> SEQ Source \* ARABIC </w:instrText>
      </w:r>
      <w:r w:rsidRPr="00C23CEF">
        <w:rPr>
          <w:rFonts w:asciiTheme="majorBidi" w:hAnsiTheme="majorBidi" w:cstheme="majorBidi"/>
          <w:color w:val="000000" w:themeColor="text1"/>
          <w:sz w:val="20"/>
          <w:szCs w:val="20"/>
        </w:rPr>
        <w:fldChar w:fldCharType="separate"/>
      </w:r>
      <w:r w:rsidRPr="00C23CEF">
        <w:rPr>
          <w:rFonts w:asciiTheme="majorBidi" w:hAnsiTheme="majorBidi" w:cstheme="majorBidi"/>
          <w:noProof/>
          <w:color w:val="000000" w:themeColor="text1"/>
          <w:sz w:val="20"/>
          <w:szCs w:val="20"/>
        </w:rPr>
        <w:t>1</w:t>
      </w:r>
      <w:r w:rsidRPr="00C23CEF">
        <w:rPr>
          <w:rFonts w:asciiTheme="majorBidi" w:hAnsiTheme="majorBidi" w:cstheme="majorBidi"/>
          <w:color w:val="000000" w:themeColor="text1"/>
          <w:sz w:val="20"/>
          <w:szCs w:val="20"/>
        </w:rPr>
        <w:fldChar w:fldCharType="end"/>
      </w:r>
      <w:r w:rsidRPr="00C23CEF">
        <w:rPr>
          <w:rFonts w:asciiTheme="majorBidi" w:hAnsiTheme="majorBidi" w:cstheme="majorBidi"/>
          <w:color w:val="000000" w:themeColor="text1"/>
          <w:sz w:val="20"/>
          <w:szCs w:val="20"/>
        </w:rPr>
        <w:t>: Statistical Office of the Slovak Republic (2025a)</w:t>
      </w:r>
    </w:p>
    <w:p w14:paraId="4F416D86" w14:textId="77777777" w:rsidR="00C23CEF" w:rsidRDefault="00C23CEF" w:rsidP="0090544F">
      <w:pPr>
        <w:rPr>
          <w:lang w:val="en-GB" w:eastAsia="en-US"/>
        </w:rPr>
      </w:pPr>
    </w:p>
    <w:p w14:paraId="07A5E267" w14:textId="77777777" w:rsidR="00C23CEF" w:rsidRDefault="00C23CEF" w:rsidP="0090544F">
      <w:pPr>
        <w:rPr>
          <w:lang w:val="en-GB" w:eastAsia="en-US"/>
        </w:rPr>
      </w:pPr>
    </w:p>
    <w:p w14:paraId="4F6CE196" w14:textId="77777777" w:rsidR="00C23CEF" w:rsidRPr="00C23CEF" w:rsidRDefault="00C23CEF" w:rsidP="00C23CEF">
      <w:pPr>
        <w:pStyle w:val="Caption"/>
        <w:keepNext/>
        <w:jc w:val="center"/>
        <w:rPr>
          <w:rFonts w:asciiTheme="majorBidi" w:hAnsiTheme="majorBidi" w:cstheme="majorBidi"/>
          <w:b/>
          <w:bCs/>
          <w:color w:val="000000" w:themeColor="text1"/>
          <w:sz w:val="24"/>
          <w:szCs w:val="24"/>
        </w:rPr>
      </w:pPr>
      <w:r w:rsidRPr="00C23CEF">
        <w:rPr>
          <w:rFonts w:asciiTheme="majorBidi" w:hAnsiTheme="majorBidi" w:cstheme="majorBidi"/>
          <w:b/>
          <w:bCs/>
          <w:color w:val="000000" w:themeColor="text1"/>
          <w:sz w:val="24"/>
          <w:szCs w:val="24"/>
        </w:rPr>
        <w:t xml:space="preserve">Graph </w:t>
      </w:r>
      <w:r w:rsidRPr="00C23CEF">
        <w:rPr>
          <w:rFonts w:asciiTheme="majorBidi" w:hAnsiTheme="majorBidi" w:cstheme="majorBidi"/>
          <w:b/>
          <w:bCs/>
          <w:color w:val="000000" w:themeColor="text1"/>
          <w:sz w:val="24"/>
          <w:szCs w:val="24"/>
        </w:rPr>
        <w:fldChar w:fldCharType="begin"/>
      </w:r>
      <w:r w:rsidRPr="00C23CEF">
        <w:rPr>
          <w:rFonts w:asciiTheme="majorBidi" w:hAnsiTheme="majorBidi" w:cstheme="majorBidi"/>
          <w:b/>
          <w:bCs/>
          <w:color w:val="000000" w:themeColor="text1"/>
          <w:sz w:val="24"/>
          <w:szCs w:val="24"/>
        </w:rPr>
        <w:instrText xml:space="preserve"> SEQ Graph \* ARABIC </w:instrText>
      </w:r>
      <w:r w:rsidRPr="00C23CEF">
        <w:rPr>
          <w:rFonts w:asciiTheme="majorBidi" w:hAnsiTheme="majorBidi" w:cstheme="majorBidi"/>
          <w:b/>
          <w:bCs/>
          <w:color w:val="000000" w:themeColor="text1"/>
          <w:sz w:val="24"/>
          <w:szCs w:val="24"/>
        </w:rPr>
        <w:fldChar w:fldCharType="separate"/>
      </w:r>
      <w:r w:rsidRPr="00C23CEF">
        <w:rPr>
          <w:rFonts w:asciiTheme="majorBidi" w:hAnsiTheme="majorBidi" w:cstheme="majorBidi"/>
          <w:b/>
          <w:bCs/>
          <w:noProof/>
          <w:color w:val="000000" w:themeColor="text1"/>
          <w:sz w:val="24"/>
          <w:szCs w:val="24"/>
        </w:rPr>
        <w:t>2</w:t>
      </w:r>
      <w:r w:rsidRPr="00C23CEF">
        <w:rPr>
          <w:rFonts w:asciiTheme="majorBidi" w:hAnsiTheme="majorBidi" w:cstheme="majorBidi"/>
          <w:b/>
          <w:bCs/>
          <w:color w:val="000000" w:themeColor="text1"/>
          <w:sz w:val="24"/>
          <w:szCs w:val="24"/>
        </w:rPr>
        <w:fldChar w:fldCharType="end"/>
      </w:r>
      <w:r w:rsidRPr="00C23CEF">
        <w:rPr>
          <w:rFonts w:asciiTheme="majorBidi" w:hAnsiTheme="majorBidi" w:cstheme="majorBidi"/>
          <w:b/>
          <w:bCs/>
          <w:color w:val="000000" w:themeColor="text1"/>
          <w:sz w:val="24"/>
          <w:szCs w:val="24"/>
        </w:rPr>
        <w:t xml:space="preserve">: Slovak Macroeconomic Performance </w:t>
      </w:r>
      <w:r w:rsidRPr="00C23CEF">
        <w:rPr>
          <w:rFonts w:asciiTheme="majorBidi" w:hAnsiTheme="majorBidi" w:cstheme="majorBidi"/>
          <w:b/>
          <w:bCs/>
          <w:noProof/>
          <w:color w:val="000000" w:themeColor="text1"/>
          <w:sz w:val="24"/>
          <w:szCs w:val="24"/>
        </w:rPr>
        <w:t>between 1993 and 2023</w:t>
      </w:r>
    </w:p>
    <w:p w14:paraId="1F170EA3" w14:textId="77777777" w:rsidR="00C23CEF" w:rsidRDefault="00C23CEF" w:rsidP="00C23CEF">
      <w:pPr>
        <w:keepNext/>
        <w:spacing w:after="240"/>
      </w:pPr>
      <w:r>
        <w:rPr>
          <w:noProof/>
        </w:rPr>
        <w:drawing>
          <wp:inline distT="0" distB="0" distL="0" distR="0" wp14:anchorId="5C41058C" wp14:editId="457EB2F6">
            <wp:extent cx="5727700" cy="2434590"/>
            <wp:effectExtent l="0" t="0" r="0" b="3810"/>
            <wp:docPr id="1788130053" name="Picture 3"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88851" name="Picture 3" descr="A graph of different colored lines&#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5727700" cy="2434590"/>
                    </a:xfrm>
                    <a:prstGeom prst="rect">
                      <a:avLst/>
                    </a:prstGeom>
                  </pic:spPr>
                </pic:pic>
              </a:graphicData>
            </a:graphic>
          </wp:inline>
        </w:drawing>
      </w:r>
    </w:p>
    <w:p w14:paraId="4D6C6139" w14:textId="52994035" w:rsidR="00C23CEF" w:rsidRPr="00C23CEF" w:rsidRDefault="00C23CEF" w:rsidP="00C23CEF">
      <w:pPr>
        <w:jc w:val="center"/>
        <w:rPr>
          <w:i/>
          <w:iCs/>
          <w:color w:val="000000" w:themeColor="text1"/>
          <w:sz w:val="28"/>
          <w:szCs w:val="28"/>
          <w:lang w:val="en-GB" w:eastAsia="en-US"/>
        </w:rPr>
      </w:pPr>
      <w:r w:rsidRPr="00C23CEF">
        <w:rPr>
          <w:i/>
          <w:iCs/>
          <w:color w:val="000000" w:themeColor="text1"/>
          <w:sz w:val="22"/>
          <w:szCs w:val="22"/>
        </w:rPr>
        <w:t xml:space="preserve">Source </w:t>
      </w:r>
      <w:r w:rsidRPr="00C23CEF">
        <w:rPr>
          <w:i/>
          <w:iCs/>
          <w:color w:val="000000" w:themeColor="text1"/>
          <w:sz w:val="22"/>
          <w:szCs w:val="22"/>
        </w:rPr>
        <w:fldChar w:fldCharType="begin"/>
      </w:r>
      <w:r w:rsidRPr="00C23CEF">
        <w:rPr>
          <w:i/>
          <w:iCs/>
          <w:color w:val="000000" w:themeColor="text1"/>
          <w:sz w:val="22"/>
          <w:szCs w:val="22"/>
        </w:rPr>
        <w:instrText xml:space="preserve"> SEQ Source \* ARABIC </w:instrText>
      </w:r>
      <w:r w:rsidRPr="00C23CEF">
        <w:rPr>
          <w:i/>
          <w:iCs/>
          <w:color w:val="000000" w:themeColor="text1"/>
          <w:sz w:val="22"/>
          <w:szCs w:val="22"/>
        </w:rPr>
        <w:fldChar w:fldCharType="separate"/>
      </w:r>
      <w:r w:rsidRPr="00C23CEF">
        <w:rPr>
          <w:i/>
          <w:iCs/>
          <w:noProof/>
          <w:color w:val="000000" w:themeColor="text1"/>
          <w:sz w:val="22"/>
          <w:szCs w:val="22"/>
        </w:rPr>
        <w:t>2</w:t>
      </w:r>
      <w:r w:rsidRPr="00C23CEF">
        <w:rPr>
          <w:i/>
          <w:iCs/>
          <w:color w:val="000000" w:themeColor="text1"/>
          <w:sz w:val="22"/>
          <w:szCs w:val="22"/>
        </w:rPr>
        <w:fldChar w:fldCharType="end"/>
      </w:r>
      <w:r w:rsidRPr="00C23CEF">
        <w:rPr>
          <w:i/>
          <w:iCs/>
          <w:color w:val="000000" w:themeColor="text1"/>
          <w:sz w:val="22"/>
          <w:szCs w:val="22"/>
        </w:rPr>
        <w:t>: Ibrahim &amp; Ozturk Ofluoglu (2025)</w:t>
      </w:r>
    </w:p>
    <w:p w14:paraId="496C00F0" w14:textId="77777777" w:rsidR="00C23CEF" w:rsidRDefault="00C23CEF" w:rsidP="0090544F">
      <w:pPr>
        <w:rPr>
          <w:lang w:val="en-GB" w:eastAsia="en-US"/>
        </w:rPr>
      </w:pPr>
    </w:p>
    <w:p w14:paraId="71FA5258" w14:textId="77777777" w:rsidR="00C23CEF" w:rsidRDefault="00C23CEF" w:rsidP="0090544F">
      <w:pPr>
        <w:rPr>
          <w:lang w:val="en-GB" w:eastAsia="en-US"/>
        </w:rPr>
      </w:pPr>
    </w:p>
    <w:p w14:paraId="5646F9CA" w14:textId="77777777" w:rsidR="00C23CEF" w:rsidRDefault="00C23CEF" w:rsidP="0090544F">
      <w:pPr>
        <w:rPr>
          <w:lang w:val="en-GB" w:eastAsia="en-US"/>
        </w:rPr>
      </w:pPr>
    </w:p>
    <w:p w14:paraId="4C4C9058" w14:textId="77777777" w:rsidR="00C23CEF" w:rsidRDefault="00C23CEF" w:rsidP="0090544F">
      <w:pPr>
        <w:rPr>
          <w:lang w:val="en-GB" w:eastAsia="en-US"/>
        </w:rPr>
      </w:pPr>
    </w:p>
    <w:p w14:paraId="46F2AD0F" w14:textId="77777777" w:rsidR="00C23CEF" w:rsidRPr="00C23CEF" w:rsidRDefault="00C23CEF" w:rsidP="00C23CEF">
      <w:pPr>
        <w:pStyle w:val="Caption"/>
        <w:keepNext/>
        <w:jc w:val="center"/>
        <w:rPr>
          <w:rFonts w:asciiTheme="majorBidi" w:hAnsiTheme="majorBidi" w:cstheme="majorBidi"/>
          <w:b/>
          <w:bCs/>
          <w:color w:val="000000" w:themeColor="text1"/>
          <w:sz w:val="24"/>
          <w:szCs w:val="24"/>
        </w:rPr>
      </w:pPr>
      <w:r w:rsidRPr="00C23CEF">
        <w:rPr>
          <w:rFonts w:asciiTheme="majorBidi" w:hAnsiTheme="majorBidi" w:cstheme="majorBidi"/>
          <w:b/>
          <w:bCs/>
          <w:color w:val="000000" w:themeColor="text1"/>
          <w:sz w:val="24"/>
          <w:szCs w:val="24"/>
        </w:rPr>
        <w:t xml:space="preserve">Graph </w:t>
      </w:r>
      <w:r w:rsidRPr="00C23CEF">
        <w:rPr>
          <w:rFonts w:asciiTheme="majorBidi" w:hAnsiTheme="majorBidi" w:cstheme="majorBidi"/>
          <w:b/>
          <w:bCs/>
          <w:color w:val="000000" w:themeColor="text1"/>
          <w:sz w:val="24"/>
          <w:szCs w:val="24"/>
        </w:rPr>
        <w:fldChar w:fldCharType="begin"/>
      </w:r>
      <w:r w:rsidRPr="00C23CEF">
        <w:rPr>
          <w:rFonts w:asciiTheme="majorBidi" w:hAnsiTheme="majorBidi" w:cstheme="majorBidi"/>
          <w:b/>
          <w:bCs/>
          <w:color w:val="000000" w:themeColor="text1"/>
          <w:sz w:val="24"/>
          <w:szCs w:val="24"/>
        </w:rPr>
        <w:instrText xml:space="preserve"> SEQ Graph \* ARABIC </w:instrText>
      </w:r>
      <w:r w:rsidRPr="00C23CEF">
        <w:rPr>
          <w:rFonts w:asciiTheme="majorBidi" w:hAnsiTheme="majorBidi" w:cstheme="majorBidi"/>
          <w:b/>
          <w:bCs/>
          <w:color w:val="000000" w:themeColor="text1"/>
          <w:sz w:val="24"/>
          <w:szCs w:val="24"/>
        </w:rPr>
        <w:fldChar w:fldCharType="separate"/>
      </w:r>
      <w:r w:rsidRPr="00C23CEF">
        <w:rPr>
          <w:rFonts w:asciiTheme="majorBidi" w:hAnsiTheme="majorBidi" w:cstheme="majorBidi"/>
          <w:b/>
          <w:bCs/>
          <w:noProof/>
          <w:color w:val="000000" w:themeColor="text1"/>
          <w:sz w:val="24"/>
          <w:szCs w:val="24"/>
        </w:rPr>
        <w:t>3</w:t>
      </w:r>
      <w:r w:rsidRPr="00C23CEF">
        <w:rPr>
          <w:rFonts w:asciiTheme="majorBidi" w:hAnsiTheme="majorBidi" w:cstheme="majorBidi"/>
          <w:b/>
          <w:bCs/>
          <w:color w:val="000000" w:themeColor="text1"/>
          <w:sz w:val="24"/>
          <w:szCs w:val="24"/>
        </w:rPr>
        <w:fldChar w:fldCharType="end"/>
      </w:r>
      <w:r w:rsidRPr="00C23CEF">
        <w:rPr>
          <w:rFonts w:asciiTheme="majorBidi" w:hAnsiTheme="majorBidi" w:cstheme="majorBidi"/>
          <w:b/>
          <w:bCs/>
          <w:color w:val="000000" w:themeColor="text1"/>
          <w:sz w:val="24"/>
          <w:szCs w:val="24"/>
        </w:rPr>
        <w:t>: Visitors in tourism accommodation facilities 2017-2022</w:t>
      </w:r>
    </w:p>
    <w:p w14:paraId="66E5EDA4" w14:textId="77777777" w:rsidR="00C23CEF" w:rsidRDefault="00C23CEF" w:rsidP="00C23CEF">
      <w:pPr>
        <w:keepNext/>
        <w:spacing w:after="240"/>
        <w:jc w:val="center"/>
      </w:pPr>
      <w:r>
        <w:rPr>
          <w:noProof/>
          <w14:ligatures w14:val="standardContextual"/>
        </w:rPr>
        <w:drawing>
          <wp:inline distT="0" distB="0" distL="0" distR="0" wp14:anchorId="6668C5C1" wp14:editId="5C775A79">
            <wp:extent cx="5791200" cy="3513242"/>
            <wp:effectExtent l="0" t="0" r="0" b="5080"/>
            <wp:docPr id="1652283880" name="Picture 3" descr="A graph of a number of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63869" name="Picture 3" descr="A graph of a number of peopl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897900" cy="3577972"/>
                    </a:xfrm>
                    <a:prstGeom prst="rect">
                      <a:avLst/>
                    </a:prstGeom>
                  </pic:spPr>
                </pic:pic>
              </a:graphicData>
            </a:graphic>
          </wp:inline>
        </w:drawing>
      </w:r>
    </w:p>
    <w:p w14:paraId="1DDA9A93" w14:textId="77777777" w:rsidR="00C23CEF" w:rsidRPr="00C23CEF" w:rsidRDefault="00C23CEF" w:rsidP="00C23CEF">
      <w:pPr>
        <w:pStyle w:val="Caption"/>
        <w:jc w:val="center"/>
        <w:rPr>
          <w:rFonts w:asciiTheme="majorBidi" w:hAnsiTheme="majorBidi" w:cstheme="majorBidi"/>
          <w:color w:val="000000" w:themeColor="text1"/>
          <w:sz w:val="22"/>
          <w:szCs w:val="22"/>
        </w:rPr>
      </w:pPr>
      <w:r w:rsidRPr="00C23CEF">
        <w:rPr>
          <w:rFonts w:asciiTheme="majorBidi" w:hAnsiTheme="majorBidi" w:cstheme="majorBidi"/>
          <w:color w:val="000000" w:themeColor="text1"/>
          <w:sz w:val="22"/>
          <w:szCs w:val="22"/>
        </w:rPr>
        <w:t xml:space="preserve">Source </w:t>
      </w:r>
      <w:r w:rsidRPr="00C23CEF">
        <w:rPr>
          <w:rFonts w:asciiTheme="majorBidi" w:hAnsiTheme="majorBidi" w:cstheme="majorBidi"/>
          <w:color w:val="000000" w:themeColor="text1"/>
          <w:sz w:val="22"/>
          <w:szCs w:val="22"/>
        </w:rPr>
        <w:fldChar w:fldCharType="begin"/>
      </w:r>
      <w:r w:rsidRPr="00C23CEF">
        <w:rPr>
          <w:rFonts w:asciiTheme="majorBidi" w:hAnsiTheme="majorBidi" w:cstheme="majorBidi"/>
          <w:color w:val="000000" w:themeColor="text1"/>
          <w:sz w:val="22"/>
          <w:szCs w:val="22"/>
        </w:rPr>
        <w:instrText xml:space="preserve"> SEQ Source \* ARABIC </w:instrText>
      </w:r>
      <w:r w:rsidRPr="00C23CEF">
        <w:rPr>
          <w:rFonts w:asciiTheme="majorBidi" w:hAnsiTheme="majorBidi" w:cstheme="majorBidi"/>
          <w:color w:val="000000" w:themeColor="text1"/>
          <w:sz w:val="22"/>
          <w:szCs w:val="22"/>
        </w:rPr>
        <w:fldChar w:fldCharType="separate"/>
      </w:r>
      <w:r w:rsidRPr="00C23CEF">
        <w:rPr>
          <w:rFonts w:asciiTheme="majorBidi" w:hAnsiTheme="majorBidi" w:cstheme="majorBidi"/>
          <w:noProof/>
          <w:color w:val="000000" w:themeColor="text1"/>
          <w:sz w:val="22"/>
          <w:szCs w:val="22"/>
        </w:rPr>
        <w:t>4</w:t>
      </w:r>
      <w:r w:rsidRPr="00C23CEF">
        <w:rPr>
          <w:rFonts w:asciiTheme="majorBidi" w:hAnsiTheme="majorBidi" w:cstheme="majorBidi"/>
          <w:color w:val="000000" w:themeColor="text1"/>
          <w:sz w:val="22"/>
          <w:szCs w:val="22"/>
        </w:rPr>
        <w:fldChar w:fldCharType="end"/>
      </w:r>
      <w:r w:rsidRPr="00C23CEF">
        <w:rPr>
          <w:rFonts w:asciiTheme="majorBidi" w:hAnsiTheme="majorBidi" w:cstheme="majorBidi"/>
          <w:color w:val="000000" w:themeColor="text1"/>
          <w:sz w:val="22"/>
          <w:szCs w:val="22"/>
        </w:rPr>
        <w:t xml:space="preserve">: </w:t>
      </w:r>
      <w:proofErr w:type="spellStart"/>
      <w:r w:rsidRPr="00C23CEF">
        <w:rPr>
          <w:rFonts w:asciiTheme="majorBidi" w:hAnsiTheme="majorBidi" w:cstheme="majorBidi"/>
          <w:color w:val="000000" w:themeColor="text1"/>
          <w:sz w:val="22"/>
          <w:szCs w:val="22"/>
        </w:rPr>
        <w:t>Petrikovičová</w:t>
      </w:r>
      <w:proofErr w:type="spellEnd"/>
      <w:r w:rsidRPr="00C23CEF">
        <w:rPr>
          <w:rFonts w:asciiTheme="majorBidi" w:hAnsiTheme="majorBidi" w:cstheme="majorBidi"/>
          <w:color w:val="000000" w:themeColor="text1"/>
          <w:sz w:val="22"/>
          <w:szCs w:val="22"/>
        </w:rPr>
        <w:t xml:space="preserve"> et al. (2023)</w:t>
      </w:r>
    </w:p>
    <w:p w14:paraId="7C3D5B31" w14:textId="77777777" w:rsidR="00C23CEF" w:rsidRDefault="00C23CEF" w:rsidP="0090544F">
      <w:pPr>
        <w:rPr>
          <w:lang w:val="en-GB" w:eastAsia="en-US"/>
        </w:rPr>
      </w:pPr>
    </w:p>
    <w:p w14:paraId="31A6F5CD" w14:textId="77777777" w:rsidR="00C23CEF" w:rsidRPr="00C23CEF" w:rsidRDefault="00C23CEF" w:rsidP="00C23CEF">
      <w:pPr>
        <w:pStyle w:val="Caption"/>
        <w:keepNext/>
        <w:jc w:val="center"/>
        <w:rPr>
          <w:rFonts w:asciiTheme="majorBidi" w:hAnsiTheme="majorBidi" w:cstheme="majorBidi"/>
          <w:b/>
          <w:bCs/>
          <w:color w:val="000000" w:themeColor="text1"/>
          <w:sz w:val="24"/>
          <w:szCs w:val="24"/>
        </w:rPr>
      </w:pPr>
      <w:r w:rsidRPr="00C23CEF">
        <w:rPr>
          <w:rFonts w:asciiTheme="majorBidi" w:hAnsiTheme="majorBidi" w:cstheme="majorBidi"/>
          <w:b/>
          <w:bCs/>
          <w:color w:val="000000" w:themeColor="text1"/>
          <w:sz w:val="24"/>
          <w:szCs w:val="24"/>
        </w:rPr>
        <w:lastRenderedPageBreak/>
        <w:t xml:space="preserve">Graph </w:t>
      </w:r>
      <w:r w:rsidRPr="00C23CEF">
        <w:rPr>
          <w:rFonts w:asciiTheme="majorBidi" w:hAnsiTheme="majorBidi" w:cstheme="majorBidi"/>
          <w:b/>
          <w:bCs/>
          <w:color w:val="000000" w:themeColor="text1"/>
          <w:sz w:val="24"/>
          <w:szCs w:val="24"/>
        </w:rPr>
        <w:fldChar w:fldCharType="begin"/>
      </w:r>
      <w:r w:rsidRPr="00C23CEF">
        <w:rPr>
          <w:rFonts w:asciiTheme="majorBidi" w:hAnsiTheme="majorBidi" w:cstheme="majorBidi"/>
          <w:b/>
          <w:bCs/>
          <w:color w:val="000000" w:themeColor="text1"/>
          <w:sz w:val="24"/>
          <w:szCs w:val="24"/>
        </w:rPr>
        <w:instrText xml:space="preserve"> SEQ Graph \* ARABIC </w:instrText>
      </w:r>
      <w:r w:rsidRPr="00C23CEF">
        <w:rPr>
          <w:rFonts w:asciiTheme="majorBidi" w:hAnsiTheme="majorBidi" w:cstheme="majorBidi"/>
          <w:b/>
          <w:bCs/>
          <w:color w:val="000000" w:themeColor="text1"/>
          <w:sz w:val="24"/>
          <w:szCs w:val="24"/>
        </w:rPr>
        <w:fldChar w:fldCharType="separate"/>
      </w:r>
      <w:r w:rsidRPr="00C23CEF">
        <w:rPr>
          <w:rFonts w:asciiTheme="majorBidi" w:hAnsiTheme="majorBidi" w:cstheme="majorBidi"/>
          <w:b/>
          <w:bCs/>
          <w:noProof/>
          <w:color w:val="000000" w:themeColor="text1"/>
          <w:sz w:val="24"/>
          <w:szCs w:val="24"/>
        </w:rPr>
        <w:t>4</w:t>
      </w:r>
      <w:r w:rsidRPr="00C23CEF">
        <w:rPr>
          <w:rFonts w:asciiTheme="majorBidi" w:hAnsiTheme="majorBidi" w:cstheme="majorBidi"/>
          <w:b/>
          <w:bCs/>
          <w:color w:val="000000" w:themeColor="text1"/>
          <w:sz w:val="24"/>
          <w:szCs w:val="24"/>
        </w:rPr>
        <w:fldChar w:fldCharType="end"/>
      </w:r>
      <w:r w:rsidRPr="00C23CEF">
        <w:rPr>
          <w:rFonts w:asciiTheme="majorBidi" w:hAnsiTheme="majorBidi" w:cstheme="majorBidi"/>
          <w:b/>
          <w:bCs/>
          <w:color w:val="000000" w:themeColor="text1"/>
          <w:sz w:val="24"/>
          <w:szCs w:val="24"/>
        </w:rPr>
        <w:t>: Nominal input of tourism</w:t>
      </w:r>
    </w:p>
    <w:p w14:paraId="6D308B25" w14:textId="77777777" w:rsidR="00C23CEF" w:rsidRDefault="00C23CEF" w:rsidP="00C23CEF">
      <w:pPr>
        <w:keepNext/>
        <w:spacing w:after="240"/>
      </w:pPr>
      <w:r>
        <w:rPr>
          <w:noProof/>
          <w:lang w:val="en-GB" w:eastAsia="en-US"/>
          <w14:ligatures w14:val="standardContextual"/>
        </w:rPr>
        <w:drawing>
          <wp:inline distT="0" distB="0" distL="0" distR="0" wp14:anchorId="74286CDD" wp14:editId="4DE54429">
            <wp:extent cx="5727700" cy="3700145"/>
            <wp:effectExtent l="0" t="0" r="0" b="0"/>
            <wp:docPr id="1336892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82478" name="Picture 310282478"/>
                    <pic:cNvPicPr/>
                  </pic:nvPicPr>
                  <pic:blipFill>
                    <a:blip r:embed="rId17">
                      <a:extLst>
                        <a:ext uri="{28A0092B-C50C-407E-A947-70E740481C1C}">
                          <a14:useLocalDpi xmlns:a14="http://schemas.microsoft.com/office/drawing/2010/main" val="0"/>
                        </a:ext>
                      </a:extLst>
                    </a:blip>
                    <a:stretch>
                      <a:fillRect/>
                    </a:stretch>
                  </pic:blipFill>
                  <pic:spPr>
                    <a:xfrm>
                      <a:off x="0" y="0"/>
                      <a:ext cx="5727700" cy="3700145"/>
                    </a:xfrm>
                    <a:prstGeom prst="rect">
                      <a:avLst/>
                    </a:prstGeom>
                  </pic:spPr>
                </pic:pic>
              </a:graphicData>
            </a:graphic>
          </wp:inline>
        </w:drawing>
      </w:r>
    </w:p>
    <w:p w14:paraId="7A56EF54" w14:textId="77777777" w:rsidR="00C23CEF" w:rsidRPr="00C23CEF" w:rsidRDefault="00C23CEF" w:rsidP="00C23CEF">
      <w:pPr>
        <w:pStyle w:val="Caption"/>
        <w:jc w:val="center"/>
        <w:rPr>
          <w:rFonts w:asciiTheme="majorBidi" w:hAnsiTheme="majorBidi" w:cstheme="majorBidi"/>
          <w:color w:val="000000" w:themeColor="text1"/>
          <w:sz w:val="22"/>
          <w:szCs w:val="22"/>
        </w:rPr>
      </w:pPr>
      <w:r w:rsidRPr="00C23CEF">
        <w:rPr>
          <w:rFonts w:asciiTheme="majorBidi" w:hAnsiTheme="majorBidi" w:cstheme="majorBidi"/>
          <w:color w:val="000000" w:themeColor="text1"/>
          <w:sz w:val="22"/>
          <w:szCs w:val="22"/>
        </w:rPr>
        <w:t xml:space="preserve">Source </w:t>
      </w:r>
      <w:r w:rsidRPr="00C23CEF">
        <w:rPr>
          <w:rFonts w:asciiTheme="majorBidi" w:hAnsiTheme="majorBidi" w:cstheme="majorBidi"/>
          <w:color w:val="000000" w:themeColor="text1"/>
          <w:sz w:val="22"/>
          <w:szCs w:val="22"/>
        </w:rPr>
        <w:fldChar w:fldCharType="begin"/>
      </w:r>
      <w:r w:rsidRPr="00C23CEF">
        <w:rPr>
          <w:rFonts w:asciiTheme="majorBidi" w:hAnsiTheme="majorBidi" w:cstheme="majorBidi"/>
          <w:color w:val="000000" w:themeColor="text1"/>
          <w:sz w:val="22"/>
          <w:szCs w:val="22"/>
        </w:rPr>
        <w:instrText xml:space="preserve"> SEQ Source \* ARABIC </w:instrText>
      </w:r>
      <w:r w:rsidRPr="00C23CEF">
        <w:rPr>
          <w:rFonts w:asciiTheme="majorBidi" w:hAnsiTheme="majorBidi" w:cstheme="majorBidi"/>
          <w:color w:val="000000" w:themeColor="text1"/>
          <w:sz w:val="22"/>
          <w:szCs w:val="22"/>
        </w:rPr>
        <w:fldChar w:fldCharType="separate"/>
      </w:r>
      <w:r w:rsidRPr="00C23CEF">
        <w:rPr>
          <w:rFonts w:asciiTheme="majorBidi" w:hAnsiTheme="majorBidi" w:cstheme="majorBidi"/>
          <w:noProof/>
          <w:color w:val="000000" w:themeColor="text1"/>
          <w:sz w:val="22"/>
          <w:szCs w:val="22"/>
        </w:rPr>
        <w:t>5</w:t>
      </w:r>
      <w:r w:rsidRPr="00C23CEF">
        <w:rPr>
          <w:rFonts w:asciiTheme="majorBidi" w:hAnsiTheme="majorBidi" w:cstheme="majorBidi"/>
          <w:color w:val="000000" w:themeColor="text1"/>
          <w:sz w:val="22"/>
          <w:szCs w:val="22"/>
        </w:rPr>
        <w:fldChar w:fldCharType="end"/>
      </w:r>
      <w:r w:rsidRPr="00C23CEF">
        <w:rPr>
          <w:rFonts w:asciiTheme="majorBidi" w:hAnsiTheme="majorBidi" w:cstheme="majorBidi"/>
          <w:color w:val="000000" w:themeColor="text1"/>
          <w:sz w:val="22"/>
          <w:szCs w:val="22"/>
        </w:rPr>
        <w:t>: Statistical office of the Slovak Republic (2025b)</w:t>
      </w:r>
    </w:p>
    <w:p w14:paraId="0A756AC3" w14:textId="77777777" w:rsidR="00C23CEF" w:rsidRDefault="00C23CEF" w:rsidP="0090544F">
      <w:pPr>
        <w:rPr>
          <w:lang w:val="en-GB" w:eastAsia="en-US"/>
        </w:rPr>
      </w:pPr>
    </w:p>
    <w:p w14:paraId="497DDCFD" w14:textId="699B7920" w:rsidR="00B24320" w:rsidRPr="00B24320" w:rsidRDefault="00B24320" w:rsidP="00B24320">
      <w:pPr>
        <w:pStyle w:val="Caption"/>
        <w:keepNext/>
        <w:jc w:val="center"/>
        <w:rPr>
          <w:rFonts w:asciiTheme="majorBidi" w:hAnsiTheme="majorBidi" w:cstheme="majorBidi"/>
          <w:b/>
          <w:bCs/>
          <w:color w:val="000000" w:themeColor="text1"/>
          <w:sz w:val="24"/>
          <w:szCs w:val="24"/>
        </w:rPr>
      </w:pPr>
      <w:r w:rsidRPr="00B24320">
        <w:rPr>
          <w:rFonts w:asciiTheme="majorBidi" w:hAnsiTheme="majorBidi" w:cstheme="majorBidi"/>
          <w:b/>
          <w:bCs/>
          <w:color w:val="000000" w:themeColor="text1"/>
          <w:sz w:val="24"/>
          <w:szCs w:val="24"/>
        </w:rPr>
        <w:t xml:space="preserve">Graph </w:t>
      </w:r>
      <w:r w:rsidRPr="00B24320">
        <w:rPr>
          <w:rFonts w:asciiTheme="majorBidi" w:hAnsiTheme="majorBidi" w:cstheme="majorBidi"/>
          <w:b/>
          <w:bCs/>
          <w:color w:val="000000" w:themeColor="text1"/>
          <w:sz w:val="24"/>
          <w:szCs w:val="24"/>
        </w:rPr>
        <w:fldChar w:fldCharType="begin"/>
      </w:r>
      <w:r w:rsidRPr="00B24320">
        <w:rPr>
          <w:rFonts w:asciiTheme="majorBidi" w:hAnsiTheme="majorBidi" w:cstheme="majorBidi"/>
          <w:b/>
          <w:bCs/>
          <w:color w:val="000000" w:themeColor="text1"/>
          <w:sz w:val="24"/>
          <w:szCs w:val="24"/>
        </w:rPr>
        <w:instrText xml:space="preserve"> SEQ Graph \* ARABIC </w:instrText>
      </w:r>
      <w:r w:rsidRPr="00B24320">
        <w:rPr>
          <w:rFonts w:asciiTheme="majorBidi" w:hAnsiTheme="majorBidi" w:cstheme="majorBidi"/>
          <w:b/>
          <w:bCs/>
          <w:color w:val="000000" w:themeColor="text1"/>
          <w:sz w:val="24"/>
          <w:szCs w:val="24"/>
        </w:rPr>
        <w:fldChar w:fldCharType="separate"/>
      </w:r>
      <w:r>
        <w:rPr>
          <w:rFonts w:asciiTheme="majorBidi" w:hAnsiTheme="majorBidi" w:cstheme="majorBidi"/>
          <w:b/>
          <w:bCs/>
          <w:noProof/>
          <w:color w:val="000000" w:themeColor="text1"/>
          <w:sz w:val="24"/>
          <w:szCs w:val="24"/>
        </w:rPr>
        <w:t>5</w:t>
      </w:r>
      <w:r w:rsidRPr="00B24320">
        <w:rPr>
          <w:rFonts w:asciiTheme="majorBidi" w:hAnsiTheme="majorBidi" w:cstheme="majorBidi"/>
          <w:b/>
          <w:bCs/>
          <w:color w:val="000000" w:themeColor="text1"/>
          <w:sz w:val="24"/>
          <w:szCs w:val="24"/>
        </w:rPr>
        <w:fldChar w:fldCharType="end"/>
      </w:r>
      <w:r w:rsidRPr="00B24320">
        <w:rPr>
          <w:rFonts w:asciiTheme="majorBidi" w:hAnsiTheme="majorBidi" w:cstheme="majorBidi"/>
          <w:b/>
          <w:bCs/>
          <w:color w:val="000000" w:themeColor="text1"/>
          <w:sz w:val="24"/>
          <w:szCs w:val="24"/>
        </w:rPr>
        <w:t>: Spi</w:t>
      </w:r>
      <w:r>
        <w:rPr>
          <w:rFonts w:asciiTheme="majorBidi" w:hAnsiTheme="majorBidi" w:cstheme="majorBidi"/>
          <w:b/>
          <w:bCs/>
          <w:color w:val="000000" w:themeColor="text1"/>
          <w:sz w:val="24"/>
          <w:szCs w:val="24"/>
        </w:rPr>
        <w:t>l</w:t>
      </w:r>
      <w:r w:rsidRPr="00B24320">
        <w:rPr>
          <w:rFonts w:asciiTheme="majorBidi" w:hAnsiTheme="majorBidi" w:cstheme="majorBidi"/>
          <w:b/>
          <w:bCs/>
          <w:color w:val="000000" w:themeColor="text1"/>
          <w:sz w:val="24"/>
          <w:szCs w:val="24"/>
        </w:rPr>
        <w:t xml:space="preserve">lover beneficiaries EU </w:t>
      </w:r>
      <w:proofErr w:type="spellStart"/>
      <w:r w:rsidRPr="00B24320">
        <w:rPr>
          <w:rFonts w:asciiTheme="majorBidi" w:hAnsiTheme="majorBidi" w:cstheme="majorBidi"/>
          <w:b/>
          <w:bCs/>
          <w:color w:val="000000" w:themeColor="text1"/>
          <w:sz w:val="24"/>
          <w:szCs w:val="24"/>
        </w:rPr>
        <w:t>comparision</w:t>
      </w:r>
      <w:proofErr w:type="spellEnd"/>
    </w:p>
    <w:p w14:paraId="7C93A6C1" w14:textId="77777777" w:rsidR="00B24320" w:rsidRPr="00B24320" w:rsidRDefault="00B24320" w:rsidP="00B24320">
      <w:pPr>
        <w:keepNext/>
        <w:spacing w:after="240"/>
        <w:jc w:val="center"/>
        <w:rPr>
          <w:rFonts w:asciiTheme="majorBidi" w:hAnsiTheme="majorBidi" w:cstheme="majorBidi"/>
          <w:sz w:val="32"/>
          <w:szCs w:val="32"/>
        </w:rPr>
      </w:pPr>
      <w:r w:rsidRPr="00B24320">
        <w:rPr>
          <w:rFonts w:asciiTheme="majorBidi" w:eastAsiaTheme="minorHAnsi" w:hAnsiTheme="majorBidi" w:cstheme="majorBidi"/>
          <w:i/>
          <w:iCs/>
          <w:noProof/>
          <w:color w:val="0E2841" w:themeColor="text2"/>
          <w:kern w:val="2"/>
          <w:lang w:val="en-GB" w:eastAsia="en-US"/>
          <w14:ligatures w14:val="standardContextual"/>
        </w:rPr>
        <w:drawing>
          <wp:inline distT="0" distB="0" distL="0" distR="0" wp14:anchorId="724FED76" wp14:editId="7F55AE11">
            <wp:extent cx="5727700" cy="2922905"/>
            <wp:effectExtent l="0" t="0" r="0" b="0"/>
            <wp:docPr id="644012754" name="Picture 9" descr="A graph of different countries/reg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251707" name="Picture 9" descr="A graph of different countries/regions&#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27700" cy="2922905"/>
                    </a:xfrm>
                    <a:prstGeom prst="rect">
                      <a:avLst/>
                    </a:prstGeom>
                  </pic:spPr>
                </pic:pic>
              </a:graphicData>
            </a:graphic>
          </wp:inline>
        </w:drawing>
      </w:r>
    </w:p>
    <w:p w14:paraId="477139F1" w14:textId="77777777" w:rsidR="00B24320" w:rsidRDefault="00B24320" w:rsidP="00B24320">
      <w:pPr>
        <w:pStyle w:val="Caption"/>
        <w:jc w:val="center"/>
        <w:rPr>
          <w:rFonts w:asciiTheme="majorBidi" w:hAnsiTheme="majorBidi" w:cstheme="majorBidi"/>
          <w:color w:val="000000" w:themeColor="text1"/>
          <w:sz w:val="22"/>
          <w:szCs w:val="22"/>
        </w:rPr>
      </w:pPr>
      <w:r w:rsidRPr="00B24320">
        <w:rPr>
          <w:rFonts w:asciiTheme="majorBidi" w:hAnsiTheme="majorBidi" w:cstheme="majorBidi"/>
          <w:color w:val="000000" w:themeColor="text1"/>
          <w:sz w:val="22"/>
          <w:szCs w:val="22"/>
        </w:rPr>
        <w:t xml:space="preserve">Source </w:t>
      </w:r>
      <w:r w:rsidRPr="00B24320">
        <w:rPr>
          <w:rFonts w:asciiTheme="majorBidi" w:hAnsiTheme="majorBidi" w:cstheme="majorBidi"/>
          <w:color w:val="000000" w:themeColor="text1"/>
          <w:sz w:val="22"/>
          <w:szCs w:val="22"/>
        </w:rPr>
        <w:fldChar w:fldCharType="begin"/>
      </w:r>
      <w:r w:rsidRPr="00B24320">
        <w:rPr>
          <w:rFonts w:asciiTheme="majorBidi" w:hAnsiTheme="majorBidi" w:cstheme="majorBidi"/>
          <w:color w:val="000000" w:themeColor="text1"/>
          <w:sz w:val="22"/>
          <w:szCs w:val="22"/>
        </w:rPr>
        <w:instrText xml:space="preserve"> SEQ Source \* ARABIC </w:instrText>
      </w:r>
      <w:r w:rsidRPr="00B24320">
        <w:rPr>
          <w:rFonts w:asciiTheme="majorBidi" w:hAnsiTheme="majorBidi" w:cstheme="majorBidi"/>
          <w:color w:val="000000" w:themeColor="text1"/>
          <w:sz w:val="22"/>
          <w:szCs w:val="22"/>
        </w:rPr>
        <w:fldChar w:fldCharType="separate"/>
      </w:r>
      <w:r w:rsidRPr="00B24320">
        <w:rPr>
          <w:rFonts w:asciiTheme="majorBidi" w:hAnsiTheme="majorBidi" w:cstheme="majorBidi"/>
          <w:noProof/>
          <w:color w:val="000000" w:themeColor="text1"/>
          <w:sz w:val="22"/>
          <w:szCs w:val="22"/>
        </w:rPr>
        <w:t>6</w:t>
      </w:r>
      <w:r w:rsidRPr="00B24320">
        <w:rPr>
          <w:rFonts w:asciiTheme="majorBidi" w:hAnsiTheme="majorBidi" w:cstheme="majorBidi"/>
          <w:color w:val="000000" w:themeColor="text1"/>
          <w:sz w:val="22"/>
          <w:szCs w:val="22"/>
        </w:rPr>
        <w:fldChar w:fldCharType="end"/>
      </w:r>
      <w:r w:rsidRPr="00B24320">
        <w:rPr>
          <w:rFonts w:asciiTheme="majorBidi" w:hAnsiTheme="majorBidi" w:cstheme="majorBidi"/>
          <w:color w:val="000000" w:themeColor="text1"/>
          <w:sz w:val="22"/>
          <w:szCs w:val="22"/>
        </w:rPr>
        <w:t>: European Commission (2025)</w:t>
      </w:r>
    </w:p>
    <w:p w14:paraId="064405A6" w14:textId="77777777" w:rsidR="00B24320" w:rsidRDefault="00B24320" w:rsidP="00B24320">
      <w:pPr>
        <w:rPr>
          <w:lang w:val="en-GB" w:eastAsia="en-US"/>
        </w:rPr>
      </w:pPr>
    </w:p>
    <w:p w14:paraId="5DC8A7E5" w14:textId="6BA149C4" w:rsidR="00B24320" w:rsidRPr="00B24320" w:rsidRDefault="00B24320" w:rsidP="00B24320">
      <w:pPr>
        <w:spacing w:after="240"/>
        <w:jc w:val="center"/>
        <w:rPr>
          <w:i/>
          <w:iCs/>
          <w:lang w:val="sk-SK" w:eastAsia="en-US"/>
        </w:rPr>
      </w:pPr>
      <w:r w:rsidRPr="00B24320">
        <w:rPr>
          <w:rFonts w:asciiTheme="majorBidi" w:hAnsiTheme="majorBidi" w:cstheme="majorBidi"/>
          <w:b/>
          <w:bCs/>
          <w:i/>
          <w:iCs/>
          <w:color w:val="000000" w:themeColor="text1"/>
        </w:rPr>
        <w:t xml:space="preserve">Graph </w:t>
      </w:r>
      <w:r w:rsidRPr="00B24320">
        <w:rPr>
          <w:rFonts w:asciiTheme="majorBidi" w:hAnsiTheme="majorBidi" w:cstheme="majorBidi"/>
          <w:b/>
          <w:bCs/>
          <w:i/>
          <w:iCs/>
          <w:color w:val="000000" w:themeColor="text1"/>
        </w:rPr>
        <w:fldChar w:fldCharType="begin"/>
      </w:r>
      <w:r w:rsidRPr="00B24320">
        <w:rPr>
          <w:rFonts w:asciiTheme="majorBidi" w:hAnsiTheme="majorBidi" w:cstheme="majorBidi"/>
          <w:b/>
          <w:bCs/>
          <w:i/>
          <w:iCs/>
          <w:color w:val="000000" w:themeColor="text1"/>
        </w:rPr>
        <w:instrText xml:space="preserve"> SEQ Graph \* ARABIC </w:instrText>
      </w:r>
      <w:r w:rsidRPr="00B24320">
        <w:rPr>
          <w:rFonts w:asciiTheme="majorBidi" w:hAnsiTheme="majorBidi" w:cstheme="majorBidi"/>
          <w:b/>
          <w:bCs/>
          <w:i/>
          <w:iCs/>
          <w:color w:val="000000" w:themeColor="text1"/>
        </w:rPr>
        <w:fldChar w:fldCharType="separate"/>
      </w:r>
      <w:r w:rsidRPr="00B24320">
        <w:rPr>
          <w:rFonts w:asciiTheme="majorBidi" w:hAnsiTheme="majorBidi" w:cstheme="majorBidi"/>
          <w:b/>
          <w:bCs/>
          <w:i/>
          <w:iCs/>
          <w:noProof/>
          <w:color w:val="000000" w:themeColor="text1"/>
        </w:rPr>
        <w:t>6</w:t>
      </w:r>
      <w:r w:rsidRPr="00B24320">
        <w:rPr>
          <w:rFonts w:asciiTheme="majorBidi" w:hAnsiTheme="majorBidi" w:cstheme="majorBidi"/>
          <w:b/>
          <w:bCs/>
          <w:i/>
          <w:iCs/>
          <w:color w:val="000000" w:themeColor="text1"/>
        </w:rPr>
        <w:fldChar w:fldCharType="end"/>
      </w:r>
      <w:r w:rsidRPr="00B24320">
        <w:rPr>
          <w:rFonts w:asciiTheme="majorBidi" w:hAnsiTheme="majorBidi" w:cstheme="majorBidi"/>
          <w:b/>
          <w:bCs/>
          <w:i/>
          <w:iCs/>
          <w:color w:val="000000" w:themeColor="text1"/>
          <w:lang w:val="sk-SK"/>
        </w:rPr>
        <w:t xml:space="preserve">: </w:t>
      </w:r>
      <w:r w:rsidRPr="00B24320">
        <w:rPr>
          <w:rFonts w:asciiTheme="majorBidi" w:hAnsiTheme="majorBidi" w:cstheme="majorBidi"/>
          <w:b/>
          <w:bCs/>
          <w:i/>
          <w:iCs/>
          <w:color w:val="000000" w:themeColor="text1"/>
        </w:rPr>
        <w:t>Spillovers of RRF allocation</w:t>
      </w:r>
    </w:p>
    <w:p w14:paraId="75DDD1C2" w14:textId="77777777" w:rsidR="00B24320" w:rsidRDefault="00B24320" w:rsidP="00B24320">
      <w:pPr>
        <w:keepNext/>
        <w:spacing w:after="240"/>
      </w:pPr>
      <w:r>
        <w:rPr>
          <w:rFonts w:asciiTheme="minorHAnsi" w:eastAsiaTheme="minorHAnsi" w:hAnsiTheme="minorHAnsi" w:cstheme="minorBidi"/>
          <w:noProof/>
          <w:color w:val="0E2841" w:themeColor="text2"/>
          <w:kern w:val="2"/>
          <w:sz w:val="21"/>
          <w:szCs w:val="21"/>
          <w:lang w:val="en-GB" w:eastAsia="en-US"/>
          <w14:ligatures w14:val="standardContextual"/>
        </w:rPr>
        <w:lastRenderedPageBreak/>
        <w:drawing>
          <wp:inline distT="0" distB="0" distL="0" distR="0" wp14:anchorId="1503B917" wp14:editId="4AE06505">
            <wp:extent cx="5727700" cy="2807970"/>
            <wp:effectExtent l="0" t="0" r="0" b="0"/>
            <wp:docPr id="893470640" name="Picture 7" descr="A graph of different countries/reg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263957" name="Picture 7" descr="A graph of different countries/regions&#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27700" cy="2807970"/>
                    </a:xfrm>
                    <a:prstGeom prst="rect">
                      <a:avLst/>
                    </a:prstGeom>
                  </pic:spPr>
                </pic:pic>
              </a:graphicData>
            </a:graphic>
          </wp:inline>
        </w:drawing>
      </w:r>
    </w:p>
    <w:p w14:paraId="1578771A" w14:textId="59C4E9F3" w:rsidR="00B24320" w:rsidRPr="00B24320" w:rsidRDefault="00B24320" w:rsidP="00B24320">
      <w:pPr>
        <w:jc w:val="center"/>
        <w:rPr>
          <w:i/>
          <w:iCs/>
          <w:sz w:val="28"/>
          <w:szCs w:val="28"/>
          <w:lang w:val="en-GB" w:eastAsia="en-US"/>
        </w:rPr>
      </w:pPr>
      <w:r w:rsidRPr="00B24320">
        <w:rPr>
          <w:i/>
          <w:iCs/>
          <w:sz w:val="22"/>
          <w:szCs w:val="22"/>
        </w:rPr>
        <w:t>Source 7: European Commission (2025)</w:t>
      </w:r>
    </w:p>
    <w:p w14:paraId="2B8F04F7" w14:textId="77777777" w:rsidR="00C23CEF" w:rsidRDefault="00C23CEF" w:rsidP="0090544F">
      <w:pPr>
        <w:rPr>
          <w:lang w:val="en-GB" w:eastAsia="en-US"/>
        </w:rPr>
      </w:pPr>
    </w:p>
    <w:p w14:paraId="41C9E94D" w14:textId="77777777" w:rsidR="00B24320" w:rsidRDefault="00B24320" w:rsidP="0090544F">
      <w:pPr>
        <w:rPr>
          <w:lang w:val="en-GB" w:eastAsia="en-US"/>
        </w:rPr>
      </w:pPr>
    </w:p>
    <w:p w14:paraId="22F331F8" w14:textId="77777777" w:rsidR="00B24320" w:rsidRDefault="00B24320" w:rsidP="0090544F">
      <w:pPr>
        <w:rPr>
          <w:lang w:val="en-GB" w:eastAsia="en-US"/>
        </w:rPr>
      </w:pPr>
    </w:p>
    <w:p w14:paraId="06D4A985" w14:textId="77777777" w:rsidR="00B24320" w:rsidRDefault="00B24320" w:rsidP="0090544F">
      <w:pPr>
        <w:rPr>
          <w:lang w:val="en-GB" w:eastAsia="en-US"/>
        </w:rPr>
      </w:pPr>
    </w:p>
    <w:p w14:paraId="3CAFF423" w14:textId="77777777" w:rsidR="00B24320" w:rsidRDefault="00B24320" w:rsidP="0090544F">
      <w:pPr>
        <w:rPr>
          <w:lang w:val="en-GB" w:eastAsia="en-US"/>
        </w:rPr>
      </w:pPr>
    </w:p>
    <w:p w14:paraId="0F4A0F10" w14:textId="77777777" w:rsidR="00B24320" w:rsidRDefault="00B24320" w:rsidP="0090544F">
      <w:pPr>
        <w:rPr>
          <w:lang w:val="en-GB" w:eastAsia="en-US"/>
        </w:rPr>
      </w:pPr>
    </w:p>
    <w:p w14:paraId="6E6FD8C3" w14:textId="77777777" w:rsidR="00C7664E" w:rsidRDefault="00C7664E" w:rsidP="0090544F">
      <w:pPr>
        <w:rPr>
          <w:lang w:val="en-GB" w:eastAsia="en-US"/>
        </w:rPr>
      </w:pPr>
    </w:p>
    <w:p w14:paraId="2AF92937" w14:textId="77777777" w:rsidR="00C7664E" w:rsidRDefault="00C7664E" w:rsidP="0090544F">
      <w:pPr>
        <w:rPr>
          <w:lang w:val="en-GB" w:eastAsia="en-US"/>
        </w:rPr>
      </w:pPr>
    </w:p>
    <w:p w14:paraId="580F5986" w14:textId="77777777" w:rsidR="00C7664E" w:rsidRDefault="00C7664E" w:rsidP="0090544F">
      <w:pPr>
        <w:rPr>
          <w:lang w:val="en-GB" w:eastAsia="en-US"/>
        </w:rPr>
      </w:pPr>
    </w:p>
    <w:p w14:paraId="3C3813F1" w14:textId="77777777" w:rsidR="00C7664E" w:rsidRDefault="00C7664E" w:rsidP="0090544F">
      <w:pPr>
        <w:rPr>
          <w:lang w:val="en-GB" w:eastAsia="en-US"/>
        </w:rPr>
      </w:pPr>
    </w:p>
    <w:p w14:paraId="1AE85C26" w14:textId="77777777" w:rsidR="00C7664E" w:rsidRDefault="00C7664E" w:rsidP="0090544F">
      <w:pPr>
        <w:rPr>
          <w:lang w:val="en-GB" w:eastAsia="en-US"/>
        </w:rPr>
      </w:pPr>
    </w:p>
    <w:p w14:paraId="0078F6C8" w14:textId="77777777" w:rsidR="00C7664E" w:rsidRDefault="00C7664E" w:rsidP="0090544F">
      <w:pPr>
        <w:rPr>
          <w:lang w:val="en-GB" w:eastAsia="en-US"/>
        </w:rPr>
      </w:pPr>
    </w:p>
    <w:p w14:paraId="0815D07B" w14:textId="77777777" w:rsidR="00C7664E" w:rsidRDefault="00C7664E" w:rsidP="0090544F">
      <w:pPr>
        <w:rPr>
          <w:lang w:val="en-GB" w:eastAsia="en-US"/>
        </w:rPr>
      </w:pPr>
    </w:p>
    <w:p w14:paraId="3A7485AB" w14:textId="77777777" w:rsidR="00C7664E" w:rsidRDefault="00C7664E" w:rsidP="0090544F">
      <w:pPr>
        <w:rPr>
          <w:lang w:val="en-GB" w:eastAsia="en-US"/>
        </w:rPr>
      </w:pPr>
    </w:p>
    <w:p w14:paraId="52C3E893" w14:textId="77777777" w:rsidR="00C7664E" w:rsidRDefault="00C7664E" w:rsidP="0090544F">
      <w:pPr>
        <w:rPr>
          <w:lang w:val="en-GB" w:eastAsia="en-US"/>
        </w:rPr>
      </w:pPr>
    </w:p>
    <w:p w14:paraId="5D5A5D80" w14:textId="77777777" w:rsidR="00C7664E" w:rsidRDefault="00C7664E" w:rsidP="0090544F">
      <w:pPr>
        <w:rPr>
          <w:lang w:val="en-GB" w:eastAsia="en-US"/>
        </w:rPr>
      </w:pPr>
    </w:p>
    <w:p w14:paraId="1E7CF1C7" w14:textId="77777777" w:rsidR="00C7664E" w:rsidRDefault="00C7664E" w:rsidP="0090544F">
      <w:pPr>
        <w:rPr>
          <w:lang w:val="en-GB" w:eastAsia="en-US"/>
        </w:rPr>
      </w:pPr>
    </w:p>
    <w:p w14:paraId="4815CD95" w14:textId="77777777" w:rsidR="00C7664E" w:rsidRDefault="00C7664E" w:rsidP="0090544F">
      <w:pPr>
        <w:rPr>
          <w:lang w:val="en-GB" w:eastAsia="en-US"/>
        </w:rPr>
      </w:pPr>
    </w:p>
    <w:p w14:paraId="522A2044" w14:textId="77777777" w:rsidR="00C7664E" w:rsidRDefault="00C7664E" w:rsidP="0090544F">
      <w:pPr>
        <w:rPr>
          <w:lang w:val="en-GB" w:eastAsia="en-US"/>
        </w:rPr>
      </w:pPr>
    </w:p>
    <w:p w14:paraId="5E97BB29" w14:textId="77777777" w:rsidR="00C7664E" w:rsidRDefault="00C7664E" w:rsidP="0090544F">
      <w:pPr>
        <w:rPr>
          <w:lang w:val="en-GB" w:eastAsia="en-US"/>
        </w:rPr>
      </w:pPr>
    </w:p>
    <w:p w14:paraId="156F2EE1" w14:textId="77777777" w:rsidR="00C7664E" w:rsidRDefault="00C7664E" w:rsidP="0090544F">
      <w:pPr>
        <w:rPr>
          <w:lang w:val="en-GB" w:eastAsia="en-US"/>
        </w:rPr>
      </w:pPr>
    </w:p>
    <w:p w14:paraId="1E08DF22" w14:textId="77777777" w:rsidR="00C7664E" w:rsidRDefault="00C7664E" w:rsidP="0090544F">
      <w:pPr>
        <w:rPr>
          <w:lang w:val="en-GB" w:eastAsia="en-US"/>
        </w:rPr>
      </w:pPr>
    </w:p>
    <w:p w14:paraId="1862210D" w14:textId="77777777" w:rsidR="00C7664E" w:rsidRDefault="00C7664E" w:rsidP="0090544F">
      <w:pPr>
        <w:rPr>
          <w:lang w:val="en-GB" w:eastAsia="en-US"/>
        </w:rPr>
      </w:pPr>
    </w:p>
    <w:p w14:paraId="544B17FD" w14:textId="77777777" w:rsidR="00C7664E" w:rsidRDefault="00C7664E" w:rsidP="0090544F">
      <w:pPr>
        <w:rPr>
          <w:lang w:val="en-GB" w:eastAsia="en-US"/>
        </w:rPr>
      </w:pPr>
    </w:p>
    <w:p w14:paraId="4F9EA4D9" w14:textId="77777777" w:rsidR="00C7664E" w:rsidRDefault="00C7664E" w:rsidP="0090544F">
      <w:pPr>
        <w:rPr>
          <w:lang w:val="en-GB" w:eastAsia="en-US"/>
        </w:rPr>
      </w:pPr>
    </w:p>
    <w:p w14:paraId="388B5BE0" w14:textId="77777777" w:rsidR="00C7664E" w:rsidRDefault="00C7664E" w:rsidP="0090544F">
      <w:pPr>
        <w:rPr>
          <w:lang w:val="en-GB" w:eastAsia="en-US"/>
        </w:rPr>
      </w:pPr>
    </w:p>
    <w:p w14:paraId="0C8714FB" w14:textId="77777777" w:rsidR="00C7664E" w:rsidRDefault="00C7664E" w:rsidP="0090544F">
      <w:pPr>
        <w:rPr>
          <w:lang w:val="en-GB" w:eastAsia="en-US"/>
        </w:rPr>
      </w:pPr>
    </w:p>
    <w:p w14:paraId="72C64A8B" w14:textId="77777777" w:rsidR="00C7664E" w:rsidRDefault="00C7664E" w:rsidP="0090544F">
      <w:pPr>
        <w:rPr>
          <w:lang w:val="en-GB" w:eastAsia="en-US"/>
        </w:rPr>
      </w:pPr>
    </w:p>
    <w:p w14:paraId="6ECDE303" w14:textId="77777777" w:rsidR="00B24320" w:rsidRDefault="00B24320" w:rsidP="0090544F">
      <w:pPr>
        <w:rPr>
          <w:lang w:val="en-GB" w:eastAsia="en-US"/>
        </w:rPr>
      </w:pPr>
    </w:p>
    <w:p w14:paraId="5F1A2B25" w14:textId="77777777" w:rsidR="00B24320" w:rsidRDefault="00B24320" w:rsidP="0090544F">
      <w:pPr>
        <w:rPr>
          <w:lang w:val="en-GB" w:eastAsia="en-US"/>
        </w:rPr>
      </w:pPr>
    </w:p>
    <w:p w14:paraId="2A89887D" w14:textId="499DB72C" w:rsidR="0090544F" w:rsidRPr="00C23CEF" w:rsidRDefault="0090544F" w:rsidP="0090544F">
      <w:pPr>
        <w:pStyle w:val="Heading3"/>
        <w:rPr>
          <w:rFonts w:asciiTheme="majorBidi" w:hAnsiTheme="majorBidi"/>
          <w:b/>
          <w:bCs/>
          <w:color w:val="000000" w:themeColor="text1"/>
          <w:sz w:val="32"/>
          <w:szCs w:val="32"/>
        </w:rPr>
      </w:pPr>
      <w:bookmarkStart w:id="11" w:name="_Toc220360258"/>
      <w:r w:rsidRPr="00C23CEF">
        <w:rPr>
          <w:rFonts w:asciiTheme="majorBidi" w:hAnsiTheme="majorBidi"/>
          <w:b/>
          <w:bCs/>
          <w:color w:val="000000" w:themeColor="text1"/>
          <w:sz w:val="32"/>
          <w:szCs w:val="32"/>
        </w:rPr>
        <w:lastRenderedPageBreak/>
        <w:t>Tables</w:t>
      </w:r>
      <w:bookmarkEnd w:id="11"/>
    </w:p>
    <w:p w14:paraId="1887FC9F" w14:textId="77777777" w:rsidR="0090544F" w:rsidRPr="00C23CEF" w:rsidRDefault="0090544F" w:rsidP="0090544F">
      <w:pPr>
        <w:rPr>
          <w:sz w:val="28"/>
          <w:szCs w:val="28"/>
          <w:lang w:val="en-GB" w:eastAsia="en-US"/>
        </w:rPr>
      </w:pPr>
    </w:p>
    <w:p w14:paraId="62B88CFB" w14:textId="77777777" w:rsidR="00C23CEF" w:rsidRPr="00C23CEF" w:rsidRDefault="00C23CEF" w:rsidP="00C23CEF">
      <w:pPr>
        <w:jc w:val="center"/>
        <w:rPr>
          <w:b/>
          <w:bCs/>
          <w:i/>
          <w:iCs/>
          <w:color w:val="1F1F1F"/>
        </w:rPr>
      </w:pPr>
      <w:r w:rsidRPr="00C23CEF">
        <w:rPr>
          <w:b/>
          <w:bCs/>
          <w:i/>
          <w:iCs/>
          <w:color w:val="1F1F1F"/>
        </w:rPr>
        <w:t>Table 1: Main macroeconomic indicators of Slovak Republic</w:t>
      </w:r>
    </w:p>
    <w:p w14:paraId="5D057291" w14:textId="77777777" w:rsidR="00C23CEF" w:rsidRPr="00DC5506" w:rsidRDefault="00C23CEF" w:rsidP="00C23CEF">
      <w:pPr>
        <w:rPr>
          <w:color w:val="1F1F1F"/>
          <w:sz w:val="21"/>
          <w:szCs w:val="21"/>
        </w:rPr>
      </w:pPr>
    </w:p>
    <w:tbl>
      <w:tblPr>
        <w:tblStyle w:val="GridTable3-Accent1"/>
        <w:tblW w:w="9808" w:type="dxa"/>
        <w:tblLook w:val="0420" w:firstRow="1" w:lastRow="0" w:firstColumn="0" w:lastColumn="0" w:noHBand="0" w:noVBand="1"/>
      </w:tblPr>
      <w:tblGrid>
        <w:gridCol w:w="3572"/>
        <w:gridCol w:w="1559"/>
        <w:gridCol w:w="1559"/>
        <w:gridCol w:w="1559"/>
        <w:gridCol w:w="1559"/>
      </w:tblGrid>
      <w:tr w:rsidR="00D521A4" w:rsidRPr="00DC5506" w14:paraId="680B04DB" w14:textId="77777777" w:rsidTr="00D521A4">
        <w:trPr>
          <w:cnfStyle w:val="100000000000" w:firstRow="1" w:lastRow="0" w:firstColumn="0" w:lastColumn="0" w:oddVBand="0" w:evenVBand="0" w:oddHBand="0" w:evenHBand="0" w:firstRowFirstColumn="0" w:firstRowLastColumn="0" w:lastRowFirstColumn="0" w:lastRowLastColumn="0"/>
          <w:trHeight w:val="289"/>
        </w:trPr>
        <w:tc>
          <w:tcPr>
            <w:tcW w:w="3572" w:type="dxa"/>
          </w:tcPr>
          <w:p w14:paraId="35090868" w14:textId="77777777" w:rsidR="00C23CEF" w:rsidRPr="00DC5506" w:rsidRDefault="00C23CEF" w:rsidP="008E2F46">
            <w:pPr>
              <w:jc w:val="center"/>
            </w:pPr>
          </w:p>
        </w:tc>
        <w:tc>
          <w:tcPr>
            <w:tcW w:w="1559" w:type="dxa"/>
          </w:tcPr>
          <w:p w14:paraId="36944E8E" w14:textId="77777777" w:rsidR="00C23CEF" w:rsidRPr="00DC5506" w:rsidRDefault="00C23CEF" w:rsidP="008E2F46">
            <w:pPr>
              <w:jc w:val="center"/>
            </w:pPr>
            <w:r w:rsidRPr="00DC5506">
              <w:t>2018</w:t>
            </w:r>
          </w:p>
        </w:tc>
        <w:tc>
          <w:tcPr>
            <w:tcW w:w="1559" w:type="dxa"/>
          </w:tcPr>
          <w:p w14:paraId="72967014" w14:textId="77777777" w:rsidR="00C23CEF" w:rsidRPr="00DC5506" w:rsidRDefault="00C23CEF" w:rsidP="008E2F46">
            <w:pPr>
              <w:jc w:val="center"/>
            </w:pPr>
            <w:r w:rsidRPr="00DC5506">
              <w:t>2019</w:t>
            </w:r>
          </w:p>
        </w:tc>
        <w:tc>
          <w:tcPr>
            <w:tcW w:w="1559" w:type="dxa"/>
          </w:tcPr>
          <w:p w14:paraId="1056AEF2" w14:textId="77777777" w:rsidR="00C23CEF" w:rsidRPr="00DC5506" w:rsidRDefault="00C23CEF" w:rsidP="008E2F46">
            <w:pPr>
              <w:jc w:val="center"/>
            </w:pPr>
            <w:r w:rsidRPr="00DC5506">
              <w:t>2020</w:t>
            </w:r>
          </w:p>
        </w:tc>
        <w:tc>
          <w:tcPr>
            <w:tcW w:w="1559" w:type="dxa"/>
          </w:tcPr>
          <w:p w14:paraId="6882412B" w14:textId="77777777" w:rsidR="00C23CEF" w:rsidRPr="00DC5506" w:rsidRDefault="00C23CEF" w:rsidP="008E2F46">
            <w:pPr>
              <w:jc w:val="center"/>
            </w:pPr>
            <w:r w:rsidRPr="00DC5506">
              <w:t>2021</w:t>
            </w:r>
          </w:p>
        </w:tc>
      </w:tr>
      <w:tr w:rsidR="00D521A4" w:rsidRPr="00DC5506" w14:paraId="01C6AAF2" w14:textId="77777777" w:rsidTr="00D521A4">
        <w:trPr>
          <w:cnfStyle w:val="000000100000" w:firstRow="0" w:lastRow="0" w:firstColumn="0" w:lastColumn="0" w:oddVBand="0" w:evenVBand="0" w:oddHBand="1" w:evenHBand="0" w:firstRowFirstColumn="0" w:firstRowLastColumn="0" w:lastRowFirstColumn="0" w:lastRowLastColumn="0"/>
          <w:trHeight w:val="289"/>
        </w:trPr>
        <w:tc>
          <w:tcPr>
            <w:tcW w:w="3572" w:type="dxa"/>
            <w:vAlign w:val="center"/>
          </w:tcPr>
          <w:p w14:paraId="144CF416" w14:textId="6D79A389" w:rsidR="00C23CEF" w:rsidRPr="00D521A4" w:rsidRDefault="00C23CEF" w:rsidP="00D521A4">
            <w:pPr>
              <w:pStyle w:val="p1"/>
              <w:spacing w:before="240" w:after="240"/>
              <w:jc w:val="center"/>
              <w:rPr>
                <w:rFonts w:asciiTheme="majorBidi" w:hAnsiTheme="majorBidi" w:cstheme="majorBidi"/>
                <w:sz w:val="24"/>
                <w:szCs w:val="24"/>
                <w:lang w:val="sk-SK"/>
              </w:rPr>
            </w:pPr>
            <w:r w:rsidRPr="00D521A4">
              <w:rPr>
                <w:rFonts w:asciiTheme="majorBidi" w:hAnsiTheme="majorBidi" w:cstheme="majorBidi"/>
                <w:sz w:val="24"/>
                <w:szCs w:val="24"/>
              </w:rPr>
              <w:t>GDP growth (% y/y)</w:t>
            </w:r>
          </w:p>
        </w:tc>
        <w:tc>
          <w:tcPr>
            <w:tcW w:w="1559" w:type="dxa"/>
            <w:vAlign w:val="center"/>
          </w:tcPr>
          <w:p w14:paraId="673CB2C0"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4.0</w:t>
            </w:r>
          </w:p>
        </w:tc>
        <w:tc>
          <w:tcPr>
            <w:tcW w:w="1559" w:type="dxa"/>
            <w:vAlign w:val="center"/>
          </w:tcPr>
          <w:p w14:paraId="1EA269E3"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2.5</w:t>
            </w:r>
          </w:p>
        </w:tc>
        <w:tc>
          <w:tcPr>
            <w:tcW w:w="1559" w:type="dxa"/>
            <w:vAlign w:val="center"/>
          </w:tcPr>
          <w:p w14:paraId="57C4DFC9" w14:textId="71E25BD1" w:rsidR="00C23CEF" w:rsidRPr="00C23CEF" w:rsidRDefault="00C23CEF" w:rsidP="00C23CEF">
            <w:pPr>
              <w:jc w:val="center"/>
              <w:rPr>
                <w:rFonts w:asciiTheme="majorBidi" w:hAnsiTheme="majorBidi" w:cstheme="majorBidi"/>
              </w:rPr>
            </w:pPr>
            <w:r w:rsidRPr="00C23CEF">
              <w:rPr>
                <w:rFonts w:asciiTheme="majorBidi" w:hAnsiTheme="majorBidi" w:cstheme="majorBidi"/>
              </w:rPr>
              <w:t>-3.4</w:t>
            </w:r>
          </w:p>
        </w:tc>
        <w:tc>
          <w:tcPr>
            <w:tcW w:w="1559" w:type="dxa"/>
            <w:vAlign w:val="center"/>
          </w:tcPr>
          <w:p w14:paraId="36CA164F"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3.0</w:t>
            </w:r>
          </w:p>
        </w:tc>
      </w:tr>
      <w:tr w:rsidR="00D521A4" w:rsidRPr="00DC5506" w14:paraId="0E0AEEB4" w14:textId="77777777" w:rsidTr="00D521A4">
        <w:trPr>
          <w:trHeight w:val="289"/>
        </w:trPr>
        <w:tc>
          <w:tcPr>
            <w:tcW w:w="3572" w:type="dxa"/>
            <w:vAlign w:val="center"/>
          </w:tcPr>
          <w:p w14:paraId="27719E7A" w14:textId="6E839F6D" w:rsidR="00C23CEF" w:rsidRPr="00D521A4" w:rsidRDefault="00C23CEF" w:rsidP="00D521A4">
            <w:pPr>
              <w:pStyle w:val="p1"/>
              <w:spacing w:before="240" w:after="240"/>
              <w:jc w:val="center"/>
              <w:rPr>
                <w:rFonts w:asciiTheme="majorBidi" w:hAnsiTheme="majorBidi" w:cstheme="majorBidi"/>
                <w:sz w:val="24"/>
                <w:szCs w:val="24"/>
                <w:lang w:val="sk-SK"/>
              </w:rPr>
            </w:pPr>
            <w:r w:rsidRPr="00D521A4">
              <w:rPr>
                <w:rFonts w:asciiTheme="majorBidi" w:hAnsiTheme="majorBidi" w:cstheme="majorBidi"/>
                <w:sz w:val="24"/>
                <w:szCs w:val="24"/>
              </w:rPr>
              <w:t>HICP inflation (% avg.)</w:t>
            </w:r>
          </w:p>
        </w:tc>
        <w:tc>
          <w:tcPr>
            <w:tcW w:w="1559" w:type="dxa"/>
            <w:vAlign w:val="center"/>
          </w:tcPr>
          <w:p w14:paraId="4CD98191"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2.5</w:t>
            </w:r>
          </w:p>
        </w:tc>
        <w:tc>
          <w:tcPr>
            <w:tcW w:w="1559" w:type="dxa"/>
            <w:vAlign w:val="center"/>
          </w:tcPr>
          <w:p w14:paraId="4F4C69F2"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2.8</w:t>
            </w:r>
          </w:p>
        </w:tc>
        <w:tc>
          <w:tcPr>
            <w:tcW w:w="1559" w:type="dxa"/>
            <w:vAlign w:val="center"/>
          </w:tcPr>
          <w:p w14:paraId="418953B0"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2.0</w:t>
            </w:r>
          </w:p>
        </w:tc>
        <w:tc>
          <w:tcPr>
            <w:tcW w:w="1559" w:type="dxa"/>
            <w:vAlign w:val="center"/>
          </w:tcPr>
          <w:p w14:paraId="4C5C5A8F"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2.8</w:t>
            </w:r>
          </w:p>
        </w:tc>
      </w:tr>
      <w:tr w:rsidR="00D521A4" w:rsidRPr="00DC5506" w14:paraId="3DDC085B" w14:textId="77777777" w:rsidTr="00D521A4">
        <w:trPr>
          <w:cnfStyle w:val="000000100000" w:firstRow="0" w:lastRow="0" w:firstColumn="0" w:lastColumn="0" w:oddVBand="0" w:evenVBand="0" w:oddHBand="1" w:evenHBand="0" w:firstRowFirstColumn="0" w:firstRowLastColumn="0" w:lastRowFirstColumn="0" w:lastRowLastColumn="0"/>
          <w:trHeight w:val="275"/>
        </w:trPr>
        <w:tc>
          <w:tcPr>
            <w:tcW w:w="3572" w:type="dxa"/>
            <w:vAlign w:val="center"/>
          </w:tcPr>
          <w:p w14:paraId="05DD96A9" w14:textId="4A87FEB9" w:rsidR="00C23CEF" w:rsidRPr="00D521A4" w:rsidRDefault="00C23CEF" w:rsidP="00D521A4">
            <w:pPr>
              <w:pStyle w:val="p1"/>
              <w:spacing w:before="240" w:after="240"/>
              <w:jc w:val="center"/>
              <w:rPr>
                <w:rFonts w:asciiTheme="majorBidi" w:hAnsiTheme="majorBidi" w:cstheme="majorBidi"/>
                <w:sz w:val="24"/>
                <w:szCs w:val="24"/>
                <w:lang w:val="sk-SK"/>
              </w:rPr>
            </w:pPr>
            <w:r w:rsidRPr="00D521A4">
              <w:rPr>
                <w:rFonts w:asciiTheme="majorBidi" w:hAnsiTheme="majorBidi" w:cstheme="majorBidi"/>
                <w:sz w:val="24"/>
                <w:szCs w:val="24"/>
              </w:rPr>
              <w:t>Government balance (% of GDP)</w:t>
            </w:r>
          </w:p>
        </w:tc>
        <w:tc>
          <w:tcPr>
            <w:tcW w:w="1559" w:type="dxa"/>
            <w:vAlign w:val="center"/>
          </w:tcPr>
          <w:p w14:paraId="20E98E8A"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-1.0</w:t>
            </w:r>
          </w:p>
        </w:tc>
        <w:tc>
          <w:tcPr>
            <w:tcW w:w="1559" w:type="dxa"/>
            <w:vAlign w:val="center"/>
          </w:tcPr>
          <w:p w14:paraId="3B0E0000"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-1.2</w:t>
            </w:r>
          </w:p>
        </w:tc>
        <w:tc>
          <w:tcPr>
            <w:tcW w:w="1559" w:type="dxa"/>
            <w:vAlign w:val="center"/>
          </w:tcPr>
          <w:p w14:paraId="2322DEDC"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-5.4</w:t>
            </w:r>
          </w:p>
        </w:tc>
        <w:tc>
          <w:tcPr>
            <w:tcW w:w="1559" w:type="dxa"/>
            <w:vAlign w:val="center"/>
          </w:tcPr>
          <w:p w14:paraId="0BCC761E"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-5.5</w:t>
            </w:r>
          </w:p>
        </w:tc>
      </w:tr>
      <w:tr w:rsidR="00D521A4" w:rsidRPr="00DC5506" w14:paraId="25D3C42D" w14:textId="77777777" w:rsidTr="00D521A4">
        <w:trPr>
          <w:trHeight w:val="289"/>
        </w:trPr>
        <w:tc>
          <w:tcPr>
            <w:tcW w:w="3572" w:type="dxa"/>
            <w:vAlign w:val="center"/>
          </w:tcPr>
          <w:p w14:paraId="3D397263" w14:textId="77777777" w:rsidR="00C23CEF" w:rsidRPr="00D521A4" w:rsidRDefault="00C23CEF" w:rsidP="00D521A4">
            <w:pPr>
              <w:pStyle w:val="p1"/>
              <w:spacing w:before="240"/>
              <w:jc w:val="center"/>
              <w:rPr>
                <w:rFonts w:asciiTheme="majorBidi" w:hAnsiTheme="majorBidi" w:cstheme="majorBidi"/>
                <w:sz w:val="24"/>
                <w:szCs w:val="24"/>
              </w:rPr>
            </w:pPr>
            <w:r w:rsidRPr="00D521A4">
              <w:rPr>
                <w:rFonts w:asciiTheme="majorBidi" w:hAnsiTheme="majorBidi" w:cstheme="majorBidi"/>
                <w:sz w:val="24"/>
                <w:szCs w:val="24"/>
              </w:rPr>
              <w:t>Current account balance</w:t>
            </w:r>
          </w:p>
          <w:p w14:paraId="167F07C8" w14:textId="5E43EF39" w:rsidR="00C23CEF" w:rsidRPr="00D521A4" w:rsidRDefault="00C23CEF" w:rsidP="00D521A4">
            <w:pPr>
              <w:pStyle w:val="p1"/>
              <w:spacing w:after="240"/>
              <w:jc w:val="center"/>
              <w:rPr>
                <w:rFonts w:asciiTheme="majorBidi" w:hAnsiTheme="majorBidi" w:cstheme="majorBidi"/>
                <w:sz w:val="24"/>
                <w:szCs w:val="24"/>
                <w:lang w:val="sk-SK"/>
              </w:rPr>
            </w:pPr>
            <w:r w:rsidRPr="00D521A4">
              <w:rPr>
                <w:rFonts w:asciiTheme="majorBidi" w:hAnsiTheme="majorBidi" w:cstheme="majorBidi"/>
                <w:sz w:val="24"/>
                <w:szCs w:val="24"/>
              </w:rPr>
              <w:t>(% of GDP)</w:t>
            </w:r>
          </w:p>
        </w:tc>
        <w:tc>
          <w:tcPr>
            <w:tcW w:w="1559" w:type="dxa"/>
            <w:vAlign w:val="center"/>
          </w:tcPr>
          <w:p w14:paraId="225A4898"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-2.2</w:t>
            </w:r>
          </w:p>
        </w:tc>
        <w:tc>
          <w:tcPr>
            <w:tcW w:w="1559" w:type="dxa"/>
            <w:vAlign w:val="center"/>
          </w:tcPr>
          <w:p w14:paraId="7C9FA6E3"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-3.3</w:t>
            </w:r>
          </w:p>
        </w:tc>
        <w:tc>
          <w:tcPr>
            <w:tcW w:w="1559" w:type="dxa"/>
            <w:vAlign w:val="center"/>
          </w:tcPr>
          <w:p w14:paraId="13D25119"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0.4</w:t>
            </w:r>
          </w:p>
        </w:tc>
        <w:tc>
          <w:tcPr>
            <w:tcW w:w="1559" w:type="dxa"/>
            <w:vAlign w:val="center"/>
          </w:tcPr>
          <w:p w14:paraId="067DDEAA"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-1.9</w:t>
            </w:r>
          </w:p>
        </w:tc>
      </w:tr>
      <w:tr w:rsidR="00D521A4" w:rsidRPr="00DC5506" w14:paraId="1D313FC9" w14:textId="77777777" w:rsidTr="00D521A4">
        <w:trPr>
          <w:cnfStyle w:val="000000100000" w:firstRow="0" w:lastRow="0" w:firstColumn="0" w:lastColumn="0" w:oddVBand="0" w:evenVBand="0" w:oddHBand="1" w:evenHBand="0" w:firstRowFirstColumn="0" w:firstRowLastColumn="0" w:lastRowFirstColumn="0" w:lastRowLastColumn="0"/>
          <w:trHeight w:val="289"/>
        </w:trPr>
        <w:tc>
          <w:tcPr>
            <w:tcW w:w="3572" w:type="dxa"/>
            <w:vAlign w:val="center"/>
          </w:tcPr>
          <w:p w14:paraId="1C938EF6" w14:textId="6F3D4CC0" w:rsidR="00C23CEF" w:rsidRPr="00D521A4" w:rsidRDefault="00C23CEF" w:rsidP="00D521A4">
            <w:pPr>
              <w:pStyle w:val="p1"/>
              <w:spacing w:before="240" w:after="240"/>
              <w:jc w:val="center"/>
              <w:rPr>
                <w:rFonts w:asciiTheme="majorBidi" w:hAnsiTheme="majorBidi" w:cstheme="majorBidi"/>
                <w:sz w:val="24"/>
                <w:szCs w:val="24"/>
                <w:lang w:val="sk-SK"/>
              </w:rPr>
            </w:pPr>
            <w:r w:rsidRPr="00D521A4">
              <w:rPr>
                <w:rFonts w:asciiTheme="majorBidi" w:hAnsiTheme="majorBidi" w:cstheme="majorBidi"/>
                <w:sz w:val="24"/>
                <w:szCs w:val="24"/>
              </w:rPr>
              <w:t>Net FDI (% of GDP)</w:t>
            </w:r>
          </w:p>
        </w:tc>
        <w:tc>
          <w:tcPr>
            <w:tcW w:w="1559" w:type="dxa"/>
            <w:vAlign w:val="center"/>
          </w:tcPr>
          <w:p w14:paraId="63E04304"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-1.3</w:t>
            </w:r>
          </w:p>
        </w:tc>
        <w:tc>
          <w:tcPr>
            <w:tcW w:w="1559" w:type="dxa"/>
            <w:vAlign w:val="center"/>
          </w:tcPr>
          <w:p w14:paraId="2D77CD84"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-2.3</w:t>
            </w:r>
          </w:p>
        </w:tc>
        <w:tc>
          <w:tcPr>
            <w:tcW w:w="1559" w:type="dxa"/>
            <w:vAlign w:val="center"/>
          </w:tcPr>
          <w:p w14:paraId="68140B5B"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2.0</w:t>
            </w:r>
          </w:p>
        </w:tc>
        <w:tc>
          <w:tcPr>
            <w:tcW w:w="1559" w:type="dxa"/>
            <w:vAlign w:val="center"/>
          </w:tcPr>
          <w:p w14:paraId="64048A0F"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0.3</w:t>
            </w:r>
          </w:p>
        </w:tc>
      </w:tr>
      <w:tr w:rsidR="00D521A4" w:rsidRPr="00DC5506" w14:paraId="7538D1C0" w14:textId="77777777" w:rsidTr="00D521A4">
        <w:trPr>
          <w:trHeight w:val="289"/>
        </w:trPr>
        <w:tc>
          <w:tcPr>
            <w:tcW w:w="3572" w:type="dxa"/>
            <w:vAlign w:val="center"/>
          </w:tcPr>
          <w:p w14:paraId="20F88D6B" w14:textId="7454D8A5" w:rsidR="00C23CEF" w:rsidRPr="00D521A4" w:rsidRDefault="00C23CEF" w:rsidP="00D521A4">
            <w:pPr>
              <w:pStyle w:val="p1"/>
              <w:spacing w:before="240" w:after="240"/>
              <w:jc w:val="center"/>
              <w:rPr>
                <w:rFonts w:asciiTheme="majorBidi" w:hAnsiTheme="majorBidi" w:cstheme="majorBidi"/>
                <w:sz w:val="24"/>
                <w:szCs w:val="24"/>
                <w:lang w:val="sk-SK"/>
              </w:rPr>
            </w:pPr>
            <w:r w:rsidRPr="00D521A4">
              <w:rPr>
                <w:rFonts w:asciiTheme="majorBidi" w:hAnsiTheme="majorBidi" w:cstheme="majorBidi"/>
                <w:sz w:val="24"/>
                <w:szCs w:val="24"/>
              </w:rPr>
              <w:t>External debt (% of GDP)</w:t>
            </w:r>
          </w:p>
        </w:tc>
        <w:tc>
          <w:tcPr>
            <w:tcW w:w="1559" w:type="dxa"/>
            <w:vAlign w:val="center"/>
          </w:tcPr>
          <w:p w14:paraId="7A560035"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114.3</w:t>
            </w:r>
          </w:p>
        </w:tc>
        <w:tc>
          <w:tcPr>
            <w:tcW w:w="1559" w:type="dxa"/>
            <w:vAlign w:val="center"/>
          </w:tcPr>
          <w:p w14:paraId="5052F640"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111.7</w:t>
            </w:r>
          </w:p>
        </w:tc>
        <w:tc>
          <w:tcPr>
            <w:tcW w:w="1559" w:type="dxa"/>
            <w:vAlign w:val="center"/>
          </w:tcPr>
          <w:p w14:paraId="19BDDEFA"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118.7</w:t>
            </w:r>
          </w:p>
        </w:tc>
        <w:tc>
          <w:tcPr>
            <w:tcW w:w="1559" w:type="dxa"/>
            <w:vAlign w:val="center"/>
          </w:tcPr>
          <w:p w14:paraId="241FDB9D"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135.1</w:t>
            </w:r>
          </w:p>
        </w:tc>
      </w:tr>
      <w:tr w:rsidR="00D521A4" w:rsidRPr="00DC5506" w14:paraId="7440A571" w14:textId="77777777" w:rsidTr="00D521A4">
        <w:trPr>
          <w:cnfStyle w:val="000000100000" w:firstRow="0" w:lastRow="0" w:firstColumn="0" w:lastColumn="0" w:oddVBand="0" w:evenVBand="0" w:oddHBand="1" w:evenHBand="0" w:firstRowFirstColumn="0" w:firstRowLastColumn="0" w:lastRowFirstColumn="0" w:lastRowLastColumn="0"/>
          <w:trHeight w:val="289"/>
        </w:trPr>
        <w:tc>
          <w:tcPr>
            <w:tcW w:w="3572" w:type="dxa"/>
            <w:vAlign w:val="center"/>
          </w:tcPr>
          <w:p w14:paraId="1FD3AA0A" w14:textId="77777777" w:rsidR="00C23CEF" w:rsidRPr="00D521A4" w:rsidRDefault="00C23CEF" w:rsidP="00D521A4">
            <w:pPr>
              <w:pStyle w:val="p1"/>
              <w:spacing w:before="240"/>
              <w:jc w:val="center"/>
              <w:rPr>
                <w:rFonts w:asciiTheme="majorBidi" w:hAnsiTheme="majorBidi" w:cstheme="majorBidi"/>
                <w:sz w:val="24"/>
                <w:szCs w:val="24"/>
              </w:rPr>
            </w:pPr>
            <w:r w:rsidRPr="00D521A4">
              <w:rPr>
                <w:rFonts w:asciiTheme="majorBidi" w:hAnsiTheme="majorBidi" w:cstheme="majorBidi"/>
                <w:sz w:val="24"/>
                <w:szCs w:val="24"/>
              </w:rPr>
              <w:t>General government gross debt</w:t>
            </w:r>
          </w:p>
          <w:p w14:paraId="237AF977" w14:textId="330B2983" w:rsidR="00C23CEF" w:rsidRPr="00D521A4" w:rsidRDefault="00C23CEF" w:rsidP="00D521A4">
            <w:pPr>
              <w:pStyle w:val="p1"/>
              <w:spacing w:after="240"/>
              <w:jc w:val="center"/>
              <w:rPr>
                <w:rFonts w:asciiTheme="majorBidi" w:hAnsiTheme="majorBidi" w:cstheme="majorBidi"/>
                <w:sz w:val="24"/>
                <w:szCs w:val="24"/>
                <w:lang w:val="sk-SK"/>
              </w:rPr>
            </w:pPr>
            <w:r w:rsidRPr="00D521A4">
              <w:rPr>
                <w:rFonts w:asciiTheme="majorBidi" w:hAnsiTheme="majorBidi" w:cstheme="majorBidi"/>
                <w:sz w:val="24"/>
                <w:szCs w:val="24"/>
              </w:rPr>
              <w:t>(% of GDP)</w:t>
            </w:r>
          </w:p>
        </w:tc>
        <w:tc>
          <w:tcPr>
            <w:tcW w:w="1559" w:type="dxa"/>
            <w:vAlign w:val="center"/>
          </w:tcPr>
          <w:p w14:paraId="3FC1123D"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49.4</w:t>
            </w:r>
          </w:p>
        </w:tc>
        <w:tc>
          <w:tcPr>
            <w:tcW w:w="1559" w:type="dxa"/>
            <w:vAlign w:val="center"/>
          </w:tcPr>
          <w:p w14:paraId="6CE576FD"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48.0</w:t>
            </w:r>
          </w:p>
        </w:tc>
        <w:tc>
          <w:tcPr>
            <w:tcW w:w="1559" w:type="dxa"/>
            <w:vAlign w:val="center"/>
          </w:tcPr>
          <w:p w14:paraId="3A12B708"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58.9</w:t>
            </w:r>
          </w:p>
        </w:tc>
        <w:tc>
          <w:tcPr>
            <w:tcW w:w="1559" w:type="dxa"/>
            <w:vAlign w:val="center"/>
          </w:tcPr>
          <w:p w14:paraId="7B046FC4"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62.2</w:t>
            </w:r>
          </w:p>
        </w:tc>
      </w:tr>
      <w:tr w:rsidR="00D521A4" w:rsidRPr="00DC5506" w14:paraId="4531F707" w14:textId="77777777" w:rsidTr="00D521A4">
        <w:trPr>
          <w:trHeight w:val="289"/>
        </w:trPr>
        <w:tc>
          <w:tcPr>
            <w:tcW w:w="3572" w:type="dxa"/>
            <w:vAlign w:val="center"/>
          </w:tcPr>
          <w:p w14:paraId="7E5F9942" w14:textId="4E446393" w:rsidR="00C23CEF" w:rsidRPr="00D521A4" w:rsidRDefault="00C23CEF" w:rsidP="00D521A4">
            <w:pPr>
              <w:pStyle w:val="p1"/>
              <w:spacing w:before="240" w:after="240"/>
              <w:jc w:val="center"/>
              <w:rPr>
                <w:rFonts w:asciiTheme="majorBidi" w:hAnsiTheme="majorBidi" w:cstheme="majorBidi"/>
                <w:sz w:val="24"/>
                <w:szCs w:val="24"/>
                <w:lang w:val="sk-SK"/>
              </w:rPr>
            </w:pPr>
            <w:r w:rsidRPr="00D521A4">
              <w:rPr>
                <w:rFonts w:asciiTheme="majorBidi" w:hAnsiTheme="majorBidi" w:cstheme="majorBidi"/>
                <w:sz w:val="24"/>
                <w:szCs w:val="24"/>
              </w:rPr>
              <w:t>Unemployment rate (20-64, %)</w:t>
            </w:r>
          </w:p>
        </w:tc>
        <w:tc>
          <w:tcPr>
            <w:tcW w:w="1559" w:type="dxa"/>
            <w:vAlign w:val="center"/>
          </w:tcPr>
          <w:p w14:paraId="34877848"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6.3</w:t>
            </w:r>
          </w:p>
        </w:tc>
        <w:tc>
          <w:tcPr>
            <w:tcW w:w="1559" w:type="dxa"/>
            <w:vAlign w:val="center"/>
          </w:tcPr>
          <w:p w14:paraId="4C1E2D02"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5.6</w:t>
            </w:r>
          </w:p>
        </w:tc>
        <w:tc>
          <w:tcPr>
            <w:tcW w:w="1559" w:type="dxa"/>
            <w:vAlign w:val="center"/>
          </w:tcPr>
          <w:p w14:paraId="3CB1912D"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6.5</w:t>
            </w:r>
          </w:p>
        </w:tc>
        <w:tc>
          <w:tcPr>
            <w:tcW w:w="1559" w:type="dxa"/>
            <w:vAlign w:val="center"/>
          </w:tcPr>
          <w:p w14:paraId="031B30F6"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6.7</w:t>
            </w:r>
          </w:p>
        </w:tc>
      </w:tr>
      <w:tr w:rsidR="00D521A4" w:rsidRPr="00DC5506" w14:paraId="62E9A68C" w14:textId="77777777" w:rsidTr="00D521A4">
        <w:trPr>
          <w:cnfStyle w:val="000000100000" w:firstRow="0" w:lastRow="0" w:firstColumn="0" w:lastColumn="0" w:oddVBand="0" w:evenVBand="0" w:oddHBand="1" w:evenHBand="0" w:firstRowFirstColumn="0" w:firstRowLastColumn="0" w:lastRowFirstColumn="0" w:lastRowLastColumn="0"/>
          <w:trHeight w:val="275"/>
        </w:trPr>
        <w:tc>
          <w:tcPr>
            <w:tcW w:w="3572" w:type="dxa"/>
            <w:vAlign w:val="center"/>
          </w:tcPr>
          <w:p w14:paraId="7FD695CA" w14:textId="30ACE834" w:rsidR="00C23CEF" w:rsidRPr="00D521A4" w:rsidRDefault="00C23CEF" w:rsidP="00D521A4">
            <w:pPr>
              <w:pStyle w:val="p1"/>
              <w:spacing w:before="240" w:after="240"/>
              <w:jc w:val="center"/>
              <w:rPr>
                <w:rFonts w:asciiTheme="majorBidi" w:hAnsiTheme="majorBidi" w:cstheme="majorBidi"/>
                <w:sz w:val="24"/>
                <w:szCs w:val="24"/>
                <w:lang w:val="sk-SK"/>
              </w:rPr>
            </w:pPr>
            <w:r w:rsidRPr="00D521A4">
              <w:rPr>
                <w:rFonts w:asciiTheme="majorBidi" w:hAnsiTheme="majorBidi" w:cstheme="majorBidi"/>
                <w:sz w:val="24"/>
                <w:szCs w:val="24"/>
              </w:rPr>
              <w:t>Nominal GDP (€ billion)</w:t>
            </w:r>
          </w:p>
        </w:tc>
        <w:tc>
          <w:tcPr>
            <w:tcW w:w="1559" w:type="dxa"/>
            <w:vAlign w:val="center"/>
          </w:tcPr>
          <w:p w14:paraId="663D6D8D"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89.9</w:t>
            </w:r>
          </w:p>
        </w:tc>
        <w:tc>
          <w:tcPr>
            <w:tcW w:w="1559" w:type="dxa"/>
            <w:vAlign w:val="center"/>
          </w:tcPr>
          <w:p w14:paraId="5DA0AE23"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94.4</w:t>
            </w:r>
          </w:p>
        </w:tc>
        <w:tc>
          <w:tcPr>
            <w:tcW w:w="1559" w:type="dxa"/>
            <w:vAlign w:val="center"/>
          </w:tcPr>
          <w:p w14:paraId="78454E7A"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93.4</w:t>
            </w:r>
          </w:p>
        </w:tc>
        <w:tc>
          <w:tcPr>
            <w:tcW w:w="1559" w:type="dxa"/>
            <w:vAlign w:val="center"/>
          </w:tcPr>
          <w:p w14:paraId="15E08F64" w14:textId="77777777" w:rsidR="00C23CEF" w:rsidRPr="00C23CEF" w:rsidRDefault="00C23CEF" w:rsidP="00C23CEF">
            <w:pPr>
              <w:jc w:val="center"/>
              <w:rPr>
                <w:rFonts w:asciiTheme="majorBidi" w:hAnsiTheme="majorBidi" w:cstheme="majorBidi"/>
              </w:rPr>
            </w:pPr>
            <w:r w:rsidRPr="00C23CEF">
              <w:rPr>
                <w:rFonts w:asciiTheme="majorBidi" w:hAnsiTheme="majorBidi" w:cstheme="majorBidi"/>
              </w:rPr>
              <w:t>98.5</w:t>
            </w:r>
          </w:p>
        </w:tc>
      </w:tr>
    </w:tbl>
    <w:p w14:paraId="38A7440B" w14:textId="09146E8D" w:rsidR="00C23CEF" w:rsidRPr="00C23CEF" w:rsidRDefault="00C23CEF" w:rsidP="00D521A4">
      <w:pPr>
        <w:spacing w:before="240"/>
        <w:jc w:val="center"/>
        <w:rPr>
          <w:i/>
          <w:iCs/>
          <w:color w:val="000000" w:themeColor="text1"/>
          <w:sz w:val="22"/>
          <w:szCs w:val="22"/>
        </w:rPr>
      </w:pPr>
      <w:r w:rsidRPr="00C23CEF">
        <w:rPr>
          <w:i/>
          <w:iCs/>
          <w:color w:val="000000" w:themeColor="text1"/>
          <w:sz w:val="22"/>
          <w:szCs w:val="22"/>
        </w:rPr>
        <w:t xml:space="preserve">Source: Eurostat from European Bank for Reconstruction and Development (2022), </w:t>
      </w:r>
      <w:r w:rsidR="00D521A4">
        <w:rPr>
          <w:i/>
          <w:iCs/>
          <w:color w:val="000000" w:themeColor="text1"/>
          <w:sz w:val="22"/>
          <w:szCs w:val="22"/>
          <w:lang w:val="sk-SK"/>
        </w:rPr>
        <w:br/>
      </w:r>
      <w:r w:rsidRPr="00C23CEF">
        <w:rPr>
          <w:i/>
          <w:iCs/>
          <w:color w:val="000000" w:themeColor="text1"/>
          <w:sz w:val="22"/>
          <w:szCs w:val="22"/>
        </w:rPr>
        <w:t>table made by author</w:t>
      </w:r>
    </w:p>
    <w:p w14:paraId="40D4B684" w14:textId="77777777" w:rsidR="00C23CEF" w:rsidRPr="00C23CEF" w:rsidRDefault="00C23CEF" w:rsidP="0090544F">
      <w:pPr>
        <w:rPr>
          <w:lang w:eastAsia="en-US"/>
        </w:rPr>
      </w:pPr>
    </w:p>
    <w:p w14:paraId="09DC59F5" w14:textId="77777777" w:rsidR="00C23CEF" w:rsidRDefault="00C23CEF" w:rsidP="0090544F">
      <w:pPr>
        <w:rPr>
          <w:lang w:val="en-GB" w:eastAsia="en-US"/>
        </w:rPr>
      </w:pPr>
    </w:p>
    <w:p w14:paraId="45AC1AB0" w14:textId="0E5FB29D" w:rsidR="00D521A4" w:rsidRDefault="00D521A4" w:rsidP="00B770A1">
      <w:pPr>
        <w:spacing w:after="240"/>
        <w:rPr>
          <w:lang w:val="en-GB" w:eastAsia="en-US"/>
        </w:rPr>
      </w:pPr>
      <w:r>
        <w:rPr>
          <w:lang w:val="en-GB" w:eastAsia="en-US"/>
        </w:rPr>
        <w:t>Legend:</w:t>
      </w:r>
    </w:p>
    <w:p w14:paraId="7688A16F" w14:textId="11F73A9C" w:rsidR="00D521A4" w:rsidRPr="00B770A1" w:rsidRDefault="00B770A1" w:rsidP="00B770A1">
      <w:pPr>
        <w:spacing w:line="360" w:lineRule="auto"/>
        <w:ind w:firstLine="426"/>
        <w:jc w:val="both"/>
        <w:rPr>
          <w:rFonts w:asciiTheme="majorBidi" w:hAnsiTheme="majorBidi" w:cstheme="majorBidi"/>
          <w:lang w:val="sk-SK"/>
        </w:rPr>
      </w:pPr>
      <w:r>
        <w:rPr>
          <w:noProof/>
          <w:lang w:val="en-GB" w:eastAsia="en-US"/>
          <w14:ligatures w14:val="standardContextual"/>
        </w:rPr>
        <mc:AlternateContent>
          <mc:Choice Requires="wps">
            <w:drawing>
              <wp:anchor distT="0" distB="0" distL="114300" distR="114300" simplePos="0" relativeHeight="251726848" behindDoc="0" locked="0" layoutInCell="1" allowOverlap="1" wp14:anchorId="54B4641C" wp14:editId="1C0A7559">
                <wp:simplePos x="0" y="0"/>
                <wp:positionH relativeFrom="column">
                  <wp:posOffset>17780</wp:posOffset>
                </wp:positionH>
                <wp:positionV relativeFrom="paragraph">
                  <wp:posOffset>22860</wp:posOffset>
                </wp:positionV>
                <wp:extent cx="180000" cy="180000"/>
                <wp:effectExtent l="0" t="0" r="10795" b="10795"/>
                <wp:wrapNone/>
                <wp:docPr id="661614633"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solidFill>
                          <a:srgbClr val="EE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7ACA5" id="Rectangle 6" o:spid="_x0000_s1026" style="position:absolute;margin-left:1.4pt;margin-top:1.8pt;width:14.15pt;height:14.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ct3bQIAAEYFAAAOAAAAZHJzL2Uyb0RvYy54bWysVEtv2zAMvg/YfxB0Xx0H7dYFdYqgj2FA&#10;0RZth54VWYoFyKJGKXGyXz9KdpygK3YYloNCmuTHhz7q4nLbWrZRGAy4ipcnE86Uk1Abt6r4j5fb&#10;T+echShcLSw4VfGdCvxy/vHDRednagoN2FohIxAXZp2veBOjnxVFkI1qRTgBrxwZNWArIqm4KmoU&#10;HaG3tphOJp+LDrD2CFKFQF+veyOfZ3ytlYwPWgcVma041RbziflcprOYX4jZCoVvjBzKEP9QRSuM&#10;o6Qj1LWIgq3R/AHVGokQQMcTCW0BWhupcg/UTTl5081zI7zKvdBwgh/HFP4frLzfPPtHpDF0PswC&#10;iamLrcY2/VN9bJuHtRuHpbaRSfpYnk/ox5kk0yATSnEI9hjiNwUtS0LFke4ij0hs7kLsXfcuKVcA&#10;a+pbY21WcLW8ssg2gu7t5iZn6kOO3IpDyVmKO6tSsHVPSjNTU5HTnDGzSY14QkrlYtmbGlGrPk15&#10;lvoZsiT+pYjcUQZMyJrKG7EHgL1nD7LH7mEG/xSqMhnH4MnfCuuDx4icGVwcg1vjAN8DsNTVkLn3&#10;p/KPRpPEJdS7R2QI/SoEL28N3c+dCPFRIHGfrpT2OT7QoS10FYdB4qwB/PXe9+RPlCQrZx3tUsXD&#10;z7VAxZn97oisX8vT07R8WTk9+zIlBY8ty2OLW7dXQNde0svhZRaTf7R7USO0r7T2i5SVTMJJyl1x&#10;GXGvXMV+x+nhkGqxyG60cF7EO/fsZQJPU038e9m+CvQDSSOx+x72eydmb7ja+6ZIB4t1BG0ykQ9z&#10;HeZNy5qJMzws6TU41rPX4fmb/wYAAP//AwBQSwMEFAAGAAgAAAAhAOoaqj3bAAAABQEAAA8AAABk&#10;cnMvZG93bnJldi54bWxMzsFqwzAMBuD7YO9gNOhtddKMkGZxygjsuEK7wtjNjbUkLJZd223St697&#10;2k5C/OLXV21mPbILOj8YEpAuE2BIrVEDdQIOn+/PBTAfJCk5GkIBV/SwqR8fKlkqM9EOL/vQsVhC&#10;vpQC+hBsyblve9TSL41FitmPcVqGuLqOKyenWK5HvkqSnGs5UPzQS4tNj+3v/qwFfNniZb2ddh/N&#10;qXNFk8/2lGTfQiye5rdXYAHn8HcMd36kQx1NR3Mm5dkoYBXhQUCWA4tplqbAjve5Bl5X/L++vgEA&#10;AP//AwBQSwECLQAUAAYACAAAACEAtoM4kv4AAADhAQAAEwAAAAAAAAAAAAAAAAAAAAAAW0NvbnRl&#10;bnRfVHlwZXNdLnhtbFBLAQItABQABgAIAAAAIQA4/SH/1gAAAJQBAAALAAAAAAAAAAAAAAAAAC8B&#10;AABfcmVscy8ucmVsc1BLAQItABQABgAIAAAAIQBOHct3bQIAAEYFAAAOAAAAAAAAAAAAAAAAAC4C&#10;AABkcnMvZTJvRG9jLnhtbFBLAQItABQABgAIAAAAIQDqGqo92wAAAAUBAAAPAAAAAAAAAAAAAAAA&#10;AMcEAABkcnMvZG93bnJldi54bWxQSwUGAAAAAAQABADzAAAAzwUAAAAA&#10;" fillcolor="#e00" strokecolor="#030e13 [484]" strokeweight="1pt"/>
            </w:pict>
          </mc:Fallback>
        </mc:AlternateContent>
      </w:r>
      <w:r w:rsidRPr="00B770A1">
        <w:rPr>
          <w:rFonts w:asciiTheme="majorBidi" w:hAnsiTheme="majorBidi" w:cstheme="majorBidi"/>
          <w:lang w:val="sk-SK"/>
        </w:rPr>
        <w:t>-</w:t>
      </w:r>
      <w:r>
        <w:rPr>
          <w:rFonts w:asciiTheme="majorBidi" w:hAnsiTheme="majorBidi" w:cstheme="majorBidi"/>
        </w:rPr>
        <w:t xml:space="preserve"> </w:t>
      </w:r>
      <w:r w:rsidR="00D521A4" w:rsidRPr="00B770A1">
        <w:rPr>
          <w:rFonts w:asciiTheme="majorBidi" w:hAnsiTheme="majorBidi" w:cstheme="majorBidi"/>
        </w:rPr>
        <w:t>risk that the milestone/target will not be met</w:t>
      </w:r>
    </w:p>
    <w:p w14:paraId="72A614CF" w14:textId="728A129E" w:rsidR="00D521A4" w:rsidRPr="00D521A4" w:rsidRDefault="00B770A1" w:rsidP="00B770A1">
      <w:pPr>
        <w:pStyle w:val="ListParagraph"/>
        <w:spacing w:line="360" w:lineRule="auto"/>
        <w:ind w:left="426"/>
        <w:jc w:val="both"/>
        <w:rPr>
          <w:rFonts w:asciiTheme="majorBidi" w:hAnsiTheme="majorBidi" w:cstheme="majorBidi"/>
        </w:rPr>
      </w:pPr>
      <w:r w:rsidRPr="00D521A4">
        <w:rPr>
          <w:rFonts w:asciiTheme="majorBidi" w:hAnsiTheme="majorBidi" w:cstheme="majorBidi"/>
          <w:noProof/>
        </w:rPr>
        <mc:AlternateContent>
          <mc:Choice Requires="wps">
            <w:drawing>
              <wp:anchor distT="0" distB="0" distL="114300" distR="114300" simplePos="0" relativeHeight="251728896" behindDoc="0" locked="0" layoutInCell="1" allowOverlap="1" wp14:anchorId="1E495689" wp14:editId="1264296A">
                <wp:simplePos x="0" y="0"/>
                <wp:positionH relativeFrom="column">
                  <wp:posOffset>19050</wp:posOffset>
                </wp:positionH>
                <wp:positionV relativeFrom="paragraph">
                  <wp:posOffset>541655</wp:posOffset>
                </wp:positionV>
                <wp:extent cx="180000" cy="180000"/>
                <wp:effectExtent l="0" t="0" r="10795" b="10795"/>
                <wp:wrapNone/>
                <wp:docPr id="835657897" name="Rectangle 6"/>
                <wp:cNvGraphicFramePr/>
                <a:graphic xmlns:a="http://schemas.openxmlformats.org/drawingml/2006/main">
                  <a:graphicData uri="http://schemas.microsoft.com/office/word/2010/wordprocessingShape">
                    <wps:wsp>
                      <wps:cNvSpPr/>
                      <wps:spPr>
                        <a:xfrm flipH="1">
                          <a:off x="0" y="0"/>
                          <a:ext cx="180000" cy="180000"/>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4F8F3" id="Rectangle 6" o:spid="_x0000_s1026" style="position:absolute;margin-left:1.5pt;margin-top:42.65pt;width:14.15pt;height:14.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QxvcgIAAFAFAAAOAAAAZHJzL2Uyb0RvYy54bWysVF9P2zAQf5+072D5fSStYIOKFFUgtkkI&#10;qsHEs+vYjSXH553dpt2n39lJQwVoD9PyYN3l7n73/y6vdq1lW4XBgKv45KTkTDkJtXHriv98uv10&#10;zlmIwtXCglMV36vAr+YfP1x2fqam0ICtFTICcWHW+Yo3MfpZUQTZqFaEE/DKkVADtiISi+uiRtER&#10;emuLaVl+LjrA2iNIFQL9vemFfJ7xtVYyPmgdVGS24hRbzC/md5XeYn4pZmsUvjFyCEP8QxStMI6c&#10;jlA3Igq2QfMGqjUSIYCOJxLaArQ2UuUcKJtJ+Sqbx0Z4lXOh4gQ/lin8P1h5v330S6QydD7MApEp&#10;i53Glmlr/Dfqac6LImW7XLb9WDa1i0zSz8l5SR9nkkQDTXhFD5PgPIb4VUHLElFxpK5kULG9C7FX&#10;Pagk9QDW1LfG2szgenVtkW0FdfBielOe5aYR+pFa8RJ8puLeqmRs3Q+lmakpyGn2mOdKjXhCSuVi&#10;n2FoRK16N5OzlE8f2GiRM8qACVlTeCP2AJBm9i12DzPoJ1OVx3I0Lv8WWG88WmTP4OJo3BoH+B6A&#10;pawGz70+hX9UmkSuoN4vkSH0SxG8vDXUnzsR4lIgbQG1lDY7PtCjLXQVh4HirAH8/d7/pE/DSVLO&#10;OtqqiodfG4GKM/vd0dheTE5P0xpm5vTsy5QYPJasjiVu014DtX1CN8TLTCb9aA+kRmif6QAsklcS&#10;CSfJd8VlxANzHfttpxMi1WKR1Wj1vIh37tHLw3yn+XvaPQv0w5BGmu57OGygmL2a1V439cPBYhNB&#10;mzzIL3Ud6k1rmwdnODHpLhzzWevlEM7/AAAA//8DAFBLAwQUAAYACAAAACEAPEEztNsAAAAHAQAA&#10;DwAAAGRycy9kb3ducmV2LnhtbEyPzUrEQBCE74LvMLTgzZ3EmCXETBYRFA8qbPQBejO9SXB+wsxs&#10;Nr697UlPRVNF1dfNbrVGLBTi5J2CfJOBINd7PblBwefH000FIiZ0Go13pOCbIuzay4sGa+3Pbk9L&#10;lwbBJS7WqGBMaa6ljP1IFuPGz+TYO/pgMfEZBqkDnrncGnmbZVtpcXK8MOJMjyP1X93JKnh9fjdl&#10;aW14GaR/69Avd1U4KnV9tT7cg0i0pr8w/OIzOrTMdPAnp6MwCgr+JCmoygIE20XOeuBYXmxBto38&#10;z9/+AAAA//8DAFBLAQItABQABgAIAAAAIQC2gziS/gAAAOEBAAATAAAAAAAAAAAAAAAAAAAAAABb&#10;Q29udGVudF9UeXBlc10ueG1sUEsBAi0AFAAGAAgAAAAhADj9If/WAAAAlAEAAAsAAAAAAAAAAAAA&#10;AAAALwEAAF9yZWxzLy5yZWxzUEsBAi0AFAAGAAgAAAAhAATtDG9yAgAAUAUAAA4AAAAAAAAAAAAA&#10;AAAALgIAAGRycy9lMm9Eb2MueG1sUEsBAi0AFAAGAAgAAAAhADxBM7TbAAAABwEAAA8AAAAAAAAA&#10;AAAAAAAAzAQAAGRycy9kb3ducmV2LnhtbFBLBQYAAAAABAAEAPMAAADUBQAAAAA=&#10;" fillcolor="#92d050" strokecolor="#030e13 [484]" strokeweight="1pt"/>
            </w:pict>
          </mc:Fallback>
        </mc:AlternateContent>
      </w:r>
      <w:r w:rsidR="00D521A4" w:rsidRPr="00D521A4">
        <w:rPr>
          <w:rFonts w:asciiTheme="majorBidi" w:hAnsiTheme="majorBidi" w:cstheme="majorBidi"/>
          <w:noProof/>
        </w:rPr>
        <mc:AlternateContent>
          <mc:Choice Requires="wps">
            <w:drawing>
              <wp:anchor distT="0" distB="0" distL="114300" distR="114300" simplePos="0" relativeHeight="251727872" behindDoc="0" locked="0" layoutInCell="1" allowOverlap="1" wp14:anchorId="473D3991" wp14:editId="0FFABF43">
                <wp:simplePos x="0" y="0"/>
                <wp:positionH relativeFrom="column">
                  <wp:posOffset>13335</wp:posOffset>
                </wp:positionH>
                <wp:positionV relativeFrom="paragraph">
                  <wp:posOffset>3175</wp:posOffset>
                </wp:positionV>
                <wp:extent cx="180000" cy="180000"/>
                <wp:effectExtent l="0" t="0" r="10795" b="10795"/>
                <wp:wrapNone/>
                <wp:docPr id="962323313"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307C6" id="Rectangle 6" o:spid="_x0000_s1026" style="position:absolute;margin-left:1.05pt;margin-top:.25pt;width:14.15pt;height:14.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FFbAIAAEYFAAAOAAAAZHJzL2Uyb0RvYy54bWysVE1v2zAMvQ/YfxB0Xx0H7dYFdYogRYYB&#10;RVusHXpWZCkWIIsapcTJfv0o2XGCbthhWA4KaZKPH3rUze2+tWynMBhwFS8vJpwpJ6E2blPx7y+r&#10;D9echShcLSw4VfGDCvx2/v7dTednagoN2FohIxAXZp2veBOjnxVFkI1qRbgArxwZNWArIqm4KWoU&#10;HaG3tphOJh+LDrD2CFKFQF/veiOfZ3ytlYyPWgcVma041Rbziflcp7OY34jZBoVvjBzKEP9QRSuM&#10;o6Qj1J2Igm3R/AbVGokQQMcLCW0BWhupcg/UTTl5081zI7zKvdBwgh/HFP4frHzYPfsnpDF0PswC&#10;iamLvcY2/VN9bJ+HdRiHpfaRSfpYXk/ox5kk0yATSnEK9hjiFwUtS0LFke4ij0js7kPsXY8uKVcA&#10;a+qVsTYruFkvLbKdoHtbrZYpUx9y5lacSs5SPFiVgq37pjQzNRU5zRkzm9SIJ6RULpa9qRG16tOU&#10;V2dZEv9SRO4oAyZkTeWN2APA0bMHOWL3xQ7+KVRlMo7Bk78V1gePETkzuDgGt8YB/gnAUldD5t6f&#10;yj8bTRLXUB+ekCH0qxC8XBm6n3sR4pNA4j5dKe1zfKRDW+gqDoPEWQP480/fkz9RkqycdbRLFQ8/&#10;tgIVZ/arI7J+Li8v0/Jl5fLq05QUPLeszy1u2y6Brr2kl8PLLCb/aI+iRmhfae0XKSuZhJOUu+Iy&#10;4lFZxn7H6eGQarHIbrRwXsR79+xlAk9TTfx72b8K9ANJI7H7AY57J2ZvuNr7pkgHi20EbTKRT3Md&#10;5k3LmokzPCzpNTjXs9fp+Zv/AgAA//8DAFBLAwQUAAYACAAAACEAR2M/EdkAAAAEAQAADwAAAGRy&#10;cy9kb3ducmV2LnhtbEyOzU7DMBCE70h9B2uRuFGnBaoojVNVFb0hJNIe4ObG2yTCXkex2yR9epYT&#10;HOdHM1++GZ0VV+xD60nBYp6AQKq8aalWcDzsH1MQIWoy2npCBRMG2BSzu1xnxg/0gdcy1oJHKGRa&#10;QRNjl0kZqgadDnPfIXF29r3TkWVfS9PrgcedlcskWUmnW+KHRne4a7D6Li+OT94/b8aW8Qtl2e3N&#10;2+u0vQ2TUg/343YNIuIY/8rwi8/oUDDTyV/IBGEVLBdcVPACgsOn5BnEic00BVnk8j988QMAAP//&#10;AwBQSwECLQAUAAYACAAAACEAtoM4kv4AAADhAQAAEwAAAAAAAAAAAAAAAAAAAAAAW0NvbnRlbnRf&#10;VHlwZXNdLnhtbFBLAQItABQABgAIAAAAIQA4/SH/1gAAAJQBAAALAAAAAAAAAAAAAAAAAC8BAABf&#10;cmVscy8ucmVsc1BLAQItABQABgAIAAAAIQAiNDFFbAIAAEYFAAAOAAAAAAAAAAAAAAAAAC4CAABk&#10;cnMvZTJvRG9jLnhtbFBLAQItABQABgAIAAAAIQBHYz8R2QAAAAQBAAAPAAAAAAAAAAAAAAAAAMYE&#10;AABkcnMvZG93bnJldi54bWxQSwUGAAAAAAQABADzAAAAzAUAAAAA&#10;" fillcolor="#ffc000" strokecolor="#030e13 [484]" strokeweight="1pt"/>
            </w:pict>
          </mc:Fallback>
        </mc:AlternateContent>
      </w:r>
      <w:r>
        <w:rPr>
          <w:rFonts w:asciiTheme="majorBidi" w:hAnsiTheme="majorBidi" w:cstheme="majorBidi"/>
        </w:rPr>
        <w:t xml:space="preserve">- </w:t>
      </w:r>
      <w:r w:rsidR="00D521A4" w:rsidRPr="00D521A4">
        <w:rPr>
          <w:rFonts w:asciiTheme="majorBidi" w:hAnsiTheme="majorBidi" w:cstheme="majorBidi"/>
        </w:rPr>
        <w:t>delay in the milestone/target, expected to be completed before submission of th</w:t>
      </w:r>
      <w:r>
        <w:rPr>
          <w:rFonts w:asciiTheme="majorBidi" w:hAnsiTheme="majorBidi" w:cstheme="majorBidi"/>
        </w:rPr>
        <w:t xml:space="preserve">e </w:t>
      </w:r>
      <w:r w:rsidR="00D521A4" w:rsidRPr="00D521A4">
        <w:rPr>
          <w:rFonts w:asciiTheme="majorBidi" w:hAnsiTheme="majorBidi" w:cstheme="majorBidi"/>
        </w:rPr>
        <w:t xml:space="preserve">payment </w:t>
      </w:r>
      <w:r>
        <w:rPr>
          <w:rFonts w:asciiTheme="majorBidi" w:hAnsiTheme="majorBidi" w:cstheme="majorBidi"/>
        </w:rPr>
        <w:t xml:space="preserve"> </w:t>
      </w:r>
      <w:r>
        <w:rPr>
          <w:rFonts w:asciiTheme="majorBidi" w:hAnsiTheme="majorBidi" w:cstheme="majorBidi"/>
        </w:rPr>
        <w:br/>
        <w:t xml:space="preserve">  </w:t>
      </w:r>
      <w:r w:rsidR="00D521A4" w:rsidRPr="00D521A4">
        <w:rPr>
          <w:rFonts w:asciiTheme="majorBidi" w:hAnsiTheme="majorBidi" w:cstheme="majorBidi"/>
        </w:rPr>
        <w:t>request</w:t>
      </w:r>
    </w:p>
    <w:p w14:paraId="68794235" w14:textId="5DF9877D" w:rsidR="00D521A4" w:rsidRPr="00D521A4" w:rsidRDefault="00B770A1" w:rsidP="00B770A1">
      <w:pPr>
        <w:pStyle w:val="ListParagraph"/>
        <w:spacing w:line="360" w:lineRule="auto"/>
        <w:ind w:left="426"/>
        <w:jc w:val="both"/>
        <w:rPr>
          <w:rFonts w:asciiTheme="majorBidi" w:hAnsiTheme="majorBidi" w:cstheme="majorBidi"/>
        </w:rPr>
      </w:pPr>
      <w:r w:rsidRPr="00D521A4">
        <w:rPr>
          <w:rFonts w:asciiTheme="majorBidi" w:hAnsiTheme="majorBidi" w:cstheme="majorBidi"/>
          <w:noProof/>
        </w:rPr>
        <mc:AlternateContent>
          <mc:Choice Requires="wps">
            <w:drawing>
              <wp:anchor distT="0" distB="0" distL="114300" distR="114300" simplePos="0" relativeHeight="251729920" behindDoc="0" locked="0" layoutInCell="1" allowOverlap="1" wp14:anchorId="42701762" wp14:editId="6200AAEB">
                <wp:simplePos x="0" y="0"/>
                <wp:positionH relativeFrom="column">
                  <wp:posOffset>24130</wp:posOffset>
                </wp:positionH>
                <wp:positionV relativeFrom="paragraph">
                  <wp:posOffset>270510</wp:posOffset>
                </wp:positionV>
                <wp:extent cx="180000" cy="180000"/>
                <wp:effectExtent l="0" t="0" r="10795" b="10795"/>
                <wp:wrapNone/>
                <wp:docPr id="1314683547"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solidFill>
                          <a:schemeClr val="bg1">
                            <a:lumMod val="6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3BBC2E" id="Rectangle 6" o:spid="_x0000_s1026" style="position:absolute;margin-left:1.9pt;margin-top:21.3pt;width:14.15pt;height:14.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rWqdAIAAGkFAAAOAAAAZHJzL2Uyb0RvYy54bWysVF9vEzEMf0fiO0R5Z9ertgHVrlO1aQhp&#10;bBMb2nOaS3qRkjgkaa/l0+Mk12sZgwfEPeTs2P75T2xfXG6NJhvhgwLb0PpkQomwHFplVw399nTz&#10;7gMlITLbMg1WNHQnAr2cv31z0buZmEIHuhWeIIgNs941tIvRzaoq8E4YFk7ACYtCCd6wiKxfVa1n&#10;PaIbXU0nk/OqB986D1yEgLfXRUjnGV9KweO9lEFEohuKscV8+nwu01nNL9hs5ZnrFB/CYP8QhWHK&#10;otMR6ppFRtZe/QZlFPcQQMYTDqYCKRUXOQfMpp68yOaxY07kXLA4wY1lCv8Plt9tHt2DxzL0LswC&#10;kimLrfQm/TE+ss3F2o3FEttIOF7WHyb4UcJRNNCIUh2MnQ/xkwBDEtFQj2+RS8Q2tyEW1b1K8hVA&#10;q/ZGaZ2Z9P7iSnuyYfhyy1WdTfXafIG23J2fJfcFJ7dLUs8BHCFVh6wyFXdaJHxtvwpJVIt5TDPy&#10;iFDAGefCxuI0dKwV5br+o88MmJAlZjBiDwC/JrPHLqEP+slU5H4djSd/C6wYjxbZM9g4Ghtlwb8G&#10;oDGrwXPRx5IdlSaRS2h3D554KNMSHL9R+IS3LMQH5nE88NVx5OM9HlJD31AYKEo68D9eu0/62LUo&#10;paTHcWto+L5mXlCiP1vs54/16Wmaz8ycnr2fIuOPJctjiV2bK8C+qHG5OJ7JpB/1npQezDNuhkXy&#10;iiJmOfpuKI9+z1zFsgZwt3CxWGQ1nEnH4q19dDyBp6qmFn3aPjPvhj6OOAB3sB9NNnvRzkU3WVpY&#10;rCNIlXv9UNeh3jjPuVmH3ZMWxjGftQ4bcv4TAAD//wMAUEsDBBQABgAIAAAAIQB8u1EY3wAAAAYB&#10;AAAPAAAAZHJzL2Rvd25yZXYueG1sTM7NTsMwEATgOxLvYC0SF0SdplWBkE3V8nOpBBItKhydeEmi&#10;xuvIdtPw9pgTHFezmvny5Wg6MZDzrWWE6SQBQVxZ3XKN8L57vr4F4YNirTrLhPBNHpbF+VmuMm1P&#10;/EbDNtQilrDPFEITQp9J6auGjPIT2xPH7Ms6o0I8XS21U6dYbjqZJslCGtVyXGhUTw8NVYft0SAM&#10;yq2uXsqPp/X6kw+7+eu+3DzuES8vxtU9iEBj+HuGX36kQxFNpT2y9qJDmEV4QJinCxAxnqVTECXC&#10;TXIHssjlf37xAwAA//8DAFBLAQItABQABgAIAAAAIQC2gziS/gAAAOEBAAATAAAAAAAAAAAAAAAA&#10;AAAAAABbQ29udGVudF9UeXBlc10ueG1sUEsBAi0AFAAGAAgAAAAhADj9If/WAAAAlAEAAAsAAAAA&#10;AAAAAAAAAAAALwEAAF9yZWxzLy5yZWxzUEsBAi0AFAAGAAgAAAAhAKPStap0AgAAaQUAAA4AAAAA&#10;AAAAAAAAAAAALgIAAGRycy9lMm9Eb2MueG1sUEsBAi0AFAAGAAgAAAAhAHy7URjfAAAABgEAAA8A&#10;AAAAAAAAAAAAAAAAzgQAAGRycy9kb3ducmV2LnhtbFBLBQYAAAAABAAEAPMAAADaBQAAAAA=&#10;" fillcolor="#a5a5a5 [2092]" strokecolor="#030e13 [484]" strokeweight="1pt"/>
            </w:pict>
          </mc:Fallback>
        </mc:AlternateContent>
      </w:r>
      <w:r>
        <w:rPr>
          <w:rFonts w:asciiTheme="majorBidi" w:hAnsiTheme="majorBidi" w:cstheme="majorBidi"/>
        </w:rPr>
        <w:t xml:space="preserve">- </w:t>
      </w:r>
      <w:r w:rsidR="00D521A4" w:rsidRPr="00D521A4">
        <w:rPr>
          <w:rFonts w:asciiTheme="majorBidi" w:hAnsiTheme="majorBidi" w:cstheme="majorBidi"/>
        </w:rPr>
        <w:t xml:space="preserve">completed </w:t>
      </w:r>
    </w:p>
    <w:p w14:paraId="0EEDD295" w14:textId="236111ED" w:rsidR="00D521A4" w:rsidRPr="00D521A4" w:rsidRDefault="00B770A1" w:rsidP="00B770A1">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D521A4" w:rsidRPr="00D521A4">
        <w:rPr>
          <w:rFonts w:asciiTheme="majorBidi" w:hAnsiTheme="majorBidi" w:cstheme="majorBidi"/>
        </w:rPr>
        <w:t xml:space="preserve">on track/according to plan </w:t>
      </w:r>
    </w:p>
    <w:p w14:paraId="235D199B" w14:textId="77777777" w:rsidR="00D521A4" w:rsidRDefault="00D521A4" w:rsidP="0090544F">
      <w:pPr>
        <w:rPr>
          <w:lang w:val="en-GB" w:eastAsia="en-US"/>
        </w:rPr>
      </w:pPr>
    </w:p>
    <w:p w14:paraId="3BBAB2F5" w14:textId="77777777" w:rsidR="00B770A1" w:rsidRDefault="00B770A1" w:rsidP="0090544F">
      <w:pPr>
        <w:rPr>
          <w:lang w:val="en-GB" w:eastAsia="en-US"/>
        </w:rPr>
      </w:pPr>
    </w:p>
    <w:p w14:paraId="1377CA4A" w14:textId="77777777" w:rsidR="00B770A1" w:rsidRDefault="00B770A1" w:rsidP="0090544F">
      <w:pPr>
        <w:rPr>
          <w:lang w:val="en-GB" w:eastAsia="en-US"/>
        </w:rPr>
      </w:pPr>
    </w:p>
    <w:p w14:paraId="6384E79B" w14:textId="77777777" w:rsidR="00B770A1" w:rsidRPr="00B770A1" w:rsidRDefault="00B770A1" w:rsidP="00B770A1">
      <w:pPr>
        <w:pStyle w:val="Caption"/>
        <w:keepNext/>
        <w:jc w:val="center"/>
        <w:rPr>
          <w:rFonts w:asciiTheme="majorBidi" w:hAnsiTheme="majorBidi" w:cstheme="majorBidi"/>
          <w:color w:val="000000" w:themeColor="text1"/>
          <w:sz w:val="22"/>
          <w:szCs w:val="22"/>
        </w:rPr>
      </w:pPr>
      <w:r w:rsidRPr="00B770A1">
        <w:rPr>
          <w:rFonts w:asciiTheme="majorBidi" w:hAnsiTheme="majorBidi" w:cstheme="majorBidi"/>
          <w:b/>
          <w:bCs/>
          <w:color w:val="000000" w:themeColor="text1"/>
          <w:sz w:val="24"/>
          <w:szCs w:val="24"/>
        </w:rPr>
        <w:lastRenderedPageBreak/>
        <w:t>Table 2: 7th payment request of Slovakia: Milestones Semafor</w:t>
      </w:r>
    </w:p>
    <w:tbl>
      <w:tblPr>
        <w:tblStyle w:val="PlainTable2"/>
        <w:tblW w:w="9022" w:type="dxa"/>
        <w:tblLook w:val="04A0" w:firstRow="1" w:lastRow="0" w:firstColumn="1" w:lastColumn="0" w:noHBand="0" w:noVBand="1"/>
      </w:tblPr>
      <w:tblGrid>
        <w:gridCol w:w="328"/>
        <w:gridCol w:w="6476"/>
        <w:gridCol w:w="1982"/>
        <w:gridCol w:w="236"/>
      </w:tblGrid>
      <w:tr w:rsidR="00B770A1" w:rsidRPr="00B770A1" w14:paraId="2A8D15A6" w14:textId="77777777" w:rsidTr="008E2F4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8" w:type="dxa"/>
          </w:tcPr>
          <w:p w14:paraId="7CB60942" w14:textId="77777777" w:rsidR="00B770A1" w:rsidRPr="00B770A1" w:rsidRDefault="00B770A1" w:rsidP="008E2F46">
            <w:pPr>
              <w:rPr>
                <w:rFonts w:asciiTheme="majorBidi" w:hAnsiTheme="majorBidi" w:cstheme="majorBidi"/>
                <w:lang w:val="en-GB" w:eastAsia="en-US"/>
              </w:rPr>
            </w:pPr>
          </w:p>
        </w:tc>
        <w:tc>
          <w:tcPr>
            <w:tcW w:w="6476" w:type="dxa"/>
            <w:tcBorders>
              <w:bottom w:val="single" w:sz="12" w:space="0" w:color="auto"/>
            </w:tcBorders>
            <w:vAlign w:val="center"/>
          </w:tcPr>
          <w:p w14:paraId="6094C706" w14:textId="10EA2536" w:rsidR="00B770A1" w:rsidRPr="00B770A1" w:rsidRDefault="00B770A1" w:rsidP="00B770A1">
            <w:pPr>
              <w:spacing w:after="24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sidRPr="00B770A1">
              <w:rPr>
                <w:rFonts w:asciiTheme="majorBidi" w:hAnsiTheme="majorBidi" w:cstheme="majorBidi"/>
                <w:color w:val="000000"/>
              </w:rPr>
              <w:t>Milestones / targets</w:t>
            </w:r>
          </w:p>
        </w:tc>
        <w:tc>
          <w:tcPr>
            <w:tcW w:w="1982" w:type="dxa"/>
          </w:tcPr>
          <w:p w14:paraId="46A412A9" w14:textId="77777777" w:rsidR="00B770A1" w:rsidRPr="00B770A1" w:rsidRDefault="00B770A1" w:rsidP="008E2F46">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Component</w:t>
            </w:r>
          </w:p>
        </w:tc>
        <w:tc>
          <w:tcPr>
            <w:tcW w:w="236" w:type="dxa"/>
          </w:tcPr>
          <w:p w14:paraId="1F6CC34D" w14:textId="77777777" w:rsidR="00B770A1" w:rsidRPr="00B770A1" w:rsidRDefault="00B770A1" w:rsidP="008E2F46">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5157C338" w14:textId="77777777" w:rsidTr="008E2F4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8" w:type="dxa"/>
          </w:tcPr>
          <w:p w14:paraId="01844F62"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1968" behindDoc="0" locked="0" layoutInCell="1" allowOverlap="1" wp14:anchorId="5D50DFBF" wp14:editId="1DB4C26C">
                      <wp:simplePos x="0" y="0"/>
                      <wp:positionH relativeFrom="column">
                        <wp:posOffset>-113288</wp:posOffset>
                      </wp:positionH>
                      <wp:positionV relativeFrom="paragraph">
                        <wp:posOffset>46012</wp:posOffset>
                      </wp:positionV>
                      <wp:extent cx="242762" cy="218485"/>
                      <wp:effectExtent l="0" t="0" r="11430" b="10160"/>
                      <wp:wrapNone/>
                      <wp:docPr id="181061300" name="Rectangle 6"/>
                      <wp:cNvGraphicFramePr/>
                      <a:graphic xmlns:a="http://schemas.openxmlformats.org/drawingml/2006/main">
                        <a:graphicData uri="http://schemas.microsoft.com/office/word/2010/wordprocessingShape">
                          <wps:wsp>
                            <wps:cNvSpPr/>
                            <wps:spPr>
                              <a:xfrm>
                                <a:off x="0" y="0"/>
                                <a:ext cx="242762" cy="218485"/>
                              </a:xfrm>
                              <a:prstGeom prst="rect">
                                <a:avLst/>
                              </a:prstGeom>
                              <a:solidFill>
                                <a:schemeClr val="bg1">
                                  <a:lumMod val="6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A80313" id="Rectangle 6" o:spid="_x0000_s1026" style="position:absolute;margin-left:-8.9pt;margin-top:3.6pt;width:19.1pt;height:17.2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tFfAIAAGkFAAAOAAAAZHJzL2Uyb0RvYy54bWysVE1v2zAMvQ/YfxB0X/2BpO2COkXQIsOA&#10;ri3WDj0rshQbkERNUuJkv36U7DhZ1+0w7GKTIvkoPpG8ut5pRbbC+RZMRYuznBJhONStWVf02/Py&#10;wyUlPjBTMwVGVHQvPL2ev3931dmZKKEBVQtHEMT4WWcr2oRgZ1nmeSM082dghUGjBKdZQNWts9qx&#10;DtG1yso8P886cLV1wIX3eHrbG+k84UspeHiQ0otAVEXxbiF9Xfqu4jebX7HZ2jHbtHy4BvuHW2jW&#10;Gkw6Qt2ywMjGtb9B6ZY78CDDGQedgZQtF6kGrKbIX1Xz1DArUi1IjrcjTf7/wfL77ZN9dEhDZ/3M&#10;oxir2Emn4x/vR3aJrP1IltgFwvGwnJQX5yUlHE1lcTm5nEYys2OwdT58EqBJFCrq8C0SRWx750Pv&#10;enCJuTyotl62SiUlvr+4UY5sGb7cal2kULXRX6Duz86neZ7eD1Omdonu6QInSNmxqiSFvRIRX5mv&#10;QpK2jnUk5BGhB2ecCxP6pL5hteiPiz/mTIARWWIFI/YA8GsxB+yegsE/horUr2Nw/reL9cFjRMoM&#10;JozBujXg3gJQWNWQufdHyk6oieIK6v2jIw76afGWL1t8wjvmwyNzOB44SDjy4QE/UkFXURgkShpw&#10;P946j/7YtWilpMNxq6j/vmFOUKI+G+znj8VkEuczKZPpRYmKO7WsTi1mo28A+6LA5WJ5EqN/UAdR&#10;OtAvuBkWMSuamOGYu6I8uINyE/o1gLuFi8UiueFMWhbuzJPlETyyGlv0effCnB36OOAA3MNhNNns&#10;VTv3vjHSwGITQLap14+8DnzjPKdmHXZPXBinevI6bsj5TwAAAP//AwBQSwMEFAAGAAgAAAAhAMS4&#10;+ZHgAAAABwEAAA8AAABkcnMvZG93bnJldi54bWxMzk9Lw0AQBfC74HdYRvAi7SYhtJJmUlr/XAQF&#10;W6k9brJjEpqdDdltGr+960mPwxve++XryXRipMG1lhHieQSCuLK65RrhY/88uwfhvGKtOsuE8E0O&#10;1sX1Va4ybS/8TuPO1yKUsMsUQuN9n0npqoaMcnPbE4fsyw5G+XAOtdSDuoRy08kkihbSqJbDQqN6&#10;emioOu3OBmFUw+butfx82m6PfNqnb4fy5fGAeHszbVYgPE3+7xl++YEORTCV9szaiQ5hFi8D3SMs&#10;ExAhT6IURImQxguQRS7/+4sfAAAA//8DAFBLAQItABQABgAIAAAAIQC2gziS/gAAAOEBAAATAAAA&#10;AAAAAAAAAAAAAAAAAABbQ29udGVudF9UeXBlc10ueG1sUEsBAi0AFAAGAAgAAAAhADj9If/WAAAA&#10;lAEAAAsAAAAAAAAAAAAAAAAALwEAAF9yZWxzLy5yZWxzUEsBAi0AFAAGAAgAAAAhADkC60V8AgAA&#10;aQUAAA4AAAAAAAAAAAAAAAAALgIAAGRycy9lMm9Eb2MueG1sUEsBAi0AFAAGAAgAAAAhAMS4+ZHg&#10;AAAABwEAAA8AAAAAAAAAAAAAAAAA1gQAAGRycy9kb3ducmV2LnhtbFBLBQYAAAAABAAEAPMAAADj&#10;BQAAAAA=&#10;" fillcolor="#a5a5a5 [2092]" strokecolor="#030e13 [484]" strokeweight="1pt"/>
                  </w:pict>
                </mc:Fallback>
              </mc:AlternateContent>
            </w:r>
          </w:p>
        </w:tc>
        <w:tc>
          <w:tcPr>
            <w:tcW w:w="6476" w:type="dxa"/>
            <w:tcBorders>
              <w:top w:val="single" w:sz="12" w:space="0" w:color="auto"/>
              <w:bottom w:val="single" w:sz="12" w:space="0" w:color="auto"/>
            </w:tcBorders>
            <w:vAlign w:val="center"/>
          </w:tcPr>
          <w:p w14:paraId="4BE6206B"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Increasing the capacity of the Slovak Environmental Inspectorate</w:t>
            </w:r>
          </w:p>
          <w:p w14:paraId="56767D17"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val="en-GB" w:eastAsia="en-US"/>
              </w:rPr>
            </w:pPr>
          </w:p>
        </w:tc>
        <w:tc>
          <w:tcPr>
            <w:tcW w:w="1982" w:type="dxa"/>
          </w:tcPr>
          <w:p w14:paraId="1AA9C6F5"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C4</w:t>
            </w:r>
          </w:p>
        </w:tc>
        <w:tc>
          <w:tcPr>
            <w:tcW w:w="236" w:type="dxa"/>
          </w:tcPr>
          <w:p w14:paraId="7E42522F"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0ED72CC5" w14:textId="77777777" w:rsidTr="008E2F46">
        <w:trPr>
          <w:trHeight w:val="272"/>
        </w:trPr>
        <w:tc>
          <w:tcPr>
            <w:cnfStyle w:val="001000000000" w:firstRow="0" w:lastRow="0" w:firstColumn="1" w:lastColumn="0" w:oddVBand="0" w:evenVBand="0" w:oddHBand="0" w:evenHBand="0" w:firstRowFirstColumn="0" w:firstRowLastColumn="0" w:lastRowFirstColumn="0" w:lastRowLastColumn="0"/>
            <w:tcW w:w="328" w:type="dxa"/>
          </w:tcPr>
          <w:p w14:paraId="2EE915C9" w14:textId="77777777" w:rsidR="00B770A1" w:rsidRPr="00B770A1" w:rsidRDefault="00B770A1" w:rsidP="00B770A1">
            <w:pPr>
              <w:spacing w:after="240"/>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5040" behindDoc="0" locked="0" layoutInCell="1" allowOverlap="1" wp14:anchorId="7FA55C0B" wp14:editId="79996756">
                      <wp:simplePos x="0" y="0"/>
                      <wp:positionH relativeFrom="column">
                        <wp:posOffset>0</wp:posOffset>
                      </wp:positionH>
                      <wp:positionV relativeFrom="paragraph">
                        <wp:posOffset>16510</wp:posOffset>
                      </wp:positionV>
                      <wp:extent cx="194209" cy="169933"/>
                      <wp:effectExtent l="0" t="0" r="15875" b="20955"/>
                      <wp:wrapNone/>
                      <wp:docPr id="1191597530"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CB12C3" id="Rectangle 6" o:spid="_x0000_s1026" style="position:absolute;margin-left:0;margin-top:1.3pt;width:15.3pt;height:13.4pt;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oAeO&#10;rtkAAAAEAQAADwAAAGRycy9kb3ducmV2LnhtbEyPwU7DMBBE70j8g7VI3KhDaasS4lQICcQBkAh8&#10;wDbeJhH2OrLdNPw9ywlOo9GsZt5Wu9k7NVFMQ2AD14sCFHEb7MCdgc+Px6stqJSRLbrAZOCbEuzq&#10;87MKSxtO/E5TkzslJZxKNNDnPJZap7Ynj2kRRmLJDiF6zGJjp23Ek5R7p5dFsdEeB5aFHkd66Kn9&#10;ao7ewMvTm1uvvY/PnQ6vDYZptY0HYy4v5vs7UJnm/HcMv/iCDrUw7cORbVLOgDySDSw3oCS8KUT3&#10;Ym9XoOtK/4evfwAAAP//AwBQSwECLQAUAAYACAAAACEAtoM4kv4AAADhAQAAEwAAAAAAAAAAAAAA&#10;AAAAAAAAW0NvbnRlbnRfVHlwZXNdLnhtbFBLAQItABQABgAIAAAAIQA4/SH/1gAAAJQBAAALAAAA&#10;AAAAAAAAAAAAAC8BAABfcmVscy8ucmVsc1BLAQItABQABgAIAAAAIQCykE6eewIAAFAFAAAOAAAA&#10;AAAAAAAAAAAAAC4CAABkcnMvZTJvRG9jLnhtbFBLAQItABQABgAIAAAAIQCgB46u2QAAAAQ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6ABE30E6" w14:textId="3D949D7E" w:rsidR="00B770A1" w:rsidRPr="00B770A1" w:rsidRDefault="00B770A1" w:rsidP="00B770A1">
            <w:pPr>
              <w:spacing w:after="24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Pr="00B770A1">
              <w:rPr>
                <w:rFonts w:asciiTheme="majorBidi" w:hAnsiTheme="majorBidi" w:cstheme="majorBidi"/>
                <w:color w:val="000000"/>
              </w:rPr>
              <w:t>Amended F departments</w:t>
            </w:r>
          </w:p>
        </w:tc>
        <w:tc>
          <w:tcPr>
            <w:tcW w:w="1982" w:type="dxa"/>
          </w:tcPr>
          <w:p w14:paraId="1D66DF25" w14:textId="77777777" w:rsidR="00B770A1" w:rsidRPr="00B770A1" w:rsidRDefault="00B770A1" w:rsidP="00C16929">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C6</w:t>
            </w:r>
          </w:p>
        </w:tc>
        <w:tc>
          <w:tcPr>
            <w:tcW w:w="236" w:type="dxa"/>
          </w:tcPr>
          <w:p w14:paraId="0E8B3E06" w14:textId="77777777" w:rsidR="00B770A1" w:rsidRPr="00B770A1" w:rsidRDefault="00B770A1" w:rsidP="00B770A1">
            <w:pPr>
              <w:spacing w:after="24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5E04FAAE" w14:textId="77777777" w:rsidTr="008E2F4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8" w:type="dxa"/>
          </w:tcPr>
          <w:p w14:paraId="6FDD4B12" w14:textId="77777777" w:rsidR="00B770A1" w:rsidRPr="00B770A1" w:rsidRDefault="00B770A1" w:rsidP="00B770A1">
            <w:pPr>
              <w:spacing w:after="240"/>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6064" behindDoc="0" locked="0" layoutInCell="1" allowOverlap="1" wp14:anchorId="0D19DF39" wp14:editId="2B542F6C">
                      <wp:simplePos x="0" y="0"/>
                      <wp:positionH relativeFrom="column">
                        <wp:posOffset>0</wp:posOffset>
                      </wp:positionH>
                      <wp:positionV relativeFrom="paragraph">
                        <wp:posOffset>5080</wp:posOffset>
                      </wp:positionV>
                      <wp:extent cx="194209" cy="169933"/>
                      <wp:effectExtent l="0" t="0" r="15875" b="20955"/>
                      <wp:wrapNone/>
                      <wp:docPr id="280347342"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B623C" id="Rectangle 6" o:spid="_x0000_s1026" style="position:absolute;margin-left:0;margin-top:.4pt;width:15.3pt;height:13.4pt;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JhrY&#10;hdkAAAADAQAADwAAAGRycy9kb3ducmV2LnhtbEzPwU7DMAwG4DsS7xAZiRtLGaxMXd0JIYE4wCQK&#10;D+A1XlutSaok68rbY05wtH7r9+dyO9tBTRxi7x3C7SIDxa7xpnctwtfn880aVEzkDA3eMcI3R9hW&#10;lxclFcaf3QdPdWqVlLhYEEKX0lhoHZuOLcWFH9lJdvDBUpIxtNoEOku5HfQyy3JtqXdyoaORnzpu&#10;jvXJIry97IbVytrw2mr/XpOf7tfhgHh9NT9uQCWe098y/PKFDpWY9v7kTFQDgjySEEQv2V2Wg9oj&#10;LB9y0FWp/9urHwAAAP//AwBQSwECLQAUAAYACAAAACEAtoM4kv4AAADhAQAAEwAAAAAAAAAAAAAA&#10;AAAAAAAAW0NvbnRlbnRfVHlwZXNdLnhtbFBLAQItABQABgAIAAAAIQA4/SH/1gAAAJQBAAALAAAA&#10;AAAAAAAAAAAAAC8BAABfcmVscy8ucmVsc1BLAQItABQABgAIAAAAIQCykE6eewIAAFAFAAAOAAAA&#10;AAAAAAAAAAAAAC4CAABkcnMvZTJvRG9jLnhtbFBLAQItABQABgAIAAAAIQAmGtiF2QAAAAM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69BEED5D" w14:textId="07FF2969" w:rsidR="00B770A1" w:rsidRPr="00B770A1" w:rsidRDefault="00B770A1" w:rsidP="00B770A1">
            <w:pPr>
              <w:spacing w:after="24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Pr="00B770A1">
              <w:rPr>
                <w:rFonts w:asciiTheme="majorBidi" w:hAnsiTheme="majorBidi" w:cstheme="majorBidi"/>
                <w:color w:val="000000"/>
              </w:rPr>
              <w:t>Removal of architectural barriers in secondary schools</w:t>
            </w:r>
          </w:p>
        </w:tc>
        <w:tc>
          <w:tcPr>
            <w:tcW w:w="1982" w:type="dxa"/>
          </w:tcPr>
          <w:p w14:paraId="5CA4F86D" w14:textId="77777777" w:rsidR="00B770A1" w:rsidRPr="00B770A1" w:rsidRDefault="00B770A1" w:rsidP="00C16929">
            <w:pPr>
              <w:spacing w:after="24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C6</w:t>
            </w:r>
          </w:p>
        </w:tc>
        <w:tc>
          <w:tcPr>
            <w:tcW w:w="236" w:type="dxa"/>
          </w:tcPr>
          <w:p w14:paraId="3FDB602A" w14:textId="77777777" w:rsidR="00B770A1" w:rsidRPr="00B770A1" w:rsidRDefault="00B770A1" w:rsidP="00B770A1">
            <w:pPr>
              <w:spacing w:after="24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123CCA52" w14:textId="77777777" w:rsidTr="008E2F46">
        <w:trPr>
          <w:trHeight w:val="272"/>
        </w:trPr>
        <w:tc>
          <w:tcPr>
            <w:cnfStyle w:val="001000000000" w:firstRow="0" w:lastRow="0" w:firstColumn="1" w:lastColumn="0" w:oddVBand="0" w:evenVBand="0" w:oddHBand="0" w:evenHBand="0" w:firstRowFirstColumn="0" w:firstRowLastColumn="0" w:lastRowFirstColumn="0" w:lastRowLastColumn="0"/>
            <w:tcW w:w="328" w:type="dxa"/>
          </w:tcPr>
          <w:p w14:paraId="0011D3BC" w14:textId="77777777" w:rsidR="00B770A1" w:rsidRPr="00B770A1" w:rsidRDefault="00B770A1" w:rsidP="00B770A1">
            <w:pPr>
              <w:spacing w:after="240"/>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7088" behindDoc="0" locked="0" layoutInCell="1" allowOverlap="1" wp14:anchorId="5F50FE75" wp14:editId="413EB4B5">
                      <wp:simplePos x="0" y="0"/>
                      <wp:positionH relativeFrom="column">
                        <wp:posOffset>0</wp:posOffset>
                      </wp:positionH>
                      <wp:positionV relativeFrom="paragraph">
                        <wp:posOffset>-3175</wp:posOffset>
                      </wp:positionV>
                      <wp:extent cx="194209" cy="169933"/>
                      <wp:effectExtent l="0" t="0" r="9525" b="8255"/>
                      <wp:wrapNone/>
                      <wp:docPr id="237247468"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21D600" id="Rectangle 6" o:spid="_x0000_s1026" style="position:absolute;margin-left:0;margin-top:-.25pt;width:15.3pt;height:13.4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yDKt&#10;3tkAAAAEAQAADwAAAGRycy9kb3ducmV2LnhtbEyPwU7DMBBE70j8g7VI3FqHlkRVyKZCSCAOgETg&#10;A7bxNomI15HtpuHvMSc4jmY086baL3ZUM/swOEG4WWegWFpnBukQPj8eVztQIZIYGp0wwjcH2NeX&#10;FxWVxp3lnecmdiqVSCgJoY9xKrUObc+WwtpNLMk7Om8pJuk7bTydU7kd9SbLCm1pkLTQ08QPPbdf&#10;zckivDy9jXlurX/utHttyM23O39EvL5a7u9ARV7iXxh+8RM61Inp4E5ighoR0pGIsMpBJXObFaAO&#10;CJtiC7qu9H/4+gcAAP//AwBQSwECLQAUAAYACAAAACEAtoM4kv4AAADhAQAAEwAAAAAAAAAAAAAA&#10;AAAAAAAAW0NvbnRlbnRfVHlwZXNdLnhtbFBLAQItABQABgAIAAAAIQA4/SH/1gAAAJQBAAALAAAA&#10;AAAAAAAAAAAAAC8BAABfcmVscy8ucmVsc1BLAQItABQABgAIAAAAIQCykE6eewIAAFAFAAAOAAAA&#10;AAAAAAAAAAAAAC4CAABkcnMvZTJvRG9jLnhtbFBLAQItABQABgAIAAAAIQDIMq3e2QAAAAQ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2D6D50E8" w14:textId="3735479E" w:rsidR="00B770A1" w:rsidRPr="00B770A1" w:rsidRDefault="00B770A1" w:rsidP="00B770A1">
            <w:pPr>
              <w:spacing w:after="24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Pr="00B770A1">
              <w:rPr>
                <w:rFonts w:asciiTheme="majorBidi" w:hAnsiTheme="majorBidi" w:cstheme="majorBidi"/>
                <w:color w:val="000000"/>
              </w:rPr>
              <w:t>Number of hospitals integrated into the central management</w:t>
            </w:r>
            <w:r w:rsidR="00B24320">
              <w:rPr>
                <w:rFonts w:asciiTheme="majorBidi" w:hAnsiTheme="majorBidi" w:cstheme="majorBidi"/>
                <w:color w:val="000000"/>
                <w:lang w:val="sk-SK"/>
              </w:rPr>
              <w:br/>
            </w:r>
            <w:r w:rsidRPr="00B770A1">
              <w:rPr>
                <w:rFonts w:asciiTheme="majorBidi" w:hAnsiTheme="majorBidi" w:cstheme="majorBidi"/>
                <w:color w:val="000000"/>
              </w:rPr>
              <w:t xml:space="preserve"> system</w:t>
            </w:r>
          </w:p>
        </w:tc>
        <w:tc>
          <w:tcPr>
            <w:tcW w:w="1982" w:type="dxa"/>
          </w:tcPr>
          <w:p w14:paraId="55C5A474" w14:textId="77777777" w:rsidR="00B770A1" w:rsidRPr="00B770A1" w:rsidRDefault="00B770A1" w:rsidP="00C16929">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C11</w:t>
            </w:r>
          </w:p>
        </w:tc>
        <w:tc>
          <w:tcPr>
            <w:tcW w:w="236" w:type="dxa"/>
          </w:tcPr>
          <w:p w14:paraId="1A42DD9F" w14:textId="77777777" w:rsidR="00B770A1" w:rsidRPr="00B770A1" w:rsidRDefault="00B770A1" w:rsidP="00B770A1">
            <w:pPr>
              <w:spacing w:after="24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2D3EA201" w14:textId="77777777" w:rsidTr="008E2F4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8" w:type="dxa"/>
          </w:tcPr>
          <w:p w14:paraId="412A700D"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8112" behindDoc="0" locked="0" layoutInCell="1" allowOverlap="1" wp14:anchorId="1DA7544E" wp14:editId="06E9A4F5">
                      <wp:simplePos x="0" y="0"/>
                      <wp:positionH relativeFrom="column">
                        <wp:posOffset>1905</wp:posOffset>
                      </wp:positionH>
                      <wp:positionV relativeFrom="paragraph">
                        <wp:posOffset>4445</wp:posOffset>
                      </wp:positionV>
                      <wp:extent cx="194209" cy="169933"/>
                      <wp:effectExtent l="0" t="0" r="15875" b="20955"/>
                      <wp:wrapNone/>
                      <wp:docPr id="101410652"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FE594A" id="Rectangle 6" o:spid="_x0000_s1026" style="position:absolute;margin-left:.15pt;margin-top:.35pt;width:15.3pt;height:13.4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n3ec&#10;HNgAAAADAQAADwAAAGRycy9kb3ducmV2LnhtbEyOwU7DMBBE70j8g7VI3KhDS2gJ2VQICcSBIhH4&#10;gG2yTSLsdWS7afh7zAmOoxm9eeV2tkZN7MPgBOF6kYFiaVw7SIfw+fF0tQEVIklLxgkjfHOAbXV+&#10;VlLRupO881THTiWIhIIQ+hjHQuvQ9GwpLNzIkrqD85Ziir7TradTglujl1l2qy0Nkh56Gvmx5+ar&#10;PlqE1+c3k+fW+pdOu11NbrrZ+APi5cX8cA8q8hz/xvCrn9ShSk57d5Q2KIOwSjuENajUrbI7UHuE&#10;5ToHXZX6v3v1AwAA//8DAFBLAQItABQABgAIAAAAIQC2gziS/gAAAOEBAAATAAAAAAAAAAAAAAAA&#10;AAAAAABbQ29udGVudF9UeXBlc10ueG1sUEsBAi0AFAAGAAgAAAAhADj9If/WAAAAlAEAAAsAAAAA&#10;AAAAAAAAAAAALwEAAF9yZWxzLy5yZWxzUEsBAi0AFAAGAAgAAAAhALKQTp57AgAAUAUAAA4AAAAA&#10;AAAAAAAAAAAALgIAAGRycy9lMm9Eb2MueG1sUEsBAi0AFAAGAAgAAAAhAJ93nBzYAAAAAwEAAA8A&#10;AAAAAAAAAAAAAAAA1QQAAGRycy9kb3ducmV2LnhtbFBLBQYAAAAABAAEAPMAAADaBQ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2DC734C6" w14:textId="737DABD0" w:rsidR="00B770A1" w:rsidRPr="00B770A1" w:rsidRDefault="00B770A1" w:rsidP="00B770A1">
            <w:pPr>
              <w:spacing w:after="24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Pr="00B770A1">
              <w:rPr>
                <w:rFonts w:asciiTheme="majorBidi" w:hAnsiTheme="majorBidi" w:cstheme="majorBidi"/>
                <w:color w:val="000000"/>
              </w:rPr>
              <w:t xml:space="preserve">Establishment of a single mental health entity and extension </w:t>
            </w:r>
            <w:r w:rsidR="00B24320">
              <w:rPr>
                <w:rFonts w:asciiTheme="majorBidi" w:hAnsiTheme="majorBidi" w:cstheme="majorBidi"/>
                <w:color w:val="000000"/>
                <w:lang w:val="sk-SK"/>
              </w:rPr>
              <w:br/>
              <w:t xml:space="preserve"> </w:t>
            </w:r>
            <w:r w:rsidRPr="00B770A1">
              <w:rPr>
                <w:rFonts w:asciiTheme="majorBidi" w:hAnsiTheme="majorBidi" w:cstheme="majorBidi"/>
                <w:color w:val="000000"/>
              </w:rPr>
              <w:t>of the competences of the association of psychologists</w:t>
            </w:r>
          </w:p>
        </w:tc>
        <w:tc>
          <w:tcPr>
            <w:tcW w:w="1982" w:type="dxa"/>
          </w:tcPr>
          <w:p w14:paraId="4E406559"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C12</w:t>
            </w:r>
          </w:p>
        </w:tc>
        <w:tc>
          <w:tcPr>
            <w:tcW w:w="236" w:type="dxa"/>
          </w:tcPr>
          <w:p w14:paraId="177CE3DF"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6F25F523" w14:textId="77777777" w:rsidTr="008E2F46">
        <w:trPr>
          <w:trHeight w:val="272"/>
        </w:trPr>
        <w:tc>
          <w:tcPr>
            <w:cnfStyle w:val="001000000000" w:firstRow="0" w:lastRow="0" w:firstColumn="1" w:lastColumn="0" w:oddVBand="0" w:evenVBand="0" w:oddHBand="0" w:evenHBand="0" w:firstRowFirstColumn="0" w:firstRowLastColumn="0" w:lastRowFirstColumn="0" w:lastRowLastColumn="0"/>
            <w:tcW w:w="328" w:type="dxa"/>
          </w:tcPr>
          <w:p w14:paraId="56D9B87C"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9136" behindDoc="0" locked="0" layoutInCell="1" allowOverlap="1" wp14:anchorId="10A2F6C7" wp14:editId="56E1F66D">
                      <wp:simplePos x="0" y="0"/>
                      <wp:positionH relativeFrom="column">
                        <wp:posOffset>0</wp:posOffset>
                      </wp:positionH>
                      <wp:positionV relativeFrom="paragraph">
                        <wp:posOffset>-2540</wp:posOffset>
                      </wp:positionV>
                      <wp:extent cx="194209" cy="169933"/>
                      <wp:effectExtent l="0" t="0" r="9525" b="8255"/>
                      <wp:wrapNone/>
                      <wp:docPr id="746341170"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DC88D" id="Rectangle 6" o:spid="_x0000_s1026" style="position:absolute;margin-left:0;margin-top:-.2pt;width:15.3pt;height:13.4pt;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S64N&#10;W9kAAAAEAQAADwAAAGRycy9kb3ducmV2LnhtbEyPwU7DMBBE70j8g7VI3FqHkkZVyKZCSCAOgETg&#10;A7bxNomI15HtpuHvMSc4jmY086baL3ZUM/swOEG4WWegWFpnBukQPj8eVztQIZIYGp0wwjcH2NeX&#10;FxWVxp3lnecmdiqVSCgJoY9xKrUObc+WwtpNLMk7Om8pJuk7bTydU7kd9SbLCm1pkLTQ08QPPbdf&#10;zckivDy9jduttf650+61ITfnO39EvL5a7u9ARV7iXxh+8RM61Inp4E5ighoR0pGIsMpBJfM2K0Ad&#10;EDZFDrqu9H/4+gcAAP//AwBQSwECLQAUAAYACAAAACEAtoM4kv4AAADhAQAAEwAAAAAAAAAAAAAA&#10;AAAAAAAAW0NvbnRlbnRfVHlwZXNdLnhtbFBLAQItABQABgAIAAAAIQA4/SH/1gAAAJQBAAALAAAA&#10;AAAAAAAAAAAAAC8BAABfcmVscy8ucmVsc1BLAQItABQABgAIAAAAIQCykE6eewIAAFAFAAAOAAAA&#10;AAAAAAAAAAAAAC4CAABkcnMvZTJvRG9jLnhtbFBLAQItABQABgAIAAAAIQBLrg1b2QAAAAQ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55FF20E7" w14:textId="2CE13D1A" w:rsidR="00B770A1" w:rsidRPr="00B770A1" w:rsidRDefault="00B24320" w:rsidP="00B770A1">
            <w:pPr>
              <w:spacing w:after="24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 xml:space="preserve">Number of persons having completed professional training </w:t>
            </w:r>
            <w:r>
              <w:rPr>
                <w:rFonts w:asciiTheme="majorBidi" w:hAnsiTheme="majorBidi" w:cstheme="majorBidi"/>
                <w:color w:val="000000"/>
                <w:lang w:val="sk-SK"/>
              </w:rPr>
              <w:br/>
              <w:t xml:space="preserve"> </w:t>
            </w:r>
            <w:r w:rsidR="00B770A1" w:rsidRPr="00B770A1">
              <w:rPr>
                <w:rFonts w:asciiTheme="majorBidi" w:hAnsiTheme="majorBidi" w:cstheme="majorBidi"/>
                <w:color w:val="000000"/>
              </w:rPr>
              <w:t>in the field of mental health care</w:t>
            </w:r>
          </w:p>
        </w:tc>
        <w:tc>
          <w:tcPr>
            <w:tcW w:w="1982" w:type="dxa"/>
          </w:tcPr>
          <w:p w14:paraId="379E2372" w14:textId="77777777" w:rsidR="00B770A1" w:rsidRPr="00B770A1" w:rsidRDefault="00B770A1" w:rsidP="00C16929">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C12</w:t>
            </w:r>
          </w:p>
        </w:tc>
        <w:tc>
          <w:tcPr>
            <w:tcW w:w="236" w:type="dxa"/>
          </w:tcPr>
          <w:p w14:paraId="48C2AAF9" w14:textId="77777777" w:rsidR="00B770A1" w:rsidRPr="00B770A1" w:rsidRDefault="00B770A1" w:rsidP="008E2F4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65944DD6" w14:textId="77777777" w:rsidTr="008E2F4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8" w:type="dxa"/>
          </w:tcPr>
          <w:p w14:paraId="1E3A2206"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0160" behindDoc="0" locked="0" layoutInCell="1" allowOverlap="1" wp14:anchorId="35B78E09" wp14:editId="763808C6">
                      <wp:simplePos x="0" y="0"/>
                      <wp:positionH relativeFrom="column">
                        <wp:posOffset>0</wp:posOffset>
                      </wp:positionH>
                      <wp:positionV relativeFrom="paragraph">
                        <wp:posOffset>5080</wp:posOffset>
                      </wp:positionV>
                      <wp:extent cx="194209" cy="169933"/>
                      <wp:effectExtent l="0" t="0" r="15875" b="20955"/>
                      <wp:wrapNone/>
                      <wp:docPr id="1270452022"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3224E" id="Rectangle 6" o:spid="_x0000_s1026" style="position:absolute;margin-left:0;margin-top:.4pt;width:15.3pt;height:13.4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JhrY&#10;hdkAAAADAQAADwAAAGRycy9kb3ducmV2LnhtbEzPwU7DMAwG4DsS7xAZiRtLGaxMXd0JIYE4wCQK&#10;D+A1XlutSaok68rbY05wtH7r9+dyO9tBTRxi7x3C7SIDxa7xpnctwtfn880aVEzkDA3eMcI3R9hW&#10;lxclFcaf3QdPdWqVlLhYEEKX0lhoHZuOLcWFH9lJdvDBUpIxtNoEOku5HfQyy3JtqXdyoaORnzpu&#10;jvXJIry97IbVytrw2mr/XpOf7tfhgHh9NT9uQCWe098y/PKFDpWY9v7kTFQDgjySEEQv2V2Wg9oj&#10;LB9y0FWp/9urHwAAAP//AwBQSwECLQAUAAYACAAAACEAtoM4kv4AAADhAQAAEwAAAAAAAAAAAAAA&#10;AAAAAAAAW0NvbnRlbnRfVHlwZXNdLnhtbFBLAQItABQABgAIAAAAIQA4/SH/1gAAAJQBAAALAAAA&#10;AAAAAAAAAAAAAC8BAABfcmVscy8ucmVsc1BLAQItABQABgAIAAAAIQCykE6eewIAAFAFAAAOAAAA&#10;AAAAAAAAAAAAAC4CAABkcnMvZTJvRG9jLnhtbFBLAQItABQABgAIAAAAIQAmGtiF2QAAAAM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7A573102" w14:textId="23A6FF62" w:rsidR="00B770A1" w:rsidRPr="00B770A1" w:rsidRDefault="00B770A1" w:rsidP="00B770A1">
            <w:pPr>
              <w:spacing w:after="24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Pr="00B770A1">
              <w:rPr>
                <w:rFonts w:asciiTheme="majorBidi" w:hAnsiTheme="majorBidi" w:cstheme="majorBidi"/>
                <w:color w:val="000000"/>
              </w:rPr>
              <w:t>Expansion and renewal of home nursing care</w:t>
            </w:r>
          </w:p>
        </w:tc>
        <w:tc>
          <w:tcPr>
            <w:tcW w:w="1982" w:type="dxa"/>
          </w:tcPr>
          <w:p w14:paraId="7E001248"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C13</w:t>
            </w:r>
          </w:p>
        </w:tc>
        <w:tc>
          <w:tcPr>
            <w:tcW w:w="236" w:type="dxa"/>
          </w:tcPr>
          <w:p w14:paraId="63CA5E66"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28DAC0CE" w14:textId="77777777" w:rsidTr="008E2F46">
        <w:trPr>
          <w:trHeight w:val="272"/>
        </w:trPr>
        <w:tc>
          <w:tcPr>
            <w:cnfStyle w:val="001000000000" w:firstRow="0" w:lastRow="0" w:firstColumn="1" w:lastColumn="0" w:oddVBand="0" w:evenVBand="0" w:oddHBand="0" w:evenHBand="0" w:firstRowFirstColumn="0" w:firstRowLastColumn="0" w:lastRowFirstColumn="0" w:lastRowLastColumn="0"/>
            <w:tcW w:w="328" w:type="dxa"/>
          </w:tcPr>
          <w:p w14:paraId="057B0255"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1184" behindDoc="0" locked="0" layoutInCell="1" allowOverlap="1" wp14:anchorId="2F2198F0" wp14:editId="1994E7F6">
                      <wp:simplePos x="0" y="0"/>
                      <wp:positionH relativeFrom="column">
                        <wp:posOffset>16510</wp:posOffset>
                      </wp:positionH>
                      <wp:positionV relativeFrom="paragraph">
                        <wp:posOffset>10160</wp:posOffset>
                      </wp:positionV>
                      <wp:extent cx="194209" cy="169933"/>
                      <wp:effectExtent l="0" t="0" r="15875" b="20955"/>
                      <wp:wrapNone/>
                      <wp:docPr id="262508092"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F929D" id="Rectangle 6" o:spid="_x0000_s1026" style="position:absolute;margin-left:1.3pt;margin-top:.8pt;width:15.3pt;height:13.4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N9Ya&#10;udgAAAAFAQAADwAAAGRycy9kb3ducmV2LnhtbEyO20rEMBCG7wXfIYzgnZvaPVBq00UExQsVrD7A&#10;bDPbFptJSbLd+vaOV3o1/Af++ar94kY1U4iDZwO3qwwUcevtwJ2Bz4/HmwJUTMgWR89k4Jsi7OvL&#10;iwpL68/8TnOTOiUjHEs00Kc0lVrHtieHceUnYsmOPjhMIkOnbcCzjLtR51m20w4Hlg89TvTQU/vV&#10;nJyBl6e3cbt1Ljx32r826OdNEY7GXF8t93egEi3prwy/+IIOtTAd/IltVKOBfCdFseVIul7noA7i&#10;FhvQdaX/09c/AAAA//8DAFBLAQItABQABgAIAAAAIQC2gziS/gAAAOEBAAATAAAAAAAAAAAAAAAA&#10;AAAAAABbQ29udGVudF9UeXBlc10ueG1sUEsBAi0AFAAGAAgAAAAhADj9If/WAAAAlAEAAAsAAAAA&#10;AAAAAAAAAAAALwEAAF9yZWxzLy5yZWxzUEsBAi0AFAAGAAgAAAAhALKQTp57AgAAUAUAAA4AAAAA&#10;AAAAAAAAAAAALgIAAGRycy9lMm9Eb2MueG1sUEsBAi0AFAAGAAgAAAAhADfWGrnYAAAABQEAAA8A&#10;AAAAAAAAAAAAAAAA1QQAAGRycy9kb3ducmV2LnhtbFBLBQYAAAAABAAEAPMAAADaBQ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55713D74" w14:textId="52F10202" w:rsidR="00B770A1" w:rsidRPr="00B770A1" w:rsidRDefault="00B770A1" w:rsidP="00B770A1">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Pr="00B770A1">
              <w:rPr>
                <w:rFonts w:asciiTheme="majorBidi" w:hAnsiTheme="majorBidi" w:cstheme="majorBidi"/>
                <w:color w:val="000000"/>
              </w:rPr>
              <w:t>Expansion and renewal of the network of mobile hospices</w:t>
            </w:r>
            <w:r>
              <w:rPr>
                <w:rFonts w:asciiTheme="majorBidi" w:hAnsiTheme="majorBidi" w:cstheme="majorBidi"/>
                <w:color w:val="000000"/>
                <w:lang w:val="sk-SK"/>
              </w:rPr>
              <w:br/>
            </w:r>
            <w:r w:rsidRPr="00B770A1">
              <w:rPr>
                <w:rFonts w:asciiTheme="majorBidi" w:hAnsiTheme="majorBidi" w:cstheme="majorBidi"/>
                <w:color w:val="000000"/>
              </w:rPr>
              <w:t xml:space="preserve"> (indicator: number of providers of new and refurbished hospices)</w:t>
            </w:r>
          </w:p>
        </w:tc>
        <w:tc>
          <w:tcPr>
            <w:tcW w:w="1982" w:type="dxa"/>
          </w:tcPr>
          <w:p w14:paraId="744F7B01" w14:textId="77777777" w:rsidR="00B770A1" w:rsidRPr="00B770A1" w:rsidRDefault="00B770A1" w:rsidP="00C16929">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C13</w:t>
            </w:r>
          </w:p>
        </w:tc>
        <w:tc>
          <w:tcPr>
            <w:tcW w:w="236" w:type="dxa"/>
          </w:tcPr>
          <w:p w14:paraId="282EDCD6" w14:textId="77777777" w:rsidR="00B770A1" w:rsidRPr="00B770A1" w:rsidRDefault="00B770A1" w:rsidP="008E2F4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0F6C470C" w14:textId="77777777" w:rsidTr="008E2F4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8" w:type="dxa"/>
            <w:tcBorders>
              <w:bottom w:val="single" w:sz="12" w:space="0" w:color="auto"/>
            </w:tcBorders>
          </w:tcPr>
          <w:p w14:paraId="6B23681D"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2208" behindDoc="0" locked="0" layoutInCell="1" allowOverlap="1" wp14:anchorId="701D9216" wp14:editId="4389AC6C">
                      <wp:simplePos x="0" y="0"/>
                      <wp:positionH relativeFrom="column">
                        <wp:posOffset>16510</wp:posOffset>
                      </wp:positionH>
                      <wp:positionV relativeFrom="paragraph">
                        <wp:posOffset>6985</wp:posOffset>
                      </wp:positionV>
                      <wp:extent cx="194209" cy="169933"/>
                      <wp:effectExtent l="0" t="0" r="15875" b="20955"/>
                      <wp:wrapNone/>
                      <wp:docPr id="1393621623"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1639D" id="Rectangle 6" o:spid="_x0000_s1026" style="position:absolute;margin-left:1.3pt;margin-top:.55pt;width:15.3pt;height:13.4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klvn&#10;8dkAAAAFAQAADwAAAGRycy9kb3ducmV2LnhtbEyOTU7DMBCF90jcwRokdtRpSksJcSqEBGIBSAQO&#10;MI2nSUQ8jmw3DbdnWMHy/ei9r9zNblAThdh7NrBcZKCIG297bg18fjxebUHFhGxx8EwGvinCrjo/&#10;K7Gw/sTvNNWpVTLCsUADXUpjoXVsOnIYF34kluzgg8MkMrTaBjzJuBt0nmUb7bBneehwpIeOmq/6&#10;6Ay8PL0N67Vz4bnV/rVGP11vw8GYy4v5/g5Uojn9leEXX9ChEqa9P7KNajCQb6Qo9hKUpKtVDmov&#10;7s0t6KrU/+mrHwAAAP//AwBQSwECLQAUAAYACAAAACEAtoM4kv4AAADhAQAAEwAAAAAAAAAAAAAA&#10;AAAAAAAAW0NvbnRlbnRfVHlwZXNdLnhtbFBLAQItABQABgAIAAAAIQA4/SH/1gAAAJQBAAALAAAA&#10;AAAAAAAAAAAAAC8BAABfcmVscy8ucmVsc1BLAQItABQABgAIAAAAIQCykE6eewIAAFAFAAAOAAAA&#10;AAAAAAAAAAAAAC4CAABkcnMvZTJvRG9jLnhtbFBLAQItABQABgAIAAAAIQCSW+fx2QAAAAU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5C0F9BF1" w14:textId="187642C0" w:rsidR="00B770A1" w:rsidRPr="00B770A1" w:rsidRDefault="00C16929" w:rsidP="00C16929">
            <w:pPr>
              <w:spacing w:after="24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Application of the “1 in – 2 out” rule, the principle of protection</w:t>
            </w:r>
            <w:r>
              <w:rPr>
                <w:rFonts w:asciiTheme="majorBidi" w:hAnsiTheme="majorBidi" w:cstheme="majorBidi"/>
                <w:color w:val="000000"/>
                <w:lang w:val="sk-SK"/>
              </w:rPr>
              <w:br/>
            </w:r>
            <w:r w:rsidR="00B770A1" w:rsidRPr="00B770A1">
              <w:rPr>
                <w:rFonts w:asciiTheme="majorBidi" w:hAnsiTheme="majorBidi" w:cstheme="majorBidi"/>
                <w:color w:val="000000"/>
              </w:rPr>
              <w:t xml:space="preserve"> against unjustified gold-plating and ex post evaluation of existing</w:t>
            </w:r>
            <w:r>
              <w:rPr>
                <w:rFonts w:asciiTheme="majorBidi" w:hAnsiTheme="majorBidi" w:cstheme="majorBidi"/>
                <w:color w:val="000000"/>
                <w:lang w:val="sk-SK"/>
              </w:rPr>
              <w:br/>
            </w:r>
            <w:r w:rsidR="00B770A1" w:rsidRPr="00B770A1">
              <w:rPr>
                <w:rFonts w:asciiTheme="majorBidi" w:hAnsiTheme="majorBidi" w:cstheme="majorBidi"/>
                <w:color w:val="000000"/>
              </w:rPr>
              <w:t xml:space="preserve"> regulation</w:t>
            </w:r>
          </w:p>
        </w:tc>
        <w:tc>
          <w:tcPr>
            <w:tcW w:w="1982" w:type="dxa"/>
          </w:tcPr>
          <w:p w14:paraId="5DDE6209"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C14</w:t>
            </w:r>
          </w:p>
        </w:tc>
        <w:tc>
          <w:tcPr>
            <w:tcW w:w="236" w:type="dxa"/>
          </w:tcPr>
          <w:p w14:paraId="3763EC48"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34E4A4B7" w14:textId="77777777" w:rsidTr="008E2F46">
        <w:trPr>
          <w:trHeight w:val="284"/>
        </w:trPr>
        <w:tc>
          <w:tcPr>
            <w:cnfStyle w:val="001000000000" w:firstRow="0" w:lastRow="0" w:firstColumn="1" w:lastColumn="0" w:oddVBand="0" w:evenVBand="0" w:oddHBand="0" w:evenHBand="0" w:firstRowFirstColumn="0" w:firstRowLastColumn="0" w:lastRowFirstColumn="0" w:lastRowLastColumn="0"/>
            <w:tcW w:w="328" w:type="dxa"/>
            <w:tcBorders>
              <w:top w:val="single" w:sz="12" w:space="0" w:color="auto"/>
            </w:tcBorders>
          </w:tcPr>
          <w:p w14:paraId="47EE5660"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3232" behindDoc="0" locked="0" layoutInCell="1" allowOverlap="1" wp14:anchorId="2180D992" wp14:editId="265132B3">
                      <wp:simplePos x="0" y="0"/>
                      <wp:positionH relativeFrom="column">
                        <wp:posOffset>-1905</wp:posOffset>
                      </wp:positionH>
                      <wp:positionV relativeFrom="paragraph">
                        <wp:posOffset>6985</wp:posOffset>
                      </wp:positionV>
                      <wp:extent cx="194209" cy="169933"/>
                      <wp:effectExtent l="0" t="0" r="15875" b="20955"/>
                      <wp:wrapNone/>
                      <wp:docPr id="1250781280"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435F7D" id="Rectangle 6" o:spid="_x0000_s1026" style="position:absolute;margin-left:-.15pt;margin-top:.55pt;width:15.3pt;height:13.4pt;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7Nvm&#10;JNkAAAAFAQAADwAAAGRycy9kb3ducmV2LnhtbEyOTU7DMBCF90jcwRokdq3TlkIb4lQICcQCkAg9&#10;wDSZJhH2OLLdNNyeYQXL96P3vmI3OatGCrH3bGAxz0AR177puTWw/3yabUDFhNyg9UwGvinCrry8&#10;KDBv/Jk/aKxSq2SEY44GupSGXOtYd+Qwzv1ALNnRB4dJZGh1E/As487qZZbdaoc9y0OHAz12VH9V&#10;J2fg9fndrtfOhZdW+7cK/XizCUdjrq+mh3tQiab0V4ZffEGHUpgO/sRNVNbAbCVFsRegJF1lIg8G&#10;lndb0GWh/9OXPwAAAP//AwBQSwECLQAUAAYACAAAACEAtoM4kv4AAADhAQAAEwAAAAAAAAAAAAAA&#10;AAAAAAAAW0NvbnRlbnRfVHlwZXNdLnhtbFBLAQItABQABgAIAAAAIQA4/SH/1gAAAJQBAAALAAAA&#10;AAAAAAAAAAAAAC8BAABfcmVscy8ucmVsc1BLAQItABQABgAIAAAAIQCykE6eewIAAFAFAAAOAAAA&#10;AAAAAAAAAAAAAC4CAABkcnMvZTJvRG9jLnhtbFBLAQItABQABgAIAAAAIQDs2+Yk2QAAAAUBAAAP&#10;AAAAAAAAAAAAAAAAANUEAABkcnMvZG93bnJldi54bWxQSwUGAAAAAAQABADzAAAA2wUAAAAA&#10;" fillcolor="#92d050" strokecolor="#030e13 [484]" strokeweight="1pt"/>
                  </w:pict>
                </mc:Fallback>
              </mc:AlternateContent>
            </w:r>
          </w:p>
        </w:tc>
        <w:tc>
          <w:tcPr>
            <w:tcW w:w="6476" w:type="dxa"/>
            <w:tcBorders>
              <w:top w:val="single" w:sz="12" w:space="0" w:color="auto"/>
            </w:tcBorders>
            <w:vAlign w:val="center"/>
          </w:tcPr>
          <w:p w14:paraId="17330010" w14:textId="189A2A4F" w:rsidR="00B770A1" w:rsidRPr="00B770A1" w:rsidRDefault="00C16929" w:rsidP="00C16929">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Entry into force of legislative and procedural changes</w:t>
            </w:r>
          </w:p>
        </w:tc>
        <w:tc>
          <w:tcPr>
            <w:tcW w:w="1982" w:type="dxa"/>
          </w:tcPr>
          <w:p w14:paraId="1A962102" w14:textId="77777777" w:rsidR="00B770A1" w:rsidRPr="00B770A1" w:rsidRDefault="00B770A1" w:rsidP="00C16929">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RePowerEU</w:t>
            </w:r>
          </w:p>
        </w:tc>
        <w:tc>
          <w:tcPr>
            <w:tcW w:w="236" w:type="dxa"/>
          </w:tcPr>
          <w:p w14:paraId="0C7D103D" w14:textId="77777777" w:rsidR="00B770A1" w:rsidRPr="00B770A1" w:rsidRDefault="00B770A1" w:rsidP="008E2F4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59E19123" w14:textId="77777777" w:rsidTr="008E2F4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8" w:type="dxa"/>
          </w:tcPr>
          <w:p w14:paraId="428FCEEE"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4256" behindDoc="0" locked="0" layoutInCell="1" allowOverlap="1" wp14:anchorId="71353A06" wp14:editId="3B8C9D56">
                      <wp:simplePos x="0" y="0"/>
                      <wp:positionH relativeFrom="column">
                        <wp:posOffset>0</wp:posOffset>
                      </wp:positionH>
                      <wp:positionV relativeFrom="paragraph">
                        <wp:posOffset>17780</wp:posOffset>
                      </wp:positionV>
                      <wp:extent cx="194209" cy="169933"/>
                      <wp:effectExtent l="0" t="0" r="15875" b="20955"/>
                      <wp:wrapNone/>
                      <wp:docPr id="1074852557"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3A8ED" id="Rectangle 6" o:spid="_x0000_s1026" style="position:absolute;margin-left:0;margin-top:1.4pt;width:15.3pt;height:13.4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J9qo&#10;3NkAAAAEAQAADwAAAGRycy9kb3ducmV2LnhtbEyPwU7DMBBE70j8g7VI3KhDoVFJ41QICcQBKhH4&#10;gG28TaLG68h20/D3LCc4jmY086bczm5QE4XYezZwu8hAETfe9twa+Pp8vlmDignZ4uCZDHxThG11&#10;eVFiYf2ZP2iqU6ukhGOBBrqUxkLr2HTkMC78SCzewQeHSWRotQ14lnI36GWW5dphz7LQ4UhPHTXH&#10;+uQMvL3shtXKufDaav9eo5/u1+FgzPXV/LgBlWhOf2H4xRd0qIRp709soxoMyJFkYCn4Yt5lOai9&#10;yIccdFXq//DVDwAAAP//AwBQSwECLQAUAAYACAAAACEAtoM4kv4AAADhAQAAEwAAAAAAAAAAAAAA&#10;AAAAAAAAW0NvbnRlbnRfVHlwZXNdLnhtbFBLAQItABQABgAIAAAAIQA4/SH/1gAAAJQBAAALAAAA&#10;AAAAAAAAAAAAAC8BAABfcmVscy8ucmVsc1BLAQItABQABgAIAAAAIQCykE6eewIAAFAFAAAOAAAA&#10;AAAAAAAAAAAAAC4CAABkcnMvZTJvRG9jLnhtbFBLAQItABQABgAIAAAAIQAn2qjc2QAAAAQBAAAP&#10;AAAAAAAAAAAAAAAAANUEAABkcnMvZG93bnJldi54bWxQSwUGAAAAAAQABADzAAAA2wUAAAAA&#10;" fillcolor="#92d050" strokecolor="#030e13 [484]" strokeweight="1pt"/>
                  </w:pict>
                </mc:Fallback>
              </mc:AlternateContent>
            </w:r>
          </w:p>
        </w:tc>
        <w:tc>
          <w:tcPr>
            <w:tcW w:w="6476" w:type="dxa"/>
            <w:tcBorders>
              <w:bottom w:val="single" w:sz="12" w:space="0" w:color="auto"/>
            </w:tcBorders>
            <w:vAlign w:val="center"/>
          </w:tcPr>
          <w:p w14:paraId="5054A1E0" w14:textId="78D0B06B" w:rsidR="00B770A1" w:rsidRPr="00C16929" w:rsidRDefault="00C16929" w:rsidP="00C16929">
            <w:pPr>
              <w:spacing w:after="24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 xml:space="preserve">Assessment of trajectories for sustainable use of biomass </w:t>
            </w:r>
            <w:r w:rsidR="00B24320">
              <w:rPr>
                <w:rFonts w:asciiTheme="majorBidi" w:hAnsiTheme="majorBidi" w:cstheme="majorBidi"/>
                <w:color w:val="000000"/>
                <w:lang w:val="sk-SK"/>
              </w:rPr>
              <w:br/>
              <w:t xml:space="preserve"> </w:t>
            </w:r>
            <w:r w:rsidR="00B770A1" w:rsidRPr="00B770A1">
              <w:rPr>
                <w:rFonts w:asciiTheme="majorBidi" w:hAnsiTheme="majorBidi" w:cstheme="majorBidi"/>
                <w:color w:val="000000"/>
              </w:rPr>
              <w:t>and biomass supply in Slovakia</w:t>
            </w:r>
          </w:p>
        </w:tc>
        <w:tc>
          <w:tcPr>
            <w:tcW w:w="1982" w:type="dxa"/>
          </w:tcPr>
          <w:p w14:paraId="59D2F061"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RePowerEU</w:t>
            </w:r>
          </w:p>
        </w:tc>
        <w:tc>
          <w:tcPr>
            <w:tcW w:w="236" w:type="dxa"/>
          </w:tcPr>
          <w:p w14:paraId="0C5CA98F"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119078DF" w14:textId="77777777" w:rsidTr="008E2F46">
        <w:trPr>
          <w:trHeight w:val="284"/>
        </w:trPr>
        <w:tc>
          <w:tcPr>
            <w:cnfStyle w:val="001000000000" w:firstRow="0" w:lastRow="0" w:firstColumn="1" w:lastColumn="0" w:oddVBand="0" w:evenVBand="0" w:oddHBand="0" w:evenHBand="0" w:firstRowFirstColumn="0" w:firstRowLastColumn="0" w:lastRowFirstColumn="0" w:lastRowLastColumn="0"/>
            <w:tcW w:w="328" w:type="dxa"/>
          </w:tcPr>
          <w:p w14:paraId="3D89E2C7"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5280" behindDoc="0" locked="0" layoutInCell="1" allowOverlap="1" wp14:anchorId="718A148F" wp14:editId="706F2CD4">
                      <wp:simplePos x="0" y="0"/>
                      <wp:positionH relativeFrom="column">
                        <wp:posOffset>0</wp:posOffset>
                      </wp:positionH>
                      <wp:positionV relativeFrom="paragraph">
                        <wp:posOffset>14605</wp:posOffset>
                      </wp:positionV>
                      <wp:extent cx="194209" cy="169933"/>
                      <wp:effectExtent l="0" t="0" r="15875" b="20955"/>
                      <wp:wrapNone/>
                      <wp:docPr id="91277480"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188EEC" id="Rectangle 6" o:spid="_x0000_s1026" style="position:absolute;margin-left:0;margin-top:1.15pt;width:15.3pt;height:13.4pt;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cM4A&#10;19kAAAAEAQAADwAAAGRycy9kb3ducmV2LnhtbEyPwU7DMBBE70j8g7VI3KjTllYljVMhJBAHqETg&#10;A7bJNolqryPbTcPfs5zgOJrRzJtiNzmrRgqx92xgPstAEde+6bk18PX5fLcBFRNyg9YzGfimCLvy&#10;+qrAvPEX/qCxSq2SEo45GuhSGnKtY92RwzjzA7F4Rx8cJpGh1U3Ai5Q7qxdZttYOe5aFDgd66qg+&#10;VWdn4O1lb1cr58Jrq/17hX6834SjMbc30+MWVKIp/YXhF1/QoRSmgz9zE5U1IEeSgcUSlJjLbA3q&#10;IPJhDros9H/48gcAAP//AwBQSwECLQAUAAYACAAAACEAtoM4kv4AAADhAQAAEwAAAAAAAAAAAAAA&#10;AAAAAAAAW0NvbnRlbnRfVHlwZXNdLnhtbFBLAQItABQABgAIAAAAIQA4/SH/1gAAAJQBAAALAAAA&#10;AAAAAAAAAAAAAC8BAABfcmVscy8ucmVsc1BLAQItABQABgAIAAAAIQCykE6eewIAAFAFAAAOAAAA&#10;AAAAAAAAAAAAAC4CAABkcnMvZTJvRG9jLnhtbFBLAQItABQABgAIAAAAIQBwzgDX2QAAAAQ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0811D0BA" w14:textId="0D81D9B6" w:rsidR="00B770A1" w:rsidRPr="00C16929" w:rsidRDefault="00C16929" w:rsidP="00C16929">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Strategy for the management of state administration buildings</w:t>
            </w:r>
          </w:p>
        </w:tc>
        <w:tc>
          <w:tcPr>
            <w:tcW w:w="1982" w:type="dxa"/>
          </w:tcPr>
          <w:p w14:paraId="2E813687" w14:textId="77777777" w:rsidR="00B770A1" w:rsidRPr="00B770A1" w:rsidRDefault="00B770A1" w:rsidP="00C16929">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RePowerEU</w:t>
            </w:r>
          </w:p>
        </w:tc>
        <w:tc>
          <w:tcPr>
            <w:tcW w:w="236" w:type="dxa"/>
          </w:tcPr>
          <w:p w14:paraId="2E15B368" w14:textId="77777777" w:rsidR="00B770A1" w:rsidRPr="00B770A1" w:rsidRDefault="00B770A1" w:rsidP="008E2F4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07A5A29D" w14:textId="77777777" w:rsidTr="008E2F4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8" w:type="dxa"/>
          </w:tcPr>
          <w:p w14:paraId="6E79BF8D" w14:textId="291B0506"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2992" behindDoc="0" locked="0" layoutInCell="1" allowOverlap="1" wp14:anchorId="13198AE2" wp14:editId="6BA29370">
                      <wp:simplePos x="0" y="0"/>
                      <wp:positionH relativeFrom="column">
                        <wp:posOffset>-112395</wp:posOffset>
                      </wp:positionH>
                      <wp:positionV relativeFrom="paragraph">
                        <wp:posOffset>3175</wp:posOffset>
                      </wp:positionV>
                      <wp:extent cx="242762" cy="218485"/>
                      <wp:effectExtent l="0" t="0" r="11430" b="10160"/>
                      <wp:wrapNone/>
                      <wp:docPr id="233322385" name="Rectangle 6"/>
                      <wp:cNvGraphicFramePr/>
                      <a:graphic xmlns:a="http://schemas.openxmlformats.org/drawingml/2006/main">
                        <a:graphicData uri="http://schemas.microsoft.com/office/word/2010/wordprocessingShape">
                          <wps:wsp>
                            <wps:cNvSpPr/>
                            <wps:spPr>
                              <a:xfrm>
                                <a:off x="0" y="0"/>
                                <a:ext cx="242762" cy="218485"/>
                              </a:xfrm>
                              <a:prstGeom prst="rect">
                                <a:avLst/>
                              </a:prstGeom>
                              <a:solidFill>
                                <a:schemeClr val="bg1">
                                  <a:lumMod val="6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BD15E1" id="Rectangle 6" o:spid="_x0000_s1026" style="position:absolute;margin-left:-8.85pt;margin-top:.25pt;width:19.1pt;height:17.2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tFfAIAAGkFAAAOAAAAZHJzL2Uyb0RvYy54bWysVE1v2zAMvQ/YfxB0X/2BpO2COkXQIsOA&#10;ri3WDj0rshQbkERNUuJkv36U7DhZ1+0w7GKTIvkoPpG8ut5pRbbC+RZMRYuznBJhONStWVf02/Py&#10;wyUlPjBTMwVGVHQvPL2ev3931dmZKKEBVQtHEMT4WWcr2oRgZ1nmeSM082dghUGjBKdZQNWts9qx&#10;DtG1yso8P886cLV1wIX3eHrbG+k84UspeHiQ0otAVEXxbiF9Xfqu4jebX7HZ2jHbtHy4BvuHW2jW&#10;Gkw6Qt2ywMjGtb9B6ZY78CDDGQedgZQtF6kGrKbIX1Xz1DArUi1IjrcjTf7/wfL77ZN9dEhDZ/3M&#10;oxir2Emn4x/vR3aJrP1IltgFwvGwnJQX5yUlHE1lcTm5nEYys2OwdT58EqBJFCrq8C0SRWx750Pv&#10;enCJuTyotl62SiUlvr+4UY5sGb7cal2kULXRX6Duz86neZ7eD1Omdonu6QInSNmxqiSFvRIRX5mv&#10;QpK2jnUk5BGhB2ecCxP6pL5hteiPiz/mTIARWWIFI/YA8GsxB+yegsE/horUr2Nw/reL9cFjRMoM&#10;JozBujXg3gJQWNWQufdHyk6oieIK6v2jIw76afGWL1t8wjvmwyNzOB44SDjy4QE/UkFXURgkShpw&#10;P946j/7YtWilpMNxq6j/vmFOUKI+G+znj8VkEuczKZPpRYmKO7WsTi1mo28A+6LA5WJ5EqN/UAdR&#10;OtAvuBkWMSuamOGYu6I8uINyE/o1gLuFi8UiueFMWhbuzJPlETyyGlv0effCnB36OOAA3MNhNNns&#10;VTv3vjHSwGITQLap14+8DnzjPKdmHXZPXBinevI6bsj5TwAAAP//AwBQSwMEFAAGAAgAAAAhACnS&#10;dvjfAAAABgEAAA8AAABkcnMvZG93bnJldi54bWxMjs1OwzAQhO9IvIO1SFxQ67SUFkKcquXnggRS&#10;W1Q4bmKTRI3Xke2m4e1ZTnAajWY082XLwbaiNz40jhRMxgkIQ6XTDVUK3nfPo1sQISJpbB0ZBd8m&#10;wDI/P8sw1e5EG9NvYyV4hEKKCuoYu1TKUNbGYhi7zhBnX85bjGx9JbXHE4/bVk6TZC4tNsQPNXbm&#10;oTblYXu0Cnr0q6vX4uNpvf6kw272ti9eHvdKXV4Mq3sQ0Qzxrwy/+IwOOTMV7kg6iFbBaLJYcFXB&#10;DQiOpwlroeB6dgcyz+R//PwHAAD//wMAUEsBAi0AFAAGAAgAAAAhALaDOJL+AAAA4QEAABMAAAAA&#10;AAAAAAAAAAAAAAAAAFtDb250ZW50X1R5cGVzXS54bWxQSwECLQAUAAYACAAAACEAOP0h/9YAAACU&#10;AQAACwAAAAAAAAAAAAAAAAAvAQAAX3JlbHMvLnJlbHNQSwECLQAUAAYACAAAACEAOQLrRXwCAABp&#10;BQAADgAAAAAAAAAAAAAAAAAuAgAAZHJzL2Uyb0RvYy54bWxQSwECLQAUAAYACAAAACEAKdJ2+N8A&#10;AAAGAQAADwAAAAAAAAAAAAAAAADWBAAAZHJzL2Rvd25yZXYueG1sUEsFBgAAAAAEAAQA8wAAAOIF&#10;AAAAAA==&#10;" fillcolor="#a5a5a5 [2092]" strokecolor="#030e13 [484]" strokeweight="1pt"/>
                  </w:pict>
                </mc:Fallback>
              </mc:AlternateContent>
            </w:r>
          </w:p>
        </w:tc>
        <w:tc>
          <w:tcPr>
            <w:tcW w:w="6476" w:type="dxa"/>
            <w:tcBorders>
              <w:top w:val="single" w:sz="12" w:space="0" w:color="auto"/>
              <w:bottom w:val="single" w:sz="12" w:space="0" w:color="auto"/>
            </w:tcBorders>
            <w:vAlign w:val="center"/>
          </w:tcPr>
          <w:p w14:paraId="26AA2ADE" w14:textId="790D01C3" w:rsidR="00B770A1" w:rsidRPr="00C16929" w:rsidRDefault="00B770A1" w:rsidP="00C16929">
            <w:pPr>
              <w:spacing w:after="24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sidRPr="00B770A1">
              <w:rPr>
                <w:rFonts w:asciiTheme="majorBidi" w:hAnsiTheme="majorBidi" w:cstheme="majorBidi"/>
                <w:color w:val="000000"/>
              </w:rPr>
              <w:t xml:space="preserve">Extent of renovated floor area of police buildings with a view </w:t>
            </w:r>
            <w:r w:rsidR="00B24320">
              <w:rPr>
                <w:rFonts w:asciiTheme="majorBidi" w:hAnsiTheme="majorBidi" w:cstheme="majorBidi"/>
                <w:color w:val="000000"/>
                <w:lang w:val="sk-SK"/>
              </w:rPr>
              <w:br/>
            </w:r>
            <w:r w:rsidRPr="00B770A1">
              <w:rPr>
                <w:rFonts w:asciiTheme="majorBidi" w:hAnsiTheme="majorBidi" w:cstheme="majorBidi"/>
                <w:color w:val="000000"/>
              </w:rPr>
              <w:t>to reducing the energy intensity of the buildings (in m²)</w:t>
            </w:r>
          </w:p>
        </w:tc>
        <w:tc>
          <w:tcPr>
            <w:tcW w:w="1982" w:type="dxa"/>
          </w:tcPr>
          <w:p w14:paraId="693B3C72"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C16</w:t>
            </w:r>
          </w:p>
        </w:tc>
        <w:tc>
          <w:tcPr>
            <w:tcW w:w="236" w:type="dxa"/>
          </w:tcPr>
          <w:p w14:paraId="208ACB4A"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6631764C" w14:textId="77777777" w:rsidTr="008E2F46">
        <w:trPr>
          <w:trHeight w:val="284"/>
        </w:trPr>
        <w:tc>
          <w:tcPr>
            <w:cnfStyle w:val="001000000000" w:firstRow="0" w:lastRow="0" w:firstColumn="1" w:lastColumn="0" w:oddVBand="0" w:evenVBand="0" w:oddHBand="0" w:evenHBand="0" w:firstRowFirstColumn="0" w:firstRowLastColumn="0" w:lastRowFirstColumn="0" w:lastRowLastColumn="0"/>
            <w:tcW w:w="328" w:type="dxa"/>
          </w:tcPr>
          <w:p w14:paraId="785C1482" w14:textId="0C9C84E2" w:rsidR="00B770A1" w:rsidRPr="00B770A1" w:rsidRDefault="00B24320"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6304" behindDoc="0" locked="0" layoutInCell="1" allowOverlap="1" wp14:anchorId="369C8E41" wp14:editId="135C37ED">
                      <wp:simplePos x="0" y="0"/>
                      <wp:positionH relativeFrom="column">
                        <wp:posOffset>0</wp:posOffset>
                      </wp:positionH>
                      <wp:positionV relativeFrom="paragraph">
                        <wp:posOffset>6985</wp:posOffset>
                      </wp:positionV>
                      <wp:extent cx="193675" cy="169545"/>
                      <wp:effectExtent l="0" t="0" r="15875" b="20955"/>
                      <wp:wrapNone/>
                      <wp:docPr id="1279729854" name="Rectangle 6"/>
                      <wp:cNvGraphicFramePr/>
                      <a:graphic xmlns:a="http://schemas.openxmlformats.org/drawingml/2006/main">
                        <a:graphicData uri="http://schemas.microsoft.com/office/word/2010/wordprocessingShape">
                          <wps:wsp>
                            <wps:cNvSpPr/>
                            <wps:spPr>
                              <a:xfrm flipH="1">
                                <a:off x="0" y="0"/>
                                <a:ext cx="193675" cy="169545"/>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3E91C" id="Rectangle 6" o:spid="_x0000_s1026" style="position:absolute;margin-left:0;margin-top:.55pt;width:15.25pt;height:13.35p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hh5ewIAAFAFAAAOAAAAZHJzL2Uyb0RvYy54bWysVEtv2zAMvg/YfxB0X21nSdsEdYqgRbcB&#10;RRusHXpWZCkWIEsapcTJfv0o+dGgK3YYdhFIkfz45tX1odFkL8Ara0panOWUCMNtpcy2pD+e7z5d&#10;UuIDMxXT1oiSHoWn18uPH65atxATW1tdCSAIYvyidSWtQ3CLLPO8Fg3zZ9YJg0JpoWEBWdhmFbAW&#10;0RudTfL8PGstVA4sF97j720npMuEL6Xg4VFKLwLRJcXYQnohvZv4ZssrttgCc7XifRjsH6JomDLo&#10;dIS6ZYGRHag/oBrFwXorwxm3TWalVFykHDCbIn+TzVPNnEi5YHG8G8vk/x8sf9g/uTVgGVrnFx7J&#10;mMVBQkOkVu4r9jTlhZGSQyrbcSybOATC8bOYfz6/mFHCUVScz2fTWSxr1sFEOAc+fBG2IZEoKWBX&#10;Eijb3/vQqQ4qUd1brao7pXViYLu50UD2DDs4n9zms9Q0RD9Ry16DT1Q4ahGNtfkuJFEVBjlJHtNc&#10;iRGPcS5M6DL0NatE56aY5fnoJU5itEgZJcCILDG8EbsHGDQ7kAG7y6/Xj6YijeVonP8tsM54tEie&#10;rQmjcaOMhfcANGbVe+70MfyT0kRyY6vjGgjYbim843cK+3PPfFgzwC3AfcHNDo/4SG3bktqeoqS2&#10;8Ou9/6iPw4lSSlrcqpL6nzsGghL9zeDYzovpNK5hYqaziwkycCrZnErMrrmx2PYCb4jjiYz6QQ+k&#10;BNu84AFYRa8oYoaj75LyAANzE7ptxxPCxWqV1HD1HAv35snxYb7j/D0fXhi4fkgDTveDHTaQLd7M&#10;aqcb+2HsahesVGmQX+va1xvXNg1Of2LiXTjlk9brIVz+BgAA//8DAFBLAwQUAAYACAAAACEAJmeC&#10;g9kAAAAEAQAADwAAAGRycy9kb3ducmV2LnhtbEyPwU7DMBBE70j8g7VI3KjTQiAKcSqEBOIAlQh8&#10;wDbeJhHxOrLdNPw9ywmOOzOaeVttFzeqmUIcPBtYrzJQxK23A3cGPj+ergpQMSFbHD2TgW+KsK3P&#10;zyosrT/xO81N6pSUcCzRQJ/SVGod254cxpWfiMU7+OAwyRk6bQOepNyNepNlt9rhwLLQ40SPPbVf&#10;zdEZeH3ejXnuXHjptH9r0M83RTgYc3mxPNyDSrSkvzD84gs61MK090e2UY0G5JEk6hqUmNdZDmpv&#10;YHNXgK4r/R++/gEAAP//AwBQSwECLQAUAAYACAAAACEAtoM4kv4AAADhAQAAEwAAAAAAAAAAAAAA&#10;AAAAAAAAW0NvbnRlbnRfVHlwZXNdLnhtbFBLAQItABQABgAIAAAAIQA4/SH/1gAAAJQBAAALAAAA&#10;AAAAAAAAAAAAAC8BAABfcmVscy8ucmVsc1BLAQItABQABgAIAAAAIQCw2hh5ewIAAFAFAAAOAAAA&#10;AAAAAAAAAAAAAC4CAABkcnMvZTJvRG9jLnhtbFBLAQItABQABgAIAAAAIQAmZ4KD2QAAAAQ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7F8BB742" w14:textId="36BEC71E" w:rsidR="00B770A1" w:rsidRPr="00B770A1" w:rsidRDefault="00C16929" w:rsidP="00C16929">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Public calls for the establishment of new primary care outpatient clinics</w:t>
            </w:r>
          </w:p>
        </w:tc>
        <w:tc>
          <w:tcPr>
            <w:tcW w:w="1982" w:type="dxa"/>
          </w:tcPr>
          <w:p w14:paraId="2E025EE1" w14:textId="77777777" w:rsidR="00B770A1" w:rsidRPr="00B770A1" w:rsidRDefault="00B770A1" w:rsidP="00C16929">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C11</w:t>
            </w:r>
          </w:p>
        </w:tc>
        <w:tc>
          <w:tcPr>
            <w:tcW w:w="236" w:type="dxa"/>
          </w:tcPr>
          <w:p w14:paraId="2BFEB9FA" w14:textId="77777777" w:rsidR="00B770A1" w:rsidRPr="00B770A1" w:rsidRDefault="00B770A1" w:rsidP="008E2F4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707745D3" w14:textId="77777777" w:rsidTr="008E2F4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8" w:type="dxa"/>
          </w:tcPr>
          <w:p w14:paraId="12943095"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7328" behindDoc="0" locked="0" layoutInCell="1" allowOverlap="1" wp14:anchorId="33EBF369" wp14:editId="6C57FDBF">
                      <wp:simplePos x="0" y="0"/>
                      <wp:positionH relativeFrom="column">
                        <wp:posOffset>-1905</wp:posOffset>
                      </wp:positionH>
                      <wp:positionV relativeFrom="paragraph">
                        <wp:posOffset>-3175</wp:posOffset>
                      </wp:positionV>
                      <wp:extent cx="194209" cy="169933"/>
                      <wp:effectExtent l="0" t="0" r="15875" b="20955"/>
                      <wp:wrapNone/>
                      <wp:docPr id="24767707"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228C8" id="Rectangle 6" o:spid="_x0000_s1026" style="position:absolute;margin-left:-.15pt;margin-top:-.25pt;width:15.3pt;height:13.4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mSO/&#10;HdkAAAAFAQAADwAAAGRycy9kb3ducmV2LnhtbEyOQUvDQBSE74L/YXmCt3ZjY0qJ2RQRFA8qGP0B&#10;r9nXJJh9G3a3afz3Pk96GoYZZr5qv7hRzRTi4NnAzToDRdx6O3Bn4PPjcbUDFROyxdEzGfimCPv6&#10;8qLC0vozv9PcpE7JCMcSDfQpTaXWse3JYVz7iViyow8Ok9jQaRvwLONu1Jss22qHA8tDjxM99NR+&#10;NSdn4OXpbSwK58Jzp/1rg36+3YWjMddXy/0dqERL+ivDL76gQy1MB39iG9VoYJVLUaQAJWmeiT0Y&#10;2Gxz0HWl/9PXPwAAAP//AwBQSwECLQAUAAYACAAAACEAtoM4kv4AAADhAQAAEwAAAAAAAAAAAAAA&#10;AAAAAAAAW0NvbnRlbnRfVHlwZXNdLnhtbFBLAQItABQABgAIAAAAIQA4/SH/1gAAAJQBAAALAAAA&#10;AAAAAAAAAAAAAC8BAABfcmVscy8ucmVsc1BLAQItABQABgAIAAAAIQCykE6eewIAAFAFAAAOAAAA&#10;AAAAAAAAAAAAAC4CAABkcnMvZTJvRG9jLnhtbFBLAQItABQABgAIAAAAIQCZI78d2QAAAAU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77BFA655" w14:textId="78C3F5AD" w:rsidR="00B770A1" w:rsidRPr="00C16929" w:rsidRDefault="00C16929" w:rsidP="00C16929">
            <w:pPr>
              <w:spacing w:after="24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 xml:space="preserve">Digitalisation of residence permit procedures with the aim </w:t>
            </w:r>
            <w:r w:rsidR="00B24320">
              <w:rPr>
                <w:rFonts w:asciiTheme="majorBidi" w:hAnsiTheme="majorBidi" w:cstheme="majorBidi"/>
                <w:color w:val="000000"/>
                <w:lang w:val="sk-SK"/>
              </w:rPr>
              <w:br/>
              <w:t xml:space="preserve"> </w:t>
            </w:r>
            <w:r w:rsidR="00B770A1" w:rsidRPr="00B770A1">
              <w:rPr>
                <w:rFonts w:asciiTheme="majorBidi" w:hAnsiTheme="majorBidi" w:cstheme="majorBidi"/>
                <w:color w:val="000000"/>
              </w:rPr>
              <w:t>of simplifying procedures for the public</w:t>
            </w:r>
          </w:p>
        </w:tc>
        <w:tc>
          <w:tcPr>
            <w:tcW w:w="1982" w:type="dxa"/>
          </w:tcPr>
          <w:p w14:paraId="0E5CF608"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C16</w:t>
            </w:r>
          </w:p>
        </w:tc>
        <w:tc>
          <w:tcPr>
            <w:tcW w:w="236" w:type="dxa"/>
          </w:tcPr>
          <w:p w14:paraId="1F573ACB"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3C004887" w14:textId="77777777" w:rsidTr="008E2F46">
        <w:trPr>
          <w:trHeight w:val="284"/>
        </w:trPr>
        <w:tc>
          <w:tcPr>
            <w:cnfStyle w:val="001000000000" w:firstRow="0" w:lastRow="0" w:firstColumn="1" w:lastColumn="0" w:oddVBand="0" w:evenVBand="0" w:oddHBand="0" w:evenHBand="0" w:firstRowFirstColumn="0" w:firstRowLastColumn="0" w:lastRowFirstColumn="0" w:lastRowLastColumn="0"/>
            <w:tcW w:w="328" w:type="dxa"/>
          </w:tcPr>
          <w:p w14:paraId="2ABEA5D1"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34016" behindDoc="0" locked="0" layoutInCell="1" allowOverlap="1" wp14:anchorId="734AC486" wp14:editId="5A38083A">
                      <wp:simplePos x="0" y="0"/>
                      <wp:positionH relativeFrom="column">
                        <wp:posOffset>0</wp:posOffset>
                      </wp:positionH>
                      <wp:positionV relativeFrom="paragraph">
                        <wp:posOffset>6985</wp:posOffset>
                      </wp:positionV>
                      <wp:extent cx="194400" cy="169200"/>
                      <wp:effectExtent l="0" t="0" r="15240" b="21590"/>
                      <wp:wrapNone/>
                      <wp:docPr id="232226442" name="Rectangle 6"/>
                      <wp:cNvGraphicFramePr/>
                      <a:graphic xmlns:a="http://schemas.openxmlformats.org/drawingml/2006/main">
                        <a:graphicData uri="http://schemas.microsoft.com/office/word/2010/wordprocessingShape">
                          <wps:wsp>
                            <wps:cNvSpPr/>
                            <wps:spPr>
                              <a:xfrm>
                                <a:off x="0" y="0"/>
                                <a:ext cx="194400" cy="169200"/>
                              </a:xfrm>
                              <a:prstGeom prst="rect">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D2504" id="Rectangle 6" o:spid="_x0000_s1026" style="position:absolute;margin-left:0;margin-top:.55pt;width:15.3pt;height:13.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HWjcAIAAEYFAAAOAAAAZHJzL2Uyb0RvYy54bWysVE1v2zAMvQ/YfxB0X20HbbcEdYogRYYB&#10;RVusHXpWZCk2IIsapcTJfv0o2XGCrthh2EUmTfLxQ4+6ud23hu0U+gZsyYuLnDNlJVSN3ZT8x8vq&#10;0xfOfBC2EgasKvlBeX47//jhpnMzNYEaTKWQEYj1s86VvA7BzbLMy1q1wl+AU5aMGrAVgVTcZBWK&#10;jtBbk03y/DrrACuHIJX39PeuN/J5wtdayfCotVeBmZJTbSGdmM51PLP5jZhtULi6kUMZ4h+qaEVj&#10;KekIdSeCYFts/oBqG4ngQYcLCW0GWjdSpR6omyJ/081zLZxKvdBwvBvH5P8frHzYPbsnpDF0zs88&#10;ibGLvcY2fqk+tk/DOozDUvvAJP0sppeXOY1Ukqm4ntJlxGFmp2CHPnxV0LIolBzpLtKIxO7eh971&#10;6BJzeTBNtWqMSQpu1kuDbCfo3larZT6in7llp5KTFA5GxWBjvyvNmoqKnKSMiU1qxBNSKhuK3lSL&#10;SvVpiquzLJF/MSJ1lAAjsqbyRuwB4OjZgxyx+/4G/xiqEhnH4PxvhfXBY0TKDDaMwW1jAd8DMNTV&#10;kLn3p/LPRhPFNVSHJ2QI/Sp4J1cN3c+98OFJIHGfrpT2OTzSoQ10JYdB4qwG/PXe/+hPlCQrZx3t&#10;Usn9z61AxZn5Zoms04KoQsuXlMurzxNS8NyyPrfYbbsEuvaCXg4nkxj9gzmKGqF9pbVfxKxkElZS&#10;7pLLgEdlGfodp4dDqsUiudHCORHu7bOTETxONfLvZf8q0A0kDcTuBzjunZi94WrvGyMtLLYBdJOI&#10;fJrrMG9a1kSc4WGJr8G5nrxOz9/8NwAAAP//AwBQSwMEFAAGAAgAAAAhAHY4fkzaAAAABAEAAA8A&#10;AABkcnMvZG93bnJldi54bWxMj8FOwzAQRO9I/IO1SNyo0yK1KMSpKkRvCInQA9y28ZJE2Osodpuk&#10;X89yguPsrGbeFNvJO3WmIXaBDSwXGSjiOtiOGwOH9/3dA6iYkC26wGRgpgjb8vqqwNyGkd/oXKVG&#10;SQjHHA20KfW51rFuyWNchJ5YvK8weEwih0bbAUcJ906vsmytPXYsDS329NRS/V2dvJS8flysq9In&#10;6arf25fneXcZZ2Nub6bdI6hEU/p7hl98QYdSmI7hxDYqZ0CGJLkuQYl5n61BHQ2sNhvQZaH/w5c/&#10;AAAA//8DAFBLAQItABQABgAIAAAAIQC2gziS/gAAAOEBAAATAAAAAAAAAAAAAAAAAAAAAABbQ29u&#10;dGVudF9UeXBlc10ueG1sUEsBAi0AFAAGAAgAAAAhADj9If/WAAAAlAEAAAsAAAAAAAAAAAAAAAAA&#10;LwEAAF9yZWxzLy5yZWxzUEsBAi0AFAAGAAgAAAAhAN0IdaNwAgAARgUAAA4AAAAAAAAAAAAAAAAA&#10;LgIAAGRycy9lMm9Eb2MueG1sUEsBAi0AFAAGAAgAAAAhAHY4fkzaAAAABAEAAA8AAAAAAAAAAAAA&#10;AAAAygQAAGRycy9kb3ducmV2LnhtbFBLBQYAAAAABAAEAPMAAADRBQAAAAA=&#10;" fillcolor="#ffc000" strokecolor="#030e13 [484]" strokeweight="1pt"/>
                  </w:pict>
                </mc:Fallback>
              </mc:AlternateContent>
            </w:r>
          </w:p>
        </w:tc>
        <w:tc>
          <w:tcPr>
            <w:tcW w:w="6476" w:type="dxa"/>
            <w:tcBorders>
              <w:top w:val="single" w:sz="12" w:space="0" w:color="auto"/>
              <w:bottom w:val="single" w:sz="12" w:space="0" w:color="auto"/>
            </w:tcBorders>
            <w:vAlign w:val="center"/>
          </w:tcPr>
          <w:p w14:paraId="6FEDC158" w14:textId="2549E958" w:rsidR="00B770A1" w:rsidRPr="00C16929" w:rsidRDefault="00C16929" w:rsidP="00C16929">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Modernisation of court IT equipment for court staff</w:t>
            </w:r>
          </w:p>
        </w:tc>
        <w:tc>
          <w:tcPr>
            <w:tcW w:w="1982" w:type="dxa"/>
          </w:tcPr>
          <w:p w14:paraId="0F1F319A" w14:textId="77777777" w:rsidR="00B770A1" w:rsidRPr="00B770A1" w:rsidRDefault="00B770A1" w:rsidP="00C16929">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C15</w:t>
            </w:r>
          </w:p>
        </w:tc>
        <w:tc>
          <w:tcPr>
            <w:tcW w:w="236" w:type="dxa"/>
          </w:tcPr>
          <w:p w14:paraId="3ABE9253" w14:textId="77777777" w:rsidR="00B770A1" w:rsidRPr="00B770A1" w:rsidRDefault="00B770A1" w:rsidP="008E2F4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r w:rsidR="00B770A1" w:rsidRPr="00B770A1" w14:paraId="47AE8429" w14:textId="77777777" w:rsidTr="008E2F4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8" w:type="dxa"/>
          </w:tcPr>
          <w:p w14:paraId="71EB3CBB"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8352" behindDoc="0" locked="0" layoutInCell="1" allowOverlap="1" wp14:anchorId="4FA4C51D" wp14:editId="7F2ABA74">
                      <wp:simplePos x="0" y="0"/>
                      <wp:positionH relativeFrom="column">
                        <wp:posOffset>0</wp:posOffset>
                      </wp:positionH>
                      <wp:positionV relativeFrom="paragraph">
                        <wp:posOffset>635</wp:posOffset>
                      </wp:positionV>
                      <wp:extent cx="194209" cy="169933"/>
                      <wp:effectExtent l="0" t="0" r="9525" b="8255"/>
                      <wp:wrapNone/>
                      <wp:docPr id="84638529"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1AE81" id="Rectangle 6" o:spid="_x0000_s1026" style="position:absolute;margin-left:0;margin-top:.05pt;width:15.3pt;height:13.4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YwH7&#10;ptkAAAADAQAADwAAAGRycy9kb3ducmV2LnhtbEyPwU7DMBBE70j9B2srcaMOhUZtGqdCSKAeAInA&#10;B2zjbRJhryPbTdO/xz3BcWdGM2/L3WSNGMmH3rGC+0UGgrhxuudWwffXy90aRIjIGo1jUnChALtq&#10;dlNiod2ZP2msYytSCYcCFXQxDoWUoenIYli4gTh5R+ctxnT6VmqP51RujVxmWS4t9pwWOhzouaPm&#10;pz5ZBW+vH2a1stbvW+nea3Tj49oflbqdT09bEJGm+BeGK35ChyoxHdyJdRBGQXokXlWRvIcsB3FQ&#10;sMw3IKtS/mevfgEAAP//AwBQSwECLQAUAAYACAAAACEAtoM4kv4AAADhAQAAEwAAAAAAAAAAAAAA&#10;AAAAAAAAW0NvbnRlbnRfVHlwZXNdLnhtbFBLAQItABQABgAIAAAAIQA4/SH/1gAAAJQBAAALAAAA&#10;AAAAAAAAAAAAAC8BAABfcmVscy8ucmVsc1BLAQItABQABgAIAAAAIQCykE6eewIAAFAFAAAOAAAA&#10;AAAAAAAAAAAAAC4CAABkcnMvZTJvRG9jLnhtbFBLAQItABQABgAIAAAAIQBjAfum2QAAAAM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6D8B6089" w14:textId="4F7244B2" w:rsidR="00B770A1" w:rsidRPr="00C16929" w:rsidRDefault="00C16929" w:rsidP="00C16929">
            <w:pPr>
              <w:spacing w:after="24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Number of hackathons organised</w:t>
            </w:r>
          </w:p>
        </w:tc>
        <w:tc>
          <w:tcPr>
            <w:tcW w:w="1982" w:type="dxa"/>
          </w:tcPr>
          <w:p w14:paraId="17035B9D" w14:textId="77777777" w:rsidR="00B770A1" w:rsidRPr="00B770A1" w:rsidRDefault="00B770A1" w:rsidP="00C16929">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C17</w:t>
            </w:r>
          </w:p>
        </w:tc>
        <w:tc>
          <w:tcPr>
            <w:tcW w:w="236" w:type="dxa"/>
          </w:tcPr>
          <w:p w14:paraId="76DE429D" w14:textId="77777777" w:rsidR="00B770A1" w:rsidRPr="00B770A1" w:rsidRDefault="00B770A1" w:rsidP="008E2F4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rPr>
            </w:pPr>
          </w:p>
        </w:tc>
      </w:tr>
      <w:tr w:rsidR="00B770A1" w:rsidRPr="00B770A1" w14:paraId="0686030B" w14:textId="77777777" w:rsidTr="008E2F46">
        <w:trPr>
          <w:trHeight w:val="272"/>
        </w:trPr>
        <w:tc>
          <w:tcPr>
            <w:cnfStyle w:val="001000000000" w:firstRow="0" w:lastRow="0" w:firstColumn="1" w:lastColumn="0" w:oddVBand="0" w:evenVBand="0" w:oddHBand="0" w:evenHBand="0" w:firstRowFirstColumn="0" w:firstRowLastColumn="0" w:lastRowFirstColumn="0" w:lastRowLastColumn="0"/>
            <w:tcW w:w="328" w:type="dxa"/>
          </w:tcPr>
          <w:p w14:paraId="0D10EDF1" w14:textId="77777777" w:rsidR="00B770A1" w:rsidRPr="00B770A1" w:rsidRDefault="00B770A1" w:rsidP="008E2F46">
            <w:pPr>
              <w:rPr>
                <w:rFonts w:asciiTheme="majorBidi" w:hAnsiTheme="majorBidi" w:cstheme="majorBidi"/>
                <w:lang w:val="en-GB" w:eastAsia="en-US"/>
              </w:rPr>
            </w:pPr>
            <w:r w:rsidRPr="00B770A1">
              <w:rPr>
                <w:rFonts w:asciiTheme="majorBidi" w:hAnsiTheme="majorBidi" w:cstheme="majorBidi"/>
                <w:noProof/>
                <w:lang w:val="en-GB" w:eastAsia="en-US"/>
                <w14:ligatures w14:val="standardContextual"/>
              </w:rPr>
              <mc:AlternateContent>
                <mc:Choice Requires="wps">
                  <w:drawing>
                    <wp:anchor distT="0" distB="0" distL="114300" distR="114300" simplePos="0" relativeHeight="251749376" behindDoc="0" locked="0" layoutInCell="1" allowOverlap="1" wp14:anchorId="253FFAF0" wp14:editId="228A9A56">
                      <wp:simplePos x="0" y="0"/>
                      <wp:positionH relativeFrom="column">
                        <wp:posOffset>0</wp:posOffset>
                      </wp:positionH>
                      <wp:positionV relativeFrom="paragraph">
                        <wp:posOffset>635</wp:posOffset>
                      </wp:positionV>
                      <wp:extent cx="194209" cy="169933"/>
                      <wp:effectExtent l="0" t="0" r="9525" b="8255"/>
                      <wp:wrapNone/>
                      <wp:docPr id="1108094689" name="Rectangle 6"/>
                      <wp:cNvGraphicFramePr/>
                      <a:graphic xmlns:a="http://schemas.openxmlformats.org/drawingml/2006/main">
                        <a:graphicData uri="http://schemas.microsoft.com/office/word/2010/wordprocessingShape">
                          <wps:wsp>
                            <wps:cNvSpPr/>
                            <wps:spPr>
                              <a:xfrm flipH="1">
                                <a:off x="0" y="0"/>
                                <a:ext cx="194209" cy="169933"/>
                              </a:xfrm>
                              <a:prstGeom prst="rect">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6018C7" id="Rectangle 6" o:spid="_x0000_s1026" style="position:absolute;margin-left:0;margin-top:.05pt;width:15.3pt;height:13.4p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6eewIAAFAFAAAOAAAAZHJzL2Uyb0RvYy54bWysVEtv2zAMvg/YfxB0X22nadcEdYogQbcB&#10;RVusHXpWZCkWIIuapMTJfv0o+dGgK3YYdhFIkfz45vXNodFkL5xXYEpanOWUCMOhUmZb0h/Pt5+u&#10;KPGBmYppMKKkR+HpzeLjh+vWzsUEatCVcARBjJ+3tqR1CHaeZZ7XomH+DKwwKJTgGhaQdduscqxF&#10;9EZnkzy/zFpwlXXAhff4u+6EdJHwpRQ8PEjpRSC6pBhbSK9L7ya+2eKazbeO2VrxPgz2D1E0TBl0&#10;OkKtWWBk59QfUI3iDjzIcMahyUBKxUXKAbMp8jfZPNXMipQLFsfbsUz+/8Hy+/2TfXRYhtb6uUcy&#10;ZnGQriFSK/sVe5rywkjJIZXtOJZNHALh+FnMppN8RglHUXE5m52fx7JmHUyEs86HLwIaEomSOuxK&#10;AmX7Ox861UElqnvQqrpVWifGbTcr7cieYQdnk3V+kZqG6Cdq2WvwiQpHLaKxNt+FJKrCICfJY5or&#10;MeIxzoUJXYa+ZpXo3BQXeT56iZMYLVJGCTAiSwxvxO4BBs0OZMDu8uv1o6lIYzka538LrDMeLZJn&#10;MGE0bpQB9x6Axqx6z50+hn9SmkhuoDo+OuKgWwpv+a3C/twxHx6Zwy3AfcHNDg/4SA1tSaGnKKnB&#10;/XrvP+rjcKKUkha3qqT+5445QYn+ZnBsZ8V0GtcwMdOLzxNk3Klkcyoxu2YF2PYCb4jliYz6QQ+k&#10;dNC84AFYRq8oYoaj75Ly4AZmFbptxxPCxXKZ1HD1LAt35snyYb7j/D0fXpiz/ZAGnO57GDaQzd/M&#10;aqcb+2FguQsgVRrk17r29ca1TYPTn5h4F075pPV6CBe/AQAA//8DAFBLAwQUAAYACAAAACEAYwH7&#10;ptkAAAADAQAADwAAAGRycy9kb3ducmV2LnhtbEyPwU7DMBBE70j9B2srcaMOhUZtGqdCSKAeAInA&#10;B2zjbRJhryPbTdO/xz3BcWdGM2/L3WSNGMmH3rGC+0UGgrhxuudWwffXy90aRIjIGo1jUnChALtq&#10;dlNiod2ZP2msYytSCYcCFXQxDoWUoenIYli4gTh5R+ctxnT6VmqP51RujVxmWS4t9pwWOhzouaPm&#10;pz5ZBW+vH2a1stbvW+nea3Tj49oflbqdT09bEJGm+BeGK35ChyoxHdyJdRBGQXokXlWRvIcsB3FQ&#10;sMw3IKtS/mevfgEAAP//AwBQSwECLQAUAAYACAAAACEAtoM4kv4AAADhAQAAEwAAAAAAAAAAAAAA&#10;AAAAAAAAW0NvbnRlbnRfVHlwZXNdLnhtbFBLAQItABQABgAIAAAAIQA4/SH/1gAAAJQBAAALAAAA&#10;AAAAAAAAAAAAAC8BAABfcmVscy8ucmVsc1BLAQItABQABgAIAAAAIQCykE6eewIAAFAFAAAOAAAA&#10;AAAAAAAAAAAAAC4CAABkcnMvZTJvRG9jLnhtbFBLAQItABQABgAIAAAAIQBjAfum2QAAAAMBAAAP&#10;AAAAAAAAAAAAAAAAANUEAABkcnMvZG93bnJldi54bWxQSwUGAAAAAAQABADzAAAA2wUAAAAA&#10;" fillcolor="#92d050" strokecolor="#030e13 [484]" strokeweight="1pt"/>
                  </w:pict>
                </mc:Fallback>
              </mc:AlternateContent>
            </w:r>
          </w:p>
        </w:tc>
        <w:tc>
          <w:tcPr>
            <w:tcW w:w="6476" w:type="dxa"/>
            <w:tcBorders>
              <w:top w:val="single" w:sz="12" w:space="0" w:color="auto"/>
              <w:bottom w:val="single" w:sz="12" w:space="0" w:color="auto"/>
            </w:tcBorders>
            <w:vAlign w:val="center"/>
          </w:tcPr>
          <w:p w14:paraId="5001757B" w14:textId="6DC23601" w:rsidR="00B770A1" w:rsidRPr="00B770A1" w:rsidRDefault="00C16929" w:rsidP="00C16929">
            <w:pPr>
              <w:spacing w:after="24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lang w:val="sk-SK"/>
              </w:rPr>
            </w:pPr>
            <w:r>
              <w:rPr>
                <w:rFonts w:asciiTheme="majorBidi" w:hAnsiTheme="majorBidi" w:cstheme="majorBidi"/>
                <w:color w:val="000000"/>
                <w:lang w:val="sk-SK"/>
              </w:rPr>
              <w:t xml:space="preserve"> </w:t>
            </w:r>
            <w:r w:rsidR="00B770A1" w:rsidRPr="00B770A1">
              <w:rPr>
                <w:rFonts w:asciiTheme="majorBidi" w:hAnsiTheme="majorBidi" w:cstheme="majorBidi"/>
                <w:color w:val="000000"/>
              </w:rPr>
              <w:t>Measures to support the deployment of hydrogen</w:t>
            </w:r>
          </w:p>
        </w:tc>
        <w:tc>
          <w:tcPr>
            <w:tcW w:w="1982" w:type="dxa"/>
          </w:tcPr>
          <w:p w14:paraId="6304CC4B" w14:textId="77777777" w:rsidR="00B770A1" w:rsidRPr="00B770A1" w:rsidRDefault="00B770A1" w:rsidP="00C16929">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B770A1">
              <w:rPr>
                <w:rFonts w:asciiTheme="majorBidi" w:hAnsiTheme="majorBidi" w:cstheme="majorBidi"/>
                <w:color w:val="000000"/>
              </w:rPr>
              <w:t>RePowerEU</w:t>
            </w:r>
          </w:p>
        </w:tc>
        <w:tc>
          <w:tcPr>
            <w:tcW w:w="236" w:type="dxa"/>
          </w:tcPr>
          <w:p w14:paraId="4A1E4691" w14:textId="77777777" w:rsidR="00B770A1" w:rsidRPr="00B770A1" w:rsidRDefault="00B770A1" w:rsidP="008E2F4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p>
        </w:tc>
      </w:tr>
    </w:tbl>
    <w:p w14:paraId="140AB733" w14:textId="32A07742" w:rsidR="00B770A1" w:rsidRPr="00B24320" w:rsidRDefault="00B770A1" w:rsidP="00B24320">
      <w:pPr>
        <w:jc w:val="center"/>
        <w:rPr>
          <w:rFonts w:asciiTheme="majorBidi" w:hAnsiTheme="majorBidi" w:cstheme="majorBidi"/>
          <w:color w:val="000000" w:themeColor="text1"/>
          <w:sz w:val="22"/>
          <w:szCs w:val="22"/>
          <w:lang w:val="en-GB" w:eastAsia="en-US"/>
        </w:rPr>
      </w:pPr>
      <w:r w:rsidRPr="00C16929">
        <w:rPr>
          <w:rFonts w:asciiTheme="majorBidi" w:eastAsiaTheme="minorHAnsi" w:hAnsiTheme="majorBidi" w:cstheme="majorBidi"/>
          <w:i/>
          <w:iCs/>
          <w:color w:val="000000" w:themeColor="text1"/>
          <w:kern w:val="2"/>
          <w:sz w:val="22"/>
          <w:szCs w:val="22"/>
          <w:lang w:val="en-GB" w:eastAsia="en-US"/>
          <w14:ligatures w14:val="standardContextual"/>
        </w:rPr>
        <w:lastRenderedPageBreak/>
        <w:t xml:space="preserve">Source: </w:t>
      </w:r>
      <w:proofErr w:type="spellStart"/>
      <w:r w:rsidRPr="00C16929">
        <w:rPr>
          <w:rFonts w:asciiTheme="majorBidi" w:eastAsiaTheme="minorHAnsi" w:hAnsiTheme="majorBidi" w:cstheme="majorBidi"/>
          <w:i/>
          <w:iCs/>
          <w:color w:val="000000" w:themeColor="text1"/>
          <w:kern w:val="2"/>
          <w:sz w:val="22"/>
          <w:szCs w:val="22"/>
          <w:lang w:val="en-GB" w:eastAsia="en-US"/>
          <w14:ligatures w14:val="standardContextual"/>
        </w:rPr>
        <w:t>Plán</w:t>
      </w:r>
      <w:proofErr w:type="spellEnd"/>
      <w:r w:rsidRPr="00C16929">
        <w:rPr>
          <w:rFonts w:asciiTheme="majorBidi" w:eastAsiaTheme="minorHAnsi" w:hAnsiTheme="majorBidi" w:cstheme="majorBidi"/>
          <w:i/>
          <w:iCs/>
          <w:color w:val="000000" w:themeColor="text1"/>
          <w:kern w:val="2"/>
          <w:sz w:val="22"/>
          <w:szCs w:val="22"/>
          <w:lang w:val="en-GB" w:eastAsia="en-US"/>
          <w14:ligatures w14:val="standardContextual"/>
        </w:rPr>
        <w:t xml:space="preserve"> </w:t>
      </w:r>
      <w:proofErr w:type="spellStart"/>
      <w:r w:rsidRPr="00C16929">
        <w:rPr>
          <w:rFonts w:asciiTheme="majorBidi" w:eastAsiaTheme="minorHAnsi" w:hAnsiTheme="majorBidi" w:cstheme="majorBidi"/>
          <w:i/>
          <w:iCs/>
          <w:color w:val="000000" w:themeColor="text1"/>
          <w:kern w:val="2"/>
          <w:sz w:val="22"/>
          <w:szCs w:val="22"/>
          <w:lang w:val="en-GB" w:eastAsia="en-US"/>
          <w14:ligatures w14:val="standardContextual"/>
        </w:rPr>
        <w:t>Obnovy</w:t>
      </w:r>
      <w:proofErr w:type="spellEnd"/>
      <w:r w:rsidRPr="00C16929">
        <w:rPr>
          <w:rFonts w:asciiTheme="majorBidi" w:eastAsiaTheme="minorHAnsi" w:hAnsiTheme="majorBidi" w:cstheme="majorBidi"/>
          <w:i/>
          <w:iCs/>
          <w:color w:val="000000" w:themeColor="text1"/>
          <w:kern w:val="2"/>
          <w:sz w:val="22"/>
          <w:szCs w:val="22"/>
          <w:lang w:val="en-GB" w:eastAsia="en-US"/>
          <w14:ligatures w14:val="standardContextual"/>
        </w:rPr>
        <w:t xml:space="preserve"> (n.d.-c), table made by author</w:t>
      </w:r>
    </w:p>
    <w:p w14:paraId="2C194B0E" w14:textId="61612722" w:rsidR="00C23CEF" w:rsidRPr="00C23CEF" w:rsidRDefault="0090544F" w:rsidP="00C23CEF">
      <w:pPr>
        <w:pStyle w:val="Heading3"/>
        <w:rPr>
          <w:rFonts w:asciiTheme="majorBidi" w:hAnsiTheme="majorBidi"/>
          <w:b/>
          <w:bCs/>
          <w:color w:val="000000" w:themeColor="text1"/>
          <w:sz w:val="32"/>
          <w:szCs w:val="32"/>
        </w:rPr>
      </w:pPr>
      <w:bookmarkStart w:id="12" w:name="_Toc220360259"/>
      <w:r w:rsidRPr="00C23CEF">
        <w:rPr>
          <w:rFonts w:asciiTheme="majorBidi" w:hAnsiTheme="majorBidi"/>
          <w:b/>
          <w:bCs/>
          <w:color w:val="000000" w:themeColor="text1"/>
          <w:sz w:val="32"/>
          <w:szCs w:val="32"/>
        </w:rPr>
        <w:t>Figures</w:t>
      </w:r>
      <w:bookmarkEnd w:id="12"/>
    </w:p>
    <w:p w14:paraId="7865A5BE" w14:textId="6DD44EF7" w:rsidR="000F2924" w:rsidRPr="00C23CEF" w:rsidRDefault="000F2924" w:rsidP="00C23CEF">
      <w:pPr>
        <w:pStyle w:val="Caption"/>
        <w:keepNext/>
        <w:spacing w:before="240"/>
        <w:jc w:val="center"/>
        <w:rPr>
          <w:rFonts w:asciiTheme="majorBidi" w:hAnsiTheme="majorBidi" w:cstheme="majorBidi"/>
          <w:b/>
          <w:bCs/>
          <w:color w:val="000000" w:themeColor="text1"/>
          <w:sz w:val="24"/>
          <w:szCs w:val="24"/>
        </w:rPr>
      </w:pPr>
      <w:r w:rsidRPr="00C23CEF">
        <w:rPr>
          <w:rFonts w:asciiTheme="majorBidi" w:hAnsiTheme="majorBidi" w:cstheme="majorBidi"/>
          <w:b/>
          <w:bCs/>
          <w:color w:val="000000" w:themeColor="text1"/>
          <w:sz w:val="24"/>
          <w:szCs w:val="24"/>
        </w:rPr>
        <w:t xml:space="preserve">Figure </w:t>
      </w:r>
      <w:r w:rsidRPr="00C23CEF">
        <w:rPr>
          <w:rFonts w:asciiTheme="majorBidi" w:hAnsiTheme="majorBidi" w:cstheme="majorBidi"/>
          <w:b/>
          <w:bCs/>
          <w:color w:val="000000" w:themeColor="text1"/>
          <w:sz w:val="24"/>
          <w:szCs w:val="24"/>
        </w:rPr>
        <w:fldChar w:fldCharType="begin"/>
      </w:r>
      <w:r w:rsidRPr="00C23CEF">
        <w:rPr>
          <w:rFonts w:asciiTheme="majorBidi" w:hAnsiTheme="majorBidi" w:cstheme="majorBidi"/>
          <w:b/>
          <w:bCs/>
          <w:color w:val="000000" w:themeColor="text1"/>
          <w:sz w:val="24"/>
          <w:szCs w:val="24"/>
        </w:rPr>
        <w:instrText xml:space="preserve"> SEQ Figure \* ARABIC </w:instrText>
      </w:r>
      <w:r w:rsidRPr="00C23CEF">
        <w:rPr>
          <w:rFonts w:asciiTheme="majorBidi" w:hAnsiTheme="majorBidi" w:cstheme="majorBidi"/>
          <w:b/>
          <w:bCs/>
          <w:color w:val="000000" w:themeColor="text1"/>
          <w:sz w:val="24"/>
          <w:szCs w:val="24"/>
        </w:rPr>
        <w:fldChar w:fldCharType="separate"/>
      </w:r>
      <w:r w:rsidRPr="00C23CEF">
        <w:rPr>
          <w:rFonts w:asciiTheme="majorBidi" w:hAnsiTheme="majorBidi" w:cstheme="majorBidi"/>
          <w:b/>
          <w:bCs/>
          <w:noProof/>
          <w:color w:val="000000" w:themeColor="text1"/>
          <w:sz w:val="24"/>
          <w:szCs w:val="24"/>
        </w:rPr>
        <w:t>1</w:t>
      </w:r>
      <w:r w:rsidRPr="00C23CEF">
        <w:rPr>
          <w:rFonts w:asciiTheme="majorBidi" w:hAnsiTheme="majorBidi" w:cstheme="majorBidi"/>
          <w:b/>
          <w:bCs/>
          <w:color w:val="000000" w:themeColor="text1"/>
          <w:sz w:val="24"/>
          <w:szCs w:val="24"/>
        </w:rPr>
        <w:fldChar w:fldCharType="end"/>
      </w:r>
      <w:r w:rsidRPr="00C23CEF">
        <w:rPr>
          <w:rFonts w:asciiTheme="majorBidi" w:hAnsiTheme="majorBidi" w:cstheme="majorBidi"/>
          <w:b/>
          <w:bCs/>
          <w:color w:val="000000" w:themeColor="text1"/>
          <w:sz w:val="24"/>
          <w:szCs w:val="24"/>
        </w:rPr>
        <w:t>: Comparison of the number of days schools were partially or completely closed in 2020</w:t>
      </w:r>
    </w:p>
    <w:p w14:paraId="7CA5AFA7" w14:textId="77777777" w:rsidR="000F2924" w:rsidRDefault="000F2924" w:rsidP="00C23CEF">
      <w:pPr>
        <w:keepNext/>
        <w:spacing w:after="240"/>
        <w:jc w:val="center"/>
      </w:pPr>
      <w:r>
        <w:rPr>
          <w:noProof/>
          <w:lang w:val="en-GB" w:eastAsia="en-US"/>
          <w14:ligatures w14:val="standardContextual"/>
        </w:rPr>
        <w:drawing>
          <wp:inline distT="0" distB="0" distL="0" distR="0" wp14:anchorId="1B636591" wp14:editId="33DDF2B6">
            <wp:extent cx="5727700" cy="3438525"/>
            <wp:effectExtent l="0" t="0" r="0" b="3175"/>
            <wp:docPr id="6914248" name="Picture 10" descr="A graph with orange and blu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4248" name="Picture 10" descr="A graph with orange and blue bars&#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5727700" cy="3438525"/>
                    </a:xfrm>
                    <a:prstGeom prst="rect">
                      <a:avLst/>
                    </a:prstGeom>
                  </pic:spPr>
                </pic:pic>
              </a:graphicData>
            </a:graphic>
          </wp:inline>
        </w:drawing>
      </w:r>
    </w:p>
    <w:p w14:paraId="0A71B8F7" w14:textId="2EBD25BA" w:rsidR="00825A25" w:rsidRPr="00C23CEF" w:rsidRDefault="000F2924" w:rsidP="00C23CEF">
      <w:pPr>
        <w:pStyle w:val="Caption"/>
        <w:jc w:val="center"/>
        <w:rPr>
          <w:rFonts w:asciiTheme="majorBidi" w:hAnsiTheme="majorBidi" w:cstheme="majorBidi"/>
          <w:color w:val="000000" w:themeColor="text1"/>
          <w:sz w:val="22"/>
          <w:szCs w:val="22"/>
        </w:rPr>
      </w:pPr>
      <w:r w:rsidRPr="00C23CEF">
        <w:rPr>
          <w:rFonts w:asciiTheme="majorBidi" w:hAnsiTheme="majorBidi" w:cstheme="majorBidi"/>
          <w:color w:val="000000" w:themeColor="text1"/>
          <w:sz w:val="22"/>
          <w:szCs w:val="22"/>
        </w:rPr>
        <w:t xml:space="preserve">Source: </w:t>
      </w:r>
      <w:proofErr w:type="spellStart"/>
      <w:r w:rsidRPr="00C23CEF">
        <w:rPr>
          <w:rFonts w:asciiTheme="majorBidi" w:hAnsiTheme="majorBidi" w:cstheme="majorBidi"/>
          <w:color w:val="000000" w:themeColor="text1"/>
          <w:sz w:val="22"/>
          <w:szCs w:val="22"/>
        </w:rPr>
        <w:t>Petrikovičová</w:t>
      </w:r>
      <w:proofErr w:type="spellEnd"/>
      <w:r w:rsidRPr="00C23CEF">
        <w:rPr>
          <w:rFonts w:asciiTheme="majorBidi" w:hAnsiTheme="majorBidi" w:cstheme="majorBidi"/>
          <w:color w:val="000000" w:themeColor="text1"/>
          <w:sz w:val="22"/>
          <w:szCs w:val="22"/>
        </w:rPr>
        <w:t xml:space="preserve"> et al. (2023)</w:t>
      </w:r>
    </w:p>
    <w:p w14:paraId="4D1F398C" w14:textId="77777777" w:rsidR="00825A25" w:rsidRDefault="00825A25" w:rsidP="00DC5506">
      <w:pPr>
        <w:jc w:val="center"/>
        <w:rPr>
          <w:b/>
          <w:bCs/>
          <w:i/>
          <w:iCs/>
          <w:color w:val="1F1F1F"/>
          <w:sz w:val="22"/>
          <w:szCs w:val="22"/>
          <w:lang w:val="sk-SK"/>
        </w:rPr>
      </w:pPr>
    </w:p>
    <w:p w14:paraId="521AFDE3" w14:textId="77777777" w:rsidR="00C23CEF" w:rsidRPr="00C23CEF" w:rsidRDefault="00C23CEF" w:rsidP="00C23CEF">
      <w:pPr>
        <w:pStyle w:val="Caption"/>
        <w:keepNext/>
        <w:jc w:val="center"/>
        <w:rPr>
          <w:rFonts w:asciiTheme="majorBidi" w:hAnsiTheme="majorBidi" w:cstheme="majorBidi"/>
          <w:b/>
          <w:bCs/>
          <w:color w:val="000000" w:themeColor="text1"/>
          <w:sz w:val="24"/>
          <w:szCs w:val="24"/>
        </w:rPr>
      </w:pPr>
      <w:r w:rsidRPr="00C23CEF">
        <w:rPr>
          <w:rFonts w:asciiTheme="majorBidi" w:hAnsiTheme="majorBidi" w:cstheme="majorBidi"/>
          <w:b/>
          <w:bCs/>
          <w:color w:val="000000" w:themeColor="text1"/>
          <w:sz w:val="24"/>
          <w:szCs w:val="24"/>
        </w:rPr>
        <w:t>Figure 2: Grants allocated so far under RRF</w:t>
      </w:r>
    </w:p>
    <w:p w14:paraId="708AC308" w14:textId="77777777" w:rsidR="00C23CEF" w:rsidRDefault="00C23CEF" w:rsidP="00C23CEF">
      <w:pPr>
        <w:keepNext/>
        <w:spacing w:after="240"/>
        <w:jc w:val="center"/>
      </w:pPr>
      <w:r>
        <w:rPr>
          <w:noProof/>
          <w:lang w:val="en-GB" w:eastAsia="en-US"/>
          <w14:ligatures w14:val="standardContextual"/>
        </w:rPr>
        <w:drawing>
          <wp:inline distT="0" distB="0" distL="0" distR="0" wp14:anchorId="53740B6C" wp14:editId="25E71470">
            <wp:extent cx="3664120" cy="2679032"/>
            <wp:effectExtent l="12700" t="12700" r="6350" b="13970"/>
            <wp:docPr id="653950854" name="Picture 5" descr="A blue and white half circ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807515" name="Picture 5" descr="A blue and white half circle with black text&#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08969" cy="2711823"/>
                    </a:xfrm>
                    <a:prstGeom prst="rect">
                      <a:avLst/>
                    </a:prstGeom>
                    <a:ln>
                      <a:solidFill>
                        <a:schemeClr val="tx2">
                          <a:lumMod val="75000"/>
                          <a:lumOff val="25000"/>
                        </a:schemeClr>
                      </a:solidFill>
                    </a:ln>
                  </pic:spPr>
                </pic:pic>
              </a:graphicData>
            </a:graphic>
          </wp:inline>
        </w:drawing>
      </w:r>
    </w:p>
    <w:p w14:paraId="1668F462" w14:textId="77777777" w:rsidR="00C23CEF" w:rsidRPr="00C23CEF" w:rsidRDefault="00C23CEF" w:rsidP="00C23CEF">
      <w:pPr>
        <w:pStyle w:val="Caption"/>
        <w:jc w:val="center"/>
        <w:rPr>
          <w:rFonts w:asciiTheme="majorBidi" w:hAnsiTheme="majorBidi" w:cstheme="majorBidi"/>
          <w:color w:val="000000" w:themeColor="text1"/>
          <w:sz w:val="22"/>
          <w:szCs w:val="22"/>
        </w:rPr>
      </w:pPr>
      <w:r w:rsidRPr="00C23CEF">
        <w:rPr>
          <w:rFonts w:asciiTheme="majorBidi" w:hAnsiTheme="majorBidi" w:cstheme="majorBidi"/>
          <w:color w:val="000000" w:themeColor="text1"/>
          <w:sz w:val="22"/>
          <w:szCs w:val="22"/>
        </w:rPr>
        <w:t>Source: European Commission (n.d.-c)</w:t>
      </w:r>
    </w:p>
    <w:p w14:paraId="1CB7CC08" w14:textId="77777777" w:rsidR="00C23CEF" w:rsidRPr="00C23CEF" w:rsidRDefault="00C23CEF" w:rsidP="00C23CEF">
      <w:pPr>
        <w:rPr>
          <w:b/>
          <w:bCs/>
          <w:i/>
          <w:iCs/>
          <w:color w:val="1F1F1F"/>
          <w:sz w:val="22"/>
          <w:szCs w:val="22"/>
          <w:lang w:val="en-GB"/>
        </w:rPr>
      </w:pPr>
    </w:p>
    <w:p w14:paraId="62257DA9" w14:textId="5701BD4C" w:rsidR="003A7038" w:rsidRDefault="003A7038" w:rsidP="00B24320">
      <w:pPr>
        <w:pStyle w:val="Caption"/>
        <w:keepNext/>
        <w:rPr>
          <w:i w:val="0"/>
          <w:iCs w:val="0"/>
          <w:sz w:val="21"/>
          <w:szCs w:val="21"/>
        </w:rPr>
      </w:pPr>
    </w:p>
    <w:p w14:paraId="37159B58" w14:textId="77777777" w:rsidR="00607920" w:rsidRDefault="00607920" w:rsidP="003A7038">
      <w:pPr>
        <w:rPr>
          <w:rFonts w:asciiTheme="minorHAnsi" w:eastAsiaTheme="minorHAnsi" w:hAnsiTheme="minorHAnsi" w:cstheme="minorBidi"/>
          <w:i/>
          <w:iCs/>
          <w:color w:val="0E2841" w:themeColor="text2"/>
          <w:kern w:val="2"/>
          <w:sz w:val="21"/>
          <w:szCs w:val="21"/>
          <w:lang w:val="en-GB" w:eastAsia="en-US"/>
          <w14:ligatures w14:val="standardContextual"/>
        </w:rPr>
      </w:pPr>
    </w:p>
    <w:p w14:paraId="49D60196" w14:textId="6B5FC905" w:rsidR="0077331D" w:rsidRPr="00B24320" w:rsidRDefault="0077331D" w:rsidP="00B24320">
      <w:pPr>
        <w:pStyle w:val="Caption"/>
        <w:keepNext/>
        <w:jc w:val="center"/>
        <w:rPr>
          <w:rFonts w:asciiTheme="majorBidi" w:hAnsiTheme="majorBidi" w:cstheme="majorBidi"/>
          <w:b/>
          <w:bCs/>
          <w:color w:val="000000" w:themeColor="text1"/>
          <w:sz w:val="24"/>
          <w:szCs w:val="24"/>
        </w:rPr>
      </w:pPr>
      <w:r w:rsidRPr="00B24320">
        <w:rPr>
          <w:rFonts w:asciiTheme="majorBidi" w:hAnsiTheme="majorBidi" w:cstheme="majorBidi"/>
          <w:b/>
          <w:bCs/>
          <w:color w:val="000000" w:themeColor="text1"/>
          <w:sz w:val="24"/>
          <w:szCs w:val="24"/>
        </w:rPr>
        <w:t>Figure</w:t>
      </w:r>
      <w:r w:rsidR="00B214C6" w:rsidRPr="00B24320">
        <w:rPr>
          <w:rFonts w:asciiTheme="majorBidi" w:hAnsiTheme="majorBidi" w:cstheme="majorBidi"/>
          <w:b/>
          <w:bCs/>
          <w:color w:val="000000" w:themeColor="text1"/>
          <w:sz w:val="24"/>
          <w:szCs w:val="24"/>
        </w:rPr>
        <w:t xml:space="preserve"> 3</w:t>
      </w:r>
      <w:r w:rsidRPr="00B24320">
        <w:rPr>
          <w:rFonts w:asciiTheme="majorBidi" w:hAnsiTheme="majorBidi" w:cstheme="majorBidi"/>
          <w:b/>
          <w:bCs/>
          <w:color w:val="000000" w:themeColor="text1"/>
          <w:sz w:val="24"/>
          <w:szCs w:val="24"/>
        </w:rPr>
        <w:t>: Reforms ratio and division in Slovakia's NRRP</w:t>
      </w:r>
    </w:p>
    <w:p w14:paraId="7E29DBDC" w14:textId="2ABEA89D" w:rsidR="0077331D" w:rsidRDefault="0077331D" w:rsidP="00B24320">
      <w:pPr>
        <w:keepNext/>
        <w:spacing w:after="240"/>
        <w:jc w:val="center"/>
      </w:pPr>
      <w:r>
        <w:rPr>
          <w:noProof/>
          <w:lang w:val="en-GB" w:eastAsia="en-US"/>
          <w14:ligatures w14:val="standardContextual"/>
        </w:rPr>
        <w:drawing>
          <wp:inline distT="0" distB="0" distL="0" distR="0" wp14:anchorId="7BF9213E" wp14:editId="1AD87203">
            <wp:extent cx="3994484" cy="2437875"/>
            <wp:effectExtent l="0" t="0" r="6350" b="635"/>
            <wp:docPr id="1991600672" name="Picture 8" descr="A colorful rectangular boxes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600672" name="Picture 8" descr="A colorful rectangular boxes with numbers&#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016527" cy="2451328"/>
                    </a:xfrm>
                    <a:prstGeom prst="rect">
                      <a:avLst/>
                    </a:prstGeom>
                  </pic:spPr>
                </pic:pic>
              </a:graphicData>
            </a:graphic>
          </wp:inline>
        </w:drawing>
      </w:r>
    </w:p>
    <w:p w14:paraId="7BA7C451" w14:textId="65745D48" w:rsidR="0077331D" w:rsidRPr="00B24320" w:rsidRDefault="0077331D" w:rsidP="00B24320">
      <w:pPr>
        <w:pStyle w:val="Caption"/>
        <w:jc w:val="center"/>
        <w:rPr>
          <w:rFonts w:asciiTheme="majorBidi" w:hAnsiTheme="majorBidi" w:cstheme="majorBidi"/>
          <w:color w:val="000000" w:themeColor="text1"/>
          <w:sz w:val="22"/>
          <w:szCs w:val="22"/>
        </w:rPr>
      </w:pPr>
      <w:r w:rsidRPr="00B24320">
        <w:rPr>
          <w:rFonts w:asciiTheme="majorBidi" w:hAnsiTheme="majorBidi" w:cstheme="majorBidi"/>
          <w:color w:val="000000" w:themeColor="text1"/>
          <w:sz w:val="22"/>
          <w:szCs w:val="22"/>
        </w:rPr>
        <w:t xml:space="preserve">Source </w:t>
      </w:r>
      <w:r w:rsidR="00B214C6" w:rsidRPr="00B24320">
        <w:rPr>
          <w:rFonts w:asciiTheme="majorBidi" w:hAnsiTheme="majorBidi" w:cstheme="majorBidi"/>
          <w:color w:val="000000" w:themeColor="text1"/>
          <w:sz w:val="22"/>
          <w:szCs w:val="22"/>
        </w:rPr>
        <w:t>8</w:t>
      </w:r>
      <w:r w:rsidRPr="00B24320">
        <w:rPr>
          <w:rFonts w:asciiTheme="majorBidi" w:hAnsiTheme="majorBidi" w:cstheme="majorBidi"/>
          <w:color w:val="000000" w:themeColor="text1"/>
          <w:sz w:val="22"/>
          <w:szCs w:val="22"/>
        </w:rPr>
        <w:t>: European Commission (2025)</w:t>
      </w:r>
    </w:p>
    <w:sectPr w:rsidR="0077331D" w:rsidRPr="00B24320" w:rsidSect="003E3E4A">
      <w:headerReference w:type="default" r:id="rId23"/>
      <w:footerReference w:type="even" r:id="rId24"/>
      <w:footerReference w:type="default" r:id="rId25"/>
      <w:pgSz w:w="11900" w:h="16840"/>
      <w:pgMar w:top="1904" w:right="1440" w:bottom="597"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AEA04" w14:textId="77777777" w:rsidR="005C0F16" w:rsidRDefault="005C0F16" w:rsidP="009C7F6D">
      <w:r>
        <w:separator/>
      </w:r>
    </w:p>
  </w:endnote>
  <w:endnote w:type="continuationSeparator" w:id="0">
    <w:p w14:paraId="25C4EF54" w14:textId="77777777" w:rsidR="005C0F16" w:rsidRDefault="005C0F16" w:rsidP="009C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pleSystemUIFont">
    <w:altName w:val="Calibri"/>
    <w:panose1 w:val="020B0604020202020204"/>
    <w:charset w:val="00"/>
    <w:family w:val="auto"/>
    <w:pitch w:val="default"/>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10546270"/>
      <w:docPartObj>
        <w:docPartGallery w:val="Page Numbers (Bottom of Page)"/>
        <w:docPartUnique/>
      </w:docPartObj>
    </w:sdtPr>
    <w:sdtContent>
      <w:p w14:paraId="08FE34F5" w14:textId="5A1FD279" w:rsidR="003E3E4A" w:rsidRDefault="003E3E4A" w:rsidP="006050B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26E70D83" w14:textId="77777777" w:rsidR="003E3E4A" w:rsidRDefault="003E3E4A" w:rsidP="003E3E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8519724"/>
      <w:docPartObj>
        <w:docPartGallery w:val="Page Numbers (Bottom of Page)"/>
        <w:docPartUnique/>
      </w:docPartObj>
    </w:sdtPr>
    <w:sdtContent>
      <w:p w14:paraId="18EE6C24" w14:textId="5EBB4049" w:rsidR="003E3E4A" w:rsidRDefault="003E3E4A" w:rsidP="006050B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7D9A063E" w14:textId="77777777" w:rsidR="003E3E4A" w:rsidRDefault="003E3E4A" w:rsidP="003E3E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8B04D" w14:textId="77777777" w:rsidR="005C0F16" w:rsidRDefault="005C0F16" w:rsidP="009C7F6D">
      <w:r>
        <w:separator/>
      </w:r>
    </w:p>
  </w:footnote>
  <w:footnote w:type="continuationSeparator" w:id="0">
    <w:p w14:paraId="4C0D1CFE" w14:textId="77777777" w:rsidR="005C0F16" w:rsidRDefault="005C0F16" w:rsidP="009C7F6D">
      <w:r>
        <w:continuationSeparator/>
      </w:r>
    </w:p>
  </w:footnote>
  <w:footnote w:id="1">
    <w:p w14:paraId="0D88661C" w14:textId="431D91AA" w:rsidR="00416B4D" w:rsidRPr="006D78B0" w:rsidRDefault="00416B4D">
      <w:pPr>
        <w:pStyle w:val="FootnoteText"/>
        <w:rPr>
          <w:rFonts w:asciiTheme="majorBidi" w:hAnsiTheme="majorBidi" w:cstheme="majorBidi"/>
          <w:lang w:val="sk-SK"/>
        </w:rPr>
      </w:pPr>
      <w:r w:rsidRPr="006D78B0">
        <w:rPr>
          <w:rStyle w:val="FootnoteReference"/>
          <w:rFonts w:asciiTheme="majorBidi" w:hAnsiTheme="majorBidi" w:cstheme="majorBidi"/>
        </w:rPr>
        <w:footnoteRef/>
      </w:r>
      <w:r w:rsidRPr="006D78B0">
        <w:rPr>
          <w:rFonts w:asciiTheme="majorBidi" w:hAnsiTheme="majorBidi" w:cstheme="majorBidi"/>
        </w:rPr>
        <w:t xml:space="preserve"> </w:t>
      </w:r>
      <w:proofErr w:type="spellStart"/>
      <w:r w:rsidRPr="006D78B0">
        <w:rPr>
          <w:rFonts w:asciiTheme="majorBidi" w:hAnsiTheme="majorBidi" w:cstheme="majorBidi"/>
          <w:lang w:val="sk-SK"/>
        </w:rPr>
        <w:t>For</w:t>
      </w:r>
      <w:proofErr w:type="spellEnd"/>
      <w:r w:rsidRPr="006D78B0">
        <w:rPr>
          <w:rFonts w:asciiTheme="majorBidi" w:hAnsiTheme="majorBidi" w:cstheme="majorBidi"/>
          <w:lang w:val="sk-SK"/>
        </w:rPr>
        <w:t xml:space="preserve"> </w:t>
      </w:r>
      <w:proofErr w:type="spellStart"/>
      <w:r w:rsidRPr="006D78B0">
        <w:rPr>
          <w:rFonts w:asciiTheme="majorBidi" w:hAnsiTheme="majorBidi" w:cstheme="majorBidi"/>
          <w:lang w:val="sk-SK"/>
        </w:rPr>
        <w:t>graphical</w:t>
      </w:r>
      <w:proofErr w:type="spellEnd"/>
      <w:r w:rsidRPr="006D78B0">
        <w:rPr>
          <w:rFonts w:asciiTheme="majorBidi" w:hAnsiTheme="majorBidi" w:cstheme="majorBidi"/>
          <w:lang w:val="sk-SK"/>
        </w:rPr>
        <w:t xml:space="preserve"> </w:t>
      </w:r>
      <w:proofErr w:type="spellStart"/>
      <w:r w:rsidRPr="006D78B0">
        <w:rPr>
          <w:rFonts w:asciiTheme="majorBidi" w:hAnsiTheme="majorBidi" w:cstheme="majorBidi"/>
          <w:lang w:val="sk-SK"/>
        </w:rPr>
        <w:t>depiction</w:t>
      </w:r>
      <w:proofErr w:type="spellEnd"/>
      <w:r w:rsidR="00744211" w:rsidRPr="006D78B0">
        <w:rPr>
          <w:rFonts w:asciiTheme="majorBidi" w:hAnsiTheme="majorBidi" w:cstheme="majorBidi"/>
          <w:lang w:val="sk-SK"/>
        </w:rPr>
        <w:t xml:space="preserve"> GDP trend</w:t>
      </w:r>
      <w:r w:rsidRPr="006D78B0">
        <w:rPr>
          <w:rFonts w:asciiTheme="majorBidi" w:hAnsiTheme="majorBidi" w:cstheme="majorBidi"/>
          <w:lang w:val="sk-SK"/>
        </w:rPr>
        <w:t xml:space="preserve"> </w:t>
      </w:r>
      <w:proofErr w:type="spellStart"/>
      <w:r w:rsidRPr="006D78B0">
        <w:rPr>
          <w:rFonts w:asciiTheme="majorBidi" w:hAnsiTheme="majorBidi" w:cstheme="majorBidi"/>
          <w:lang w:val="sk-SK"/>
        </w:rPr>
        <w:t>see</w:t>
      </w:r>
      <w:proofErr w:type="spellEnd"/>
      <w:r w:rsidRPr="006D78B0">
        <w:rPr>
          <w:rFonts w:asciiTheme="majorBidi" w:hAnsiTheme="majorBidi" w:cstheme="majorBidi"/>
          <w:lang w:val="sk-SK"/>
        </w:rPr>
        <w:t xml:space="preserve"> </w:t>
      </w:r>
      <w:proofErr w:type="spellStart"/>
      <w:r w:rsidRPr="006D78B0">
        <w:rPr>
          <w:rFonts w:asciiTheme="majorBidi" w:hAnsiTheme="majorBidi" w:cstheme="majorBidi"/>
          <w:lang w:val="sk-SK"/>
        </w:rPr>
        <w:t>Graph</w:t>
      </w:r>
      <w:proofErr w:type="spellEnd"/>
      <w:r w:rsidRPr="006D78B0">
        <w:rPr>
          <w:rFonts w:asciiTheme="majorBidi" w:hAnsiTheme="majorBidi" w:cstheme="majorBidi"/>
          <w:lang w:val="sk-SK"/>
        </w:rPr>
        <w:t xml:space="preserve"> 1</w:t>
      </w:r>
      <w:r w:rsidR="00744211" w:rsidRPr="006D78B0">
        <w:rPr>
          <w:rFonts w:asciiTheme="majorBidi" w:hAnsiTheme="majorBidi" w:cstheme="majorBidi"/>
          <w:lang w:val="sk-SK"/>
        </w:rPr>
        <w:t xml:space="preserve">, </w:t>
      </w:r>
      <w:proofErr w:type="spellStart"/>
      <w:r w:rsidRPr="006D78B0">
        <w:rPr>
          <w:rFonts w:asciiTheme="majorBidi" w:hAnsiTheme="majorBidi" w:cstheme="majorBidi"/>
          <w:lang w:val="sk-SK"/>
        </w:rPr>
        <w:t>Annex</w:t>
      </w:r>
      <w:proofErr w:type="spellEnd"/>
    </w:p>
  </w:footnote>
  <w:footnote w:id="2">
    <w:p w14:paraId="5E95E84B" w14:textId="538DDF0B" w:rsidR="005D3D6C" w:rsidRPr="006D78B0" w:rsidRDefault="005D3D6C">
      <w:pPr>
        <w:pStyle w:val="FootnoteText"/>
        <w:rPr>
          <w:rFonts w:asciiTheme="majorBidi" w:hAnsiTheme="majorBidi" w:cstheme="majorBidi"/>
          <w:lang w:val="sk-SK"/>
        </w:rPr>
      </w:pPr>
      <w:r w:rsidRPr="006D78B0">
        <w:rPr>
          <w:rStyle w:val="FootnoteReference"/>
          <w:rFonts w:asciiTheme="majorBidi" w:hAnsiTheme="majorBidi" w:cstheme="majorBidi"/>
        </w:rPr>
        <w:footnoteRef/>
      </w:r>
      <w:r w:rsidRPr="006D78B0">
        <w:rPr>
          <w:rFonts w:asciiTheme="majorBidi" w:hAnsiTheme="majorBidi" w:cstheme="majorBidi"/>
        </w:rPr>
        <w:t xml:space="preserve"> </w:t>
      </w:r>
      <w:r w:rsidRPr="006D78B0">
        <w:rPr>
          <w:rFonts w:asciiTheme="majorBidi" w:hAnsiTheme="majorBidi" w:cstheme="majorBidi"/>
          <w:lang w:val="sk-SK"/>
        </w:rPr>
        <w:t xml:space="preserve">Please note: numbers of GDP growth can differ based on methodology </w:t>
      </w:r>
    </w:p>
  </w:footnote>
  <w:footnote w:id="3">
    <w:p w14:paraId="599BBF4A" w14:textId="4BC47856" w:rsidR="00E874F0" w:rsidRPr="006D78B0" w:rsidRDefault="00E874F0">
      <w:pPr>
        <w:pStyle w:val="FootnoteText"/>
        <w:rPr>
          <w:rFonts w:asciiTheme="majorBidi" w:hAnsiTheme="majorBidi" w:cstheme="majorBidi"/>
          <w:lang w:val="sk-SK"/>
        </w:rPr>
      </w:pPr>
      <w:r w:rsidRPr="006D78B0">
        <w:rPr>
          <w:rStyle w:val="FootnoteReference"/>
          <w:rFonts w:asciiTheme="majorBidi" w:hAnsiTheme="majorBidi" w:cstheme="majorBidi"/>
        </w:rPr>
        <w:footnoteRef/>
      </w:r>
      <w:r w:rsidRPr="006D78B0">
        <w:rPr>
          <w:rFonts w:asciiTheme="majorBidi" w:hAnsiTheme="majorBidi" w:cstheme="majorBidi"/>
        </w:rPr>
        <w:t xml:space="preserve"> </w:t>
      </w:r>
      <w:r w:rsidRPr="006D78B0">
        <w:rPr>
          <w:rFonts w:asciiTheme="majorBidi" w:hAnsiTheme="majorBidi" w:cstheme="majorBidi"/>
          <w:lang w:val="sk-SK"/>
        </w:rPr>
        <w:t xml:space="preserve">For graphical depiction </w:t>
      </w:r>
      <w:r w:rsidR="00744211" w:rsidRPr="006D78B0">
        <w:rPr>
          <w:rFonts w:asciiTheme="majorBidi" w:hAnsiTheme="majorBidi" w:cstheme="majorBidi"/>
          <w:lang w:val="sk-SK"/>
        </w:rPr>
        <w:t xml:space="preserve">of Slovak macroeconomic performance </w:t>
      </w:r>
      <w:r w:rsidRPr="006D78B0">
        <w:rPr>
          <w:rFonts w:asciiTheme="majorBidi" w:hAnsiTheme="majorBidi" w:cstheme="majorBidi"/>
          <w:lang w:val="sk-SK"/>
        </w:rPr>
        <w:t>see Graph</w:t>
      </w:r>
      <w:r w:rsidR="00744211" w:rsidRPr="006D78B0">
        <w:rPr>
          <w:rFonts w:asciiTheme="majorBidi" w:hAnsiTheme="majorBidi" w:cstheme="majorBidi"/>
          <w:lang w:val="sk-SK"/>
        </w:rPr>
        <w:t xml:space="preserve"> 2, </w:t>
      </w:r>
      <w:r w:rsidRPr="006D78B0">
        <w:rPr>
          <w:rFonts w:asciiTheme="majorBidi" w:hAnsiTheme="majorBidi" w:cstheme="majorBidi"/>
          <w:lang w:val="sk-SK"/>
        </w:rPr>
        <w:t>Annex</w:t>
      </w:r>
    </w:p>
  </w:footnote>
  <w:footnote w:id="4">
    <w:p w14:paraId="7CE1EE2B" w14:textId="39FFA74D" w:rsidR="00744211" w:rsidRPr="00953DE7" w:rsidRDefault="00744211">
      <w:pPr>
        <w:pStyle w:val="FootnoteText"/>
        <w:rPr>
          <w:rFonts w:asciiTheme="majorBidi" w:hAnsiTheme="majorBidi" w:cstheme="majorBidi"/>
          <w:lang w:val="sk-SK"/>
        </w:rPr>
      </w:pPr>
      <w:r w:rsidRPr="00953DE7">
        <w:rPr>
          <w:rStyle w:val="FootnoteReference"/>
          <w:rFonts w:asciiTheme="majorBidi" w:hAnsiTheme="majorBidi" w:cstheme="majorBidi"/>
        </w:rPr>
        <w:footnoteRef/>
      </w:r>
      <w:r w:rsidRPr="00953DE7">
        <w:rPr>
          <w:rFonts w:asciiTheme="majorBidi" w:hAnsiTheme="majorBidi" w:cstheme="majorBidi"/>
        </w:rPr>
        <w:t xml:space="preserve"> </w:t>
      </w:r>
      <w:r w:rsidRPr="00953DE7">
        <w:rPr>
          <w:rFonts w:asciiTheme="majorBidi" w:hAnsiTheme="majorBidi" w:cstheme="majorBidi"/>
          <w:lang w:val="sk-SK"/>
        </w:rPr>
        <w:t>For table of trends of main macroeconomic indicators see Table 1, Annex</w:t>
      </w:r>
    </w:p>
  </w:footnote>
  <w:footnote w:id="5">
    <w:p w14:paraId="588D0EA1" w14:textId="3ED8E52E" w:rsidR="0058475D" w:rsidRPr="00953DE7" w:rsidRDefault="0058475D">
      <w:pPr>
        <w:pStyle w:val="FootnoteText"/>
        <w:rPr>
          <w:rFonts w:asciiTheme="majorBidi" w:hAnsiTheme="majorBidi" w:cstheme="majorBidi"/>
          <w:lang w:val="sk-SK"/>
        </w:rPr>
      </w:pPr>
      <w:r w:rsidRPr="00953DE7">
        <w:rPr>
          <w:rStyle w:val="FootnoteReference"/>
          <w:rFonts w:asciiTheme="majorBidi" w:hAnsiTheme="majorBidi" w:cstheme="majorBidi"/>
        </w:rPr>
        <w:footnoteRef/>
      </w:r>
      <w:r w:rsidRPr="00953DE7">
        <w:rPr>
          <w:rFonts w:asciiTheme="majorBidi" w:hAnsiTheme="majorBidi" w:cstheme="majorBidi"/>
        </w:rPr>
        <w:t xml:space="preserve"> </w:t>
      </w:r>
      <w:r w:rsidRPr="00953DE7">
        <w:rPr>
          <w:rFonts w:asciiTheme="majorBidi" w:hAnsiTheme="majorBidi" w:cstheme="majorBidi"/>
          <w:lang w:val="sk-SK"/>
        </w:rPr>
        <w:t>For graphical depiction tourism see Graph 3, Annex</w:t>
      </w:r>
    </w:p>
  </w:footnote>
  <w:footnote w:id="6">
    <w:p w14:paraId="352C36E5" w14:textId="024FE04F" w:rsidR="0058475D" w:rsidRPr="00953DE7" w:rsidRDefault="0058475D">
      <w:pPr>
        <w:pStyle w:val="FootnoteText"/>
        <w:rPr>
          <w:rFonts w:asciiTheme="majorBidi" w:hAnsiTheme="majorBidi" w:cstheme="majorBidi"/>
          <w:lang w:val="sk-SK"/>
        </w:rPr>
      </w:pPr>
      <w:r w:rsidRPr="00953DE7">
        <w:rPr>
          <w:rStyle w:val="FootnoteReference"/>
          <w:rFonts w:asciiTheme="majorBidi" w:hAnsiTheme="majorBidi" w:cstheme="majorBidi"/>
        </w:rPr>
        <w:footnoteRef/>
      </w:r>
      <w:r w:rsidRPr="00953DE7">
        <w:rPr>
          <w:rFonts w:asciiTheme="majorBidi" w:hAnsiTheme="majorBidi" w:cstheme="majorBidi"/>
        </w:rPr>
        <w:t xml:space="preserve"> </w:t>
      </w:r>
      <w:r w:rsidRPr="00953DE7">
        <w:rPr>
          <w:rFonts w:asciiTheme="majorBidi" w:hAnsiTheme="majorBidi" w:cstheme="majorBidi"/>
          <w:lang w:val="sk-SK"/>
        </w:rPr>
        <w:t>For graphical depiction nominal imput tourism see Graph 4, Annex</w:t>
      </w:r>
    </w:p>
  </w:footnote>
  <w:footnote w:id="7">
    <w:p w14:paraId="40388B17" w14:textId="76364656" w:rsidR="00B214C6" w:rsidRPr="00953DE7" w:rsidRDefault="00B214C6">
      <w:pPr>
        <w:pStyle w:val="FootnoteText"/>
        <w:rPr>
          <w:rFonts w:asciiTheme="majorBidi" w:hAnsiTheme="majorBidi" w:cstheme="majorBidi"/>
          <w:lang w:val="sk-SK"/>
        </w:rPr>
      </w:pPr>
      <w:r w:rsidRPr="00953DE7">
        <w:rPr>
          <w:rStyle w:val="FootnoteReference"/>
          <w:rFonts w:asciiTheme="majorBidi" w:hAnsiTheme="majorBidi" w:cstheme="majorBidi"/>
        </w:rPr>
        <w:footnoteRef/>
      </w:r>
      <w:r w:rsidRPr="00953DE7">
        <w:rPr>
          <w:rFonts w:asciiTheme="majorBidi" w:hAnsiTheme="majorBidi" w:cstheme="majorBidi"/>
        </w:rPr>
        <w:t xml:space="preserve"> </w:t>
      </w:r>
      <w:r w:rsidRPr="00953DE7">
        <w:rPr>
          <w:rFonts w:asciiTheme="majorBidi" w:hAnsiTheme="majorBidi" w:cstheme="majorBidi"/>
          <w:lang w:val="sk-SK"/>
        </w:rPr>
        <w:t>For graphical depiction school closures see Figure 1, Annex</w:t>
      </w:r>
    </w:p>
  </w:footnote>
  <w:footnote w:id="8">
    <w:p w14:paraId="7147575B" w14:textId="33C7A463" w:rsidR="005B6CFB" w:rsidRPr="00953DE7" w:rsidRDefault="005B6CFB">
      <w:pPr>
        <w:pStyle w:val="FootnoteText"/>
        <w:rPr>
          <w:rFonts w:asciiTheme="majorBidi" w:hAnsiTheme="majorBidi" w:cstheme="majorBidi"/>
          <w:lang w:val="sk-SK"/>
        </w:rPr>
      </w:pPr>
      <w:r w:rsidRPr="00953DE7">
        <w:rPr>
          <w:rStyle w:val="FootnoteReference"/>
          <w:rFonts w:asciiTheme="majorBidi" w:hAnsiTheme="majorBidi" w:cstheme="majorBidi"/>
        </w:rPr>
        <w:footnoteRef/>
      </w:r>
      <w:r w:rsidRPr="00953DE7">
        <w:rPr>
          <w:rFonts w:asciiTheme="majorBidi" w:hAnsiTheme="majorBidi" w:cstheme="majorBidi"/>
        </w:rPr>
        <w:t xml:space="preserve"> </w:t>
      </w:r>
      <w:r w:rsidRPr="00953DE7">
        <w:rPr>
          <w:rFonts w:asciiTheme="majorBidi" w:hAnsiTheme="majorBidi" w:cstheme="majorBidi"/>
          <w:lang w:val="sk-SK"/>
        </w:rPr>
        <w:t xml:space="preserve">For graphical depiction see </w:t>
      </w:r>
      <w:r w:rsidR="00B214C6" w:rsidRPr="00953DE7">
        <w:rPr>
          <w:rFonts w:asciiTheme="majorBidi" w:hAnsiTheme="majorBidi" w:cstheme="majorBidi"/>
          <w:lang w:val="sk-SK"/>
        </w:rPr>
        <w:t>Figure</w:t>
      </w:r>
      <w:r w:rsidRPr="00953DE7">
        <w:rPr>
          <w:rFonts w:asciiTheme="majorBidi" w:hAnsiTheme="majorBidi" w:cstheme="majorBidi"/>
          <w:lang w:val="sk-SK"/>
        </w:rPr>
        <w:t xml:space="preserve"> </w:t>
      </w:r>
      <w:r w:rsidR="00B214C6" w:rsidRPr="00953DE7">
        <w:rPr>
          <w:rFonts w:asciiTheme="majorBidi" w:hAnsiTheme="majorBidi" w:cstheme="majorBidi"/>
          <w:lang w:val="sk-SK"/>
        </w:rPr>
        <w:t>2</w:t>
      </w:r>
      <w:r w:rsidRPr="00953DE7">
        <w:rPr>
          <w:rFonts w:asciiTheme="majorBidi" w:hAnsiTheme="majorBidi" w:cstheme="majorBidi"/>
          <w:lang w:val="sk-SK"/>
        </w:rPr>
        <w:t>, Annex.</w:t>
      </w:r>
    </w:p>
  </w:footnote>
  <w:footnote w:id="9">
    <w:p w14:paraId="3E8C6741" w14:textId="45B61BDA" w:rsidR="00147E66" w:rsidRPr="00147E66" w:rsidRDefault="00147E66">
      <w:pPr>
        <w:pStyle w:val="FootnoteText"/>
        <w:rPr>
          <w:lang w:val="sk-SK"/>
        </w:rPr>
      </w:pPr>
      <w:r w:rsidRPr="00953DE7">
        <w:rPr>
          <w:rStyle w:val="FootnoteReference"/>
          <w:rFonts w:asciiTheme="majorBidi" w:hAnsiTheme="majorBidi" w:cstheme="majorBidi"/>
        </w:rPr>
        <w:footnoteRef/>
      </w:r>
      <w:r w:rsidRPr="00953DE7">
        <w:rPr>
          <w:rFonts w:asciiTheme="majorBidi" w:hAnsiTheme="majorBidi" w:cstheme="majorBidi"/>
        </w:rPr>
        <w:t xml:space="preserve"> </w:t>
      </w:r>
      <w:r w:rsidRPr="00953DE7">
        <w:rPr>
          <w:rFonts w:asciiTheme="majorBidi" w:hAnsiTheme="majorBidi" w:cstheme="majorBidi"/>
          <w:lang w:val="sk-SK"/>
        </w:rPr>
        <w:t>Plán Obnovy (from Slovak Language) is National Recovery and Resilience Plan</w:t>
      </w:r>
    </w:p>
  </w:footnote>
  <w:footnote w:id="10">
    <w:p w14:paraId="79887E15" w14:textId="413AA0B7" w:rsidR="00E772E5" w:rsidRPr="007A5787" w:rsidRDefault="00E772E5">
      <w:pPr>
        <w:pStyle w:val="FootnoteText"/>
        <w:rPr>
          <w:rFonts w:asciiTheme="majorBidi" w:hAnsiTheme="majorBidi" w:cstheme="majorBidi"/>
          <w:lang w:val="sk-SK"/>
        </w:rPr>
      </w:pPr>
      <w:r w:rsidRPr="007A5787">
        <w:rPr>
          <w:rStyle w:val="FootnoteReference"/>
          <w:rFonts w:asciiTheme="majorBidi" w:hAnsiTheme="majorBidi" w:cstheme="majorBidi"/>
        </w:rPr>
        <w:footnoteRef/>
      </w:r>
      <w:r w:rsidRPr="007A5787">
        <w:rPr>
          <w:rFonts w:asciiTheme="majorBidi" w:hAnsiTheme="majorBidi" w:cstheme="majorBidi"/>
        </w:rPr>
        <w:t xml:space="preserve"> </w:t>
      </w:r>
      <w:r w:rsidRPr="007A5787">
        <w:rPr>
          <w:rFonts w:asciiTheme="majorBidi" w:hAnsiTheme="majorBidi" w:cstheme="majorBidi"/>
          <w:lang w:val="sk-SK"/>
        </w:rPr>
        <w:t>See Graph 6, Annex.</w:t>
      </w:r>
    </w:p>
  </w:footnote>
  <w:footnote w:id="11">
    <w:p w14:paraId="1A218043" w14:textId="4F12EE51" w:rsidR="00607920" w:rsidRPr="007A5787" w:rsidRDefault="00607920">
      <w:pPr>
        <w:pStyle w:val="FootnoteText"/>
        <w:rPr>
          <w:rFonts w:asciiTheme="majorBidi" w:hAnsiTheme="majorBidi" w:cstheme="majorBidi"/>
          <w:lang w:val="sk-SK"/>
        </w:rPr>
      </w:pPr>
      <w:r w:rsidRPr="007A5787">
        <w:rPr>
          <w:rStyle w:val="FootnoteReference"/>
          <w:rFonts w:asciiTheme="majorBidi" w:hAnsiTheme="majorBidi" w:cstheme="majorBidi"/>
        </w:rPr>
        <w:footnoteRef/>
      </w:r>
      <w:r w:rsidRPr="007A5787">
        <w:rPr>
          <w:rFonts w:asciiTheme="majorBidi" w:hAnsiTheme="majorBidi" w:cstheme="majorBidi"/>
        </w:rPr>
        <w:t xml:space="preserve"> </w:t>
      </w:r>
      <w:r w:rsidRPr="007A5787">
        <w:rPr>
          <w:rFonts w:asciiTheme="majorBidi" w:hAnsiTheme="majorBidi" w:cstheme="majorBidi"/>
          <w:lang w:val="sk-SK"/>
        </w:rPr>
        <w:t xml:space="preserve">See Graph </w:t>
      </w:r>
      <w:r w:rsidR="00E772E5" w:rsidRPr="007A5787">
        <w:rPr>
          <w:rFonts w:asciiTheme="majorBidi" w:hAnsiTheme="majorBidi" w:cstheme="majorBidi"/>
          <w:lang w:val="sk-SK"/>
        </w:rPr>
        <w:t>7</w:t>
      </w:r>
      <w:r w:rsidRPr="007A5787">
        <w:rPr>
          <w:rFonts w:asciiTheme="majorBidi" w:hAnsiTheme="majorBidi" w:cstheme="majorBidi"/>
          <w:lang w:val="sk-SK"/>
        </w:rPr>
        <w:t>, Annex</w:t>
      </w:r>
    </w:p>
  </w:footnote>
  <w:footnote w:id="12">
    <w:p w14:paraId="02C0CEEB" w14:textId="7240AF5D" w:rsidR="003F13F5" w:rsidRPr="007A5787" w:rsidRDefault="003F13F5">
      <w:pPr>
        <w:pStyle w:val="FootnoteText"/>
        <w:rPr>
          <w:rFonts w:asciiTheme="majorBidi" w:hAnsiTheme="majorBidi" w:cstheme="majorBidi"/>
          <w:lang w:val="sk-SK"/>
        </w:rPr>
      </w:pPr>
      <w:r w:rsidRPr="007A5787">
        <w:rPr>
          <w:rStyle w:val="FootnoteReference"/>
          <w:rFonts w:asciiTheme="majorBidi" w:hAnsiTheme="majorBidi" w:cstheme="majorBidi"/>
        </w:rPr>
        <w:footnoteRef/>
      </w:r>
      <w:r w:rsidRPr="007A5787">
        <w:rPr>
          <w:rFonts w:asciiTheme="majorBidi" w:hAnsiTheme="majorBidi" w:cstheme="majorBidi"/>
        </w:rPr>
        <w:t xml:space="preserve"> </w:t>
      </w:r>
      <w:r w:rsidRPr="007A5787">
        <w:rPr>
          <w:rFonts w:asciiTheme="majorBidi" w:hAnsiTheme="majorBidi" w:cstheme="majorBidi"/>
          <w:lang w:val="sk-SK"/>
        </w:rPr>
        <w:t xml:space="preserve">See Figure </w:t>
      </w:r>
      <w:r w:rsidR="00B214C6" w:rsidRPr="007A5787">
        <w:rPr>
          <w:rFonts w:asciiTheme="majorBidi" w:hAnsiTheme="majorBidi" w:cstheme="majorBidi"/>
          <w:lang w:val="sk-SK"/>
        </w:rPr>
        <w:t>3</w:t>
      </w:r>
      <w:r w:rsidRPr="007A5787">
        <w:rPr>
          <w:rFonts w:asciiTheme="majorBidi" w:hAnsiTheme="majorBidi" w:cstheme="majorBidi"/>
          <w:lang w:val="sk-SK"/>
        </w:rPr>
        <w:t>, Annex</w:t>
      </w:r>
    </w:p>
  </w:footnote>
  <w:footnote w:id="13">
    <w:p w14:paraId="4D29F088" w14:textId="54A0532F" w:rsidR="00CA2960" w:rsidRPr="00CA2960" w:rsidRDefault="00CA2960">
      <w:pPr>
        <w:pStyle w:val="FootnoteText"/>
        <w:rPr>
          <w:lang w:val="sk-SK"/>
        </w:rPr>
      </w:pPr>
      <w:r w:rsidRPr="007A5787">
        <w:rPr>
          <w:rStyle w:val="FootnoteReference"/>
          <w:rFonts w:asciiTheme="majorBidi" w:hAnsiTheme="majorBidi" w:cstheme="majorBidi"/>
        </w:rPr>
        <w:footnoteRef/>
      </w:r>
      <w:r w:rsidRPr="007A5787">
        <w:rPr>
          <w:rFonts w:asciiTheme="majorBidi" w:hAnsiTheme="majorBidi" w:cstheme="majorBidi"/>
        </w:rPr>
        <w:t xml:space="preserve"> </w:t>
      </w:r>
      <w:r w:rsidRPr="007A5787">
        <w:rPr>
          <w:rFonts w:asciiTheme="majorBidi" w:hAnsiTheme="majorBidi" w:cstheme="majorBidi"/>
          <w:lang w:val="sk-SK"/>
        </w:rPr>
        <w:t>To see detailed NIKA evaluation of the 7</w:t>
      </w:r>
      <w:r w:rsidRPr="007A5787">
        <w:rPr>
          <w:rFonts w:asciiTheme="majorBidi" w:hAnsiTheme="majorBidi" w:cstheme="majorBidi"/>
          <w:vertAlign w:val="superscript"/>
          <w:lang w:val="sk-SK"/>
        </w:rPr>
        <w:t>th</w:t>
      </w:r>
      <w:r w:rsidRPr="007A5787">
        <w:rPr>
          <w:rFonts w:asciiTheme="majorBidi" w:hAnsiTheme="majorBidi" w:cstheme="majorBidi"/>
          <w:lang w:val="sk-SK"/>
        </w:rPr>
        <w:t xml:space="preserve"> payment request see Table 2, Annex.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4D9D3" w14:textId="56495AAF" w:rsidR="00CB641D" w:rsidRPr="00CB641D" w:rsidRDefault="00CB641D" w:rsidP="00953DE7">
    <w:pPr>
      <w:pStyle w:val="Header"/>
      <w:spacing w:line="276" w:lineRule="auto"/>
      <w:rPr>
        <w:rFonts w:ascii="Times New Roman" w:hAnsi="Times New Roman" w:cs="Times New Roman"/>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278A"/>
    <w:multiLevelType w:val="hybridMultilevel"/>
    <w:tmpl w:val="A644FAC0"/>
    <w:lvl w:ilvl="0" w:tplc="07F6ED1A">
      <w:start w:val="9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F3B7807"/>
    <w:multiLevelType w:val="hybridMultilevel"/>
    <w:tmpl w:val="00261A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F1D6183"/>
    <w:multiLevelType w:val="hybridMultilevel"/>
    <w:tmpl w:val="B65C81CA"/>
    <w:lvl w:ilvl="0" w:tplc="10BA3034">
      <w:start w:val="98"/>
      <w:numFmt w:val="bullet"/>
      <w:lvlText w:val="-"/>
      <w:lvlJc w:val="left"/>
      <w:pPr>
        <w:ind w:left="786" w:hanging="360"/>
      </w:pPr>
      <w:rPr>
        <w:rFonts w:ascii="Times New Roman" w:eastAsiaTheme="minorHAnsi"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3" w15:restartNumberingAfterBreak="0">
    <w:nsid w:val="4C214859"/>
    <w:multiLevelType w:val="multilevel"/>
    <w:tmpl w:val="A8E6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80477B"/>
    <w:multiLevelType w:val="hybridMultilevel"/>
    <w:tmpl w:val="DC2AE9E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FF533F7"/>
    <w:multiLevelType w:val="hybridMultilevel"/>
    <w:tmpl w:val="4C220EB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16cid:durableId="2025857918">
    <w:abstractNumId w:val="3"/>
  </w:num>
  <w:num w:numId="2" w16cid:durableId="1581713171">
    <w:abstractNumId w:val="1"/>
  </w:num>
  <w:num w:numId="3" w16cid:durableId="1671247838">
    <w:abstractNumId w:val="4"/>
  </w:num>
  <w:num w:numId="4" w16cid:durableId="1204250256">
    <w:abstractNumId w:val="5"/>
  </w:num>
  <w:num w:numId="5" w16cid:durableId="1387726894">
    <w:abstractNumId w:val="2"/>
  </w:num>
  <w:num w:numId="6" w16cid:durableId="393505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C5D"/>
    <w:rsid w:val="00006910"/>
    <w:rsid w:val="00033681"/>
    <w:rsid w:val="00041E01"/>
    <w:rsid w:val="00072B3C"/>
    <w:rsid w:val="000A6188"/>
    <w:rsid w:val="000C22D1"/>
    <w:rsid w:val="000D430F"/>
    <w:rsid w:val="000F0D9D"/>
    <w:rsid w:val="000F2924"/>
    <w:rsid w:val="001049B2"/>
    <w:rsid w:val="001228A7"/>
    <w:rsid w:val="00145897"/>
    <w:rsid w:val="00147E66"/>
    <w:rsid w:val="00163A09"/>
    <w:rsid w:val="001E07ED"/>
    <w:rsid w:val="00212EB5"/>
    <w:rsid w:val="00217B0C"/>
    <w:rsid w:val="0022125E"/>
    <w:rsid w:val="0023708D"/>
    <w:rsid w:val="0028123D"/>
    <w:rsid w:val="00284BEE"/>
    <w:rsid w:val="002D56B0"/>
    <w:rsid w:val="002F230C"/>
    <w:rsid w:val="00305366"/>
    <w:rsid w:val="0033061D"/>
    <w:rsid w:val="003354A7"/>
    <w:rsid w:val="003800A2"/>
    <w:rsid w:val="003A7038"/>
    <w:rsid w:val="003E0DE6"/>
    <w:rsid w:val="003E3E4A"/>
    <w:rsid w:val="003F13F5"/>
    <w:rsid w:val="00416B4D"/>
    <w:rsid w:val="00420C4C"/>
    <w:rsid w:val="00421261"/>
    <w:rsid w:val="00455DC0"/>
    <w:rsid w:val="00466393"/>
    <w:rsid w:val="00473F7B"/>
    <w:rsid w:val="00492465"/>
    <w:rsid w:val="004B674B"/>
    <w:rsid w:val="004C5AC4"/>
    <w:rsid w:val="004F3254"/>
    <w:rsid w:val="00522A22"/>
    <w:rsid w:val="00530CC5"/>
    <w:rsid w:val="00566694"/>
    <w:rsid w:val="00572BF3"/>
    <w:rsid w:val="00582A72"/>
    <w:rsid w:val="0058475D"/>
    <w:rsid w:val="005B6CFB"/>
    <w:rsid w:val="005C0F16"/>
    <w:rsid w:val="005D330F"/>
    <w:rsid w:val="005D3D6C"/>
    <w:rsid w:val="0060426A"/>
    <w:rsid w:val="00607920"/>
    <w:rsid w:val="00612123"/>
    <w:rsid w:val="0063223D"/>
    <w:rsid w:val="00634323"/>
    <w:rsid w:val="0067249B"/>
    <w:rsid w:val="00676EC8"/>
    <w:rsid w:val="00686FCB"/>
    <w:rsid w:val="006973FB"/>
    <w:rsid w:val="006A158B"/>
    <w:rsid w:val="006A22F3"/>
    <w:rsid w:val="006A27A3"/>
    <w:rsid w:val="006B07BD"/>
    <w:rsid w:val="006B622E"/>
    <w:rsid w:val="006C3FC2"/>
    <w:rsid w:val="006D78B0"/>
    <w:rsid w:val="00717D40"/>
    <w:rsid w:val="00744211"/>
    <w:rsid w:val="00744C5D"/>
    <w:rsid w:val="00746D30"/>
    <w:rsid w:val="00747D1C"/>
    <w:rsid w:val="0076522B"/>
    <w:rsid w:val="00770CB0"/>
    <w:rsid w:val="0077331D"/>
    <w:rsid w:val="0078612F"/>
    <w:rsid w:val="00797439"/>
    <w:rsid w:val="007A5787"/>
    <w:rsid w:val="007D20B6"/>
    <w:rsid w:val="007E5534"/>
    <w:rsid w:val="00825A25"/>
    <w:rsid w:val="00833A78"/>
    <w:rsid w:val="00850202"/>
    <w:rsid w:val="0087241A"/>
    <w:rsid w:val="008853D1"/>
    <w:rsid w:val="0090544F"/>
    <w:rsid w:val="00910ED2"/>
    <w:rsid w:val="00921CB3"/>
    <w:rsid w:val="00944C62"/>
    <w:rsid w:val="00953DE7"/>
    <w:rsid w:val="009B214D"/>
    <w:rsid w:val="009C7F6D"/>
    <w:rsid w:val="009D5673"/>
    <w:rsid w:val="009F0D5B"/>
    <w:rsid w:val="00A05C30"/>
    <w:rsid w:val="00A9134C"/>
    <w:rsid w:val="00A91619"/>
    <w:rsid w:val="00AC4591"/>
    <w:rsid w:val="00B214C6"/>
    <w:rsid w:val="00B24320"/>
    <w:rsid w:val="00B309B8"/>
    <w:rsid w:val="00B770A1"/>
    <w:rsid w:val="00B775A9"/>
    <w:rsid w:val="00BA0E82"/>
    <w:rsid w:val="00BA2D83"/>
    <w:rsid w:val="00BD5445"/>
    <w:rsid w:val="00BF348A"/>
    <w:rsid w:val="00C00F47"/>
    <w:rsid w:val="00C16929"/>
    <w:rsid w:val="00C20FC1"/>
    <w:rsid w:val="00C23CEF"/>
    <w:rsid w:val="00C35125"/>
    <w:rsid w:val="00C6363C"/>
    <w:rsid w:val="00C7664E"/>
    <w:rsid w:val="00C86774"/>
    <w:rsid w:val="00C90868"/>
    <w:rsid w:val="00CA2960"/>
    <w:rsid w:val="00CB641D"/>
    <w:rsid w:val="00CD299E"/>
    <w:rsid w:val="00CD385B"/>
    <w:rsid w:val="00CE0F50"/>
    <w:rsid w:val="00CE408C"/>
    <w:rsid w:val="00CF3781"/>
    <w:rsid w:val="00CF423B"/>
    <w:rsid w:val="00D00AF7"/>
    <w:rsid w:val="00D169E3"/>
    <w:rsid w:val="00D4724D"/>
    <w:rsid w:val="00D47AC6"/>
    <w:rsid w:val="00D521A4"/>
    <w:rsid w:val="00D8311C"/>
    <w:rsid w:val="00DB39C9"/>
    <w:rsid w:val="00DC5506"/>
    <w:rsid w:val="00DC7A7D"/>
    <w:rsid w:val="00DE76A2"/>
    <w:rsid w:val="00DF31BB"/>
    <w:rsid w:val="00DF3962"/>
    <w:rsid w:val="00DF3CB8"/>
    <w:rsid w:val="00E20164"/>
    <w:rsid w:val="00E274C5"/>
    <w:rsid w:val="00E47FF6"/>
    <w:rsid w:val="00E61E39"/>
    <w:rsid w:val="00E772E5"/>
    <w:rsid w:val="00E82062"/>
    <w:rsid w:val="00E82BF2"/>
    <w:rsid w:val="00E86D69"/>
    <w:rsid w:val="00E874F0"/>
    <w:rsid w:val="00E93F23"/>
    <w:rsid w:val="00E95B91"/>
    <w:rsid w:val="00EA4286"/>
    <w:rsid w:val="00EB635C"/>
    <w:rsid w:val="00EC1290"/>
    <w:rsid w:val="00ED2663"/>
    <w:rsid w:val="00F12ED9"/>
    <w:rsid w:val="00F3390A"/>
    <w:rsid w:val="00F478F4"/>
    <w:rsid w:val="00F5228B"/>
    <w:rsid w:val="00F67ADD"/>
  </w:rsids>
  <m:mathPr>
    <m:mathFont m:val="Cambria Math"/>
    <m:brkBin m:val="before"/>
    <m:brkBinSub m:val="--"/>
    <m:smallFrac m:val="0"/>
    <m:dispDef/>
    <m:lMargin m:val="0"/>
    <m:rMargin m:val="0"/>
    <m:defJc m:val="centerGroup"/>
    <m:wrapIndent m:val="1440"/>
    <m:intLim m:val="subSup"/>
    <m:naryLim m:val="undOvr"/>
  </m:mathPr>
  <w:themeFontLang w:val="en-S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39348"/>
  <w15:chartTrackingRefBased/>
  <w15:docId w15:val="{F9547F96-705E-0041-A85E-A35CDB49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320"/>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744C5D"/>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unhideWhenUsed/>
    <w:qFormat/>
    <w:rsid w:val="00744C5D"/>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unhideWhenUsed/>
    <w:qFormat/>
    <w:rsid w:val="00744C5D"/>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744C5D"/>
    <w:pPr>
      <w:keepNext/>
      <w:keepLines/>
      <w:spacing w:before="80" w:after="40"/>
      <w:outlineLvl w:val="3"/>
    </w:pPr>
    <w:rPr>
      <w:rFonts w:asciiTheme="minorHAnsi" w:eastAsiaTheme="majorEastAsia" w:hAnsiTheme="minorHAnsi" w:cstheme="majorBidi"/>
      <w:i/>
      <w:iCs/>
      <w:color w:val="0F4761" w:themeColor="accent1" w:themeShade="BF"/>
      <w:kern w:val="2"/>
      <w:lang w:val="en-GB" w:eastAsia="en-US"/>
      <w14:ligatures w14:val="standardContextual"/>
    </w:rPr>
  </w:style>
  <w:style w:type="paragraph" w:styleId="Heading5">
    <w:name w:val="heading 5"/>
    <w:basedOn w:val="Normal"/>
    <w:next w:val="Normal"/>
    <w:link w:val="Heading5Char"/>
    <w:uiPriority w:val="9"/>
    <w:semiHidden/>
    <w:unhideWhenUsed/>
    <w:qFormat/>
    <w:rsid w:val="00744C5D"/>
    <w:pPr>
      <w:keepNext/>
      <w:keepLines/>
      <w:spacing w:before="80" w:after="40"/>
      <w:outlineLvl w:val="4"/>
    </w:pPr>
    <w:rPr>
      <w:rFonts w:asciiTheme="minorHAnsi" w:eastAsiaTheme="majorEastAsia" w:hAnsiTheme="minorHAnsi" w:cstheme="majorBidi"/>
      <w:color w:val="0F4761" w:themeColor="accent1" w:themeShade="BF"/>
      <w:kern w:val="2"/>
      <w:lang w:val="en-GB" w:eastAsia="en-US"/>
      <w14:ligatures w14:val="standardContextual"/>
    </w:rPr>
  </w:style>
  <w:style w:type="paragraph" w:styleId="Heading6">
    <w:name w:val="heading 6"/>
    <w:basedOn w:val="Normal"/>
    <w:next w:val="Normal"/>
    <w:link w:val="Heading6Char"/>
    <w:uiPriority w:val="9"/>
    <w:semiHidden/>
    <w:unhideWhenUsed/>
    <w:qFormat/>
    <w:rsid w:val="00744C5D"/>
    <w:pPr>
      <w:keepNext/>
      <w:keepLines/>
      <w:spacing w:before="40"/>
      <w:outlineLvl w:val="5"/>
    </w:pPr>
    <w:rPr>
      <w:rFonts w:asciiTheme="minorHAnsi" w:eastAsiaTheme="majorEastAsia" w:hAnsiTheme="minorHAnsi" w:cstheme="majorBidi"/>
      <w:i/>
      <w:iCs/>
      <w:color w:val="595959" w:themeColor="text1" w:themeTint="A6"/>
      <w:kern w:val="2"/>
      <w:lang w:val="en-GB" w:eastAsia="en-US"/>
      <w14:ligatures w14:val="standardContextual"/>
    </w:rPr>
  </w:style>
  <w:style w:type="paragraph" w:styleId="Heading7">
    <w:name w:val="heading 7"/>
    <w:basedOn w:val="Normal"/>
    <w:next w:val="Normal"/>
    <w:link w:val="Heading7Char"/>
    <w:uiPriority w:val="9"/>
    <w:semiHidden/>
    <w:unhideWhenUsed/>
    <w:qFormat/>
    <w:rsid w:val="00744C5D"/>
    <w:pPr>
      <w:keepNext/>
      <w:keepLines/>
      <w:spacing w:before="40"/>
      <w:outlineLvl w:val="6"/>
    </w:pPr>
    <w:rPr>
      <w:rFonts w:asciiTheme="minorHAnsi" w:eastAsiaTheme="majorEastAsia" w:hAnsiTheme="minorHAnsi" w:cstheme="majorBidi"/>
      <w:color w:val="595959" w:themeColor="text1" w:themeTint="A6"/>
      <w:kern w:val="2"/>
      <w:lang w:val="en-GB" w:eastAsia="en-US"/>
      <w14:ligatures w14:val="standardContextual"/>
    </w:rPr>
  </w:style>
  <w:style w:type="paragraph" w:styleId="Heading8">
    <w:name w:val="heading 8"/>
    <w:basedOn w:val="Normal"/>
    <w:next w:val="Normal"/>
    <w:link w:val="Heading8Char"/>
    <w:uiPriority w:val="9"/>
    <w:semiHidden/>
    <w:unhideWhenUsed/>
    <w:qFormat/>
    <w:rsid w:val="00744C5D"/>
    <w:pPr>
      <w:keepNext/>
      <w:keepLines/>
      <w:outlineLvl w:val="7"/>
    </w:pPr>
    <w:rPr>
      <w:rFonts w:asciiTheme="minorHAnsi" w:eastAsiaTheme="majorEastAsia" w:hAnsiTheme="minorHAnsi" w:cstheme="majorBidi"/>
      <w:i/>
      <w:iCs/>
      <w:color w:val="272727" w:themeColor="text1" w:themeTint="D8"/>
      <w:kern w:val="2"/>
      <w:lang w:val="en-GB" w:eastAsia="en-US"/>
      <w14:ligatures w14:val="standardContextual"/>
    </w:rPr>
  </w:style>
  <w:style w:type="paragraph" w:styleId="Heading9">
    <w:name w:val="heading 9"/>
    <w:basedOn w:val="Normal"/>
    <w:next w:val="Normal"/>
    <w:link w:val="Heading9Char"/>
    <w:uiPriority w:val="9"/>
    <w:semiHidden/>
    <w:unhideWhenUsed/>
    <w:qFormat/>
    <w:rsid w:val="00744C5D"/>
    <w:pPr>
      <w:keepNext/>
      <w:keepLines/>
      <w:outlineLvl w:val="8"/>
    </w:pPr>
    <w:rPr>
      <w:rFonts w:asciiTheme="minorHAnsi" w:eastAsiaTheme="majorEastAsia" w:hAnsiTheme="minorHAnsi" w:cstheme="majorBidi"/>
      <w:color w:val="272727" w:themeColor="text1" w:themeTint="D8"/>
      <w:kern w:val="2"/>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next w:val="NoSpacing"/>
    <w:qFormat/>
    <w:rsid w:val="00492465"/>
    <w:rPr>
      <w:rFonts w:asciiTheme="minorHAnsi" w:eastAsiaTheme="minorHAnsi" w:hAnsiTheme="minorHAnsi" w:cstheme="minorBidi"/>
      <w:b/>
      <w:kern w:val="2"/>
      <w:lang w:val="en-GB" w:eastAsia="en-US"/>
      <w14:ligatures w14:val="standardContextual"/>
    </w:rPr>
  </w:style>
  <w:style w:type="paragraph" w:styleId="NoSpacing">
    <w:name w:val="No Spacing"/>
    <w:uiPriority w:val="1"/>
    <w:qFormat/>
    <w:rsid w:val="00492465"/>
    <w:rPr>
      <w:lang w:val="en-GB"/>
    </w:rPr>
  </w:style>
  <w:style w:type="character" w:customStyle="1" w:styleId="Heading1Char">
    <w:name w:val="Heading 1 Char"/>
    <w:basedOn w:val="DefaultParagraphFont"/>
    <w:link w:val="Heading1"/>
    <w:uiPriority w:val="9"/>
    <w:rsid w:val="00744C5D"/>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rsid w:val="00744C5D"/>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rsid w:val="00744C5D"/>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744C5D"/>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744C5D"/>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744C5D"/>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744C5D"/>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744C5D"/>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744C5D"/>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744C5D"/>
    <w:pPr>
      <w:spacing w:after="80"/>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744C5D"/>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744C5D"/>
    <w:pPr>
      <w:numPr>
        <w:ilvl w:val="1"/>
      </w:numPr>
      <w:spacing w:after="160"/>
    </w:pPr>
    <w:rPr>
      <w:rFonts w:asciiTheme="minorHAnsi" w:eastAsiaTheme="majorEastAsia" w:hAnsiTheme="minorHAnsi"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744C5D"/>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744C5D"/>
    <w:pPr>
      <w:spacing w:before="160" w:after="160"/>
      <w:jc w:val="center"/>
    </w:pPr>
    <w:rPr>
      <w:rFonts w:asciiTheme="minorHAnsi" w:eastAsiaTheme="minorHAnsi" w:hAnsiTheme="minorHAnsi" w:cstheme="minorBidi"/>
      <w:i/>
      <w:iCs/>
      <w:color w:val="404040" w:themeColor="text1" w:themeTint="BF"/>
      <w:kern w:val="2"/>
      <w:lang w:val="en-GB" w:eastAsia="en-US"/>
      <w14:ligatures w14:val="standardContextual"/>
    </w:rPr>
  </w:style>
  <w:style w:type="character" w:customStyle="1" w:styleId="QuoteChar">
    <w:name w:val="Quote Char"/>
    <w:basedOn w:val="DefaultParagraphFont"/>
    <w:link w:val="Quote"/>
    <w:uiPriority w:val="29"/>
    <w:rsid w:val="00744C5D"/>
    <w:rPr>
      <w:i/>
      <w:iCs/>
      <w:color w:val="404040" w:themeColor="text1" w:themeTint="BF"/>
      <w:lang w:val="en-GB"/>
    </w:rPr>
  </w:style>
  <w:style w:type="paragraph" w:styleId="ListParagraph">
    <w:name w:val="List Paragraph"/>
    <w:basedOn w:val="Normal"/>
    <w:uiPriority w:val="34"/>
    <w:qFormat/>
    <w:rsid w:val="00744C5D"/>
    <w:pPr>
      <w:ind w:left="720"/>
      <w:contextualSpacing/>
    </w:pPr>
    <w:rPr>
      <w:rFonts w:asciiTheme="minorHAnsi" w:eastAsiaTheme="minorHAnsi" w:hAnsiTheme="minorHAnsi" w:cstheme="minorBidi"/>
      <w:kern w:val="2"/>
      <w:lang w:val="en-GB" w:eastAsia="en-US"/>
      <w14:ligatures w14:val="standardContextual"/>
    </w:rPr>
  </w:style>
  <w:style w:type="character" w:styleId="IntenseEmphasis">
    <w:name w:val="Intense Emphasis"/>
    <w:basedOn w:val="DefaultParagraphFont"/>
    <w:uiPriority w:val="21"/>
    <w:qFormat/>
    <w:rsid w:val="00744C5D"/>
    <w:rPr>
      <w:i/>
      <w:iCs/>
      <w:color w:val="0F4761" w:themeColor="accent1" w:themeShade="BF"/>
    </w:rPr>
  </w:style>
  <w:style w:type="paragraph" w:styleId="IntenseQuote">
    <w:name w:val="Intense Quote"/>
    <w:basedOn w:val="Normal"/>
    <w:next w:val="Normal"/>
    <w:link w:val="IntenseQuoteChar"/>
    <w:uiPriority w:val="30"/>
    <w:qFormat/>
    <w:rsid w:val="00744C5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GB" w:eastAsia="en-US"/>
      <w14:ligatures w14:val="standardContextual"/>
    </w:rPr>
  </w:style>
  <w:style w:type="character" w:customStyle="1" w:styleId="IntenseQuoteChar">
    <w:name w:val="Intense Quote Char"/>
    <w:basedOn w:val="DefaultParagraphFont"/>
    <w:link w:val="IntenseQuote"/>
    <w:uiPriority w:val="30"/>
    <w:rsid w:val="00744C5D"/>
    <w:rPr>
      <w:i/>
      <w:iCs/>
      <w:color w:val="0F4761" w:themeColor="accent1" w:themeShade="BF"/>
      <w:lang w:val="en-GB"/>
    </w:rPr>
  </w:style>
  <w:style w:type="character" w:styleId="IntenseReference">
    <w:name w:val="Intense Reference"/>
    <w:basedOn w:val="DefaultParagraphFont"/>
    <w:uiPriority w:val="32"/>
    <w:qFormat/>
    <w:rsid w:val="00744C5D"/>
    <w:rPr>
      <w:b/>
      <w:bCs/>
      <w:smallCaps/>
      <w:color w:val="0F4761" w:themeColor="accent1" w:themeShade="BF"/>
      <w:spacing w:val="5"/>
    </w:rPr>
  </w:style>
  <w:style w:type="paragraph" w:customStyle="1" w:styleId="p1">
    <w:name w:val="p1"/>
    <w:basedOn w:val="Normal"/>
    <w:rsid w:val="00744C5D"/>
    <w:rPr>
      <w:color w:val="000000"/>
      <w:sz w:val="18"/>
      <w:szCs w:val="18"/>
    </w:rPr>
  </w:style>
  <w:style w:type="paragraph" w:customStyle="1" w:styleId="p2">
    <w:name w:val="p2"/>
    <w:basedOn w:val="Normal"/>
    <w:rsid w:val="00744C5D"/>
    <w:rPr>
      <w:color w:val="000000"/>
      <w:sz w:val="27"/>
      <w:szCs w:val="27"/>
    </w:rPr>
  </w:style>
  <w:style w:type="character" w:styleId="Hyperlink">
    <w:name w:val="Hyperlink"/>
    <w:basedOn w:val="DefaultParagraphFont"/>
    <w:uiPriority w:val="99"/>
    <w:unhideWhenUsed/>
    <w:rsid w:val="00744C5D"/>
    <w:rPr>
      <w:color w:val="467886" w:themeColor="hyperlink"/>
      <w:u w:val="single"/>
    </w:rPr>
  </w:style>
  <w:style w:type="character" w:styleId="UnresolvedMention">
    <w:name w:val="Unresolved Mention"/>
    <w:basedOn w:val="DefaultParagraphFont"/>
    <w:uiPriority w:val="99"/>
    <w:semiHidden/>
    <w:unhideWhenUsed/>
    <w:rsid w:val="00744C5D"/>
    <w:rPr>
      <w:color w:val="605E5C"/>
      <w:shd w:val="clear" w:color="auto" w:fill="E1DFDD"/>
    </w:rPr>
  </w:style>
  <w:style w:type="character" w:styleId="FollowedHyperlink">
    <w:name w:val="FollowedHyperlink"/>
    <w:basedOn w:val="DefaultParagraphFont"/>
    <w:uiPriority w:val="99"/>
    <w:semiHidden/>
    <w:unhideWhenUsed/>
    <w:rsid w:val="00744C5D"/>
    <w:rPr>
      <w:color w:val="96607D" w:themeColor="followedHyperlink"/>
      <w:u w:val="single"/>
    </w:rPr>
  </w:style>
  <w:style w:type="paragraph" w:styleId="Header">
    <w:name w:val="header"/>
    <w:basedOn w:val="Normal"/>
    <w:link w:val="HeaderChar"/>
    <w:uiPriority w:val="99"/>
    <w:unhideWhenUsed/>
    <w:rsid w:val="009C7F6D"/>
    <w:pPr>
      <w:tabs>
        <w:tab w:val="center" w:pos="4513"/>
        <w:tab w:val="right" w:pos="9026"/>
      </w:tabs>
    </w:pPr>
    <w:rPr>
      <w:rFonts w:asciiTheme="minorHAnsi" w:eastAsiaTheme="minorHAnsi" w:hAnsiTheme="minorHAnsi" w:cstheme="minorBidi"/>
      <w:kern w:val="2"/>
      <w:lang w:val="en-GB" w:eastAsia="en-US"/>
      <w14:ligatures w14:val="standardContextual"/>
    </w:rPr>
  </w:style>
  <w:style w:type="character" w:customStyle="1" w:styleId="HeaderChar">
    <w:name w:val="Header Char"/>
    <w:basedOn w:val="DefaultParagraphFont"/>
    <w:link w:val="Header"/>
    <w:uiPriority w:val="99"/>
    <w:rsid w:val="009C7F6D"/>
    <w:rPr>
      <w:lang w:val="en-GB"/>
    </w:rPr>
  </w:style>
  <w:style w:type="paragraph" w:styleId="Footer">
    <w:name w:val="footer"/>
    <w:basedOn w:val="Normal"/>
    <w:link w:val="FooterChar"/>
    <w:uiPriority w:val="99"/>
    <w:unhideWhenUsed/>
    <w:rsid w:val="009C7F6D"/>
    <w:pPr>
      <w:tabs>
        <w:tab w:val="center" w:pos="4513"/>
        <w:tab w:val="right" w:pos="9026"/>
      </w:tabs>
    </w:pPr>
    <w:rPr>
      <w:rFonts w:asciiTheme="minorHAnsi" w:eastAsiaTheme="minorHAnsi" w:hAnsiTheme="minorHAnsi" w:cstheme="minorBidi"/>
      <w:kern w:val="2"/>
      <w:lang w:val="en-GB" w:eastAsia="en-US"/>
      <w14:ligatures w14:val="standardContextual"/>
    </w:rPr>
  </w:style>
  <w:style w:type="character" w:customStyle="1" w:styleId="FooterChar">
    <w:name w:val="Footer Char"/>
    <w:basedOn w:val="DefaultParagraphFont"/>
    <w:link w:val="Footer"/>
    <w:uiPriority w:val="99"/>
    <w:rsid w:val="009C7F6D"/>
    <w:rPr>
      <w:lang w:val="en-GB"/>
    </w:rPr>
  </w:style>
  <w:style w:type="paragraph" w:styleId="TOCHeading">
    <w:name w:val="TOC Heading"/>
    <w:basedOn w:val="Heading1"/>
    <w:next w:val="Normal"/>
    <w:uiPriority w:val="39"/>
    <w:unhideWhenUsed/>
    <w:qFormat/>
    <w:rsid w:val="00CB641D"/>
    <w:pPr>
      <w:spacing w:before="480" w:after="0" w:line="276" w:lineRule="auto"/>
      <w:outlineLvl w:val="9"/>
    </w:pPr>
    <w:rPr>
      <w:b/>
      <w:bCs/>
      <w:kern w:val="0"/>
      <w:sz w:val="28"/>
      <w:szCs w:val="28"/>
      <w:lang w:val="en-US"/>
      <w14:ligatures w14:val="none"/>
    </w:rPr>
  </w:style>
  <w:style w:type="paragraph" w:styleId="TOC1">
    <w:name w:val="toc 1"/>
    <w:basedOn w:val="Normal"/>
    <w:next w:val="Normal"/>
    <w:autoRedefine/>
    <w:uiPriority w:val="39"/>
    <w:semiHidden/>
    <w:unhideWhenUsed/>
    <w:rsid w:val="00CB641D"/>
    <w:pPr>
      <w:spacing w:before="120"/>
    </w:pPr>
    <w:rPr>
      <w:rFonts w:asciiTheme="minorHAnsi" w:eastAsiaTheme="minorHAnsi" w:hAnsiTheme="minorHAnsi" w:cstheme="minorBidi"/>
      <w:b/>
      <w:bCs/>
      <w:i/>
      <w:iCs/>
      <w:kern w:val="2"/>
      <w:lang w:val="en-GB" w:eastAsia="en-US"/>
      <w14:ligatures w14:val="standardContextual"/>
    </w:rPr>
  </w:style>
  <w:style w:type="paragraph" w:styleId="TOC2">
    <w:name w:val="toc 2"/>
    <w:basedOn w:val="Normal"/>
    <w:next w:val="Normal"/>
    <w:autoRedefine/>
    <w:uiPriority w:val="39"/>
    <w:unhideWhenUsed/>
    <w:rsid w:val="00B24320"/>
    <w:pPr>
      <w:tabs>
        <w:tab w:val="right" w:leader="dot" w:pos="9010"/>
      </w:tabs>
      <w:spacing w:before="120"/>
      <w:ind w:left="240"/>
    </w:pPr>
    <w:rPr>
      <w:rFonts w:asciiTheme="majorBidi" w:eastAsiaTheme="minorHAnsi" w:hAnsiTheme="majorBidi" w:cstheme="majorBidi"/>
      <w:noProof/>
      <w:kern w:val="2"/>
      <w:lang w:val="en-GB" w:eastAsia="en-US"/>
      <w14:ligatures w14:val="standardContextual"/>
    </w:rPr>
  </w:style>
  <w:style w:type="paragraph" w:styleId="TOC3">
    <w:name w:val="toc 3"/>
    <w:basedOn w:val="Normal"/>
    <w:next w:val="Normal"/>
    <w:autoRedefine/>
    <w:uiPriority w:val="39"/>
    <w:unhideWhenUsed/>
    <w:rsid w:val="00CB641D"/>
    <w:pPr>
      <w:ind w:left="480"/>
    </w:pPr>
    <w:rPr>
      <w:rFonts w:asciiTheme="minorHAnsi" w:eastAsiaTheme="minorHAnsi" w:hAnsiTheme="minorHAnsi" w:cstheme="minorBidi"/>
      <w:kern w:val="2"/>
      <w:sz w:val="20"/>
      <w:szCs w:val="20"/>
      <w:lang w:val="en-GB" w:eastAsia="en-US"/>
      <w14:ligatures w14:val="standardContextual"/>
    </w:rPr>
  </w:style>
  <w:style w:type="paragraph" w:styleId="TOC4">
    <w:name w:val="toc 4"/>
    <w:basedOn w:val="Normal"/>
    <w:next w:val="Normal"/>
    <w:autoRedefine/>
    <w:uiPriority w:val="39"/>
    <w:semiHidden/>
    <w:unhideWhenUsed/>
    <w:rsid w:val="00CB641D"/>
    <w:pPr>
      <w:ind w:left="720"/>
    </w:pPr>
    <w:rPr>
      <w:rFonts w:asciiTheme="minorHAnsi" w:eastAsiaTheme="minorHAnsi" w:hAnsiTheme="minorHAnsi" w:cstheme="minorBidi"/>
      <w:kern w:val="2"/>
      <w:sz w:val="20"/>
      <w:szCs w:val="20"/>
      <w:lang w:val="en-GB" w:eastAsia="en-US"/>
      <w14:ligatures w14:val="standardContextual"/>
    </w:rPr>
  </w:style>
  <w:style w:type="paragraph" w:styleId="TOC5">
    <w:name w:val="toc 5"/>
    <w:basedOn w:val="Normal"/>
    <w:next w:val="Normal"/>
    <w:autoRedefine/>
    <w:uiPriority w:val="39"/>
    <w:semiHidden/>
    <w:unhideWhenUsed/>
    <w:rsid w:val="00CB641D"/>
    <w:pPr>
      <w:ind w:left="960"/>
    </w:pPr>
    <w:rPr>
      <w:rFonts w:asciiTheme="minorHAnsi" w:eastAsiaTheme="minorHAnsi" w:hAnsiTheme="minorHAnsi" w:cstheme="minorBidi"/>
      <w:kern w:val="2"/>
      <w:sz w:val="20"/>
      <w:szCs w:val="20"/>
      <w:lang w:val="en-GB" w:eastAsia="en-US"/>
      <w14:ligatures w14:val="standardContextual"/>
    </w:rPr>
  </w:style>
  <w:style w:type="paragraph" w:styleId="TOC6">
    <w:name w:val="toc 6"/>
    <w:basedOn w:val="Normal"/>
    <w:next w:val="Normal"/>
    <w:autoRedefine/>
    <w:uiPriority w:val="39"/>
    <w:semiHidden/>
    <w:unhideWhenUsed/>
    <w:rsid w:val="00CB641D"/>
    <w:pPr>
      <w:ind w:left="1200"/>
    </w:pPr>
    <w:rPr>
      <w:rFonts w:asciiTheme="minorHAnsi" w:eastAsiaTheme="minorHAnsi" w:hAnsiTheme="minorHAnsi" w:cstheme="minorBidi"/>
      <w:kern w:val="2"/>
      <w:sz w:val="20"/>
      <w:szCs w:val="20"/>
      <w:lang w:val="en-GB" w:eastAsia="en-US"/>
      <w14:ligatures w14:val="standardContextual"/>
    </w:rPr>
  </w:style>
  <w:style w:type="paragraph" w:styleId="TOC7">
    <w:name w:val="toc 7"/>
    <w:basedOn w:val="Normal"/>
    <w:next w:val="Normal"/>
    <w:autoRedefine/>
    <w:uiPriority w:val="39"/>
    <w:semiHidden/>
    <w:unhideWhenUsed/>
    <w:rsid w:val="00CB641D"/>
    <w:pPr>
      <w:ind w:left="1440"/>
    </w:pPr>
    <w:rPr>
      <w:rFonts w:asciiTheme="minorHAnsi" w:eastAsiaTheme="minorHAnsi" w:hAnsiTheme="minorHAnsi" w:cstheme="minorBidi"/>
      <w:kern w:val="2"/>
      <w:sz w:val="20"/>
      <w:szCs w:val="20"/>
      <w:lang w:val="en-GB" w:eastAsia="en-US"/>
      <w14:ligatures w14:val="standardContextual"/>
    </w:rPr>
  </w:style>
  <w:style w:type="paragraph" w:styleId="TOC8">
    <w:name w:val="toc 8"/>
    <w:basedOn w:val="Normal"/>
    <w:next w:val="Normal"/>
    <w:autoRedefine/>
    <w:uiPriority w:val="39"/>
    <w:semiHidden/>
    <w:unhideWhenUsed/>
    <w:rsid w:val="00CB641D"/>
    <w:pPr>
      <w:ind w:left="1680"/>
    </w:pPr>
    <w:rPr>
      <w:rFonts w:asciiTheme="minorHAnsi" w:eastAsiaTheme="minorHAnsi" w:hAnsiTheme="minorHAnsi" w:cstheme="minorBidi"/>
      <w:kern w:val="2"/>
      <w:sz w:val="20"/>
      <w:szCs w:val="20"/>
      <w:lang w:val="en-GB" w:eastAsia="en-US"/>
      <w14:ligatures w14:val="standardContextual"/>
    </w:rPr>
  </w:style>
  <w:style w:type="paragraph" w:styleId="TOC9">
    <w:name w:val="toc 9"/>
    <w:basedOn w:val="Normal"/>
    <w:next w:val="Normal"/>
    <w:autoRedefine/>
    <w:uiPriority w:val="39"/>
    <w:semiHidden/>
    <w:unhideWhenUsed/>
    <w:rsid w:val="00CB641D"/>
    <w:pPr>
      <w:ind w:left="1920"/>
    </w:pPr>
    <w:rPr>
      <w:rFonts w:asciiTheme="minorHAnsi" w:eastAsiaTheme="minorHAnsi" w:hAnsiTheme="minorHAnsi" w:cstheme="minorBidi"/>
      <w:kern w:val="2"/>
      <w:sz w:val="20"/>
      <w:szCs w:val="20"/>
      <w:lang w:val="en-GB" w:eastAsia="en-US"/>
      <w14:ligatures w14:val="standardContextual"/>
    </w:rPr>
  </w:style>
  <w:style w:type="character" w:customStyle="1" w:styleId="apple-converted-space">
    <w:name w:val="apple-converted-space"/>
    <w:basedOn w:val="DefaultParagraphFont"/>
    <w:rsid w:val="00CD299E"/>
  </w:style>
  <w:style w:type="paragraph" w:styleId="FootnoteText">
    <w:name w:val="footnote text"/>
    <w:basedOn w:val="Normal"/>
    <w:link w:val="FootnoteTextChar"/>
    <w:uiPriority w:val="99"/>
    <w:semiHidden/>
    <w:unhideWhenUsed/>
    <w:rsid w:val="00416B4D"/>
    <w:rPr>
      <w:rFonts w:asciiTheme="minorHAnsi" w:eastAsiaTheme="minorHAnsi" w:hAnsiTheme="minorHAnsi" w:cstheme="minorBidi"/>
      <w:kern w:val="2"/>
      <w:sz w:val="20"/>
      <w:szCs w:val="20"/>
      <w:lang w:val="en-GB" w:eastAsia="en-US"/>
      <w14:ligatures w14:val="standardContextual"/>
    </w:rPr>
  </w:style>
  <w:style w:type="character" w:customStyle="1" w:styleId="FootnoteTextChar">
    <w:name w:val="Footnote Text Char"/>
    <w:basedOn w:val="DefaultParagraphFont"/>
    <w:link w:val="FootnoteText"/>
    <w:uiPriority w:val="99"/>
    <w:semiHidden/>
    <w:rsid w:val="00416B4D"/>
    <w:rPr>
      <w:sz w:val="20"/>
      <w:szCs w:val="20"/>
      <w:lang w:val="en-GB"/>
    </w:rPr>
  </w:style>
  <w:style w:type="character" w:styleId="FootnoteReference">
    <w:name w:val="footnote reference"/>
    <w:basedOn w:val="DefaultParagraphFont"/>
    <w:uiPriority w:val="99"/>
    <w:semiHidden/>
    <w:unhideWhenUsed/>
    <w:rsid w:val="00416B4D"/>
    <w:rPr>
      <w:vertAlign w:val="superscript"/>
    </w:rPr>
  </w:style>
  <w:style w:type="paragraph" w:styleId="Caption">
    <w:name w:val="caption"/>
    <w:basedOn w:val="Normal"/>
    <w:next w:val="Normal"/>
    <w:uiPriority w:val="35"/>
    <w:unhideWhenUsed/>
    <w:qFormat/>
    <w:rsid w:val="00416B4D"/>
    <w:pPr>
      <w:spacing w:after="200"/>
    </w:pPr>
    <w:rPr>
      <w:rFonts w:asciiTheme="minorHAnsi" w:eastAsiaTheme="minorHAnsi" w:hAnsiTheme="minorHAnsi" w:cstheme="minorBidi"/>
      <w:i/>
      <w:iCs/>
      <w:color w:val="0E2841" w:themeColor="text2"/>
      <w:kern w:val="2"/>
      <w:sz w:val="18"/>
      <w:szCs w:val="18"/>
      <w:lang w:val="en-GB" w:eastAsia="en-US"/>
      <w14:ligatures w14:val="standardContextual"/>
    </w:rPr>
  </w:style>
  <w:style w:type="character" w:styleId="Strong">
    <w:name w:val="Strong"/>
    <w:basedOn w:val="DefaultParagraphFont"/>
    <w:uiPriority w:val="22"/>
    <w:qFormat/>
    <w:rsid w:val="00455DC0"/>
    <w:rPr>
      <w:b/>
      <w:bCs/>
    </w:rPr>
  </w:style>
  <w:style w:type="character" w:styleId="Emphasis">
    <w:name w:val="Emphasis"/>
    <w:basedOn w:val="DefaultParagraphFont"/>
    <w:uiPriority w:val="20"/>
    <w:qFormat/>
    <w:rsid w:val="00455DC0"/>
    <w:rPr>
      <w:i/>
      <w:iCs/>
    </w:rPr>
  </w:style>
  <w:style w:type="character" w:customStyle="1" w:styleId="v9tjod">
    <w:name w:val="v9tjod"/>
    <w:basedOn w:val="DefaultParagraphFont"/>
    <w:rsid w:val="00D169E3"/>
  </w:style>
  <w:style w:type="character" w:styleId="HTMLCite">
    <w:name w:val="HTML Cite"/>
    <w:basedOn w:val="DefaultParagraphFont"/>
    <w:uiPriority w:val="99"/>
    <w:semiHidden/>
    <w:unhideWhenUsed/>
    <w:rsid w:val="00D169E3"/>
    <w:rPr>
      <w:i/>
      <w:iCs/>
    </w:rPr>
  </w:style>
  <w:style w:type="character" w:customStyle="1" w:styleId="ylgvce">
    <w:name w:val="ylgvce"/>
    <w:basedOn w:val="DefaultParagraphFont"/>
    <w:rsid w:val="00D169E3"/>
  </w:style>
  <w:style w:type="table" w:styleId="TableGrid">
    <w:name w:val="Table Grid"/>
    <w:basedOn w:val="TableNormal"/>
    <w:uiPriority w:val="39"/>
    <w:rsid w:val="00D16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D169E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3-Accent1">
    <w:name w:val="Grid Table 3 Accent 1"/>
    <w:basedOn w:val="TableNormal"/>
    <w:uiPriority w:val="48"/>
    <w:rsid w:val="00DC5506"/>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character" w:customStyle="1" w:styleId="s1">
    <w:name w:val="s1"/>
    <w:basedOn w:val="DefaultParagraphFont"/>
    <w:rsid w:val="00EA4286"/>
  </w:style>
  <w:style w:type="table" w:styleId="PlainTable2">
    <w:name w:val="Plain Table 2"/>
    <w:basedOn w:val="TableNormal"/>
    <w:uiPriority w:val="42"/>
    <w:rsid w:val="004C5AC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ageNumber">
    <w:name w:val="page number"/>
    <w:basedOn w:val="DefaultParagraphFont"/>
    <w:uiPriority w:val="99"/>
    <w:semiHidden/>
    <w:unhideWhenUsed/>
    <w:rsid w:val="003E3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er.Suchy@campus.lmu.de/" TargetMode="External"/><Relationship Id="rId13" Type="http://schemas.openxmlformats.org/officeDocument/2006/relationships/hyperlink" Target="https://www.worldbank.org/en/topic/education/publication/simulating-potential-impacts-of-covid-19-school-closures-learning-outcomes-a-set-of-global-estimates"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commission.europa.eu/business-economy-euro/economic-recovery/recovery-and-resilience-facility_en" TargetMode="Externa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ission.europa.eu/strategy-and-policy/recovery-plan-europe_e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hyperlink" Target="https://chatgpt.com/share/69762783-183c-800f-af1e-369276010149"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mailto:suchyoliver2001@gmail.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10235-CA8B-EA47-862F-D69B90FF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22</Pages>
  <Words>4381</Words>
  <Characters>28438</Characters>
  <Application>Microsoft Office Word</Application>
  <DocSecurity>0</DocSecurity>
  <Lines>768</Lines>
  <Paragraphs>278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Suchý</dc:creator>
  <cp:keywords/>
  <dc:description/>
  <cp:lastModifiedBy>Oliver Suchý</cp:lastModifiedBy>
  <cp:revision>84</cp:revision>
  <dcterms:created xsi:type="dcterms:W3CDTF">2026-01-19T11:43:00Z</dcterms:created>
  <dcterms:modified xsi:type="dcterms:W3CDTF">2026-04-28T16:27:00Z</dcterms:modified>
</cp:coreProperties>
</file>