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64551" w14:textId="77777777" w:rsidR="00602F13" w:rsidRDefault="00000000">
      <w:pPr>
        <w:spacing w:before="400" w:after="120"/>
        <w:jc w:val="center"/>
      </w:pPr>
      <w:r>
        <w:rPr>
          <w:rFonts w:ascii="Arial" w:eastAsia="Arial" w:hAnsi="Arial" w:cs="Arial"/>
          <w:b/>
          <w:bCs/>
          <w:color w:val="1A5276"/>
          <w:sz w:val="48"/>
          <w:szCs w:val="48"/>
        </w:rPr>
        <w:t>REFUGE SPHERE LUNAR VILLAGE</w:t>
      </w:r>
    </w:p>
    <w:p w14:paraId="14EE1A55" w14:textId="77777777" w:rsidR="00602F13" w:rsidRDefault="00000000">
      <w:pPr>
        <w:spacing w:after="80"/>
        <w:jc w:val="center"/>
      </w:pPr>
      <w:r>
        <w:rPr>
          <w:rFonts w:ascii="Arial" w:eastAsia="Arial" w:hAnsi="Arial" w:cs="Arial"/>
          <w:color w:val="444444"/>
          <w:sz w:val="26"/>
          <w:szCs w:val="26"/>
        </w:rPr>
        <w:t>A Modular Superconducting Habitat Architecture for Permanent Lunar Bases and Beyond</w:t>
      </w:r>
    </w:p>
    <w:p w14:paraId="0D74E38F" w14:textId="77777777" w:rsidR="00602F13" w:rsidRDefault="00000000">
      <w:pPr>
        <w:pBdr>
          <w:bottom w:val="single" w:sz="4" w:space="8" w:color="1A5276"/>
        </w:pBdr>
        <w:spacing w:after="80"/>
        <w:jc w:val="center"/>
      </w:pPr>
      <w:r>
        <w:rPr>
          <w:rFonts w:ascii="Arial" w:eastAsia="Arial" w:hAnsi="Arial" w:cs="Arial"/>
          <w:color w:val="666666"/>
        </w:rPr>
        <w:t>Conceptual Proposal — Technical Abstract</w:t>
      </w:r>
    </w:p>
    <w:p w14:paraId="584A8CA9" w14:textId="77777777" w:rsidR="00602F13" w:rsidRDefault="00602F13"/>
    <w:p w14:paraId="3F031393" w14:textId="77777777" w:rsidR="00602F13" w:rsidRDefault="00000000">
      <w:pPr>
        <w:spacing w:before="80" w:after="40"/>
        <w:jc w:val="center"/>
      </w:pPr>
      <w:r>
        <w:rPr>
          <w:rFonts w:ascii="Arial" w:eastAsia="Arial" w:hAnsi="Arial" w:cs="Arial"/>
          <w:b/>
          <w:bCs/>
          <w:color w:val="1A5276"/>
          <w:sz w:val="22"/>
          <w:szCs w:val="22"/>
        </w:rPr>
        <w:t>Author: Enrico Titimali</w:t>
      </w:r>
    </w:p>
    <w:p w14:paraId="0EC12DE6" w14:textId="64179E47" w:rsidR="00602F13" w:rsidRDefault="00000000" w:rsidP="00EC16E2">
      <w:pPr>
        <w:spacing w:after="20"/>
        <w:jc w:val="center"/>
      </w:pPr>
      <w:r>
        <w:rPr>
          <w:rFonts w:ascii="Arial" w:eastAsia="Arial" w:hAnsi="Arial" w:cs="Arial"/>
          <w:color w:val="888888"/>
        </w:rPr>
        <w:t>Independent Research — April 2026</w:t>
      </w:r>
    </w:p>
    <w:p w14:paraId="240A85D5" w14:textId="77777777" w:rsidR="00602F13" w:rsidRDefault="00000000">
      <w:pPr>
        <w:spacing w:after="400"/>
        <w:jc w:val="center"/>
      </w:pPr>
      <w:r>
        <w:rPr>
          <w:rFonts w:ascii="Arial" w:eastAsia="Arial" w:hAnsi="Arial" w:cs="Arial"/>
          <w:b/>
          <w:bCs/>
          <w:color w:val="1A5276"/>
        </w:rPr>
        <w:t>DOI: 10.5281/zenodo.19857597</w:t>
      </w:r>
    </w:p>
    <w:p w14:paraId="42BCF579" w14:textId="77777777" w:rsidR="00602F13" w:rsidRDefault="00000000">
      <w:pPr>
        <w:spacing w:after="400"/>
        <w:jc w:val="center"/>
      </w:pPr>
      <w:r>
        <w:rPr>
          <w:rFonts w:ascii="Arial" w:eastAsia="Arial" w:hAnsi="Arial" w:cs="Arial"/>
          <w:color w:val="888888"/>
          <w:sz w:val="18"/>
          <w:szCs w:val="18"/>
        </w:rPr>
        <w:t>Related to: DOI 10.5281/zenodo.19822922 (Refuge Sphere v9.0)</w:t>
      </w:r>
    </w:p>
    <w:p w14:paraId="66220C87" w14:textId="77777777" w:rsidR="00602F13" w:rsidRDefault="00000000">
      <w:pPr>
        <w:pBdr>
          <w:bottom w:val="single" w:sz="2" w:space="4" w:color="1A5276"/>
        </w:pBdr>
        <w:spacing w:before="200" w:after="100"/>
      </w:pPr>
      <w:r>
        <w:rPr>
          <w:rFonts w:ascii="Arial" w:eastAsia="Arial" w:hAnsi="Arial" w:cs="Arial"/>
          <w:b/>
          <w:bCs/>
          <w:color w:val="1A5276"/>
          <w:sz w:val="24"/>
          <w:szCs w:val="24"/>
        </w:rPr>
        <w:t>Abstract</w:t>
      </w:r>
    </w:p>
    <w:p w14:paraId="4347949F" w14:textId="77777777" w:rsidR="00602F13" w:rsidRDefault="00000000">
      <w:pPr>
        <w:spacing w:before="80" w:after="80"/>
        <w:jc w:val="both"/>
      </w:pPr>
      <w:r>
        <w:rPr>
          <w:rFonts w:ascii="Arial" w:eastAsia="Arial" w:hAnsi="Arial" w:cs="Arial"/>
          <w:color w:val="000000"/>
        </w:rPr>
        <w:t>We propose a modular habitat architecture for permanent lunar bases — and surface bases on Mars and other planetary bodies — based on the Refuge Sphere concept: a closed superconducting YBCO sphere that achieves exact B = 0 internal magnetic field via the Meissner effect. Unlike all existing active shielding proposals for space habitats (toroidal coil arrays, CREW HaT, SR2S), which achieve only B ≈ 0 in limited regions of space, the spherical geometry provides isotropic, theoretically exact, field-free protection throughout the entire habitable volume. Combined with a multilayer passive shielding stack (HDPE, borated polyethylene, Whipple layer) and an inner aluminum Faraday cage (E = 0), each module achieves a radiation protection factor exceeding 1,000× against class-X SPE events.</w:t>
      </w:r>
    </w:p>
    <w:p w14:paraId="2C1D8216" w14:textId="77777777" w:rsidR="00602F13" w:rsidRDefault="00602F13"/>
    <w:p w14:paraId="0314562B" w14:textId="77777777" w:rsidR="00602F13" w:rsidRDefault="00000000">
      <w:pPr>
        <w:spacing w:before="80" w:after="80"/>
        <w:jc w:val="both"/>
      </w:pPr>
      <w:r>
        <w:rPr>
          <w:rFonts w:ascii="Arial" w:eastAsia="Arial" w:hAnsi="Arial" w:cs="Arial"/>
          <w:color w:val="000000"/>
        </w:rPr>
        <w:t>The proposed Refuge Sphere Lunar Village consists of interconnected spherical modules of varying diameter and function, connected by HDPE+borated shielded corridors. A centralized cryogenic system supplies liquid nitrogen at 77 K to all modules simultaneously via insulated vacuum-jacketed distribution lines. In case of SPE, CME, or elevated radiation alert, all modules simultaneously increase shielding response — no crew transfer required. The system exploits the lunar thermal cycle as an energy asset: during lunar night (14 Earth days, ambient temperature down to −170 °C), thermal losses from the cryogenic system drop dramatically, passively accumulating LN2 reserve. During lunar day, photovoltaic panels supplement the system energy budget.</w:t>
      </w:r>
    </w:p>
    <w:p w14:paraId="3E3A70BC" w14:textId="77777777" w:rsidR="00602F13" w:rsidRDefault="00602F13"/>
    <w:p w14:paraId="6303B038" w14:textId="77777777" w:rsidR="00602F13" w:rsidRDefault="00000000">
      <w:pPr>
        <w:spacing w:before="80" w:after="80"/>
        <w:jc w:val="both"/>
      </w:pPr>
      <w:r>
        <w:rPr>
          <w:rFonts w:ascii="Arial" w:eastAsia="Arial" w:hAnsi="Arial" w:cs="Arial"/>
          <w:color w:val="000000"/>
        </w:rPr>
        <w:t>The same architecture applies directly to Martian surface bases. Unlike the currently baseline concept of underground cylindrical habitats — which requires extensive, costly, and time-consuming excavation of Martian regolith — the Refuge Sphere provides equivalent radiation protection on the surface. This eliminates excavation costs entirely, reduces construction time, and allows modular expansion without subsurface infrastructure. The thin Martian atmosphere (0.6% Earth pressure, 95% CO₂) provides negligible radiation shielding, making active magnetic shielding via the Meissner effect particularly valuable for surface habitation on Mars.</w:t>
      </w:r>
    </w:p>
    <w:p w14:paraId="1F8C2F9C" w14:textId="77777777" w:rsidR="00602F13" w:rsidRDefault="00000000">
      <w:pPr>
        <w:pBdr>
          <w:bottom w:val="single" w:sz="2" w:space="4" w:color="1A5276"/>
        </w:pBdr>
        <w:spacing w:before="200" w:after="100"/>
      </w:pPr>
      <w:r>
        <w:rPr>
          <w:rFonts w:ascii="Arial" w:eastAsia="Arial" w:hAnsi="Arial" w:cs="Arial"/>
          <w:b/>
          <w:bCs/>
          <w:color w:val="1A5276"/>
          <w:sz w:val="24"/>
          <w:szCs w:val="24"/>
        </w:rPr>
        <w:t>Reference Configuration — Initial Lunar Base (5–10 persons)</w:t>
      </w:r>
    </w:p>
    <w:p w14:paraId="600B304A" w14:textId="77777777" w:rsidR="00602F13" w:rsidRDefault="00000000">
      <w:pPr>
        <w:spacing w:before="80" w:after="80"/>
        <w:jc w:val="both"/>
      </w:pPr>
      <w:r>
        <w:rPr>
          <w:rFonts w:ascii="Arial" w:eastAsia="Arial" w:hAnsi="Arial" w:cs="Arial"/>
          <w:color w:val="000000"/>
        </w:rPr>
        <w:t>The reference initial configuration consists of seven interconnected spherical modules: one large central sphere (Ø 10–12 m) for common areas, meetings, and laboratories; four medium spheres (Ø 5–6 m) for crew quarters (2 persons each); and two small spheres (Ø 3 m) for technical systems, cryogenic plant, and storage. All modules share a centralized LN2 cryogenic distribution system. Shielded corridors (HDPE + borated polyethylene, Ø 1.2 m internal) connect all modules with double-hatch airlocks at each junction point.</w:t>
      </w:r>
    </w:p>
    <w:p w14:paraId="28485EB3" w14:textId="77777777" w:rsidR="00602F13" w:rsidRDefault="00602F13"/>
    <w:p w14:paraId="7B65CE5E" w14:textId="77777777" w:rsidR="00602F13" w:rsidRDefault="00000000">
      <w:pPr>
        <w:spacing w:before="80" w:after="80"/>
        <w:jc w:val="both"/>
      </w:pPr>
      <w:r>
        <w:rPr>
          <w:rFonts w:ascii="Arial" w:eastAsia="Arial" w:hAnsi="Arial" w:cs="Arial"/>
          <w:color w:val="000000"/>
        </w:rPr>
        <w:t xml:space="preserve">The modular architecture allows incremental expansion without interrupting operations: additional spheres can be connected to existing corridors at any time. A base of 20–30 persons would require </w:t>
      </w:r>
      <w:r>
        <w:rPr>
          <w:rFonts w:ascii="Arial" w:eastAsia="Arial" w:hAnsi="Arial" w:cs="Arial"/>
          <w:color w:val="000000"/>
        </w:rPr>
        <w:lastRenderedPageBreak/>
        <w:t>approximately 12–15 modules of varying size. The centralized cryogenic system scales linearly with the number of modules, with redundant distribution loops ensuring no single failure can affect more than one module.</w:t>
      </w:r>
    </w:p>
    <w:p w14:paraId="0BAAE815" w14:textId="77777777" w:rsidR="00602F13" w:rsidRDefault="00000000">
      <w:pPr>
        <w:pBdr>
          <w:bottom w:val="single" w:sz="2" w:space="4" w:color="1A5276"/>
        </w:pBdr>
        <w:spacing w:before="200" w:after="100"/>
      </w:pPr>
      <w:r>
        <w:rPr>
          <w:rFonts w:ascii="Arial" w:eastAsia="Arial" w:hAnsi="Arial" w:cs="Arial"/>
          <w:b/>
          <w:bCs/>
          <w:color w:val="1A5276"/>
          <w:sz w:val="24"/>
          <w:szCs w:val="24"/>
        </w:rPr>
        <w:t>Key Advantages over Existing Concepts</w:t>
      </w:r>
    </w:p>
    <w:p w14:paraId="369631E4" w14:textId="77777777" w:rsidR="00602F13" w:rsidRDefault="00000000">
      <w:pPr>
        <w:spacing w:before="80" w:after="80"/>
        <w:jc w:val="both"/>
      </w:pPr>
      <w:r>
        <w:rPr>
          <w:rFonts w:ascii="Arial" w:eastAsia="Arial" w:hAnsi="Arial" w:cs="Arial"/>
          <w:color w:val="000000"/>
        </w:rPr>
        <w:t>Exact B = 0 shielding: all existing active magnetic shielding concepts for space habitats use toroidal or cylindrical coil configurations that achieve B ≈ 0 in limited habitat regions. The Meissner effect in a closed superconducting sphere is the only physical mechanism that guarantees exact B = 0 throughout the entire enclosed volume — a fundamental geometric advantage, not an engineering approximation.</w:t>
      </w:r>
    </w:p>
    <w:p w14:paraId="3B04BD83" w14:textId="77777777" w:rsidR="00602F13" w:rsidRDefault="00602F13"/>
    <w:p w14:paraId="3FE72195" w14:textId="77777777" w:rsidR="00602F13" w:rsidRDefault="00000000">
      <w:pPr>
        <w:spacing w:before="80" w:after="80"/>
        <w:jc w:val="both"/>
      </w:pPr>
      <w:r>
        <w:rPr>
          <w:rFonts w:ascii="Arial" w:eastAsia="Arial" w:hAnsi="Arial" w:cs="Arial"/>
          <w:color w:val="000000"/>
        </w:rPr>
        <w:t>No excavation required: current Mars base concepts require underground construction to achieve radiation protection equivalent to Earth's atmosphere. The Refuge Sphere Lunar Village achieves superior radiation protection on the surface, with no excavation, no underground tunneling, and no dependence on regolith properties. Construction can begin immediately upon site selection.</w:t>
      </w:r>
    </w:p>
    <w:p w14:paraId="2100268D" w14:textId="77777777" w:rsidR="00602F13" w:rsidRDefault="00602F13"/>
    <w:p w14:paraId="1DD3A566" w14:textId="77777777" w:rsidR="00602F13" w:rsidRDefault="00000000">
      <w:pPr>
        <w:spacing w:before="80" w:after="80"/>
        <w:jc w:val="both"/>
      </w:pPr>
      <w:r>
        <w:rPr>
          <w:rFonts w:ascii="Arial" w:eastAsia="Arial" w:hAnsi="Arial" w:cs="Arial"/>
          <w:color w:val="000000"/>
        </w:rPr>
        <w:t>Lunar thermal cycle as energy asset: the extreme cold of lunar night (−170 °C) is transformed from a thermal challenge into a cryogenic resource. The ambient environment passively cools the LN2 storage, reducing compressor load and extending reserves. No equivalent benefit exists for cylindrical or toroidal habitat concepts that do not require cryogenic systems.</w:t>
      </w:r>
    </w:p>
    <w:p w14:paraId="5B7CFA0B" w14:textId="77777777" w:rsidR="00602F13" w:rsidRDefault="00602F13"/>
    <w:p w14:paraId="6491567B" w14:textId="77777777" w:rsidR="00602F13" w:rsidRDefault="00000000">
      <w:pPr>
        <w:spacing w:before="80" w:after="80"/>
        <w:jc w:val="both"/>
      </w:pPr>
      <w:r>
        <w:rPr>
          <w:rFonts w:ascii="Arial" w:eastAsia="Arial" w:hAnsi="Arial" w:cs="Arial"/>
          <w:color w:val="000000"/>
        </w:rPr>
        <w:t>Modular scalability: from emergency shelter (Refuge Sphere v9.0 Variant B, single module, 4 crew) to permanent village (7+ modules, 10+ crew) to colony (20+ modules, 50+ crew), the same technology scales without fundamental redesign. Each module is independently functional with its own life support — failure of one module does not compromise the others.</w:t>
      </w:r>
    </w:p>
    <w:p w14:paraId="36AF8866" w14:textId="77777777" w:rsidR="00602F13" w:rsidRDefault="00602F13"/>
    <w:p w14:paraId="0710711F" w14:textId="77777777" w:rsidR="00602F13" w:rsidRDefault="00000000">
      <w:pPr>
        <w:spacing w:before="80" w:after="80"/>
        <w:jc w:val="both"/>
      </w:pPr>
      <w:r>
        <w:rPr>
          <w:rFonts w:ascii="Arial" w:eastAsia="Arial" w:hAnsi="Arial" w:cs="Arial"/>
          <w:color w:val="000000"/>
        </w:rPr>
        <w:t>Dual use: each module functions both as a permanent habitat and as an emergency radiation shelter. During extreme radiation events (SPE class X, CME), the entire village transitions to maximum protection mode simultaneously via the centralized cryogenic system — no crew movement required between modules.</w:t>
      </w:r>
    </w:p>
    <w:p w14:paraId="1CD0715B" w14:textId="77777777" w:rsidR="00602F13" w:rsidRDefault="00000000">
      <w:pPr>
        <w:pBdr>
          <w:bottom w:val="single" w:sz="2" w:space="4" w:color="1A5276"/>
        </w:pBdr>
        <w:spacing w:before="200" w:after="100"/>
      </w:pPr>
      <w:r>
        <w:rPr>
          <w:rFonts w:ascii="Arial" w:eastAsia="Arial" w:hAnsi="Arial" w:cs="Arial"/>
          <w:b/>
          <w:bCs/>
          <w:color w:val="1A5276"/>
          <w:sz w:val="24"/>
          <w:szCs w:val="24"/>
        </w:rPr>
        <w:t>Application to Mars Surface Bases</w:t>
      </w:r>
    </w:p>
    <w:p w14:paraId="0399614A" w14:textId="77777777" w:rsidR="00602F13" w:rsidRDefault="00000000">
      <w:pPr>
        <w:spacing w:before="80" w:after="80"/>
        <w:jc w:val="both"/>
      </w:pPr>
      <w:r>
        <w:rPr>
          <w:rFonts w:ascii="Arial" w:eastAsia="Arial" w:hAnsi="Arial" w:cs="Arial"/>
          <w:color w:val="000000"/>
        </w:rPr>
        <w:t>Mars presents a specific combination of radiation challenges: no global magnetic field, thin atmosphere (2.5 g/cm² areal density, vs Earth 1,033 g/cm²), and frequent SPE events with limited early warning. Current NASA and ESA Mars base concepts address radiation by placing habitats underground — typically in lava tubes or beneath 2–5 meters of regolith overburden. While effective, this approach requires excavation or identification of suitable lava tube locations, limits surface mobility, and significantly increases construction complexity and cost.</w:t>
      </w:r>
    </w:p>
    <w:p w14:paraId="2E361453" w14:textId="77777777" w:rsidR="00602F13" w:rsidRDefault="00602F13"/>
    <w:p w14:paraId="6BB66FB8" w14:textId="77777777" w:rsidR="00602F13" w:rsidRDefault="00000000">
      <w:pPr>
        <w:spacing w:before="80" w:after="80"/>
        <w:jc w:val="both"/>
      </w:pPr>
      <w:r>
        <w:rPr>
          <w:rFonts w:ascii="Arial" w:eastAsia="Arial" w:hAnsi="Arial" w:cs="Arial"/>
          <w:color w:val="000000"/>
        </w:rPr>
        <w:t>The Refuge Sphere architecture eliminates the need for underground placement entirely. A surface-based Refuge Sphere Lunar Village on Mars would provide radiation protection superior to 2–5 meters of regolith overburden, with the additional advantage of exact B = 0 magnetic shielding for charged particles — which regolith cannot provide. The CFRP+YBCO outer shell also provides inherent micrometeorite protection via the Whipple layer, addressing the secondary impact hazard on the Martian surface.</w:t>
      </w:r>
    </w:p>
    <w:p w14:paraId="50E8CF31" w14:textId="77777777" w:rsidR="00602F13" w:rsidRDefault="00000000">
      <w:pPr>
        <w:pBdr>
          <w:bottom w:val="single" w:sz="2" w:space="4" w:color="1A5276"/>
        </w:pBdr>
        <w:spacing w:before="200" w:after="100"/>
      </w:pPr>
      <w:r>
        <w:rPr>
          <w:rFonts w:ascii="Arial" w:eastAsia="Arial" w:hAnsi="Arial" w:cs="Arial"/>
          <w:b/>
          <w:bCs/>
          <w:color w:val="1A5276"/>
          <w:sz w:val="24"/>
          <w:szCs w:val="24"/>
        </w:rPr>
        <w:t>Future Developments</w:t>
      </w:r>
    </w:p>
    <w:p w14:paraId="0E6173A1" w14:textId="77777777" w:rsidR="00602F13" w:rsidRDefault="00000000">
      <w:pPr>
        <w:spacing w:before="80" w:after="80"/>
        <w:jc w:val="both"/>
      </w:pPr>
      <w:r>
        <w:rPr>
          <w:rFonts w:ascii="Arial" w:eastAsia="Arial" w:hAnsi="Arial" w:cs="Arial"/>
          <w:color w:val="000000"/>
        </w:rPr>
        <w:t>A detailed technical document for the Refuge Sphere Lunar Village is currently in preparation, extending the engineering framework of Refuge Sphere v9.0 (DOI: 10.5281/zenodo.19822922) to multi-module configurations. It will include structural analysis of inter-module corridor connections, centralized cryogenic distribution system design, power budget for a 7-module initial base, and construction and deployment sequence.</w:t>
      </w:r>
    </w:p>
    <w:p w14:paraId="4B9D9F62" w14:textId="77777777" w:rsidR="00602F13" w:rsidRDefault="00602F13"/>
    <w:p w14:paraId="78F85FC5" w14:textId="77777777" w:rsidR="00602F13" w:rsidRDefault="00000000">
      <w:pPr>
        <w:spacing w:before="80" w:after="80"/>
        <w:jc w:val="both"/>
      </w:pPr>
      <w:r>
        <w:rPr>
          <w:rFonts w:ascii="Arial" w:eastAsia="Arial" w:hAnsi="Arial" w:cs="Arial"/>
          <w:color w:val="000000"/>
        </w:rPr>
        <w:lastRenderedPageBreak/>
        <w:t>A separate theoretical investigation is ongoing regarding potential gravitational effects of rotating superconducting spheres in the context of long-duration human habitation. If confirmed experimentally, such effects could offer partial gravity modulation capabilities — relevant for mitigating skeletal and muscular deconditioning in low-gravity environments such as the Moon (0.16 g) and Mars (0.38 g). This line of research remains at the theoretical stage and is subject to independent experimental verification.</w:t>
      </w:r>
    </w:p>
    <w:p w14:paraId="6B7EFB5B" w14:textId="77777777" w:rsidR="00602F13" w:rsidRDefault="00000000">
      <w:pPr>
        <w:pBdr>
          <w:bottom w:val="single" w:sz="2" w:space="4" w:color="1A5276"/>
        </w:pBdr>
        <w:spacing w:before="200" w:after="100"/>
      </w:pPr>
      <w:r>
        <w:rPr>
          <w:rFonts w:ascii="Arial" w:eastAsia="Arial" w:hAnsi="Arial" w:cs="Arial"/>
          <w:b/>
          <w:bCs/>
          <w:color w:val="1A5276"/>
          <w:sz w:val="24"/>
          <w:szCs w:val="24"/>
        </w:rPr>
        <w:t>References</w:t>
      </w:r>
    </w:p>
    <w:p w14:paraId="017DB664" w14:textId="77777777" w:rsidR="00602F13" w:rsidRDefault="00000000">
      <w:pPr>
        <w:spacing w:before="80" w:after="80"/>
        <w:jc w:val="both"/>
      </w:pPr>
      <w:r>
        <w:rPr>
          <w:rFonts w:ascii="Arial" w:eastAsia="Arial" w:hAnsi="Arial" w:cs="Arial"/>
          <w:color w:val="000000"/>
        </w:rPr>
        <w:t>[1] Titimali, E. (2026). Refuge Sphere v9.0 — Lightweight Optimized Design. Zenodo. DOI: 10.5281/zenodo.19822922</w:t>
      </w:r>
    </w:p>
    <w:p w14:paraId="4ECAD632" w14:textId="77777777" w:rsidR="00602F13" w:rsidRDefault="00000000">
      <w:pPr>
        <w:spacing w:before="80" w:after="80"/>
        <w:jc w:val="both"/>
      </w:pPr>
      <w:r>
        <w:rPr>
          <w:rFonts w:ascii="Arial" w:eastAsia="Arial" w:hAnsi="Arial" w:cs="Arial"/>
          <w:color w:val="000000"/>
        </w:rPr>
        <w:t>[2] Titimali, E. (2026). Refuge Sphere — Abstract. Zenodo. DOI: 10.5281/zenodo.19690549</w:t>
      </w:r>
    </w:p>
    <w:p w14:paraId="56881B06" w14:textId="77777777" w:rsidR="00602F13" w:rsidRDefault="00000000">
      <w:pPr>
        <w:spacing w:before="80" w:after="80"/>
        <w:jc w:val="both"/>
      </w:pPr>
      <w:r>
        <w:rPr>
          <w:rFonts w:ascii="Arial" w:eastAsia="Arial" w:hAnsi="Arial" w:cs="Arial"/>
          <w:color w:val="000000"/>
        </w:rPr>
        <w:t>[3] Frontiers in Space Technologies (2026). Protective magnetic shielding systems for deep space habitats. DOI: 10.3389/frspt.2026.1715603</w:t>
      </w:r>
    </w:p>
    <w:p w14:paraId="3E8198D6" w14:textId="77777777" w:rsidR="00602F13" w:rsidRDefault="00000000">
      <w:pPr>
        <w:spacing w:before="80" w:after="80"/>
        <w:jc w:val="both"/>
      </w:pPr>
      <w:r>
        <w:rPr>
          <w:rFonts w:ascii="Arial" w:eastAsia="Arial" w:hAnsi="Arial" w:cs="Arial"/>
          <w:color w:val="000000"/>
        </w:rPr>
        <w:t>[4] Battiston, R. et al. (2012). Active Radiation Shield for Space Exploration Missions (SR2S). IEEE Transactions on Applied Superconductivity, 22(3).</w:t>
      </w:r>
    </w:p>
    <w:p w14:paraId="0CD1138D" w14:textId="77777777" w:rsidR="00602F13" w:rsidRDefault="00000000">
      <w:pPr>
        <w:spacing w:before="80" w:after="80"/>
        <w:jc w:val="both"/>
      </w:pPr>
      <w:r>
        <w:rPr>
          <w:rFonts w:ascii="Arial" w:eastAsia="Arial" w:hAnsi="Arial" w:cs="Arial"/>
          <w:color w:val="000000"/>
        </w:rPr>
        <w:t>[5] Westover, S. et al. (2024). Radiation Protection and Architecture Utilizing High Temperature Superconducting Magnets. NASA NIAC.</w:t>
      </w:r>
    </w:p>
    <w:p w14:paraId="4BE7B87A" w14:textId="77777777" w:rsidR="00602F13" w:rsidRDefault="00000000">
      <w:pPr>
        <w:spacing w:before="80" w:after="80"/>
        <w:jc w:val="both"/>
      </w:pPr>
      <w:r>
        <w:rPr>
          <w:rFonts w:ascii="Arial" w:eastAsia="Arial" w:hAnsi="Arial" w:cs="Arial"/>
          <w:color w:val="000000"/>
        </w:rPr>
        <w:t>[6] Broilo, M. et al. (2022). CREW HaT: A Magnetic Shielding System for Space Habitats. arXiv:2209.13624</w:t>
      </w:r>
    </w:p>
    <w:p w14:paraId="139CF943" w14:textId="77777777" w:rsidR="00602F13" w:rsidRDefault="00000000">
      <w:pPr>
        <w:spacing w:before="80" w:after="80"/>
        <w:jc w:val="both"/>
      </w:pPr>
      <w:r>
        <w:rPr>
          <w:rFonts w:ascii="Arial" w:eastAsia="Arial" w:hAnsi="Arial" w:cs="Arial"/>
          <w:color w:val="000000"/>
        </w:rPr>
        <w:t>[7] NASA Artemis Base Camp Concept (2020). nasa.gov/artemis</w:t>
      </w:r>
    </w:p>
    <w:p w14:paraId="08134A1F" w14:textId="77777777" w:rsidR="00602F13" w:rsidRDefault="00000000">
      <w:pPr>
        <w:spacing w:before="80" w:after="80"/>
        <w:jc w:val="both"/>
      </w:pPr>
      <w:r>
        <w:rPr>
          <w:rFonts w:ascii="Arial" w:eastAsia="Arial" w:hAnsi="Arial" w:cs="Arial"/>
          <w:color w:val="000000"/>
        </w:rPr>
        <w:t>[8] ESA Moon Village Concept (2016). Science enabled by a Moon Village. arXiv:1706.06698</w:t>
      </w:r>
    </w:p>
    <w:p w14:paraId="670F4560" w14:textId="77777777" w:rsidR="00602F13" w:rsidRDefault="00000000">
      <w:pPr>
        <w:spacing w:before="80" w:after="80"/>
        <w:jc w:val="both"/>
      </w:pPr>
      <w:r>
        <w:rPr>
          <w:rFonts w:ascii="Arial" w:eastAsia="Arial" w:hAnsi="Arial" w:cs="Arial"/>
          <w:color w:val="000000"/>
        </w:rPr>
        <w:t>[9] Meissner, W. &amp; Ochsenfeld, R. (1933). Ein neuer Effekt bei Eintritt der Supraleitfähigkeit. Naturwissenschaften, 21(44), 787–788.</w:t>
      </w:r>
    </w:p>
    <w:p w14:paraId="4FE563F8" w14:textId="77777777" w:rsidR="00602F13" w:rsidRDefault="00000000">
      <w:pPr>
        <w:spacing w:before="80" w:after="80"/>
        <w:jc w:val="both"/>
      </w:pPr>
      <w:r>
        <w:rPr>
          <w:rFonts w:ascii="Arial" w:eastAsia="Arial" w:hAnsi="Arial" w:cs="Arial"/>
          <w:color w:val="000000"/>
        </w:rPr>
        <w:t>[10] Wu, M.K. et al. (1987). Superconductivity at 93 K in YBCO. Physical Review Letters, 58(9), 908.</w:t>
      </w:r>
    </w:p>
    <w:p w14:paraId="2E38F0BE" w14:textId="77777777" w:rsidR="00602F13" w:rsidRDefault="00602F13"/>
    <w:p w14:paraId="59788615" w14:textId="77777777" w:rsidR="00602F13" w:rsidRDefault="00602F13"/>
    <w:p w14:paraId="7FBCC464" w14:textId="77777777" w:rsidR="00602F13" w:rsidRDefault="00000000">
      <w:pPr>
        <w:pBdr>
          <w:top w:val="single" w:sz="2" w:space="8" w:color="CCCCCC"/>
        </w:pBdr>
        <w:spacing w:before="200"/>
        <w:jc w:val="center"/>
      </w:pPr>
      <w:r>
        <w:rPr>
          <w:rFonts w:ascii="Arial" w:eastAsia="Arial" w:hAnsi="Arial" w:cs="Arial"/>
          <w:color w:val="888888"/>
          <w:sz w:val="18"/>
          <w:szCs w:val="18"/>
        </w:rPr>
        <w:t>© Enrico Titimali — April 2026 — All rights reserved — Confidential</w:t>
      </w:r>
    </w:p>
    <w:sectPr w:rsidR="00602F13">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C6079" w14:textId="77777777" w:rsidR="00AA3B82" w:rsidRDefault="00AA3B82">
      <w:r>
        <w:separator/>
      </w:r>
    </w:p>
  </w:endnote>
  <w:endnote w:type="continuationSeparator" w:id="0">
    <w:p w14:paraId="37C0D4DA" w14:textId="77777777" w:rsidR="00AA3B82" w:rsidRDefault="00AA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7175C" w14:textId="77777777" w:rsidR="00602F13" w:rsidRDefault="00000000">
    <w:pPr>
      <w:pBdr>
        <w:top w:val="single" w:sz="2" w:space="4" w:color="CCCCCC"/>
      </w:pBdr>
      <w:jc w:val="center"/>
    </w:pPr>
    <w:r>
      <w:rPr>
        <w:rFonts w:ascii="Arial" w:eastAsia="Arial" w:hAnsi="Arial" w:cs="Arial"/>
        <w:color w:val="888888"/>
        <w:sz w:val="18"/>
        <w:szCs w:val="18"/>
      </w:rPr>
      <w:t xml:space="preserve">Page </w:t>
    </w:r>
    <w:r>
      <w:rPr>
        <w:rFonts w:ascii="Arial" w:eastAsia="Arial" w:hAnsi="Arial" w:cs="Arial"/>
        <w:color w:val="888888"/>
        <w:sz w:val="18"/>
        <w:szCs w:val="18"/>
      </w:rPr>
      <w:fldChar w:fldCharType="begin"/>
    </w:r>
    <w:r>
      <w:rPr>
        <w:rFonts w:ascii="Arial" w:eastAsia="Arial" w:hAnsi="Arial" w:cs="Arial"/>
        <w:color w:val="888888"/>
        <w:sz w:val="18"/>
        <w:szCs w:val="18"/>
      </w:rPr>
      <w:instrText>PAGE</w:instrText>
    </w:r>
    <w:r>
      <w:rPr>
        <w:rFonts w:ascii="Arial" w:eastAsia="Arial" w:hAnsi="Arial" w:cs="Arial"/>
        <w:color w:val="888888"/>
        <w:sz w:val="18"/>
        <w:szCs w:val="18"/>
      </w:rPr>
      <w:fldChar w:fldCharType="separate"/>
    </w:r>
    <w:r w:rsidR="00EC16E2">
      <w:rPr>
        <w:rFonts w:ascii="Arial" w:eastAsia="Arial" w:hAnsi="Arial" w:cs="Arial"/>
        <w:noProof/>
        <w:color w:val="888888"/>
        <w:sz w:val="18"/>
        <w:szCs w:val="18"/>
      </w:rPr>
      <w:t>1</w:t>
    </w:r>
    <w:r>
      <w:rPr>
        <w:rFonts w:ascii="Arial" w:eastAsia="Arial" w:hAnsi="Arial" w:cs="Arial"/>
        <w:color w:val="88888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04087" w14:textId="77777777" w:rsidR="00AA3B82" w:rsidRDefault="00AA3B82">
      <w:r>
        <w:separator/>
      </w:r>
    </w:p>
  </w:footnote>
  <w:footnote w:type="continuationSeparator" w:id="0">
    <w:p w14:paraId="4A5CE90E" w14:textId="77777777" w:rsidR="00AA3B82" w:rsidRDefault="00AA3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1F936" w14:textId="77777777" w:rsidR="00602F13" w:rsidRDefault="00000000">
    <w:pPr>
      <w:pBdr>
        <w:bottom w:val="single" w:sz="2" w:space="4" w:color="AAAAAA"/>
      </w:pBdr>
      <w:spacing w:after="100"/>
      <w:jc w:val="right"/>
    </w:pPr>
    <w:r>
      <w:rPr>
        <w:rFonts w:ascii="Arial" w:eastAsia="Arial" w:hAnsi="Arial" w:cs="Arial"/>
        <w:color w:val="888888"/>
        <w:sz w:val="16"/>
        <w:szCs w:val="16"/>
      </w:rPr>
      <w:t>REFUGE SPHERE LUNAR VILLAGE — E. Titimali — 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B45BD"/>
    <w:multiLevelType w:val="hybridMultilevel"/>
    <w:tmpl w:val="C4A0E7FA"/>
    <w:lvl w:ilvl="0" w:tplc="F6D295F0">
      <w:start w:val="1"/>
      <w:numFmt w:val="bullet"/>
      <w:lvlText w:val="●"/>
      <w:lvlJc w:val="left"/>
      <w:pPr>
        <w:ind w:left="720" w:hanging="360"/>
      </w:pPr>
    </w:lvl>
    <w:lvl w:ilvl="1" w:tplc="996664B4">
      <w:start w:val="1"/>
      <w:numFmt w:val="bullet"/>
      <w:lvlText w:val="○"/>
      <w:lvlJc w:val="left"/>
      <w:pPr>
        <w:ind w:left="1440" w:hanging="360"/>
      </w:pPr>
    </w:lvl>
    <w:lvl w:ilvl="2" w:tplc="B02275D4">
      <w:start w:val="1"/>
      <w:numFmt w:val="bullet"/>
      <w:lvlText w:val="■"/>
      <w:lvlJc w:val="left"/>
      <w:pPr>
        <w:ind w:left="2160" w:hanging="360"/>
      </w:pPr>
    </w:lvl>
    <w:lvl w:ilvl="3" w:tplc="DE4CACFA">
      <w:start w:val="1"/>
      <w:numFmt w:val="bullet"/>
      <w:lvlText w:val="●"/>
      <w:lvlJc w:val="left"/>
      <w:pPr>
        <w:ind w:left="2880" w:hanging="360"/>
      </w:pPr>
    </w:lvl>
    <w:lvl w:ilvl="4" w:tplc="A17ECED6">
      <w:start w:val="1"/>
      <w:numFmt w:val="bullet"/>
      <w:lvlText w:val="○"/>
      <w:lvlJc w:val="left"/>
      <w:pPr>
        <w:ind w:left="3600" w:hanging="360"/>
      </w:pPr>
    </w:lvl>
    <w:lvl w:ilvl="5" w:tplc="92B235A4">
      <w:start w:val="1"/>
      <w:numFmt w:val="bullet"/>
      <w:lvlText w:val="■"/>
      <w:lvlJc w:val="left"/>
      <w:pPr>
        <w:ind w:left="4320" w:hanging="360"/>
      </w:pPr>
    </w:lvl>
    <w:lvl w:ilvl="6" w:tplc="31EC88C8">
      <w:start w:val="1"/>
      <w:numFmt w:val="bullet"/>
      <w:lvlText w:val="●"/>
      <w:lvlJc w:val="left"/>
      <w:pPr>
        <w:ind w:left="5040" w:hanging="360"/>
      </w:pPr>
    </w:lvl>
    <w:lvl w:ilvl="7" w:tplc="E684F9B8">
      <w:start w:val="1"/>
      <w:numFmt w:val="bullet"/>
      <w:lvlText w:val="●"/>
      <w:lvlJc w:val="left"/>
      <w:pPr>
        <w:ind w:left="5760" w:hanging="360"/>
      </w:pPr>
    </w:lvl>
    <w:lvl w:ilvl="8" w:tplc="9ABEF5D0">
      <w:start w:val="1"/>
      <w:numFmt w:val="bullet"/>
      <w:lvlText w:val="●"/>
      <w:lvlJc w:val="left"/>
      <w:pPr>
        <w:ind w:left="6480" w:hanging="360"/>
      </w:pPr>
    </w:lvl>
  </w:abstractNum>
  <w:num w:numId="1" w16cid:durableId="10076320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F13"/>
    <w:rsid w:val="00602F13"/>
    <w:rsid w:val="00AA3B82"/>
    <w:rsid w:val="00B6136A"/>
    <w:rsid w:val="00EC16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D1F0E"/>
  <w15:docId w15:val="{3D15B1E0-C997-4F1F-96AA-5B1F7CE5C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uiPriority w:val="9"/>
    <w:qFormat/>
    <w:pPr>
      <w:outlineLvl w:val="0"/>
    </w:pPr>
    <w:rPr>
      <w:color w:val="2E74B5"/>
      <w:sz w:val="32"/>
      <w:szCs w:val="32"/>
    </w:rPr>
  </w:style>
  <w:style w:type="paragraph" w:styleId="Titolo2">
    <w:name w:val="heading 2"/>
    <w:uiPriority w:val="9"/>
    <w:semiHidden/>
    <w:unhideWhenUsed/>
    <w:qFormat/>
    <w:pPr>
      <w:outlineLvl w:val="1"/>
    </w:pPr>
    <w:rPr>
      <w:color w:val="2E74B5"/>
      <w:sz w:val="26"/>
      <w:szCs w:val="26"/>
    </w:rPr>
  </w:style>
  <w:style w:type="paragraph" w:styleId="Titolo3">
    <w:name w:val="heading 3"/>
    <w:uiPriority w:val="9"/>
    <w:semiHidden/>
    <w:unhideWhenUsed/>
    <w:qFormat/>
    <w:pPr>
      <w:outlineLvl w:val="2"/>
    </w:pPr>
    <w:rPr>
      <w:color w:val="1F4D78"/>
      <w:sz w:val="24"/>
      <w:szCs w:val="24"/>
    </w:rPr>
  </w:style>
  <w:style w:type="paragraph" w:styleId="Titolo4">
    <w:name w:val="heading 4"/>
    <w:uiPriority w:val="9"/>
    <w:semiHidden/>
    <w:unhideWhenUsed/>
    <w:qFormat/>
    <w:pPr>
      <w:outlineLvl w:val="3"/>
    </w:pPr>
    <w:rPr>
      <w:i/>
      <w:iCs/>
      <w:color w:val="2E74B5"/>
    </w:rPr>
  </w:style>
  <w:style w:type="paragraph" w:styleId="Titolo5">
    <w:name w:val="heading 5"/>
    <w:uiPriority w:val="9"/>
    <w:semiHidden/>
    <w:unhideWhenUsed/>
    <w:qFormat/>
    <w:pPr>
      <w:outlineLvl w:val="4"/>
    </w:pPr>
    <w:rPr>
      <w:color w:val="2E74B5"/>
    </w:rPr>
  </w:style>
  <w:style w:type="paragraph" w:styleId="Titolo6">
    <w:name w:val="heading 6"/>
    <w:uiPriority w:val="9"/>
    <w:semiHidden/>
    <w:unhideWhenUsed/>
    <w:qFormat/>
    <w:pPr>
      <w:outlineLvl w:val="5"/>
    </w:pPr>
    <w:rPr>
      <w:color w:val="1F4D7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uiPriority w:val="10"/>
    <w:qFormat/>
    <w:rPr>
      <w:sz w:val="56"/>
      <w:szCs w:val="56"/>
    </w:rPr>
  </w:style>
  <w:style w:type="paragraph" w:customStyle="1" w:styleId="Enfasigrassetto1">
    <w:name w:val="Enfasi (grassetto)1"/>
    <w:qFormat/>
    <w:rPr>
      <w:b/>
      <w:bCs/>
    </w:rPr>
  </w:style>
  <w:style w:type="paragraph" w:styleId="Paragrafoelenco">
    <w:name w:val="List Paragraph"/>
    <w:qFormat/>
  </w:style>
  <w:style w:type="character" w:styleId="Collegamentoipertestuale">
    <w:name w:val="Hyperlink"/>
    <w:uiPriority w:val="99"/>
    <w:unhideWhenUsed/>
    <w:rPr>
      <w:color w:val="0563C1"/>
      <w:u w:val="single"/>
    </w:rPr>
  </w:style>
  <w:style w:type="character" w:styleId="Rimandonotaapidipagina">
    <w:name w:val="footnote reference"/>
    <w:uiPriority w:val="99"/>
    <w:semiHidden/>
    <w:unhideWhenUsed/>
    <w:rPr>
      <w:vertAlign w:val="superscript"/>
    </w:rPr>
  </w:style>
  <w:style w:type="paragraph" w:styleId="Testonotaapidipagina">
    <w:name w:val="footnote text"/>
    <w:link w:val="TestonotaapidipaginaCarattere"/>
    <w:uiPriority w:val="99"/>
    <w:semiHidden/>
    <w:unhideWhenUsed/>
  </w:style>
  <w:style w:type="character" w:customStyle="1" w:styleId="TestonotaapidipaginaCarattere">
    <w:name w:val="Testo nota a piè di pagina Carattere"/>
    <w:link w:val="Testonotaapidipagina"/>
    <w:uiPriority w:val="99"/>
    <w:semiHidden/>
    <w:unhideWhenUsed/>
    <w:rPr>
      <w:sz w:val="20"/>
      <w:szCs w:val="20"/>
    </w:rPr>
  </w:style>
  <w:style w:type="character" w:styleId="Rimandonotadichiusura">
    <w:name w:val="endnote reference"/>
    <w:uiPriority w:val="99"/>
    <w:semiHidden/>
    <w:unhideWhenUsed/>
    <w:rPr>
      <w:vertAlign w:val="superscript"/>
    </w:rPr>
  </w:style>
  <w:style w:type="paragraph" w:styleId="Testonotadichiusura">
    <w:name w:val="endnote text"/>
    <w:link w:val="TestonotadichiusuraCarattere"/>
    <w:uiPriority w:val="99"/>
    <w:semiHidden/>
    <w:unhideWhenUsed/>
  </w:style>
  <w:style w:type="character" w:customStyle="1" w:styleId="TestonotadichiusuraCarattere">
    <w:name w:val="Testo nota di chiusura Carattere"/>
    <w:link w:val="Testonotadichiusur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1285</Words>
  <Characters>7326</Characters>
  <Application>Microsoft Office Word</Application>
  <DocSecurity>0</DocSecurity>
  <Lines>61</Lines>
  <Paragraphs>17</Paragraphs>
  <ScaleCrop>false</ScaleCrop>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user</cp:lastModifiedBy>
  <cp:revision>3</cp:revision>
  <dcterms:created xsi:type="dcterms:W3CDTF">2026-04-28T14:40:00Z</dcterms:created>
  <dcterms:modified xsi:type="dcterms:W3CDTF">2026-04-28T14:42:00Z</dcterms:modified>
</cp:coreProperties>
</file>