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36261" w14:textId="77777777" w:rsidR="00B05974" w:rsidRDefault="00B05974">
      <w:pPr>
        <w:spacing w:before="120"/>
      </w:pPr>
    </w:p>
    <w:p w14:paraId="52A1F249" w14:textId="77777777" w:rsidR="00B05974" w:rsidRDefault="00000000">
      <w:pPr>
        <w:spacing w:after="160"/>
        <w:jc w:val="center"/>
      </w:pPr>
      <w:r>
        <w:rPr>
          <w:b/>
          <w:bCs/>
          <w:sz w:val="32"/>
          <w:szCs w:val="32"/>
        </w:rPr>
        <w:t xml:space="preserve">Reduced </w:t>
      </w:r>
      <w:proofErr w:type="spellStart"/>
      <w:r>
        <w:rPr>
          <w:b/>
          <w:bCs/>
          <w:sz w:val="32"/>
          <w:szCs w:val="32"/>
        </w:rPr>
        <w:t>Sympathovagal</w:t>
      </w:r>
      <w:proofErr w:type="spellEnd"/>
      <w:r>
        <w:rPr>
          <w:b/>
          <w:bCs/>
          <w:sz w:val="32"/>
          <w:szCs w:val="32"/>
        </w:rPr>
        <w:t xml:space="preserve"> Balance at Baseline in Subjects with Incident Congestive Heart Failure: A Pilot Observation from the Sleep Heart Health Study</w:t>
      </w:r>
    </w:p>
    <w:p w14:paraId="29D8CC90" w14:textId="77777777" w:rsidR="00B05974" w:rsidRDefault="00000000">
      <w:pPr>
        <w:spacing w:after="40"/>
        <w:jc w:val="center"/>
      </w:pPr>
      <w:r>
        <w:rPr>
          <w:b/>
          <w:bCs/>
        </w:rPr>
        <w:t>Jason Bryant</w:t>
      </w:r>
    </w:p>
    <w:p w14:paraId="7D2C7551" w14:textId="77777777" w:rsidR="00B05974" w:rsidRDefault="00000000">
      <w:pPr>
        <w:spacing w:after="40"/>
        <w:jc w:val="center"/>
      </w:pPr>
      <w:r>
        <w:rPr>
          <w:i/>
          <w:iCs/>
          <w:color w:val="555555"/>
          <w:sz w:val="22"/>
          <w:szCs w:val="22"/>
        </w:rPr>
        <w:t>Independent Researcher, Charlotte, NC</w:t>
      </w:r>
    </w:p>
    <w:p w14:paraId="2D9DAFCB" w14:textId="77777777" w:rsidR="00B05974" w:rsidRDefault="00000000">
      <w:pPr>
        <w:spacing w:after="40"/>
        <w:jc w:val="center"/>
      </w:pPr>
      <w:r>
        <w:rPr>
          <w:i/>
          <w:iCs/>
          <w:color w:val="555555"/>
          <w:sz w:val="22"/>
          <w:szCs w:val="22"/>
        </w:rPr>
        <w:t>Correspondence: jason@cookschurch.org</w:t>
      </w:r>
    </w:p>
    <w:p w14:paraId="156DD2E5" w14:textId="77777777" w:rsidR="00B05974" w:rsidRDefault="00000000">
      <w:pPr>
        <w:spacing w:after="80"/>
        <w:jc w:val="center"/>
      </w:pPr>
      <w:r>
        <w:rPr>
          <w:i/>
          <w:iCs/>
          <w:color w:val="555555"/>
          <w:sz w:val="22"/>
          <w:szCs w:val="22"/>
        </w:rPr>
        <w:t>Submitted: April 28, 2026</w:t>
      </w:r>
    </w:p>
    <w:p w14:paraId="31404DFE" w14:textId="77777777" w:rsidR="00B05974" w:rsidRDefault="00B05974">
      <w:pPr>
        <w:pBdr>
          <w:bottom w:val="single" w:sz="6" w:space="1" w:color="1A1A1A"/>
        </w:pBdr>
        <w:spacing w:after="160"/>
      </w:pPr>
    </w:p>
    <w:p w14:paraId="0AFCE8F6" w14:textId="77777777" w:rsidR="00B05974" w:rsidRDefault="00B05974">
      <w:pPr>
        <w:spacing w:before="40"/>
      </w:pPr>
    </w:p>
    <w:p w14:paraId="2381D71F" w14:textId="77777777" w:rsidR="00B05974" w:rsidRDefault="00000000">
      <w:pPr>
        <w:spacing w:after="80"/>
      </w:pPr>
      <w:r>
        <w:rPr>
          <w:b/>
          <w:bCs/>
          <w:sz w:val="26"/>
          <w:szCs w:val="26"/>
        </w:rPr>
        <w:t>Abstract</w:t>
      </w:r>
    </w:p>
    <w:p w14:paraId="47268B1D" w14:textId="77777777" w:rsidR="00B05974" w:rsidRDefault="00000000">
      <w:pPr>
        <w:spacing w:before="40" w:after="60"/>
        <w:jc w:val="both"/>
      </w:pPr>
      <w:r>
        <w:rPr>
          <w:b/>
          <w:bCs/>
        </w:rPr>
        <w:t xml:space="preserve">Background: </w:t>
      </w:r>
      <w:r>
        <w:t>Autonomic dysfunction precedes clinical heart failure, but whether pre-diagnostic autonomic markers are detectable in population-level overnight recordings is not well established.</w:t>
      </w:r>
    </w:p>
    <w:p w14:paraId="2CB3C2FC" w14:textId="77777777" w:rsidR="00B05974" w:rsidRDefault="00000000">
      <w:pPr>
        <w:spacing w:before="40" w:after="60"/>
        <w:jc w:val="both"/>
      </w:pPr>
      <w:r>
        <w:rPr>
          <w:b/>
          <w:bCs/>
        </w:rPr>
        <w:t xml:space="preserve">Methods: </w:t>
      </w:r>
      <w:r>
        <w:t>We conducted an exploratory analysis of baseline overnight heart rate variability (HRV) data from the Sleep Heart Health Study (SHHS), comparing 30 subjects with incident congestive heart failure (CHF) against 456 subjects with no adjudicated cardiovascular events. Standard HRV metrics were compared using Mann-Whitney U test.</w:t>
      </w:r>
    </w:p>
    <w:p w14:paraId="074C0329" w14:textId="77777777" w:rsidR="00B05974" w:rsidRDefault="00000000">
      <w:pPr>
        <w:spacing w:before="40" w:after="60"/>
        <w:jc w:val="both"/>
      </w:pPr>
      <w:r>
        <w:rPr>
          <w:b/>
          <w:bCs/>
        </w:rPr>
        <w:t xml:space="preserve">Results: </w:t>
      </w:r>
      <w:r>
        <w:t xml:space="preserve">The LF/HF ratio — a measure of </w:t>
      </w:r>
      <w:proofErr w:type="spellStart"/>
      <w:r>
        <w:t>sympathovagal</w:t>
      </w:r>
      <w:proofErr w:type="spellEnd"/>
      <w:r>
        <w:t xml:space="preserve"> balance — was significantly lower in subjects who subsequently developed CHF (mean 1.847 vs 2.484, p=0.0066). No other HRV metric reached significance. The small CHF sample (n=30) limits interpretation.</w:t>
      </w:r>
    </w:p>
    <w:p w14:paraId="0A21E58F" w14:textId="77777777" w:rsidR="00B05974" w:rsidRDefault="00000000">
      <w:pPr>
        <w:spacing w:before="40" w:after="80"/>
        <w:jc w:val="both"/>
      </w:pPr>
      <w:r>
        <w:rPr>
          <w:b/>
          <w:bCs/>
        </w:rPr>
        <w:t xml:space="preserve">Conclusions: </w:t>
      </w:r>
      <w:r>
        <w:t xml:space="preserve">This exploratory pilot observation suggests that reduced </w:t>
      </w:r>
      <w:proofErr w:type="spellStart"/>
      <w:r>
        <w:t>sympathovagal</w:t>
      </w:r>
      <w:proofErr w:type="spellEnd"/>
      <w:r>
        <w:t xml:space="preserve"> balance may be detectable in overnight HRV recordings before clinical heart failure diagnosis. The finding is hypothesis-generating and requires replication in a larger cohort with prospective design. It does not establish clinical utility.</w:t>
      </w:r>
    </w:p>
    <w:p w14:paraId="51705220" w14:textId="77777777" w:rsidR="00B05974" w:rsidRDefault="00000000">
      <w:pPr>
        <w:spacing w:before="40" w:after="80"/>
      </w:pPr>
      <w:r>
        <w:rPr>
          <w:b/>
          <w:bCs/>
          <w:color w:val="555555"/>
          <w:sz w:val="22"/>
          <w:szCs w:val="22"/>
        </w:rPr>
        <w:t xml:space="preserve">Keywords: </w:t>
      </w:r>
      <w:r>
        <w:rPr>
          <w:i/>
          <w:iCs/>
          <w:color w:val="555555"/>
          <w:sz w:val="22"/>
          <w:szCs w:val="22"/>
        </w:rPr>
        <w:t xml:space="preserve">heart rate variability, </w:t>
      </w:r>
      <w:proofErr w:type="spellStart"/>
      <w:r>
        <w:rPr>
          <w:i/>
          <w:iCs/>
          <w:color w:val="555555"/>
          <w:sz w:val="22"/>
          <w:szCs w:val="22"/>
        </w:rPr>
        <w:t>sympathovagal</w:t>
      </w:r>
      <w:proofErr w:type="spellEnd"/>
      <w:r>
        <w:rPr>
          <w:i/>
          <w:iCs/>
          <w:color w:val="555555"/>
          <w:sz w:val="22"/>
          <w:szCs w:val="22"/>
        </w:rPr>
        <w:t xml:space="preserve"> balance, LF/HF ratio, congestive heart failure, pre-diagnostic, Sleep Heart Health Study, autonomic nervous system</w:t>
      </w:r>
    </w:p>
    <w:p w14:paraId="5D0B71C9" w14:textId="77777777" w:rsidR="00B05974" w:rsidRDefault="00B05974">
      <w:pPr>
        <w:pBdr>
          <w:bottom w:val="single" w:sz="6" w:space="1" w:color="1A1A1A"/>
        </w:pBdr>
        <w:spacing w:after="160"/>
      </w:pPr>
    </w:p>
    <w:p w14:paraId="1B1915E5" w14:textId="77777777" w:rsidR="00B05974" w:rsidRDefault="00B05974">
      <w:pPr>
        <w:spacing w:before="80"/>
      </w:pPr>
    </w:p>
    <w:p w14:paraId="2C69BEEB" w14:textId="77777777" w:rsidR="00B05974" w:rsidRDefault="00000000">
      <w:pPr>
        <w:pStyle w:val="Heading1"/>
      </w:pPr>
      <w:r>
        <w:t>1. Introduction</w:t>
      </w:r>
    </w:p>
    <w:p w14:paraId="6FCE1735" w14:textId="77777777" w:rsidR="00B05974" w:rsidRDefault="00000000">
      <w:pPr>
        <w:spacing w:before="80" w:after="80"/>
        <w:jc w:val="both"/>
      </w:pPr>
      <w:r>
        <w:t>Congestive heart failure (CHF) affects an estimated 64 million people worldwide and carries substantial morbidity and mortality (Savarese &amp; Lund, 2017). By the time CHF is clinically diagnosed, significant cardiac remodeling has typically already occurred. Identification of pre-diagnostic markers that could enable earlier intervention remains an important goal.</w:t>
      </w:r>
    </w:p>
    <w:p w14:paraId="505D444A" w14:textId="77777777" w:rsidR="00B05974" w:rsidRDefault="00B05974">
      <w:pPr>
        <w:spacing w:before="60"/>
      </w:pPr>
    </w:p>
    <w:p w14:paraId="2511A446" w14:textId="77777777" w:rsidR="00B05974" w:rsidRDefault="00000000">
      <w:pPr>
        <w:spacing w:before="80" w:after="80"/>
        <w:jc w:val="both"/>
      </w:pPr>
      <w:r>
        <w:t xml:space="preserve">Heart rate variability (HRV) reflects the activity of the autonomic nervous system and has been associated with cardiovascular risk in multiple large cohort studies (Task Force, 1996; Tsuji et al., 1996). The ratio of low-frequency to high-frequency power (LF/HF) is an established index of </w:t>
      </w:r>
      <w:proofErr w:type="spellStart"/>
      <w:r>
        <w:t>sympathovagal</w:t>
      </w:r>
      <w:proofErr w:type="spellEnd"/>
      <w:r>
        <w:t xml:space="preserve"> balance, with lower values indicating reduced sympathetic modulation relative to parasympathetic activity.</w:t>
      </w:r>
    </w:p>
    <w:p w14:paraId="30D7DFA8" w14:textId="77777777" w:rsidR="00B05974" w:rsidRDefault="00B05974">
      <w:pPr>
        <w:spacing w:before="60"/>
      </w:pPr>
    </w:p>
    <w:p w14:paraId="64ABFBC8" w14:textId="77777777" w:rsidR="00B05974" w:rsidRDefault="00000000">
      <w:pPr>
        <w:spacing w:before="80" w:after="80"/>
        <w:jc w:val="both"/>
      </w:pPr>
      <w:r>
        <w:t>The Sleep Heart Health Study (SHHS) provides a unique resource: overnight polysomnography with electrocardiographic recording in a large community-based cohort with long-term cardiovascular outcome follow-up. We conducted an exploratory analysis asking whether LF/HF ratio at baseline differs between subjects who subsequently developed CHF and those who did not.</w:t>
      </w:r>
    </w:p>
    <w:p w14:paraId="34E719FF" w14:textId="77777777" w:rsidR="00B05974" w:rsidRDefault="00B05974">
      <w:pPr>
        <w:spacing w:before="60"/>
      </w:pPr>
    </w:p>
    <w:p w14:paraId="20DD2C85" w14:textId="77777777" w:rsidR="00B05974" w:rsidRDefault="00000000">
      <w:pPr>
        <w:spacing w:before="80" w:after="80"/>
        <w:jc w:val="both"/>
      </w:pPr>
      <w:r>
        <w:t>We present this analysis with explicit acknowledgment of its limitations. It is a pilot observation, not a definitive study. The CHF sample is small, the analysis is retrospective and exploratory, and no correction for multiple comparisons was applied given the single pre-specified primary metric of interest. These findings are hypothesis-generating only.</w:t>
      </w:r>
    </w:p>
    <w:p w14:paraId="6001BED5" w14:textId="77777777" w:rsidR="00B05974" w:rsidRDefault="00000000">
      <w:pPr>
        <w:pStyle w:val="Heading1"/>
      </w:pPr>
      <w:r>
        <w:t>2. Methods</w:t>
      </w:r>
    </w:p>
    <w:p w14:paraId="3E02ED63" w14:textId="77777777" w:rsidR="00B05974" w:rsidRDefault="00000000">
      <w:pPr>
        <w:spacing w:before="200" w:after="80"/>
      </w:pPr>
      <w:r>
        <w:rPr>
          <w:b/>
          <w:bCs/>
        </w:rPr>
        <w:t>2.1 Data Source</w:t>
      </w:r>
    </w:p>
    <w:p w14:paraId="1159BA0C" w14:textId="77777777" w:rsidR="00B05974" w:rsidRDefault="00000000">
      <w:pPr>
        <w:spacing w:before="80" w:after="80"/>
        <w:jc w:val="both"/>
      </w:pPr>
      <w:r>
        <w:t>Data were obtained from the National Sleep Research Resource (NSRR) under approved data use agreement. The Sleep Heart Health Study enrolled community-dwelling adults aged 40 years and older with overnight polysomnography at baseline (SHHS Visit 1). Long-term cardiovascular outcomes were adjudicated through the SHHS CVD outcomes protocol.</w:t>
      </w:r>
    </w:p>
    <w:p w14:paraId="3A4311FC" w14:textId="77777777" w:rsidR="00B05974" w:rsidRDefault="00000000">
      <w:pPr>
        <w:spacing w:before="200" w:after="80"/>
      </w:pPr>
      <w:r>
        <w:rPr>
          <w:b/>
          <w:bCs/>
        </w:rPr>
        <w:t>2.2 Subjects</w:t>
      </w:r>
    </w:p>
    <w:p w14:paraId="3A15D028" w14:textId="77777777" w:rsidR="00B05974" w:rsidRDefault="00000000">
      <w:pPr>
        <w:spacing w:before="80" w:after="80"/>
        <w:jc w:val="both"/>
      </w:pPr>
      <w:r>
        <w:t>Pre-computed HRV data (shhs1-hrv-summary-0.21.0.csv) were available for 486 of 5,804 SHHS1 subjects. Adjudicated CHF outcomes were obtained from the SHHS CVD summary dataset (shhs-cvd-summary-dataset-0.21.0.csv). Subjects were classified as CHF (incident CHF ≥ 1 since baseline) or healthy controls (CHF = 0). Subjects with missing HRV or outcome data were excluded.</w:t>
      </w:r>
    </w:p>
    <w:p w14:paraId="71DF5FAD" w14:textId="77777777" w:rsidR="00B05974" w:rsidRDefault="00000000">
      <w:pPr>
        <w:spacing w:before="200" w:after="80"/>
      </w:pPr>
      <w:r>
        <w:rPr>
          <w:b/>
          <w:bCs/>
        </w:rPr>
        <w:t>2.3 HRV Analysis</w:t>
      </w:r>
    </w:p>
    <w:p w14:paraId="21666530" w14:textId="77777777" w:rsidR="00B05974" w:rsidRDefault="00000000">
      <w:pPr>
        <w:spacing w:before="80" w:after="80"/>
        <w:jc w:val="both"/>
      </w:pPr>
      <w:r>
        <w:t xml:space="preserve">Overnight HRV summary metrics were compared between groups: SDNN, </w:t>
      </w:r>
      <w:proofErr w:type="spellStart"/>
      <w:r>
        <w:t>rMSSD</w:t>
      </w:r>
      <w:proofErr w:type="spellEnd"/>
      <w:r>
        <w:t>, LF power, HF power, LF/HF ratio, pNN50, mean RR interval, and instantaneous heart rate. All metrics were pre-computed by NSRR using standard methods. Group comparisons used the Mann-Whitney U test (two-sided). No correction for multiple comparisons was applied; the LF/HF ratio was identified as the primary metric of interest on biological grounds prior to analysis.</w:t>
      </w:r>
    </w:p>
    <w:p w14:paraId="7044A725" w14:textId="77777777" w:rsidR="00B05974" w:rsidRDefault="00000000">
      <w:pPr>
        <w:spacing w:before="200" w:after="80"/>
      </w:pPr>
      <w:r>
        <w:rPr>
          <w:b/>
          <w:bCs/>
        </w:rPr>
        <w:t>2.4 Statistical Analysis</w:t>
      </w:r>
    </w:p>
    <w:p w14:paraId="14CD25F0" w14:textId="77777777" w:rsidR="00B05974" w:rsidRDefault="00000000">
      <w:pPr>
        <w:spacing w:before="80" w:after="80"/>
        <w:jc w:val="both"/>
      </w:pPr>
      <w:r>
        <w:t>Analysis was performed in Python 3 using SciPy, Pandas, and NumPy. Statistical significance was set at p &lt; 0.05. All results are reported regardless of significance.</w:t>
      </w:r>
    </w:p>
    <w:p w14:paraId="1D352675" w14:textId="77777777" w:rsidR="00B05974" w:rsidRDefault="00000000">
      <w:pPr>
        <w:pStyle w:val="Heading1"/>
      </w:pPr>
      <w:r>
        <w:t>3. Results</w:t>
      </w:r>
    </w:p>
    <w:p w14:paraId="1B1107CF" w14:textId="77777777" w:rsidR="00B05974" w:rsidRDefault="00000000">
      <w:pPr>
        <w:spacing w:before="200" w:after="80"/>
      </w:pPr>
      <w:r>
        <w:rPr>
          <w:b/>
          <w:bCs/>
        </w:rPr>
        <w:t>3.1 Sample</w:t>
      </w:r>
    </w:p>
    <w:p w14:paraId="7765579A" w14:textId="77777777" w:rsidR="00B05974" w:rsidRDefault="00000000">
      <w:pPr>
        <w:spacing w:before="80" w:after="80"/>
        <w:jc w:val="both"/>
      </w:pPr>
      <w:r>
        <w:t>Of 486 subjects with available HRV data, 30 had incident CHF and 456 had no adjudicated cardiovascular events. The small CHF sample reflects the intersection of HRV data availability (486 of 5,804 SHHS subjects) with CHF incidence in the broader cohort (321 of 5,802 subjects with complete outcome data).</w:t>
      </w:r>
    </w:p>
    <w:p w14:paraId="05DEB31F" w14:textId="77777777" w:rsidR="00B05974" w:rsidRDefault="00000000">
      <w:pPr>
        <w:spacing w:before="200" w:after="80"/>
      </w:pPr>
      <w:r>
        <w:rPr>
          <w:b/>
          <w:bCs/>
        </w:rPr>
        <w:lastRenderedPageBreak/>
        <w:t>3.2 HRV Comparison</w:t>
      </w:r>
    </w:p>
    <w:p w14:paraId="4B8A6F9F" w14:textId="77777777" w:rsidR="00B05974" w:rsidRDefault="00000000">
      <w:pPr>
        <w:spacing w:before="80" w:after="80"/>
        <w:jc w:val="both"/>
      </w:pPr>
      <w:r>
        <w:t xml:space="preserve">Table 1 presents HRV metrics by group. The LF/HF ratio was significantly lower in CHF subjects (mean 1.847 vs 2.484, p=0.0066). No other metric reached statistical significance. The </w:t>
      </w:r>
      <w:proofErr w:type="spellStart"/>
      <w:r>
        <w:t>rMSSD</w:t>
      </w:r>
      <w:proofErr w:type="spellEnd"/>
      <w:r>
        <w:t xml:space="preserve"> showed a non-significant trend in the direction opposite to prediction (CHF higher than controls), which we note without explanation.</w:t>
      </w:r>
    </w:p>
    <w:p w14:paraId="18E90BEB" w14:textId="77777777" w:rsidR="00B05974" w:rsidRDefault="00B05974">
      <w:pPr>
        <w:spacing w:before="80"/>
      </w:pPr>
    </w:p>
    <w:p w14:paraId="3F7AF217" w14:textId="77777777" w:rsidR="00B05974" w:rsidRDefault="00000000">
      <w:pPr>
        <w:spacing w:after="80"/>
        <w:jc w:val="center"/>
      </w:pPr>
      <w:r>
        <w:rPr>
          <w:b/>
          <w:bCs/>
          <w:i/>
          <w:iCs/>
          <w:sz w:val="22"/>
          <w:szCs w:val="22"/>
        </w:rPr>
        <w:t>Table 1. HRV metrics at baseline by incident CHF status.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1800"/>
        <w:gridCol w:w="2000"/>
        <w:gridCol w:w="1200"/>
        <w:gridCol w:w="1360"/>
      </w:tblGrid>
      <w:tr w:rsidR="00B05974" w14:paraId="097E9F4D"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2C3E6B"/>
            <w:tcMar>
              <w:top w:w="100" w:type="dxa"/>
              <w:left w:w="140" w:type="dxa"/>
              <w:bottom w:w="100" w:type="dxa"/>
              <w:right w:w="140" w:type="dxa"/>
            </w:tcMar>
          </w:tcPr>
          <w:p w14:paraId="6AA62D47" w14:textId="77777777" w:rsidR="00B05974" w:rsidRDefault="00000000">
            <w:r>
              <w:rPr>
                <w:b/>
                <w:bCs/>
                <w:color w:val="FFFFFF"/>
                <w:sz w:val="20"/>
                <w:szCs w:val="20"/>
              </w:rPr>
              <w:t>HRV Metric</w:t>
            </w:r>
          </w:p>
        </w:tc>
        <w:tc>
          <w:tcPr>
            <w:tcW w:w="1800" w:type="dxa"/>
            <w:tcBorders>
              <w:top w:val="single" w:sz="1" w:space="0" w:color="CCCCCC"/>
              <w:left w:val="single" w:sz="1" w:space="0" w:color="CCCCCC"/>
              <w:bottom w:val="single" w:sz="1" w:space="0" w:color="CCCCCC"/>
              <w:right w:val="single" w:sz="1" w:space="0" w:color="CCCCCC"/>
            </w:tcBorders>
            <w:shd w:val="clear" w:color="auto" w:fill="2C3E6B"/>
            <w:tcMar>
              <w:top w:w="100" w:type="dxa"/>
              <w:left w:w="140" w:type="dxa"/>
              <w:bottom w:w="100" w:type="dxa"/>
              <w:right w:w="140" w:type="dxa"/>
            </w:tcMar>
          </w:tcPr>
          <w:p w14:paraId="0423DD3B" w14:textId="77777777" w:rsidR="00B05974" w:rsidRDefault="00000000">
            <w:r>
              <w:rPr>
                <w:b/>
                <w:bCs/>
                <w:color w:val="FFFFFF"/>
                <w:sz w:val="20"/>
                <w:szCs w:val="20"/>
              </w:rPr>
              <w:t>CHF (n=30)</w:t>
            </w:r>
          </w:p>
        </w:tc>
        <w:tc>
          <w:tcPr>
            <w:tcW w:w="2000" w:type="dxa"/>
            <w:tcBorders>
              <w:top w:val="single" w:sz="1" w:space="0" w:color="CCCCCC"/>
              <w:left w:val="single" w:sz="1" w:space="0" w:color="CCCCCC"/>
              <w:bottom w:val="single" w:sz="1" w:space="0" w:color="CCCCCC"/>
              <w:right w:val="single" w:sz="1" w:space="0" w:color="CCCCCC"/>
            </w:tcBorders>
            <w:shd w:val="clear" w:color="auto" w:fill="2C3E6B"/>
            <w:tcMar>
              <w:top w:w="100" w:type="dxa"/>
              <w:left w:w="140" w:type="dxa"/>
              <w:bottom w:w="100" w:type="dxa"/>
              <w:right w:w="140" w:type="dxa"/>
            </w:tcMar>
          </w:tcPr>
          <w:p w14:paraId="6EEACB24" w14:textId="77777777" w:rsidR="00B05974" w:rsidRDefault="00000000">
            <w:r>
              <w:rPr>
                <w:b/>
                <w:bCs/>
                <w:color w:val="FFFFFF"/>
                <w:sz w:val="20"/>
                <w:szCs w:val="20"/>
              </w:rPr>
              <w:t>Healthy (n=456)</w:t>
            </w:r>
          </w:p>
        </w:tc>
        <w:tc>
          <w:tcPr>
            <w:tcW w:w="1200" w:type="dxa"/>
            <w:tcBorders>
              <w:top w:val="single" w:sz="1" w:space="0" w:color="CCCCCC"/>
              <w:left w:val="single" w:sz="1" w:space="0" w:color="CCCCCC"/>
              <w:bottom w:val="single" w:sz="1" w:space="0" w:color="CCCCCC"/>
              <w:right w:val="single" w:sz="1" w:space="0" w:color="CCCCCC"/>
            </w:tcBorders>
            <w:shd w:val="clear" w:color="auto" w:fill="2C3E6B"/>
            <w:tcMar>
              <w:top w:w="100" w:type="dxa"/>
              <w:left w:w="140" w:type="dxa"/>
              <w:bottom w:w="100" w:type="dxa"/>
              <w:right w:w="140" w:type="dxa"/>
            </w:tcMar>
          </w:tcPr>
          <w:p w14:paraId="40801273" w14:textId="77777777" w:rsidR="00B05974" w:rsidRDefault="00000000">
            <w:r>
              <w:rPr>
                <w:b/>
                <w:bCs/>
                <w:color w:val="FFFFFF"/>
                <w:sz w:val="20"/>
                <w:szCs w:val="20"/>
              </w:rPr>
              <w:t>p-value</w:t>
            </w:r>
          </w:p>
        </w:tc>
        <w:tc>
          <w:tcPr>
            <w:tcW w:w="1360" w:type="dxa"/>
            <w:tcBorders>
              <w:top w:val="single" w:sz="1" w:space="0" w:color="CCCCCC"/>
              <w:left w:val="single" w:sz="1" w:space="0" w:color="CCCCCC"/>
              <w:bottom w:val="single" w:sz="1" w:space="0" w:color="CCCCCC"/>
              <w:right w:val="single" w:sz="1" w:space="0" w:color="CCCCCC"/>
            </w:tcBorders>
            <w:shd w:val="clear" w:color="auto" w:fill="2C3E6B"/>
            <w:tcMar>
              <w:top w:w="100" w:type="dxa"/>
              <w:left w:w="140" w:type="dxa"/>
              <w:bottom w:w="100" w:type="dxa"/>
              <w:right w:w="140" w:type="dxa"/>
            </w:tcMar>
          </w:tcPr>
          <w:p w14:paraId="0C508EB0" w14:textId="77777777" w:rsidR="00B05974" w:rsidRDefault="00000000">
            <w:r>
              <w:rPr>
                <w:b/>
                <w:bCs/>
                <w:color w:val="FFFFFF"/>
                <w:sz w:val="20"/>
                <w:szCs w:val="20"/>
              </w:rPr>
              <w:t>Direction</w:t>
            </w:r>
          </w:p>
        </w:tc>
      </w:tr>
      <w:tr w:rsidR="00B05974" w14:paraId="16F85EC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59B20AA3" w14:textId="77777777" w:rsidR="00B05974" w:rsidRDefault="00000000">
            <w:r>
              <w:rPr>
                <w:sz w:val="20"/>
                <w:szCs w:val="20"/>
              </w:rPr>
              <w:t>SDNN (</w:t>
            </w:r>
            <w:proofErr w:type="spellStart"/>
            <w:r>
              <w:rPr>
                <w:sz w:val="20"/>
                <w:szCs w:val="20"/>
              </w:rPr>
              <w:t>ms</w:t>
            </w:r>
            <w:proofErr w:type="spellEnd"/>
            <w:r>
              <w:rPr>
                <w:sz w:val="20"/>
                <w:szCs w:val="20"/>
              </w:rPr>
              <w:t>)</w:t>
            </w:r>
          </w:p>
        </w:tc>
        <w:tc>
          <w:tcPr>
            <w:tcW w:w="18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1E4EFBDD" w14:textId="77777777" w:rsidR="00B05974" w:rsidRDefault="00000000">
            <w:r>
              <w:rPr>
                <w:sz w:val="20"/>
                <w:szCs w:val="20"/>
              </w:rPr>
              <w:t>76.99</w:t>
            </w:r>
          </w:p>
        </w:tc>
        <w:tc>
          <w:tcPr>
            <w:tcW w:w="2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57210F4C" w14:textId="77777777" w:rsidR="00B05974" w:rsidRDefault="00000000">
            <w:r>
              <w:rPr>
                <w:sz w:val="20"/>
                <w:szCs w:val="20"/>
              </w:rPr>
              <w:t>81.45</w:t>
            </w:r>
          </w:p>
        </w:tc>
        <w:tc>
          <w:tcPr>
            <w:tcW w:w="12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2A54B16D" w14:textId="77777777" w:rsidR="00B05974" w:rsidRDefault="00000000">
            <w:r>
              <w:rPr>
                <w:sz w:val="20"/>
                <w:szCs w:val="20"/>
              </w:rPr>
              <w:t>0.410</w:t>
            </w:r>
          </w:p>
        </w:tc>
        <w:tc>
          <w:tcPr>
            <w:tcW w:w="136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0E275BC5" w14:textId="77777777" w:rsidR="00B05974" w:rsidRDefault="00000000">
            <w:r>
              <w:rPr>
                <w:sz w:val="20"/>
                <w:szCs w:val="20"/>
              </w:rPr>
              <w:t>CHF lower</w:t>
            </w:r>
          </w:p>
        </w:tc>
      </w:tr>
      <w:tr w:rsidR="00B05974" w14:paraId="03E1702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157987B" w14:textId="77777777" w:rsidR="00B05974" w:rsidRDefault="00000000">
            <w:proofErr w:type="spellStart"/>
            <w:r>
              <w:rPr>
                <w:sz w:val="20"/>
                <w:szCs w:val="20"/>
              </w:rPr>
              <w:t>rMSSD</w:t>
            </w:r>
            <w:proofErr w:type="spellEnd"/>
            <w:r>
              <w:rPr>
                <w:sz w:val="20"/>
                <w:szCs w:val="20"/>
              </w:rPr>
              <w:t xml:space="preserve"> (</w:t>
            </w:r>
            <w:proofErr w:type="spellStart"/>
            <w:r>
              <w:rPr>
                <w:sz w:val="20"/>
                <w:szCs w:val="20"/>
              </w:rPr>
              <w:t>ms</w:t>
            </w:r>
            <w:proofErr w:type="spellEnd"/>
            <w:r>
              <w:rPr>
                <w:sz w:val="20"/>
                <w:szCs w:val="20"/>
              </w:rPr>
              <w:t>)</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8819162" w14:textId="77777777" w:rsidR="00B05974" w:rsidRDefault="00000000">
            <w:r>
              <w:rPr>
                <w:sz w:val="20"/>
                <w:szCs w:val="20"/>
              </w:rPr>
              <w:t>44.83</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DB32942" w14:textId="77777777" w:rsidR="00B05974" w:rsidRDefault="00000000">
            <w:r>
              <w:rPr>
                <w:sz w:val="20"/>
                <w:szCs w:val="20"/>
              </w:rPr>
              <w:t>38.74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D42757C" w14:textId="77777777" w:rsidR="00B05974" w:rsidRDefault="00000000">
            <w:r>
              <w:rPr>
                <w:sz w:val="20"/>
                <w:szCs w:val="20"/>
              </w:rPr>
              <w:t>0.152</w:t>
            </w:r>
          </w:p>
        </w:tc>
        <w:tc>
          <w:tcPr>
            <w:tcW w:w="13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9A1EBD6" w14:textId="77777777" w:rsidR="00B05974" w:rsidRDefault="00000000">
            <w:r>
              <w:rPr>
                <w:sz w:val="20"/>
                <w:szCs w:val="20"/>
              </w:rPr>
              <w:t>CHF higher</w:t>
            </w:r>
          </w:p>
        </w:tc>
      </w:tr>
      <w:tr w:rsidR="00B05974" w14:paraId="74716E4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7A972701" w14:textId="77777777" w:rsidR="00B05974" w:rsidRDefault="00000000">
            <w:r>
              <w:rPr>
                <w:sz w:val="20"/>
                <w:szCs w:val="20"/>
              </w:rPr>
              <w:t>LF/HF ratio</w:t>
            </w:r>
          </w:p>
        </w:tc>
        <w:tc>
          <w:tcPr>
            <w:tcW w:w="18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13C05816" w14:textId="77777777" w:rsidR="00B05974" w:rsidRDefault="00000000">
            <w:r>
              <w:rPr>
                <w:sz w:val="20"/>
                <w:szCs w:val="20"/>
              </w:rPr>
              <w:t>1.847</w:t>
            </w:r>
          </w:p>
        </w:tc>
        <w:tc>
          <w:tcPr>
            <w:tcW w:w="2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55000E18" w14:textId="77777777" w:rsidR="00B05974" w:rsidRDefault="00000000">
            <w:r>
              <w:rPr>
                <w:sz w:val="20"/>
                <w:szCs w:val="20"/>
              </w:rPr>
              <w:t>2.484</w:t>
            </w:r>
          </w:p>
        </w:tc>
        <w:tc>
          <w:tcPr>
            <w:tcW w:w="1200" w:type="dxa"/>
            <w:tcBorders>
              <w:top w:val="single" w:sz="1" w:space="0" w:color="CCCCCC"/>
              <w:left w:val="single" w:sz="1" w:space="0" w:color="CCCCCC"/>
              <w:bottom w:val="single" w:sz="1" w:space="0" w:color="CCCCCC"/>
              <w:right w:val="single" w:sz="1" w:space="0" w:color="CCCCCC"/>
            </w:tcBorders>
            <w:shd w:val="clear" w:color="auto" w:fill="F0FFF4"/>
            <w:tcMar>
              <w:top w:w="80" w:type="dxa"/>
              <w:left w:w="140" w:type="dxa"/>
              <w:bottom w:w="80" w:type="dxa"/>
              <w:right w:w="140" w:type="dxa"/>
            </w:tcMar>
          </w:tcPr>
          <w:p w14:paraId="7E29A135" w14:textId="77777777" w:rsidR="00B05974" w:rsidRDefault="00000000">
            <w:r>
              <w:rPr>
                <w:color w:val="1A5C2A"/>
                <w:sz w:val="20"/>
                <w:szCs w:val="20"/>
              </w:rPr>
              <w:t>0.007**</w:t>
            </w:r>
          </w:p>
        </w:tc>
        <w:tc>
          <w:tcPr>
            <w:tcW w:w="1360" w:type="dxa"/>
            <w:tcBorders>
              <w:top w:val="single" w:sz="1" w:space="0" w:color="CCCCCC"/>
              <w:left w:val="single" w:sz="1" w:space="0" w:color="CCCCCC"/>
              <w:bottom w:val="single" w:sz="1" w:space="0" w:color="CCCCCC"/>
              <w:right w:val="single" w:sz="1" w:space="0" w:color="CCCCCC"/>
            </w:tcBorders>
            <w:shd w:val="clear" w:color="auto" w:fill="F0FFF4"/>
            <w:tcMar>
              <w:top w:w="80" w:type="dxa"/>
              <w:left w:w="140" w:type="dxa"/>
              <w:bottom w:w="80" w:type="dxa"/>
              <w:right w:w="140" w:type="dxa"/>
            </w:tcMar>
          </w:tcPr>
          <w:p w14:paraId="1E1A5D13" w14:textId="77777777" w:rsidR="00B05974" w:rsidRDefault="00000000">
            <w:r>
              <w:rPr>
                <w:color w:val="1A5C2A"/>
                <w:sz w:val="20"/>
                <w:szCs w:val="20"/>
              </w:rPr>
              <w:t>CHF lower</w:t>
            </w:r>
          </w:p>
        </w:tc>
      </w:tr>
      <w:tr w:rsidR="00B05974" w14:paraId="669161F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E9F90F9" w14:textId="77777777" w:rsidR="00B05974" w:rsidRDefault="00000000">
            <w:r>
              <w:rPr>
                <w:sz w:val="20"/>
                <w:szCs w:val="20"/>
              </w:rPr>
              <w:t>HF power (ms²)</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A8986BD" w14:textId="77777777" w:rsidR="00B05974" w:rsidRDefault="00000000">
            <w:r>
              <w:rPr>
                <w:sz w:val="20"/>
                <w:szCs w:val="20"/>
              </w:rPr>
              <w:t>722.0</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902B1D0" w14:textId="77777777" w:rsidR="00B05974" w:rsidRDefault="00000000">
            <w:r>
              <w:rPr>
                <w:sz w:val="20"/>
                <w:szCs w:val="20"/>
              </w:rPr>
              <w:t>685.3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76C5865" w14:textId="77777777" w:rsidR="00B05974" w:rsidRDefault="00000000">
            <w:r>
              <w:rPr>
                <w:sz w:val="20"/>
                <w:szCs w:val="20"/>
              </w:rPr>
              <w:t>0.419</w:t>
            </w:r>
          </w:p>
        </w:tc>
        <w:tc>
          <w:tcPr>
            <w:tcW w:w="13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28800BE" w14:textId="77777777" w:rsidR="00B05974" w:rsidRDefault="00000000">
            <w:r>
              <w:rPr>
                <w:sz w:val="20"/>
                <w:szCs w:val="20"/>
              </w:rPr>
              <w:t>CHF higher</w:t>
            </w:r>
          </w:p>
        </w:tc>
      </w:tr>
      <w:tr w:rsidR="00B05974" w14:paraId="52EE91E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72695FE8" w14:textId="77777777" w:rsidR="00B05974" w:rsidRDefault="00000000">
            <w:r>
              <w:rPr>
                <w:sz w:val="20"/>
                <w:szCs w:val="20"/>
              </w:rPr>
              <w:t>LF power (ms²)</w:t>
            </w:r>
          </w:p>
        </w:tc>
        <w:tc>
          <w:tcPr>
            <w:tcW w:w="18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4F91332D" w14:textId="77777777" w:rsidR="00B05974" w:rsidRDefault="00000000">
            <w:r>
              <w:rPr>
                <w:sz w:val="20"/>
                <w:szCs w:val="20"/>
              </w:rPr>
              <w:t>1100.5</w:t>
            </w:r>
          </w:p>
        </w:tc>
        <w:tc>
          <w:tcPr>
            <w:tcW w:w="2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106534C5" w14:textId="77777777" w:rsidR="00B05974" w:rsidRDefault="00000000">
            <w:r>
              <w:rPr>
                <w:sz w:val="20"/>
                <w:szCs w:val="20"/>
              </w:rPr>
              <w:t>1195.2</w:t>
            </w:r>
          </w:p>
        </w:tc>
        <w:tc>
          <w:tcPr>
            <w:tcW w:w="12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15A620DE" w14:textId="77777777" w:rsidR="00B05974" w:rsidRDefault="00000000">
            <w:r>
              <w:rPr>
                <w:sz w:val="20"/>
                <w:szCs w:val="20"/>
              </w:rPr>
              <w:t>0.224</w:t>
            </w:r>
          </w:p>
        </w:tc>
        <w:tc>
          <w:tcPr>
            <w:tcW w:w="136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21479A13" w14:textId="77777777" w:rsidR="00B05974" w:rsidRDefault="00000000">
            <w:r>
              <w:rPr>
                <w:sz w:val="20"/>
                <w:szCs w:val="20"/>
              </w:rPr>
              <w:t>CHF lower</w:t>
            </w:r>
          </w:p>
        </w:tc>
      </w:tr>
      <w:tr w:rsidR="00B05974" w14:paraId="7C59180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5615F28" w14:textId="77777777" w:rsidR="00B05974" w:rsidRDefault="00000000">
            <w:r>
              <w:rPr>
                <w:sz w:val="20"/>
                <w:szCs w:val="20"/>
              </w:rPr>
              <w:t>pNN50 (%)</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38C5980" w14:textId="77777777" w:rsidR="00B05974" w:rsidRDefault="00000000">
            <w:r>
              <w:rPr>
                <w:sz w:val="20"/>
                <w:szCs w:val="20"/>
              </w:rPr>
              <w:t>9.90</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A52406A" w14:textId="77777777" w:rsidR="00B05974" w:rsidRDefault="00000000">
            <w:r>
              <w:rPr>
                <w:sz w:val="20"/>
                <w:szCs w:val="20"/>
              </w:rPr>
              <w:t>11.95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07E1633" w14:textId="77777777" w:rsidR="00B05974" w:rsidRDefault="00000000">
            <w:r>
              <w:rPr>
                <w:sz w:val="20"/>
                <w:szCs w:val="20"/>
              </w:rPr>
              <w:t>0.401</w:t>
            </w:r>
          </w:p>
        </w:tc>
        <w:tc>
          <w:tcPr>
            <w:tcW w:w="13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0266764" w14:textId="77777777" w:rsidR="00B05974" w:rsidRDefault="00000000">
            <w:r>
              <w:rPr>
                <w:sz w:val="20"/>
                <w:szCs w:val="20"/>
              </w:rPr>
              <w:t>CHF lower</w:t>
            </w:r>
          </w:p>
        </w:tc>
      </w:tr>
      <w:tr w:rsidR="00B05974" w14:paraId="700A6149"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00FBC74C" w14:textId="77777777" w:rsidR="00B05974" w:rsidRDefault="00000000">
            <w:r>
              <w:rPr>
                <w:sz w:val="20"/>
                <w:szCs w:val="20"/>
              </w:rPr>
              <w:t>Mean RR (</w:t>
            </w:r>
            <w:proofErr w:type="spellStart"/>
            <w:r>
              <w:rPr>
                <w:sz w:val="20"/>
                <w:szCs w:val="20"/>
              </w:rPr>
              <w:t>ms</w:t>
            </w:r>
            <w:proofErr w:type="spellEnd"/>
            <w:r>
              <w:rPr>
                <w:sz w:val="20"/>
                <w:szCs w:val="20"/>
              </w:rPr>
              <w:t>)</w:t>
            </w:r>
          </w:p>
        </w:tc>
        <w:tc>
          <w:tcPr>
            <w:tcW w:w="18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561960BC" w14:textId="77777777" w:rsidR="00B05974" w:rsidRDefault="00000000">
            <w:r>
              <w:rPr>
                <w:sz w:val="20"/>
                <w:szCs w:val="20"/>
              </w:rPr>
              <w:t>918.3</w:t>
            </w:r>
          </w:p>
        </w:tc>
        <w:tc>
          <w:tcPr>
            <w:tcW w:w="20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26A0F9FF" w14:textId="77777777" w:rsidR="00B05974" w:rsidRDefault="00000000">
            <w:r>
              <w:rPr>
                <w:sz w:val="20"/>
                <w:szCs w:val="20"/>
              </w:rPr>
              <w:t>957.3</w:t>
            </w:r>
          </w:p>
        </w:tc>
        <w:tc>
          <w:tcPr>
            <w:tcW w:w="120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08A36795" w14:textId="77777777" w:rsidR="00B05974" w:rsidRDefault="00000000">
            <w:r>
              <w:rPr>
                <w:sz w:val="20"/>
                <w:szCs w:val="20"/>
              </w:rPr>
              <w:t>0.261</w:t>
            </w:r>
          </w:p>
        </w:tc>
        <w:tc>
          <w:tcPr>
            <w:tcW w:w="1360" w:type="dxa"/>
            <w:tcBorders>
              <w:top w:val="single" w:sz="1" w:space="0" w:color="CCCCCC"/>
              <w:left w:val="single" w:sz="1" w:space="0" w:color="CCCCCC"/>
              <w:bottom w:val="single" w:sz="1" w:space="0" w:color="CCCCCC"/>
              <w:right w:val="single" w:sz="1" w:space="0" w:color="CCCCCC"/>
            </w:tcBorders>
            <w:shd w:val="clear" w:color="auto" w:fill="F7F7F7"/>
            <w:tcMar>
              <w:top w:w="80" w:type="dxa"/>
              <w:left w:w="140" w:type="dxa"/>
              <w:bottom w:w="80" w:type="dxa"/>
              <w:right w:w="140" w:type="dxa"/>
            </w:tcMar>
          </w:tcPr>
          <w:p w14:paraId="7FC97E97" w14:textId="77777777" w:rsidR="00B05974" w:rsidRDefault="00000000">
            <w:r>
              <w:rPr>
                <w:sz w:val="20"/>
                <w:szCs w:val="20"/>
              </w:rPr>
              <w:t>CHF lower</w:t>
            </w:r>
          </w:p>
        </w:tc>
      </w:tr>
      <w:tr w:rsidR="00B05974" w14:paraId="12CC7CA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9432614" w14:textId="77777777" w:rsidR="00B05974" w:rsidRDefault="00000000">
            <w:r>
              <w:rPr>
                <w:sz w:val="20"/>
                <w:szCs w:val="20"/>
              </w:rPr>
              <w:t>Instantaneous HR (bpm)</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018B126" w14:textId="77777777" w:rsidR="00B05974" w:rsidRDefault="00000000">
            <w:r>
              <w:rPr>
                <w:sz w:val="20"/>
                <w:szCs w:val="20"/>
              </w:rPr>
              <w:t>67.0</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E50B726" w14:textId="77777777" w:rsidR="00B05974" w:rsidRDefault="00000000">
            <w:r>
              <w:rPr>
                <w:sz w:val="20"/>
                <w:szCs w:val="20"/>
              </w:rPr>
              <w:t>63.6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98F1D6D" w14:textId="77777777" w:rsidR="00B05974" w:rsidRDefault="00000000">
            <w:r>
              <w:rPr>
                <w:sz w:val="20"/>
                <w:szCs w:val="20"/>
              </w:rPr>
              <w:t>0.261</w:t>
            </w:r>
          </w:p>
        </w:tc>
        <w:tc>
          <w:tcPr>
            <w:tcW w:w="13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2689FEF" w14:textId="77777777" w:rsidR="00B05974" w:rsidRDefault="00000000">
            <w:r>
              <w:rPr>
                <w:sz w:val="20"/>
                <w:szCs w:val="20"/>
              </w:rPr>
              <w:t>CHF higher</w:t>
            </w:r>
          </w:p>
        </w:tc>
      </w:tr>
    </w:tbl>
    <w:p w14:paraId="49D6CA90" w14:textId="77777777" w:rsidR="00B05974" w:rsidRDefault="00000000">
      <w:pPr>
        <w:spacing w:before="60" w:after="80"/>
        <w:jc w:val="center"/>
      </w:pPr>
      <w:r>
        <w:rPr>
          <w:i/>
          <w:iCs/>
          <w:color w:val="555555"/>
          <w:sz w:val="20"/>
          <w:szCs w:val="20"/>
        </w:rPr>
        <w:t>** p &lt; 0.01. Values are means. Mann-Whitney U test, two-sided.</w:t>
      </w:r>
    </w:p>
    <w:p w14:paraId="5025E37B" w14:textId="77777777" w:rsidR="00B05974" w:rsidRDefault="00000000">
      <w:pPr>
        <w:pStyle w:val="Heading1"/>
      </w:pPr>
      <w:r>
        <w:t>4. Discussion</w:t>
      </w:r>
    </w:p>
    <w:p w14:paraId="5894D879" w14:textId="77777777" w:rsidR="00B05974" w:rsidRDefault="00000000">
      <w:pPr>
        <w:spacing w:before="80" w:after="80"/>
        <w:jc w:val="both"/>
      </w:pPr>
      <w:r>
        <w:t xml:space="preserve">This exploratory pilot analysis found that the LF/HF ratio — an index of </w:t>
      </w:r>
      <w:proofErr w:type="spellStart"/>
      <w:r>
        <w:t>sympathovagal</w:t>
      </w:r>
      <w:proofErr w:type="spellEnd"/>
      <w:r>
        <w:t xml:space="preserve"> balance — was significantly lower at baseline in SHHS subjects who subsequently developed congestive heart failure, compared with subjects who remained free of adjudicated cardiovascular events. The finding is biologically plausible: autonomic dysfunction, including impaired sympathetic modulation, is an established feature of established heart failure (Floras, 2009) and may precede clinical diagnosis.</w:t>
      </w:r>
    </w:p>
    <w:p w14:paraId="61417E49" w14:textId="77777777" w:rsidR="00B05974" w:rsidRDefault="00B05974">
      <w:pPr>
        <w:spacing w:before="60"/>
      </w:pPr>
    </w:p>
    <w:p w14:paraId="289698AD" w14:textId="77777777" w:rsidR="00B05974" w:rsidRDefault="00000000">
      <w:pPr>
        <w:spacing w:before="80" w:after="80"/>
        <w:jc w:val="both"/>
      </w:pPr>
      <w:r>
        <w:t>We emphasize what this finding does not establish. It does not demonstrate causation. It does not provide a clinical threshold for risk stratification. It does not account for confounders including age, sex, BMI, sleep-disordered breathing severity, or pre-existing cardiovascular disease. The CHF sample of 30 subjects is small, and the finding should be regarded as hypothesis-generating pending replication.</w:t>
      </w:r>
    </w:p>
    <w:p w14:paraId="346BFCBD" w14:textId="77777777" w:rsidR="00B05974" w:rsidRDefault="00B05974">
      <w:pPr>
        <w:spacing w:before="60"/>
      </w:pPr>
    </w:p>
    <w:p w14:paraId="2DCBBAF9" w14:textId="77777777" w:rsidR="00B05974" w:rsidRDefault="00000000">
      <w:pPr>
        <w:spacing w:before="80" w:after="80"/>
        <w:jc w:val="both"/>
      </w:pPr>
      <w:r>
        <w:t xml:space="preserve">The anomalous </w:t>
      </w:r>
      <w:proofErr w:type="spellStart"/>
      <w:r>
        <w:t>rMSSD</w:t>
      </w:r>
      <w:proofErr w:type="spellEnd"/>
      <w:r>
        <w:t xml:space="preserve"> finding — higher in CHF subjects than controls, contrary to expectation — warrants comment. This direction is inconsistent with the established literature associating lower </w:t>
      </w:r>
      <w:proofErr w:type="spellStart"/>
      <w:r>
        <w:t>rMSSD</w:t>
      </w:r>
      <w:proofErr w:type="spellEnd"/>
      <w:r>
        <w:t xml:space="preserve"> with cardiovascular risk. We have no mechanistic explanation. It may reflect sampling variability in a small group, selection bias in the HRV-available subset, or a genuine subgroup effect. We report it transparently rather than suppressing it.</w:t>
      </w:r>
    </w:p>
    <w:p w14:paraId="7BD0B3E7" w14:textId="77777777" w:rsidR="00B05974" w:rsidRDefault="00B05974">
      <w:pPr>
        <w:spacing w:before="60"/>
      </w:pPr>
    </w:p>
    <w:p w14:paraId="10928FC5" w14:textId="77777777" w:rsidR="00B05974" w:rsidRDefault="00000000">
      <w:pPr>
        <w:spacing w:before="80" w:after="80"/>
        <w:jc w:val="both"/>
      </w:pPr>
      <w:r>
        <w:lastRenderedPageBreak/>
        <w:t>The primary limitation of this analysis is the small intersection of HRV-available subjects (486 of 5,804) with incident CHF cases (30 subjects). The SHHS pre-computed HRV dataset covers only a fraction of the full cohort, severely limiting statistical power. A definitive test of this hypothesis requires either expanded HRV computation across the full SHHS cohort or a prospective replication study.</w:t>
      </w:r>
    </w:p>
    <w:p w14:paraId="61A22CCA" w14:textId="77777777" w:rsidR="00B05974" w:rsidRDefault="00B05974">
      <w:pPr>
        <w:spacing w:before="60"/>
      </w:pPr>
    </w:p>
    <w:p w14:paraId="259D3260" w14:textId="77777777" w:rsidR="00B05974" w:rsidRDefault="00000000">
      <w:pPr>
        <w:spacing w:before="80" w:after="80"/>
        <w:jc w:val="both"/>
      </w:pPr>
      <w:r>
        <w:t>Additionally, the pre-computed HRV metrics used here are standard time-domain and frequency-domain measures. An alternative approach — applying Detrended Fluctuation Analysis (DFA) to the raw inter-beat-interval time series — was attempted on the available 5-minute segment data but was inconclusive due to the short input series length. The DFA hypothesis remains untested in this dataset.</w:t>
      </w:r>
    </w:p>
    <w:p w14:paraId="1AA2636B" w14:textId="77777777" w:rsidR="00B05974" w:rsidRDefault="00B05974">
      <w:pPr>
        <w:spacing w:before="60"/>
      </w:pPr>
    </w:p>
    <w:p w14:paraId="62CCD1D7" w14:textId="77777777" w:rsidR="00B05974" w:rsidRDefault="00000000">
      <w:pPr>
        <w:spacing w:before="80" w:after="80"/>
        <w:jc w:val="both"/>
      </w:pPr>
      <w:r>
        <w:t>If replicated in a larger cohort with appropriate covariate adjustment, reduced baseline LF/HF ratio could represent an accessible, non-invasive pre-diagnostic signal for incident heart failure. The Sleep Heart Health Study, with its large cohort and long follow-up, represents an important resource for this replication work.</w:t>
      </w:r>
    </w:p>
    <w:p w14:paraId="669B1A5E" w14:textId="77777777" w:rsidR="00B05974" w:rsidRDefault="00000000">
      <w:pPr>
        <w:pStyle w:val="Heading1"/>
      </w:pPr>
      <w:r>
        <w:t>5. Conclusions</w:t>
      </w:r>
    </w:p>
    <w:p w14:paraId="674F6C40" w14:textId="77777777" w:rsidR="00B05974" w:rsidRDefault="00000000">
      <w:pPr>
        <w:spacing w:before="80" w:after="80"/>
        <w:jc w:val="both"/>
      </w:pPr>
      <w:r>
        <w:t xml:space="preserve">In this small pilot analysis of SHHS data, the LF/HF ratio was significantly lower at baseline in subjects who subsequently developed congestive heart failure (p=0.0066). This observation is hypothesis-generating and requires replication in a larger, prospectively designed study before any clinical conclusions can be drawn. The finding motivates expanded HRV analysis across the full SHHS cohort and prospective investigation of </w:t>
      </w:r>
      <w:proofErr w:type="spellStart"/>
      <w:r>
        <w:t>sympathovagal</w:t>
      </w:r>
      <w:proofErr w:type="spellEnd"/>
      <w:r>
        <w:t xml:space="preserve"> balance as a pre-diagnostic marker for incident heart failure.</w:t>
      </w:r>
    </w:p>
    <w:p w14:paraId="6CF8C6DD" w14:textId="77777777" w:rsidR="00B05974" w:rsidRDefault="00000000">
      <w:pPr>
        <w:pStyle w:val="Heading1"/>
      </w:pPr>
      <w:r>
        <w:t>6. Limitations</w:t>
      </w:r>
    </w:p>
    <w:p w14:paraId="1EF1F08B" w14:textId="77777777" w:rsidR="00B05974" w:rsidRDefault="00000000">
      <w:pPr>
        <w:pStyle w:val="ListParagraph"/>
        <w:numPr>
          <w:ilvl w:val="0"/>
          <w:numId w:val="2"/>
        </w:numPr>
        <w:spacing w:before="60" w:after="60"/>
      </w:pPr>
      <w:r>
        <w:t>Small CHF sample (n=30) limits statistical power and generalizability.</w:t>
      </w:r>
    </w:p>
    <w:p w14:paraId="42A5B952" w14:textId="77777777" w:rsidR="00B05974" w:rsidRDefault="00000000">
      <w:pPr>
        <w:pStyle w:val="ListParagraph"/>
        <w:numPr>
          <w:ilvl w:val="0"/>
          <w:numId w:val="2"/>
        </w:numPr>
        <w:spacing w:before="60" w:after="60"/>
      </w:pPr>
      <w:r>
        <w:t>HRV data available for only 486 of 5,804 SHHS subjects; this subset may not be representative.</w:t>
      </w:r>
    </w:p>
    <w:p w14:paraId="6AC35ACC" w14:textId="77777777" w:rsidR="00B05974" w:rsidRDefault="00000000">
      <w:pPr>
        <w:pStyle w:val="ListParagraph"/>
        <w:numPr>
          <w:ilvl w:val="0"/>
          <w:numId w:val="2"/>
        </w:numPr>
        <w:spacing w:before="60" w:after="60"/>
      </w:pPr>
      <w:r>
        <w:t>Retrospective, exploratory analysis. No correction for multiple comparisons.</w:t>
      </w:r>
    </w:p>
    <w:p w14:paraId="637F4668" w14:textId="77777777" w:rsidR="00B05974" w:rsidRDefault="00000000">
      <w:pPr>
        <w:pStyle w:val="ListParagraph"/>
        <w:numPr>
          <w:ilvl w:val="0"/>
          <w:numId w:val="2"/>
        </w:numPr>
        <w:spacing w:before="60" w:after="60"/>
      </w:pPr>
      <w:r>
        <w:t>No adjustment for confounders including age, sex, BMI, AHI, or pre-existing disease.</w:t>
      </w:r>
    </w:p>
    <w:p w14:paraId="24BCFF1D" w14:textId="77777777" w:rsidR="00B05974" w:rsidRDefault="00000000">
      <w:pPr>
        <w:pStyle w:val="ListParagraph"/>
        <w:numPr>
          <w:ilvl w:val="0"/>
          <w:numId w:val="2"/>
        </w:numPr>
        <w:spacing w:before="60" w:after="60"/>
      </w:pPr>
      <w:r>
        <w:t xml:space="preserve">The anomalous </w:t>
      </w:r>
      <w:proofErr w:type="spellStart"/>
      <w:r>
        <w:t>rMSSD</w:t>
      </w:r>
      <w:proofErr w:type="spellEnd"/>
      <w:r>
        <w:t xml:space="preserve"> direction is unexplained and warrants caution.</w:t>
      </w:r>
    </w:p>
    <w:p w14:paraId="0193D4A1" w14:textId="77777777" w:rsidR="00B05974" w:rsidRDefault="00000000">
      <w:pPr>
        <w:pStyle w:val="ListParagraph"/>
        <w:numPr>
          <w:ilvl w:val="0"/>
          <w:numId w:val="2"/>
        </w:numPr>
        <w:spacing w:before="60" w:after="60"/>
      </w:pPr>
      <w:r>
        <w:t>DFA analysis was inconclusive due to methodological constraints; the primary QHGT prediction remains untested on this dataset.</w:t>
      </w:r>
    </w:p>
    <w:p w14:paraId="1F50D6D8" w14:textId="77777777" w:rsidR="00B05974" w:rsidRDefault="00000000">
      <w:pPr>
        <w:pStyle w:val="ListParagraph"/>
        <w:numPr>
          <w:ilvl w:val="0"/>
          <w:numId w:val="2"/>
        </w:numPr>
        <w:spacing w:before="60" w:after="60"/>
      </w:pPr>
      <w:r>
        <w:t>This preprint has not been peer reviewed.</w:t>
      </w:r>
    </w:p>
    <w:p w14:paraId="7B4ED257" w14:textId="77777777" w:rsidR="00B05974" w:rsidRDefault="00000000">
      <w:pPr>
        <w:pStyle w:val="Heading1"/>
      </w:pPr>
      <w:r>
        <w:t>Acknowledgments</w:t>
      </w:r>
    </w:p>
    <w:p w14:paraId="19E84FF4" w14:textId="77777777" w:rsidR="00B05974" w:rsidRDefault="00000000">
      <w:pPr>
        <w:spacing w:before="80" w:after="80"/>
        <w:jc w:val="both"/>
      </w:pPr>
      <w:r>
        <w:t>The Sleep Heart Health Study data were obtained from the National Sleep Research Resource (NSRR), supported by the National Heart, Lung, and Blood Institute. The author thanks the NSRR support team for guidance on dataset navigation.</w:t>
      </w:r>
    </w:p>
    <w:p w14:paraId="004FF493" w14:textId="77777777" w:rsidR="00B05974" w:rsidRDefault="00000000">
      <w:pPr>
        <w:pStyle w:val="Heading1"/>
      </w:pPr>
      <w:r>
        <w:lastRenderedPageBreak/>
        <w:t>References</w:t>
      </w:r>
    </w:p>
    <w:p w14:paraId="16664FF8" w14:textId="77777777" w:rsidR="00B05974" w:rsidRDefault="00000000">
      <w:pPr>
        <w:spacing w:before="80" w:after="80"/>
        <w:jc w:val="both"/>
      </w:pPr>
      <w:r>
        <w:t>Floras, J.S. (2009). Sympathetic nervous system activation in human heart failure. Journal of the American College of Cardiology, 54(5), 375-385.</w:t>
      </w:r>
    </w:p>
    <w:p w14:paraId="6E16A925" w14:textId="77777777" w:rsidR="00B05974" w:rsidRDefault="00000000">
      <w:pPr>
        <w:spacing w:before="80" w:after="80"/>
        <w:jc w:val="both"/>
      </w:pPr>
      <w:r>
        <w:t>Savarese, G., &amp; Lund, L.H. (2017). Global public health burden of heart failure. Cardiac Failure Review, 3(1), 7-11.</w:t>
      </w:r>
    </w:p>
    <w:p w14:paraId="7663E6A8" w14:textId="77777777" w:rsidR="00B05974" w:rsidRDefault="00000000">
      <w:pPr>
        <w:spacing w:before="80" w:after="80"/>
        <w:jc w:val="both"/>
      </w:pPr>
      <w:r>
        <w:t>Task Force of the European Society of Cardiology and the North American Society of Pacing and Electrophysiology. (1996). Heart rate variability: Standards of measurement, physiological interpretation, and clinical use. Circulation, 93(5), 1043-1065.</w:t>
      </w:r>
    </w:p>
    <w:p w14:paraId="7194B4C9" w14:textId="77777777" w:rsidR="00B05974" w:rsidRDefault="00000000">
      <w:pPr>
        <w:spacing w:before="80" w:after="80"/>
        <w:jc w:val="both"/>
      </w:pPr>
      <w:r>
        <w:t>Tsuji, H., et al. (1996). Impact of reduced heart rate variability on risk for cardiac events: The Framingham Heart Study. Circulation, 94(11), 2850-2855.</w:t>
      </w:r>
    </w:p>
    <w:p w14:paraId="70E889AA" w14:textId="77777777" w:rsidR="00B05974" w:rsidRDefault="00B05974">
      <w:pPr>
        <w:spacing w:before="160"/>
      </w:pPr>
    </w:p>
    <w:p w14:paraId="23F62855" w14:textId="77777777" w:rsidR="00B05974" w:rsidRDefault="00B05974">
      <w:pPr>
        <w:pBdr>
          <w:bottom w:val="single" w:sz="4" w:space="1" w:color="1A1A1A"/>
        </w:pBdr>
        <w:spacing w:after="160"/>
      </w:pPr>
    </w:p>
    <w:p w14:paraId="35761C2C" w14:textId="77777777" w:rsidR="00B05974" w:rsidRDefault="00B05974">
      <w:pPr>
        <w:spacing w:before="60"/>
      </w:pPr>
    </w:p>
    <w:p w14:paraId="0F238EEA" w14:textId="77777777" w:rsidR="00B05974" w:rsidRDefault="00000000">
      <w:pPr>
        <w:spacing w:after="40"/>
        <w:jc w:val="center"/>
      </w:pPr>
      <w:r>
        <w:rPr>
          <w:color w:val="888888"/>
          <w:sz w:val="20"/>
          <w:szCs w:val="20"/>
        </w:rPr>
        <w:t xml:space="preserve">Jason </w:t>
      </w:r>
      <w:proofErr w:type="gramStart"/>
      <w:r>
        <w:rPr>
          <w:color w:val="888888"/>
          <w:sz w:val="20"/>
          <w:szCs w:val="20"/>
        </w:rPr>
        <w:t>Bryant  |</w:t>
      </w:r>
      <w:proofErr w:type="gramEnd"/>
      <w:r>
        <w:rPr>
          <w:color w:val="888888"/>
          <w:sz w:val="20"/>
          <w:szCs w:val="20"/>
        </w:rPr>
        <w:t xml:space="preserve">  </w:t>
      </w:r>
      <w:proofErr w:type="gramStart"/>
      <w:r>
        <w:rPr>
          <w:color w:val="888888"/>
          <w:sz w:val="20"/>
          <w:szCs w:val="20"/>
        </w:rPr>
        <w:t>jason@cookschurch.org  |</w:t>
      </w:r>
      <w:proofErr w:type="gramEnd"/>
      <w:r>
        <w:rPr>
          <w:color w:val="888888"/>
          <w:sz w:val="20"/>
          <w:szCs w:val="20"/>
        </w:rPr>
        <w:t xml:space="preserve">  Charlotte, </w:t>
      </w:r>
      <w:proofErr w:type="gramStart"/>
      <w:r>
        <w:rPr>
          <w:color w:val="888888"/>
          <w:sz w:val="20"/>
          <w:szCs w:val="20"/>
        </w:rPr>
        <w:t>NC  |</w:t>
      </w:r>
      <w:proofErr w:type="gramEnd"/>
      <w:r>
        <w:rPr>
          <w:color w:val="888888"/>
          <w:sz w:val="20"/>
          <w:szCs w:val="20"/>
        </w:rPr>
        <w:t xml:space="preserve">  April 28, 2026</w:t>
      </w:r>
    </w:p>
    <w:p w14:paraId="622E730F" w14:textId="77777777" w:rsidR="00B05974" w:rsidRDefault="00000000">
      <w:pPr>
        <w:jc w:val="center"/>
      </w:pPr>
      <w:r>
        <w:rPr>
          <w:i/>
          <w:iCs/>
          <w:color w:val="888888"/>
          <w:sz w:val="18"/>
          <w:szCs w:val="18"/>
        </w:rPr>
        <w:t xml:space="preserve">SHHS data accessed under NSRR data use </w:t>
      </w:r>
      <w:proofErr w:type="gramStart"/>
      <w:r>
        <w:rPr>
          <w:i/>
          <w:iCs/>
          <w:color w:val="888888"/>
          <w:sz w:val="18"/>
          <w:szCs w:val="18"/>
        </w:rPr>
        <w:t>agreement  |</w:t>
      </w:r>
      <w:proofErr w:type="gramEnd"/>
      <w:r>
        <w:rPr>
          <w:i/>
          <w:iCs/>
          <w:color w:val="888888"/>
          <w:sz w:val="18"/>
          <w:szCs w:val="18"/>
        </w:rPr>
        <w:t xml:space="preserve">  Analysis code available on </w:t>
      </w:r>
      <w:proofErr w:type="gramStart"/>
      <w:r>
        <w:rPr>
          <w:i/>
          <w:iCs/>
          <w:color w:val="888888"/>
          <w:sz w:val="18"/>
          <w:szCs w:val="18"/>
        </w:rPr>
        <w:t>request  |</w:t>
      </w:r>
      <w:proofErr w:type="gramEnd"/>
      <w:r>
        <w:rPr>
          <w:i/>
          <w:iCs/>
          <w:color w:val="888888"/>
          <w:sz w:val="18"/>
          <w:szCs w:val="18"/>
        </w:rPr>
        <w:t xml:space="preserve">  Preprint — not peer reviewed</w:t>
      </w:r>
    </w:p>
    <w:sectPr w:rsidR="00B05974">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99A50" w14:textId="77777777" w:rsidR="00F41359" w:rsidRDefault="00F41359">
      <w:r>
        <w:separator/>
      </w:r>
    </w:p>
  </w:endnote>
  <w:endnote w:type="continuationSeparator" w:id="0">
    <w:p w14:paraId="056D8BB2" w14:textId="77777777" w:rsidR="00F41359" w:rsidRDefault="00F4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DC56" w14:textId="77777777" w:rsidR="00B05974" w:rsidRDefault="00000000">
    <w:pPr>
      <w:pBdr>
        <w:top w:val="single" w:sz="3" w:space="4" w:color="CCCCCC"/>
      </w:pBdr>
      <w:jc w:val="center"/>
    </w:pPr>
    <w:r>
      <w:rPr>
        <w:i/>
        <w:iCs/>
        <w:color w:val="888888"/>
        <w:sz w:val="16"/>
        <w:szCs w:val="16"/>
      </w:rPr>
      <w:t>SHHS data accessed under NSRR data use agreement. This preprint has not been peer reviewed.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0CCB0" w14:textId="77777777" w:rsidR="00F41359" w:rsidRDefault="00F41359">
      <w:r>
        <w:separator/>
      </w:r>
    </w:p>
  </w:footnote>
  <w:footnote w:type="continuationSeparator" w:id="0">
    <w:p w14:paraId="57141704" w14:textId="77777777" w:rsidR="00F41359" w:rsidRDefault="00F4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05A8" w14:textId="77777777" w:rsidR="00B05974" w:rsidRDefault="00000000">
    <w:pPr>
      <w:pBdr>
        <w:bottom w:val="single" w:sz="3" w:space="4" w:color="CCCCCC"/>
      </w:pBdr>
      <w:jc w:val="center"/>
    </w:pPr>
    <w:r>
      <w:rPr>
        <w:i/>
        <w:iCs/>
        <w:color w:val="888888"/>
        <w:sz w:val="18"/>
        <w:szCs w:val="18"/>
      </w:rPr>
      <w:t xml:space="preserve">RESEARCH </w:t>
    </w:r>
    <w:proofErr w:type="gramStart"/>
    <w:r>
      <w:rPr>
        <w:i/>
        <w:iCs/>
        <w:color w:val="888888"/>
        <w:sz w:val="18"/>
        <w:szCs w:val="18"/>
      </w:rPr>
      <w:t>LETTER  —</w:t>
    </w:r>
    <w:proofErr w:type="gramEnd"/>
    <w:r>
      <w:rPr>
        <w:i/>
        <w:iCs/>
        <w:color w:val="888888"/>
        <w:sz w:val="18"/>
        <w:szCs w:val="18"/>
      </w:rPr>
      <w:t xml:space="preserve">  </w:t>
    </w:r>
    <w:proofErr w:type="gramStart"/>
    <w:r>
      <w:rPr>
        <w:i/>
        <w:iCs/>
        <w:color w:val="888888"/>
        <w:sz w:val="18"/>
        <w:szCs w:val="18"/>
      </w:rPr>
      <w:t>PREPRINT  —</w:t>
    </w:r>
    <w:proofErr w:type="gramEnd"/>
    <w:r>
      <w:rPr>
        <w:i/>
        <w:iCs/>
        <w:color w:val="888888"/>
        <w:sz w:val="18"/>
        <w:szCs w:val="18"/>
      </w:rPr>
      <w:t xml:space="preserve">  NOT PEER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B4DD7"/>
    <w:multiLevelType w:val="hybridMultilevel"/>
    <w:tmpl w:val="F4ECA0C0"/>
    <w:lvl w:ilvl="0" w:tplc="6CBA8D4E">
      <w:start w:val="1"/>
      <w:numFmt w:val="bullet"/>
      <w:lvlText w:val="●"/>
      <w:lvlJc w:val="left"/>
      <w:pPr>
        <w:ind w:left="720" w:hanging="360"/>
      </w:pPr>
    </w:lvl>
    <w:lvl w:ilvl="1" w:tplc="80B2B19A">
      <w:start w:val="1"/>
      <w:numFmt w:val="bullet"/>
      <w:lvlText w:val="○"/>
      <w:lvlJc w:val="left"/>
      <w:pPr>
        <w:ind w:left="1440" w:hanging="360"/>
      </w:pPr>
    </w:lvl>
    <w:lvl w:ilvl="2" w:tplc="F1143120">
      <w:start w:val="1"/>
      <w:numFmt w:val="bullet"/>
      <w:lvlText w:val="■"/>
      <w:lvlJc w:val="left"/>
      <w:pPr>
        <w:ind w:left="2160" w:hanging="360"/>
      </w:pPr>
    </w:lvl>
    <w:lvl w:ilvl="3" w:tplc="085C0E52">
      <w:start w:val="1"/>
      <w:numFmt w:val="bullet"/>
      <w:lvlText w:val="●"/>
      <w:lvlJc w:val="left"/>
      <w:pPr>
        <w:ind w:left="2880" w:hanging="360"/>
      </w:pPr>
    </w:lvl>
    <w:lvl w:ilvl="4" w:tplc="D4FEAC3A">
      <w:start w:val="1"/>
      <w:numFmt w:val="bullet"/>
      <w:lvlText w:val="○"/>
      <w:lvlJc w:val="left"/>
      <w:pPr>
        <w:ind w:left="3600" w:hanging="360"/>
      </w:pPr>
    </w:lvl>
    <w:lvl w:ilvl="5" w:tplc="B3869222">
      <w:start w:val="1"/>
      <w:numFmt w:val="bullet"/>
      <w:lvlText w:val="■"/>
      <w:lvlJc w:val="left"/>
      <w:pPr>
        <w:ind w:left="4320" w:hanging="360"/>
      </w:pPr>
    </w:lvl>
    <w:lvl w:ilvl="6" w:tplc="CF9C52A0">
      <w:start w:val="1"/>
      <w:numFmt w:val="bullet"/>
      <w:lvlText w:val="●"/>
      <w:lvlJc w:val="left"/>
      <w:pPr>
        <w:ind w:left="5040" w:hanging="360"/>
      </w:pPr>
    </w:lvl>
    <w:lvl w:ilvl="7" w:tplc="2C60D628">
      <w:start w:val="1"/>
      <w:numFmt w:val="bullet"/>
      <w:lvlText w:val="●"/>
      <w:lvlJc w:val="left"/>
      <w:pPr>
        <w:ind w:left="5760" w:hanging="360"/>
      </w:pPr>
    </w:lvl>
    <w:lvl w:ilvl="8" w:tplc="778CBA20">
      <w:start w:val="1"/>
      <w:numFmt w:val="bullet"/>
      <w:lvlText w:val="●"/>
      <w:lvlJc w:val="left"/>
      <w:pPr>
        <w:ind w:left="6480" w:hanging="360"/>
      </w:pPr>
    </w:lvl>
  </w:abstractNum>
  <w:abstractNum w:abstractNumId="1" w15:restartNumberingAfterBreak="0">
    <w:nsid w:val="660B74DE"/>
    <w:multiLevelType w:val="hybridMultilevel"/>
    <w:tmpl w:val="815C0EF8"/>
    <w:lvl w:ilvl="0" w:tplc="C0400F66">
      <w:start w:val="1"/>
      <w:numFmt w:val="bullet"/>
      <w:lvlText w:val="•"/>
      <w:lvlJc w:val="left"/>
      <w:pPr>
        <w:ind w:left="720" w:hanging="360"/>
      </w:pPr>
    </w:lvl>
    <w:lvl w:ilvl="1" w:tplc="FA08C29A">
      <w:numFmt w:val="decimal"/>
      <w:lvlText w:val=""/>
      <w:lvlJc w:val="left"/>
    </w:lvl>
    <w:lvl w:ilvl="2" w:tplc="416C2268">
      <w:numFmt w:val="decimal"/>
      <w:lvlText w:val=""/>
      <w:lvlJc w:val="left"/>
    </w:lvl>
    <w:lvl w:ilvl="3" w:tplc="55561D9A">
      <w:numFmt w:val="decimal"/>
      <w:lvlText w:val=""/>
      <w:lvlJc w:val="left"/>
    </w:lvl>
    <w:lvl w:ilvl="4" w:tplc="EFBEEF78">
      <w:numFmt w:val="decimal"/>
      <w:lvlText w:val=""/>
      <w:lvlJc w:val="left"/>
    </w:lvl>
    <w:lvl w:ilvl="5" w:tplc="7D50C210">
      <w:numFmt w:val="decimal"/>
      <w:lvlText w:val=""/>
      <w:lvlJc w:val="left"/>
    </w:lvl>
    <w:lvl w:ilvl="6" w:tplc="58923A1C">
      <w:numFmt w:val="decimal"/>
      <w:lvlText w:val=""/>
      <w:lvlJc w:val="left"/>
    </w:lvl>
    <w:lvl w:ilvl="7" w:tplc="938603E8">
      <w:numFmt w:val="decimal"/>
      <w:lvlText w:val=""/>
      <w:lvlJc w:val="left"/>
    </w:lvl>
    <w:lvl w:ilvl="8" w:tplc="5C10562C">
      <w:numFmt w:val="decimal"/>
      <w:lvlText w:val=""/>
      <w:lvlJc w:val="left"/>
    </w:lvl>
  </w:abstractNum>
  <w:num w:numId="1" w16cid:durableId="463819121">
    <w:abstractNumId w:val="0"/>
    <w:lvlOverride w:ilvl="0">
      <w:startOverride w:val="1"/>
    </w:lvlOverride>
  </w:num>
  <w:num w:numId="2" w16cid:durableId="34524999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974"/>
    <w:rsid w:val="00376492"/>
    <w:rsid w:val="00B05974"/>
    <w:rsid w:val="00B60749"/>
    <w:rsid w:val="00F41359"/>
    <w:rsid w:val="00F54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457395"/>
  <w15:docId w15:val="{04B9C19F-ECF0-1447-ACAF-724675BF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1A1A1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b/>
      <w:bCs/>
      <w:sz w:val="26"/>
      <w:szCs w:val="26"/>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1457</Words>
  <Characters>8880</Characters>
  <Application>Microsoft Office Word</Application>
  <DocSecurity>0</DocSecurity>
  <Lines>201</Lines>
  <Paragraphs>103</Paragraphs>
  <ScaleCrop>false</ScaleCrop>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Jason Bryant</cp:lastModifiedBy>
  <cp:revision>2</cp:revision>
  <dcterms:created xsi:type="dcterms:W3CDTF">2026-04-28T13:48:00Z</dcterms:created>
  <dcterms:modified xsi:type="dcterms:W3CDTF">2026-04-28T13:48:00Z</dcterms:modified>
</cp:coreProperties>
</file>