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Annotated bibliography</w:t>
      </w:r>
    </w:p>
    <w:p>
      <w:r>
        <w:t>Sources are ordered by relevance to the topic of BCI validation methodology. Each entry contains a full bibliographic citation followed by a brief annotation (1–3 sentences) describing the content of the source and how it is used in the main paper.</w:t>
      </w:r>
    </w:p>
    <w:p>
      <w:r>
        <w:t>Tangermann, M., Müller, K.-R., Aertsen, A., Birbaumer, N., Braun, C., Brunner, C., Leeb, R., Mehring, C., Miller, K. J., Müller-Putz, G. R., Nolte, G., Pfurtscheller, G., Preissl, H., Schalk, G., Schlögl, A., Vidaurre, C., Waldert, S., &amp; Blankertz, B. (2012). Review of the BCI Competition IV. Frontiers in Neuroscience, 6, 55. https://doi.org/10.3389/fnins.2012.00055</w:t>
      </w:r>
    </w:p>
    <w:p>
      <w:r>
        <w:t>Annotation: Description of the BCI Competition IV datasets, including 001-2014 (4-class motor imagery, 9 subjects, 22 EEG channels). Used in our work as the primary dataset across all validation protocols.</w:t>
      </w:r>
    </w:p>
    <w:p>
      <w:r>
        <w:t>Barachant, A., Bonnet, S., Congedo, M., &amp; Jutten, C. (2012). Multiclass brain-computer interface classification by Riemannian geometry. IEEE Transactions on Biomedical Engineering, 59(4), 920–928. https://doi.org/10.1109/TBME.2011.2172210</w:t>
      </w:r>
    </w:p>
    <w:p>
      <w:r>
        <w:t>Annotation: Introduction of the MDM classifier on the Riemannian manifold of covariance matrices. We choose this method as a standard baseline with no learnable hyperparameters, which isolates the effect of the validation protocol from the effect of model tuning.</w:t>
      </w:r>
    </w:p>
    <w:p>
      <w:r>
        <w:t>Lotte, F., Bougrain, L., Cichocki, A., Clerc, M., Congedo, M., Rakotomamonjy, A., &amp; Yger, F. (2018). A review of classification algorithms for EEG-based brain–computer interfaces: a 10 year update. Journal of Neural Engineering, 15(3), 031005. https://doi.org/10.1088/1741-2552/aab2f2</w:t>
      </w:r>
    </w:p>
    <w:p>
      <w:r>
        <w:t>Annotation: A decade-long review of BCI classifiers. The authors explicitly discuss how accuracy gains of new methods often disappear under unified preprocessing and validation; this motivates our setup — fixing the decoder while varying the protocol.</w:t>
      </w:r>
    </w:p>
    <w:p>
      <w:r>
        <w:t>Roy, Y., Banville, H., Albuquerque, I., Gramfort, A., Falk, T. H., &amp; Faubert, J. (2019). Deep learning-based electroencephalography analysis: a systematic review. Journal of Neural Engineering, 16(5), 051001. https://doi.org/10.1088/1741-2552/ab260c</w:t>
      </w:r>
    </w:p>
    <w:p>
      <w:r>
        <w:t>Annotation: A systematic review of 154 deep-learning-on-EEG publications. The reproducibility section documents wide variability of validation protocols and poor reporting; the cited statistics show that a substantial share of papers does not correctly describe their data splits.</w:t>
      </w:r>
    </w:p>
    <w:p>
      <w:r>
        <w:t>Jayaram, V., &amp; Barachant, A. (2018). MOABB: trustworthy algorithm benchmarking for BCIs. Journal of Neural Engineering, 15(6), 066011. https://doi.org/10.1088/1741-2552/aadea0</w:t>
      </w:r>
    </w:p>
    <w:p>
      <w:r>
        <w:t>Annotation: The MOABB library and its standardized BCI benchmarks. Used by us for reproducible loading and preprocessing of BNCI2014-001.</w:t>
      </w:r>
    </w:p>
    <w:p>
      <w:r>
        <w:t>Chevallier, S., Carrara, I., Aristimunha, B., Guetschel, P., Sedlar, S., Lopes, B., Velut, S., Khazem, S., Moreau, T. (2024). The largest EEG-based BCI reproducibility study for open science: the MOABB benchmark. arXiv:2404.15319.</w:t>
      </w:r>
    </w:p>
    <w:p>
      <w:r>
        <w:t>Annotation: The largest reproducible MOABB benchmark across dozens of datasets. Confirms that Riemannian methods are competitive with deep learning under matched protocols, supporting our choice of OAS+MDM as a fixed decoder.</w:t>
      </w:r>
    </w:p>
    <w:p>
      <w:r>
        <w:t>Kostas, D., Aroca-Ouellette, S., &amp; Rudzicz, F. (2021). BENDR: using transformers and a contrastive self-supervised learning task to learn from massive amounts of EEG data. Frontiers in Human Neuroscience, 15, 653659. https://doi.org/10.3389/fnhum.2021.653659</w:t>
      </w:r>
    </w:p>
    <w:p>
      <w:r>
        <w:t>Annotation: Methodological work on the FBCSP pipeline; cited as a classical CSP-based motor-imagery baseline in the related-work discussion.</w:t>
      </w:r>
    </w:p>
    <w:p>
      <w:r>
        <w:t>Saeidi, M., Karwowski, W., Farahani, F. V., Fiok, K., Taiar, R., Hancock, P. A., &amp; Al-Juaid, A. (2021). Neural Decoding of EEG Signals with Machine Learning: A Systematic Review. Brain Sciences, 11(11), 1525. https://doi.org/10.3390/brainsci11111525</w:t>
      </w:r>
    </w:p>
    <w:p>
      <w:r>
        <w:t>Annotation: Methodological recommendations on cross-validation in neuroimaging, with explicit warnings about subject-level and trial-level leakage. A direct conceptual basis for our window-leakage experiment with GroupKFold.</w:t>
      </w:r>
    </w:p>
    <w:p>
      <w:r>
        <w:t>Schirrmeister, R. T., Springenberg, J. T., Fiederer, L. D. J., Glasstetter, M., Eggensperger, K., Tangermann, M., Burgard, W., Hutter, F., &amp; Ball, T. (2017). Deep learning with convolutional neural networks for EEG decoding and visualization. Human Brain Mapping, 38(11), 5391–5420. https://doi.org/10.1002/hbm.23730</w:t>
      </w:r>
    </w:p>
    <w:p>
      <w:r>
        <w:t>Annotation: ShallowConvNet and DeepConvNet architectures, which have become reference points for motor-imagery decoding. Cited as comparison points from the literature; not reimplemented here, but discussed.</w:t>
      </w:r>
    </w:p>
    <w:p>
      <w:r>
        <w:t>Lawhern, V. J., Solon, A. J., Waytowich, N. R., Gordon, S. M., Hung, C. P., &amp; Lance, B. J. (2018). EEGNet: a compact convolutional neural network for EEG-based brain–computer interfaces. Journal of Neural Engineering, 15(5), 056013. https://doi.org/10.1088/1741-2552/aace8c</w:t>
      </w:r>
    </w:p>
    <w:p>
      <w:r>
        <w:t>Annotation: EEGNet, a compact convolutional network and a de-facto deep-learning standard for BCI. Cited in the discussion as a model class for which the choice of protocol especially strongly affects the reported accuracy.</w:t>
      </w:r>
    </w:p>
    <w:p>
      <w:r>
        <w:t>Pfurtscheller, G., &amp; Neuper, C. (2001). Motor imagery and direct brain–computer communication. Proceedings of the IEEE, 89(7), 1123–1134. https://doi.org/10.1109/5.939829</w:t>
      </w:r>
    </w:p>
    <w:p>
      <w:r>
        <w:t>Annotation: Classic description of μ- and β-rhythms as the neurophysiological basis of motor-imagery decoding; rationale for the 8–32 Hz band in our pipeline.</w:t>
      </w:r>
    </w:p>
    <w:p>
      <w:r>
        <w:t>Olshausen, B. A. &amp; Field, D. J. (2005). How close are we to understanding V1? Neural Computation, 17(8), 1665–1699.</w:t>
      </w:r>
    </w:p>
    <w:p>
      <w:r>
        <w:t>Annotation: Cited as a methodological example of the difficulty of generalizing neural decoders across subjects; auxiliary reference for the cross-subject discussion.</w:t>
      </w:r>
    </w:p>
    <w:p>
      <w:r>
        <w:t>Müller-Putz, G. R., Scherer, R., Brunner, C., Leeb, R., &amp; Pfurtscheller, G. (2008). Better than random? A closer look on BCI results. International Journal of Bioelectromagnetism, 10(1), 52–55.</w:t>
      </w:r>
    </w:p>
    <w:p>
      <w:r>
        <w:t>Annotation: A short but influential note on how small sample sizes and incorrect statistics lead to false above-chance claims in BCI; a foundation for our statistical-analysis section.</w:t>
      </w:r>
    </w:p>
    <w:p>
      <w:r>
        <w:t>Dietterich, T. G. (1998). Approximate statistical tests for comparing supervised classification learning algorithms. Neural Computation, 10(7), 1895–1923.</w:t>
      </w:r>
    </w:p>
    <w:p>
      <w:r>
        <w:t>Annotation: Classic work on correct statistical procedures for comparing classifiers; rationale for our use of the paired Wilcoxon signed-rank test across subjects.</w:t>
      </w:r>
    </w:p>
    <w:p>
      <w:r>
        <w:t>Demšar, J. (2006). Statistical comparisons of classifiers over multiple data sets. Journal of Machine Learning Research, 7, 1–30.</w:t>
      </w:r>
    </w:p>
    <w:p>
      <w:r>
        <w:t>Annotation: Justification for non-parametric procedures (Wilcoxon, Friedman) for comparing models across multiple datasets; here applied analogously across multiple subjects.</w:t>
      </w:r>
    </w:p>
    <w:p>
      <w:r>
        <w:t>Pernet, C. R., Garrido, M. I., Gramfort, A., et al. (2020). Issues and recommendations from the OHBM COBIDAS MEEG committee for reproducible EEG and MEG research. Nature Neuroscience, 23, 1473–1483. https://doi.org/10.1038/s41593-020-00709-0</w:t>
      </w:r>
    </w:p>
    <w:p>
      <w:r>
        <w:t>Annotation: COBIDAS-MEEG recommendations for reproducibility in EEG/MEG research. A reference source for our methodological-transparency checklist.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