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2000"/>
      </w:pPr>
    </w:p>
    <w:p>
      <w:pPr>
        <w:spacing w:after="120" w:before="0"/>
        <w:jc w:val="center"/>
      </w:pPr>
      <w:r>
        <w:rPr>
          <w:rFonts w:ascii="Georgia" w:cs="Georgia" w:eastAsia="Georgia" w:hAnsi="Georgia"/>
          <w:b/>
          <w:bCs/>
          <w:sz w:val="36"/>
          <w:szCs w:val="36"/>
        </w:rPr>
        <w:t xml:space="preserve">THRESHOLD RESET</w:t>
      </w:r>
    </w:p>
    <w:p>
      <w:pPr>
        <w:spacing w:after="80" w:before="0"/>
        <w:jc w:val="center"/>
      </w:pPr>
      <w:r>
        <w:rPr>
          <w:rFonts w:ascii="Georgia" w:cs="Georgia" w:eastAsia="Georgia" w:hAnsi="Georgia"/>
          <w:i/>
          <w:iCs/>
          <w:sz w:val="24"/>
          <w:szCs w:val="24"/>
        </w:rPr>
        <w:t xml:space="preserve">Converted Antimatter Substrate, Pre-Bang Process, and the Remainder</w:t>
      </w:r>
    </w:p>
    <w:p>
      <w:pPr>
        <w:spacing w:after="80" w:before="400"/>
      </w:pPr>
    </w:p>
    <w:p>
      <w:pPr>
        <w:pBdr>
          <w:bottom w:val="single" w:color="AAAAAA" w:sz="4" w:space="1"/>
        </w:pBdr>
        <w:spacing w:after="200" w:before="200"/>
      </w:pPr>
    </w:p>
    <w:p>
      <w:pPr>
        <w:pStyle w:val="Heading1"/>
        <w:spacing w:after="160" w:before="400"/>
      </w:pPr>
      <w:r>
        <w:rPr>
          <w:rFonts w:ascii="Georgia" w:cs="Georgia" w:eastAsia="Georgia" w:hAnsi="Georgia"/>
          <w:b/>
          <w:bCs/>
          <w:sz w:val="28"/>
          <w:szCs w:val="28"/>
        </w:rPr>
        <w:t xml:space="preserve">Preface</w:t>
      </w:r>
    </w:p>
    <w:p>
      <w:pPr>
        <w:spacing w:after="160" w:before="0"/>
      </w:pPr>
      <w:r>
        <w:rPr>
          <w:rFonts w:ascii="Georgia" w:cs="Georgia" w:eastAsia="Georgia" w:hAnsi="Georgia"/>
          <w:sz w:val="22"/>
          <w:szCs w:val="22"/>
        </w:rPr>
        <w:t xml:space="preserve">This document proposes connections between an independent theoretical framework and open anomalies in published astrophysical and cosmological literature. Three questions are addressed: what happened before the Bang, where antimatter went, and what dark matter is. No validation is claimed. The connections are offered in case they are of use.</w:t>
      </w:r>
    </w:p>
    <w:p>
      <w:pPr>
        <w:pBdr>
          <w:bottom w:val="single" w:color="AAAAAA" w:sz="4" w:space="1"/>
        </w:pBdr>
        <w:spacing w:after="200" w:before="200"/>
      </w:pPr>
    </w:p>
    <w:p>
      <w:pPr>
        <w:pStyle w:val="Heading1"/>
        <w:spacing w:after="160" w:before="400"/>
      </w:pPr>
      <w:r>
        <w:rPr>
          <w:rFonts w:ascii="Georgia" w:cs="Georgia" w:eastAsia="Georgia" w:hAnsi="Georgia"/>
          <w:b/>
          <w:bCs/>
          <w:sz w:val="28"/>
          <w:szCs w:val="28"/>
        </w:rPr>
        <w:t xml:space="preserve">Part I — The Structural Pattern</w:t>
      </w:r>
    </w:p>
    <w:p>
      <w:pPr>
        <w:spacing w:after="160" w:before="0"/>
      </w:pPr>
      <w:r>
        <w:rPr>
          <w:rFonts w:ascii="Georgia" w:cs="Georgia" w:eastAsia="Georgia" w:hAnsi="Georgia"/>
          <w:sz w:val="22"/>
          <w:szCs w:val="22"/>
        </w:rPr>
        <w:t xml:space="preserve">It started with a simple observation: three things govern every system in nature — what holds, what presses, and the moment holding becomes impossible.</w:t>
      </w:r>
    </w:p>
    <w:p>
      <w:pPr>
        <w:spacing w:after="80" w:before="0"/>
      </w:pPr>
    </w:p>
    <w:p>
      <w:pPr>
        <w:spacing w:after="160" w:before="0"/>
      </w:pPr>
      <w:r>
        <w:rPr>
          <w:rFonts w:ascii="Georgia" w:cs="Georgia" w:eastAsia="Georgia" w:hAnsi="Georgia"/>
          <w:sz w:val="22"/>
          <w:szCs w:val="22"/>
        </w:rPr>
        <w:t xml:space="preserve">The Pre-Bang Network Cascade framework proposes a single formula governing boundary behavior across systems:</w:t>
      </w:r>
    </w:p>
    <w:p>
      <w:pPr>
        <w:spacing w:after="160" w:before="160"/>
        <w:jc w:val="center"/>
      </w:pPr>
      <w:r>
        <w:rPr>
          <w:rFonts w:ascii="Courier New" w:cs="Courier New" w:eastAsia="Courier New" w:hAnsi="Courier New"/>
          <w:b/>
          <w:bCs/>
          <w:sz w:val="24"/>
          <w:szCs w:val="24"/>
        </w:rPr>
        <w:t xml:space="preserve">TPI = (IL + OA) ÷ RC</w:t>
      </w:r>
    </w:p>
    <w:p>
      <w:pPr>
        <w:spacing w:after="160" w:before="0"/>
      </w:pPr>
      <w:r>
        <w:rPr>
          <w:rFonts w:ascii="Georgia" w:cs="Georgia" w:eastAsia="Georgia" w:hAnsi="Georgia"/>
          <w:sz w:val="22"/>
          <w:szCs w:val="22"/>
        </w:rPr>
        <w:t xml:space="preserve">Internal Load plus Outside Attack, divided by Resistance Capacity. Below 1.0, the boundary holds. At 1.0, the threshold crosses — cascade begins. At 3.0, the system reaches reset: a new equilibrium in a reorganized state. The boundary does not return.</w:t>
      </w:r>
    </w:p>
    <w:p>
      <w:pPr>
        <w:spacing w:after="160" w:before="0"/>
      </w:pPr>
      <w:r>
        <w:rPr>
          <w:rFonts w:ascii="Georgia" w:cs="Georgia" w:eastAsia="Georgia" w:hAnsi="Georgia"/>
          <w:sz w:val="22"/>
          <w:szCs w:val="22"/>
        </w:rPr>
        <w:t xml:space="preserve">Four independent bodies of published evidence describe the same behavior.</w:t>
      </w:r>
    </w:p>
    <w:p>
      <w:pPr>
        <w:pStyle w:val="Heading2"/>
        <w:spacing w:after="120" w:before="280"/>
      </w:pPr>
      <w:r>
        <w:rPr>
          <w:rFonts w:ascii="Georgia" w:cs="Georgia" w:eastAsia="Georgia" w:hAnsi="Georgia"/>
          <w:b/>
          <w:bCs/>
          <w:sz w:val="22"/>
          <w:szCs w:val="22"/>
        </w:rPr>
        <w:t xml:space="preserve">Plasma Physics — The Fourth State of Matter</w:t>
      </w:r>
    </w:p>
    <w:p>
      <w:pPr>
        <w:spacing w:after="160" w:before="0"/>
      </w:pPr>
      <w:r>
        <w:rPr>
          <w:rFonts w:ascii="Georgia" w:cs="Georgia" w:eastAsia="Georgia" w:hAnsi="Georgia"/>
          <w:sz w:val="22"/>
          <w:szCs w:val="22"/>
        </w:rPr>
        <w:t xml:space="preserve">Physicists at Emory University working in dusty plasma published findings in PNAS in July 2025 describing non-reciprocal force transmission across boundaries. In a dusty plasma system, a leading particle attracts the trailing particle, but the trailing particle always repels the leading one. Force does not transmit symmetrically. Load accumulates asymmetrically. Confirmed to greater than 99% accuracy. The researchers note their framework is universal and could be applied to other many-body systems.</w:t>
      </w:r>
    </w:p>
    <w:p>
      <w:pPr>
        <w:spacing w:after="160" w:before="0"/>
      </w:pPr>
      <w:r>
        <w:rPr>
          <w:rFonts w:ascii="Georgia" w:cs="Georgia" w:eastAsia="Georgia" w:hAnsi="Georgia"/>
          <w:sz w:val="22"/>
          <w:szCs w:val="22"/>
        </w:rPr>
        <w:t xml:space="preserve">From the TPI perspective, non-reciprocal force transmission is exactly what asymmetric load accumulation looks like at the particle scale — IL and OA pressing against RC by different mechanisms, at different rates, producing net directional stress that standard symmetric models cannot capture.</w:t>
      </w:r>
    </w:p>
    <w:p>
      <w:pPr>
        <w:spacing w:after="80" w:before="80"/>
        <w:ind w:left="720"/>
      </w:pPr>
      <w:r>
        <w:rPr>
          <w:rFonts w:ascii="Georgia" w:cs="Georgia" w:eastAsia="Georgia" w:hAnsi="Georgia"/>
          <w:i/>
          <w:iCs/>
          <w:sz w:val="18"/>
          <w:szCs w:val="18"/>
        </w:rPr>
        <w:t xml:space="preserve">Yu, W., Abdelaleem, E., Nemenman, I., Burton, J.C. (2025). Physics-tailored machine learning reveals unexpected physics in dusty plasmas. PNAS 122(31): e2505725122. doi:10.1073/pnas.2505725122</w:t>
      </w:r>
    </w:p>
    <w:p>
      <w:pPr>
        <w:pStyle w:val="Heading2"/>
        <w:spacing w:after="120" w:before="280"/>
      </w:pPr>
      <w:r>
        <w:rPr>
          <w:rFonts w:ascii="Georgia" w:cs="Georgia" w:eastAsia="Georgia" w:hAnsi="Georgia"/>
          <w:b/>
          <w:bCs/>
          <w:sz w:val="22"/>
          <w:szCs w:val="22"/>
        </w:rPr>
        <w:t xml:space="preserve">Fire Ecology — Savanna Boundary Dynamics</w:t>
      </w:r>
    </w:p>
    <w:p>
      <w:pPr>
        <w:spacing w:after="160" w:before="0"/>
      </w:pPr>
      <w:r>
        <w:rPr>
          <w:rFonts w:ascii="Georgia" w:cs="Georgia" w:eastAsia="Georgia" w:hAnsi="Georgia"/>
          <w:sz w:val="22"/>
          <w:szCs w:val="22"/>
        </w:rPr>
        <w:t xml:space="preserve">Long-term fire edge records from Northern Australian tropical savanna show boundary behavior holding under composite pressure until a threshold point, after which reducing individual inputs does not restore the prior state.</w:t>
      </w:r>
    </w:p>
    <w:p>
      <w:pPr>
        <w:spacing w:after="80" w:before="80"/>
        <w:ind w:left="720"/>
      </w:pPr>
      <w:r>
        <w:rPr>
          <w:rFonts w:ascii="Georgia" w:cs="Georgia" w:eastAsia="Georgia" w:hAnsi="Georgia"/>
          <w:i/>
          <w:iCs/>
          <w:sz w:val="18"/>
          <w:szCs w:val="18"/>
        </w:rPr>
        <w:t xml:space="preserve">Fisher, R. et al. Charles Darwin University, Landscape Knowledge Visualisation Lab. Northern Australian tropical savanna fire edge record, ongoing.</w:t>
      </w:r>
    </w:p>
    <w:p>
      <w:pPr>
        <w:pStyle w:val="Heading2"/>
        <w:spacing w:after="120" w:before="280"/>
      </w:pPr>
      <w:r>
        <w:rPr>
          <w:rFonts w:ascii="Georgia" w:cs="Georgia" w:eastAsia="Georgia" w:hAnsi="Georgia"/>
          <w:b/>
          <w:bCs/>
          <w:sz w:val="22"/>
          <w:szCs w:val="22"/>
        </w:rPr>
        <w:t xml:space="preserve">Stellar Collapse — The 511 keV Signature</w:t>
      </w:r>
    </w:p>
    <w:p>
      <w:pPr>
        <w:spacing w:after="160" w:before="0"/>
      </w:pPr>
      <w:r>
        <w:rPr>
          <w:rFonts w:ascii="Georgia" w:cs="Georgia" w:eastAsia="Georgia" w:hAnsi="Georgia"/>
          <w:sz w:val="22"/>
          <w:szCs w:val="22"/>
        </w:rPr>
        <w:t xml:space="preserve">Two stars. Each the mass of the sun compressed to the size of a city. Orbiting each other for hundreds of millions of years, losing energy to gravitational radiation. Internal load accumulates. Resistance depletes. TPI crosses 1.0. When they finally collide, the event produces a kilonova: gravitational waves, a burst across the full electromagnetic spectrum, and in the extreme neutron-rich conditions of the collision, heavy elements forged as the cascade runs to reset. Gold. Platinum. Uranium. The new equilibrium of two stars that no longer exist.</w:t>
      </w:r>
    </w:p>
    <w:p>
      <w:pPr>
        <w:spacing w:after="160" w:before="0"/>
      </w:pPr>
      <w:r>
        <w:rPr>
          <w:rFonts w:ascii="Georgia" w:cs="Georgia" w:eastAsia="Georgia" w:hAnsi="Georgia"/>
          <w:sz w:val="22"/>
          <w:szCs w:val="22"/>
        </w:rPr>
        <w:t xml:space="preserve">The cascade products are not only material. The collision ejecta, heated to temperatures of a few hundred keV, produces a population of electron-positron pairs. Some positrons escape from the outer layers of the ejecta, annihilate, and produce 511 keV gamma-ray emission. Fuller, Kusenko, Radice, and Takhistov (2019) demonstrate that the cumulative positron output of neutron star mergers across the history of the Milky Way can account for the observed 511 keV signal from the Galactic Center.</w:t>
      </w:r>
    </w:p>
    <w:p>
      <w:pPr>
        <w:spacing w:after="160" w:before="0"/>
      </w:pPr>
      <w:r>
        <w:rPr>
          <w:rFonts w:ascii="Georgia" w:cs="Georgia" w:eastAsia="Georgia" w:hAnsi="Georgia"/>
          <w:sz w:val="22"/>
          <w:szCs w:val="22"/>
        </w:rPr>
        <w:t xml:space="preserve">The kilonova is not the only threshold-crossing event that produces this signature. The published literature documents 511 keV positron annihilation emission from supernovae, gamma-ray bursts, solar flares, black hole boundaries, microquasars, and X-ray binaries — every class of high-energy event in which a phase boundary fails under extreme pressure. The signal is not exotic. It is the standard output of pair production at a boundary under sufficient load. What varies is the scale, the duration, and the density of the environment in which the positrons escape and annihilate.</w:t>
      </w:r>
    </w:p>
    <w:p>
      <w:pPr>
        <w:spacing w:after="160" w:before="0"/>
      </w:pPr>
      <w:r>
        <w:rPr>
          <w:rFonts w:ascii="Georgia" w:cs="Georgia" w:eastAsia="Georgia" w:hAnsi="Georgia"/>
          <w:sz w:val="22"/>
          <w:szCs w:val="22"/>
        </w:rPr>
        <w:t xml:space="preserve">The Central Molecular Zone signal has been measured for fifty years. It remains unaccounted for by any catalogued source, individually or in aggregate. The same signal appears at every confirmed threshold crossing in the published record. At cosmological scale, the source is missing.</w:t>
      </w:r>
    </w:p>
    <w:p>
      <w:pPr>
        <w:spacing w:after="160" w:before="0"/>
      </w:pPr>
      <w:r>
        <w:rPr>
          <w:rFonts w:ascii="Georgia" w:cs="Georgia" w:eastAsia="Georgia" w:hAnsi="Georgia"/>
          <w:sz w:val="22"/>
          <w:szCs w:val="22"/>
        </w:rPr>
        <w:t xml:space="preserve">The framework proposes a specific reason: the CMZ excess is the residual interaction signature of converted antimatter substrate — the remainder of the pre-Bang organizing field — at the highest-density zone in the Galaxy. The mechanism is the same as the kilonova. The source is different. That distinction is the claim. It is not established. It is proposed.</w:t>
      </w:r>
    </w:p>
    <w:p>
      <w:pPr>
        <w:spacing w:after="160" w:before="0"/>
      </w:pPr>
      <w:r>
        <w:rPr>
          <w:rFonts w:ascii="Georgia" w:cs="Georgia" w:eastAsia="Georgia" w:hAnsi="Georgia"/>
          <w:sz w:val="22"/>
          <w:szCs w:val="22"/>
        </w:rPr>
        <w:t xml:space="preserve">511 keV is the signal of matter-antimatter contact at a phase boundary under extreme pressure. It appears at every scale where that condition is met. The CMZ has been showing it for fifty years. The source remains unconfirmed. The framework proposes one.</w:t>
      </w:r>
    </w:p>
    <w:p>
      <w:pPr>
        <w:spacing w:after="80" w:before="80"/>
        <w:ind w:left="720"/>
      </w:pPr>
      <w:r>
        <w:rPr>
          <w:rFonts w:ascii="Georgia" w:cs="Georgia" w:eastAsia="Georgia" w:hAnsi="Georgia"/>
          <w:i/>
          <w:iCs/>
          <w:sz w:val="18"/>
          <w:szCs w:val="18"/>
        </w:rPr>
        <w:t xml:space="preserve">Abbott, B.P. et al. (2017). GW170817. Physical Review Letters 119, 161101.</w:t>
      </w:r>
    </w:p>
    <w:p>
      <w:pPr>
        <w:spacing w:after="80" w:before="80"/>
        <w:ind w:left="720"/>
      </w:pPr>
      <w:r>
        <w:rPr>
          <w:rFonts w:ascii="Georgia" w:cs="Georgia" w:eastAsia="Georgia" w:hAnsi="Georgia"/>
          <w:i/>
          <w:iCs/>
          <w:sz w:val="18"/>
          <w:szCs w:val="18"/>
        </w:rPr>
        <w:t xml:space="preserve">Fuller, G.M., Kusenko, A., Radice, D., Takhistov, V. (2019). Positrons and 511 keV radiation as tracers of recent binary neutron star mergers. arXiv:1811.00133</w:t>
      </w:r>
    </w:p>
    <w:p>
      <w:pPr>
        <w:spacing w:after="80" w:before="80"/>
        <w:ind w:left="720"/>
      </w:pPr>
      <w:r>
        <w:rPr>
          <w:rFonts w:ascii="Georgia" w:cs="Georgia" w:eastAsia="Georgia" w:hAnsi="Georgia"/>
          <w:i/>
          <w:iCs/>
          <w:sz w:val="18"/>
          <w:szCs w:val="18"/>
        </w:rPr>
        <w:t xml:space="preserve">Hajela, A., Margutti, R. et al. (2022). Evidence for X-ray emission in excess to the jet afterglow decay 3.5 yrs after GW170817: a new emission component. ApJ Letters 927, L17. doi:10.3847/2041-8213/ac504a</w:t>
      </w:r>
    </w:p>
    <w:p>
      <w:pPr>
        <w:spacing w:after="80" w:before="80"/>
        <w:ind w:left="720"/>
      </w:pPr>
      <w:r>
        <w:rPr>
          <w:rFonts w:ascii="Georgia" w:cs="Georgia" w:eastAsia="Georgia" w:hAnsi="Georgia"/>
          <w:i/>
          <w:iCs/>
          <w:sz w:val="18"/>
          <w:szCs w:val="18"/>
        </w:rPr>
        <w:t xml:space="preserve">Prantzos, N. et al. (2011). The 511 keV emission from positron annihilation in the Galaxy. Reviews of Modern Physics 83, 1001–1056.</w:t>
      </w:r>
    </w:p>
    <w:p>
      <w:pPr>
        <w:pStyle w:val="Heading2"/>
        <w:spacing w:after="120" w:before="280"/>
      </w:pPr>
      <w:r>
        <w:rPr>
          <w:rFonts w:ascii="Georgia" w:cs="Georgia" w:eastAsia="Georgia" w:hAnsi="Georgia"/>
          <w:b/>
          <w:bCs/>
          <w:sz w:val="22"/>
          <w:szCs w:val="22"/>
        </w:rPr>
        <w:t xml:space="preserve">The Cascade Literature</w:t>
      </w:r>
    </w:p>
    <w:p>
      <w:pPr>
        <w:spacing w:after="160" w:before="0"/>
      </w:pPr>
      <w:r>
        <w:rPr>
          <w:rFonts w:ascii="Georgia" w:cs="Georgia" w:eastAsia="Georgia" w:hAnsi="Georgia"/>
          <w:sz w:val="22"/>
          <w:szCs w:val="22"/>
        </w:rPr>
        <w:t xml:space="preserve">Yang and Motter (2017) demonstrate that cascading failures operate as continuous phase-space transitions — propagation becomes self-sustaining once the threshold is crossed. Gross, Bonamassa, and Havlin (2023) show the type of cascade is determined by the structure of the boundary, not only by the magnitude of the load. The hybrid universality classes paper (Nature Communications, 2025) confirms that composite inputs (IL + OA) produce cascade behavior that neither input alone would generate.</w:t>
      </w:r>
    </w:p>
    <w:p>
      <w:pPr>
        <w:spacing w:after="80" w:before="80"/>
        <w:ind w:left="720"/>
      </w:pPr>
      <w:r>
        <w:rPr>
          <w:rFonts w:ascii="Georgia" w:cs="Georgia" w:eastAsia="Georgia" w:hAnsi="Georgia"/>
          <w:i/>
          <w:iCs/>
          <w:sz w:val="18"/>
          <w:szCs w:val="18"/>
        </w:rPr>
        <w:t xml:space="preserve">Yang, Y. &amp; Motter, A.E. (2017). Physical Review Letters 119, 248302.</w:t>
      </w:r>
    </w:p>
    <w:p>
      <w:pPr>
        <w:spacing w:after="80" w:before="80"/>
        <w:ind w:left="720"/>
      </w:pPr>
      <w:r>
        <w:rPr>
          <w:rFonts w:ascii="Georgia" w:cs="Georgia" w:eastAsia="Georgia" w:hAnsi="Georgia"/>
          <w:i/>
          <w:iCs/>
          <w:sz w:val="18"/>
          <w:szCs w:val="18"/>
        </w:rPr>
        <w:t xml:space="preserve">Gross, B., Bonamassa, I., Havlin, S. (2023). arXiv:2307.00428</w:t>
      </w:r>
    </w:p>
    <w:p>
      <w:pPr>
        <w:spacing w:after="80" w:before="80"/>
        <w:ind w:left="720"/>
      </w:pPr>
      <w:r>
        <w:rPr>
          <w:rFonts w:ascii="Georgia" w:cs="Georgia" w:eastAsia="Georgia" w:hAnsi="Georgia"/>
          <w:i/>
          <w:iCs/>
          <w:sz w:val="18"/>
          <w:szCs w:val="18"/>
        </w:rPr>
        <w:t xml:space="preserve">Nature Communications 16, 1415 (2025). doi:10.1038/s41467-024-55639-3</w:t>
      </w:r>
    </w:p>
    <w:p>
      <w:pPr>
        <w:pBdr>
          <w:bottom w:val="single" w:color="AAAAAA" w:sz="4" w:space="1"/>
        </w:pBdr>
        <w:spacing w:after="200" w:before="200"/>
      </w:pPr>
    </w:p>
    <w:p>
      <w:pPr>
        <w:pStyle w:val="Heading1"/>
        <w:spacing w:after="160" w:before="400"/>
      </w:pPr>
      <w:r>
        <w:rPr>
          <w:rFonts w:ascii="Georgia" w:cs="Georgia" w:eastAsia="Georgia" w:hAnsi="Georgia"/>
          <w:b/>
          <w:bCs/>
          <w:sz w:val="28"/>
          <w:szCs w:val="28"/>
        </w:rPr>
        <w:t xml:space="preserve">Part II — The Bang Was Not the Beginning</w:t>
      </w:r>
    </w:p>
    <w:p>
      <w:pPr>
        <w:spacing w:after="160" w:before="0"/>
      </w:pPr>
      <w:r>
        <w:rPr>
          <w:rFonts w:ascii="Georgia" w:cs="Georgia" w:eastAsia="Georgia" w:hAnsi="Georgia"/>
          <w:sz w:val="22"/>
          <w:szCs w:val="22"/>
        </w:rPr>
        <w:t xml:space="preserve">The Big Bang model implies an instantaneous origin — a singularity from which everything erupts at once. A singularity is not an explanation. It is the place where the equations break down. Several independent lines of peer-reviewed research propose the same answer: something came before, and it was slow.</w:t>
      </w:r>
    </w:p>
    <w:p>
      <w:pPr>
        <w:pStyle w:val="Heading2"/>
        <w:spacing w:after="120" w:before="280"/>
      </w:pPr>
      <w:r>
        <w:rPr>
          <w:rFonts w:ascii="Georgia" w:cs="Georgia" w:eastAsia="Georgia" w:hAnsi="Georgia"/>
          <w:b/>
          <w:bCs/>
          <w:sz w:val="22"/>
          <w:szCs w:val="22"/>
        </w:rPr>
        <w:t xml:space="preserve">Wetterich (2014) — Hot big bang or slow freeze?</w:t>
      </w:r>
    </w:p>
    <w:p>
      <w:pPr>
        <w:spacing w:after="80" w:before="80"/>
        <w:ind w:left="720"/>
      </w:pPr>
      <w:r>
        <w:rPr>
          <w:rFonts w:ascii="Georgia" w:cs="Georgia" w:eastAsia="Georgia" w:hAnsi="Georgia"/>
          <w:i/>
          <w:iCs/>
          <w:sz w:val="18"/>
          <w:szCs w:val="18"/>
        </w:rPr>
        <w:t xml:space="preserve">arXiv:1401.5313  ·  Christof Wetterich, Universität Heidelberg</w:t>
      </w:r>
    </w:p>
    <w:p>
      <w:pPr>
        <w:spacing w:after="160" w:before="0"/>
      </w:pPr>
      <w:r>
        <w:rPr>
          <w:rFonts w:ascii="Georgia" w:cs="Georgia" w:eastAsia="Georgia" w:hAnsi="Georgia"/>
          <w:sz w:val="22"/>
          <w:szCs w:val="22"/>
        </w:rPr>
        <w:t xml:space="preserve">Wetterich proposes that the Big Bang may be mathematically equivalent to a universe emerging from an extremely cold, slowly evolving prior state — a freeze from which the universe gradually thawed. No singularity required. Compatible with all current observations.</w:t>
      </w:r>
    </w:p>
    <w:p>
      <w:pPr>
        <w:spacing w:after="160" w:before="0"/>
      </w:pPr>
      <w:r>
        <w:rPr>
          <w:rFonts w:ascii="Georgia" w:cs="Georgia" w:eastAsia="Georgia" w:hAnsi="Georgia"/>
          <w:b/>
          <w:bCs/>
          <w:sz w:val="22"/>
          <w:szCs w:val="22"/>
        </w:rPr>
        <w:t xml:space="preserve">Alignment:  </w:t>
      </w:r>
      <w:r>
        <w:rPr>
          <w:rFonts w:ascii="Georgia" w:cs="Georgia" w:eastAsia="Georgia" w:hAnsi="Georgia"/>
          <w:sz w:val="22"/>
          <w:szCs w:val="22"/>
        </w:rPr>
        <w:t xml:space="preserve">The slow, cold pre-Bang state maps directly to TPI accumulating below 1.0 — IL and OA building incrementally against RC before the threshold is crossed. The Bang is 1.0. The universe is the reset state at 3.0.</w:t>
      </w:r>
    </w:p>
    <w:p>
      <w:pPr>
        <w:pStyle w:val="Heading2"/>
        <w:spacing w:after="120" w:before="280"/>
      </w:pPr>
      <w:r>
        <w:rPr>
          <w:rFonts w:ascii="Georgia" w:cs="Georgia" w:eastAsia="Georgia" w:hAnsi="Georgia"/>
          <w:b/>
          <w:bCs/>
          <w:sz w:val="22"/>
          <w:szCs w:val="22"/>
        </w:rPr>
        <w:t xml:space="preserve">Gasperini (2021) — Pre-Big Bang String Cosmology</w:t>
      </w:r>
    </w:p>
    <w:p>
      <w:pPr>
        <w:spacing w:after="80" w:before="80"/>
        <w:ind w:left="720"/>
      </w:pPr>
      <w:r>
        <w:rPr>
          <w:rFonts w:ascii="Georgia" w:cs="Georgia" w:eastAsia="Georgia" w:hAnsi="Georgia"/>
          <w:i/>
          <w:iCs/>
          <w:sz w:val="18"/>
          <w:szCs w:val="18"/>
        </w:rPr>
        <w:t xml:space="preserve">Philosophical Transactions of the Royal Society A  ·  doi:10.1098/rsta.2021.0179</w:t>
      </w:r>
    </w:p>
    <w:p>
      <w:pPr>
        <w:spacing w:after="160" w:before="0"/>
      </w:pPr>
      <w:r>
        <w:rPr>
          <w:rFonts w:ascii="Georgia" w:cs="Georgia" w:eastAsia="Georgia" w:hAnsi="Georgia"/>
          <w:sz w:val="22"/>
          <w:szCs w:val="22"/>
        </w:rPr>
        <w:t xml:space="preserve">Gasperini's model replaces the Bang singularity with a big bounce prepared by a long — possibly infinitely extended — phase of prior cosmic evolution from a flat, cold, empty initial state. The Bang is the transition point at the end of a slow buildup, not the beginning.</w:t>
      </w:r>
    </w:p>
    <w:p>
      <w:pPr>
        <w:spacing w:after="160" w:before="0"/>
      </w:pPr>
      <w:r>
        <w:rPr>
          <w:rFonts w:ascii="Georgia" w:cs="Georgia" w:eastAsia="Georgia" w:hAnsi="Georgia"/>
          <w:b/>
          <w:bCs/>
          <w:sz w:val="22"/>
          <w:szCs w:val="22"/>
        </w:rPr>
        <w:t xml:space="preserve">Alignment:  </w:t>
      </w:r>
      <w:r>
        <w:rPr>
          <w:rFonts w:ascii="Georgia" w:cs="Georgia" w:eastAsia="Georgia" w:hAnsi="Georgia"/>
          <w:sz w:val="22"/>
          <w:szCs w:val="22"/>
        </w:rPr>
        <w:t xml:space="preserve">A boundary holding under accumulating pressure. A preparation phase of indeterminate length. A transition — not an explosion from nothing.</w:t>
      </w:r>
    </w:p>
    <w:p>
      <w:pPr>
        <w:pStyle w:val="Heading2"/>
        <w:spacing w:after="120" w:before="280"/>
      </w:pPr>
      <w:r>
        <w:rPr>
          <w:rFonts w:ascii="Georgia" w:cs="Georgia" w:eastAsia="Georgia" w:hAnsi="Georgia"/>
          <w:b/>
          <w:bCs/>
          <w:sz w:val="22"/>
          <w:szCs w:val="22"/>
        </w:rPr>
        <w:t xml:space="preserve">Steinhardt &amp; Turok (2004) — Ekpyrotic / Cyclic Universe</w:t>
      </w:r>
    </w:p>
    <w:p>
      <w:pPr>
        <w:spacing w:after="80" w:before="80"/>
        <w:ind w:left="720"/>
      </w:pPr>
      <w:r>
        <w:rPr>
          <w:rFonts w:ascii="Georgia" w:cs="Georgia" w:eastAsia="Georgia" w:hAnsi="Georgia"/>
          <w:i/>
          <w:iCs/>
          <w:sz w:val="18"/>
          <w:szCs w:val="18"/>
        </w:rPr>
        <w:t xml:space="preserve">arXiv:hep-th/0403020</w:t>
      </w:r>
    </w:p>
    <w:p>
      <w:pPr>
        <w:spacing w:after="160" w:before="0"/>
      </w:pPr>
      <w:r>
        <w:rPr>
          <w:rFonts w:ascii="Georgia" w:cs="Georgia" w:eastAsia="Georgia" w:hAnsi="Georgia"/>
          <w:sz w:val="22"/>
          <w:szCs w:val="22"/>
        </w:rPr>
        <w:t xml:space="preserve">The Bang was caused by the slow collision of membranes across a fourth spatial dimension — a pre-Bang epoch during which structure and pattern were already being produced. The Bang is an event within a longer process.</w:t>
      </w:r>
    </w:p>
    <w:p>
      <w:pPr>
        <w:spacing w:after="160" w:before="0"/>
      </w:pPr>
      <w:r>
        <w:rPr>
          <w:rFonts w:ascii="Georgia" w:cs="Georgia" w:eastAsia="Georgia" w:hAnsi="Georgia"/>
          <w:b/>
          <w:bCs/>
          <w:sz w:val="22"/>
          <w:szCs w:val="22"/>
        </w:rPr>
        <w:t xml:space="preserve">Alignment:  </w:t>
      </w:r>
      <w:r>
        <w:rPr>
          <w:rFonts w:ascii="Georgia" w:cs="Georgia" w:eastAsia="Georgia" w:hAnsi="Georgia"/>
          <w:sz w:val="22"/>
          <w:szCs w:val="22"/>
        </w:rPr>
        <w:t xml:space="preserve">Structure preceded the Bang. Something was already organizing before the threshold was crossed. The Bang did not create order. It released it.</w:t>
      </w:r>
    </w:p>
    <w:p>
      <w:pPr>
        <w:pStyle w:val="Heading2"/>
        <w:spacing w:after="120" w:before="280"/>
      </w:pPr>
      <w:r>
        <w:rPr>
          <w:rFonts w:ascii="Georgia" w:cs="Georgia" w:eastAsia="Georgia" w:hAnsi="Georgia"/>
          <w:b/>
          <w:bCs/>
          <w:sz w:val="22"/>
          <w:szCs w:val="22"/>
        </w:rPr>
        <w:t xml:space="preserve">What the Framework Adds</w:t>
      </w:r>
    </w:p>
    <w:p>
      <w:pPr>
        <w:spacing w:after="160" w:before="0"/>
      </w:pPr>
      <w:r>
        <w:rPr>
          <w:rFonts w:ascii="Georgia" w:cs="Georgia" w:eastAsia="Georgia" w:hAnsi="Georgia"/>
          <w:sz w:val="22"/>
          <w:szCs w:val="22"/>
        </w:rPr>
        <w:t xml:space="preserve">None of the above asks what was accumulating, what was pressing, what was resisting, or what crossed first. The Pre-Bang Network Cascade framework applies TPI directly to the pre-Bang state:</w:t>
      </w:r>
    </w:p>
    <w:p>
      <w:pPr>
        <w:spacing w:after="160" w:before="0"/>
      </w:pPr>
      <w:r>
        <w:rPr>
          <w:rFonts w:ascii="Georgia" w:cs="Georgia" w:eastAsia="Georgia" w:hAnsi="Georgia"/>
          <w:b/>
          <w:bCs/>
          <w:sz w:val="22"/>
          <w:szCs w:val="22"/>
        </w:rPr>
        <w:t xml:space="preserve">The pre-Bang state  </w:t>
      </w:r>
      <w:r>
        <w:rPr>
          <w:rFonts w:ascii="Georgia" w:cs="Georgia" w:eastAsia="Georgia" w:hAnsi="Georgia"/>
          <w:sz w:val="22"/>
          <w:szCs w:val="22"/>
        </w:rPr>
        <w:t xml:space="preserve">RC at maximum integrity — resistance holding</w:t>
      </w:r>
    </w:p>
    <w:p>
      <w:pPr>
        <w:spacing w:after="160" w:before="0"/>
      </w:pPr>
      <w:r>
        <w:rPr>
          <w:rFonts w:ascii="Georgia" w:cs="Georgia" w:eastAsia="Georgia" w:hAnsi="Georgia"/>
          <w:b/>
          <w:bCs/>
          <w:sz w:val="22"/>
          <w:szCs w:val="22"/>
        </w:rPr>
        <w:t xml:space="preserve">The slow buildup  </w:t>
      </w:r>
      <w:r>
        <w:rPr>
          <w:rFonts w:ascii="Georgia" w:cs="Georgia" w:eastAsia="Georgia" w:hAnsi="Georgia"/>
          <w:sz w:val="22"/>
          <w:szCs w:val="22"/>
        </w:rPr>
        <w:t xml:space="preserve">IL + OA accumulating across an extended phase</w:t>
      </w:r>
    </w:p>
    <w:p>
      <w:pPr>
        <w:spacing w:after="160" w:before="0"/>
      </w:pPr>
      <w:r>
        <w:rPr>
          <w:rFonts w:ascii="Georgia" w:cs="Georgia" w:eastAsia="Georgia" w:hAnsi="Georgia"/>
          <w:b/>
          <w:bCs/>
          <w:sz w:val="22"/>
          <w:szCs w:val="22"/>
        </w:rPr>
        <w:t xml:space="preserve">The Bang  </w:t>
      </w:r>
      <w:r>
        <w:rPr>
          <w:rFonts w:ascii="Georgia" w:cs="Georgia" w:eastAsia="Georgia" w:hAnsi="Georgia"/>
          <w:sz w:val="22"/>
          <w:szCs w:val="22"/>
        </w:rPr>
        <w:t xml:space="preserve">TPI crossing 1.0 — cascade begins, runs to 3.0</w:t>
      </w:r>
    </w:p>
    <w:p>
      <w:pPr>
        <w:spacing w:after="160" w:before="0"/>
      </w:pPr>
      <w:r>
        <w:rPr>
          <w:rFonts w:ascii="Georgia" w:cs="Georgia" w:eastAsia="Georgia" w:hAnsi="Georgia"/>
          <w:b/>
          <w:bCs/>
          <w:sz w:val="22"/>
          <w:szCs w:val="22"/>
        </w:rPr>
        <w:t xml:space="preserve">The universe  </w:t>
      </w:r>
      <w:r>
        <w:rPr>
          <w:rFonts w:ascii="Georgia" w:cs="Georgia" w:eastAsia="Georgia" w:hAnsi="Georgia"/>
          <w:sz w:val="22"/>
          <w:szCs w:val="22"/>
        </w:rPr>
        <w:t xml:space="preserve">the reset state — new equilibrium after full boundary failure</w:t>
      </w:r>
    </w:p>
    <w:p>
      <w:pPr>
        <w:pBdr>
          <w:bottom w:val="single" w:color="AAAAAA" w:sz="4" w:space="1"/>
        </w:pBdr>
        <w:spacing w:after="200" w:before="200"/>
      </w:pPr>
    </w:p>
    <w:p>
      <w:pPr>
        <w:pStyle w:val="Heading1"/>
        <w:spacing w:after="160" w:before="400"/>
      </w:pPr>
      <w:r>
        <w:rPr>
          <w:rFonts w:ascii="Georgia" w:cs="Georgia" w:eastAsia="Georgia" w:hAnsi="Georgia"/>
          <w:b/>
          <w:bCs/>
          <w:sz w:val="28"/>
          <w:szCs w:val="28"/>
        </w:rPr>
        <w:t xml:space="preserve">Part III — Antimatter and the Remainder</w:t>
      </w:r>
    </w:p>
    <w:p>
      <w:pPr>
        <w:pStyle w:val="Heading2"/>
        <w:spacing w:after="120" w:before="280"/>
      </w:pPr>
      <w:r>
        <w:rPr>
          <w:rFonts w:ascii="Georgia" w:cs="Georgia" w:eastAsia="Georgia" w:hAnsi="Georgia"/>
          <w:b/>
          <w:bCs/>
          <w:sz w:val="22"/>
          <w:szCs w:val="22"/>
        </w:rPr>
        <w:t xml:space="preserve">The Antimatter Problem</w:t>
      </w:r>
    </w:p>
    <w:p>
      <w:pPr>
        <w:spacing w:after="160" w:before="0"/>
      </w:pPr>
      <w:r>
        <w:rPr>
          <w:rFonts w:ascii="Georgia" w:cs="Georgia" w:eastAsia="Georgia" w:hAnsi="Georgia"/>
          <w:sz w:val="22"/>
          <w:szCs w:val="22"/>
        </w:rPr>
        <w:t xml:space="preserve">Standard cosmology requires equal amounts of matter and antimatter at the Big Bang. The observed universe contains matter at a ratio of roughly one billion to one. The leading proposed explanation — CP-symmetry violation — has been observed experimentally but falls far short of accounting for the scale of asymmetry. The question remains open.</w:t>
      </w:r>
    </w:p>
    <w:p>
      <w:pPr>
        <w:spacing w:after="160" w:before="0"/>
      </w:pPr>
      <w:r>
        <w:rPr>
          <w:rFonts w:ascii="Georgia" w:cs="Georgia" w:eastAsia="Georgia" w:hAnsi="Georgia"/>
          <w:sz w:val="22"/>
          <w:szCs w:val="22"/>
        </w:rPr>
        <w:t xml:space="preserve">CERN (2024) states the problem directly: the laws of nature do not apply equally to matter and antimatter, and the reasons remain unknown.</w:t>
      </w:r>
    </w:p>
    <w:p>
      <w:pPr>
        <w:spacing w:after="80" w:before="80"/>
        <w:ind w:left="720"/>
      </w:pPr>
      <w:r>
        <w:rPr>
          <w:rFonts w:ascii="Georgia" w:cs="Georgia" w:eastAsia="Georgia" w:hAnsi="Georgia"/>
          <w:i/>
          <w:iCs/>
          <w:sz w:val="18"/>
          <w:szCs w:val="18"/>
        </w:rPr>
        <w:t xml:space="preserve">CERN (2024). The matter-antimatter asymmetry problem.</w:t>
      </w:r>
    </w:p>
    <w:p>
      <w:pPr>
        <w:spacing w:after="80" w:before="80"/>
        <w:ind w:left="720"/>
      </w:pPr>
      <w:r>
        <w:rPr>
          <w:rFonts w:ascii="Georgia" w:cs="Georgia" w:eastAsia="Georgia" w:hAnsi="Georgia"/>
          <w:i/>
          <w:iCs/>
          <w:sz w:val="18"/>
          <w:szCs w:val="18"/>
        </w:rPr>
        <w:t xml:space="preserve">Astronomy.com (2025). How neutrinos could explain matter-antimatter asymmetry.</w:t>
      </w:r>
    </w:p>
    <w:p>
      <w:pPr>
        <w:pStyle w:val="Heading2"/>
        <w:spacing w:after="120" w:before="280"/>
      </w:pPr>
      <w:r>
        <w:rPr>
          <w:rFonts w:ascii="Georgia" w:cs="Georgia" w:eastAsia="Georgia" w:hAnsi="Georgia"/>
          <w:b/>
          <w:bCs/>
          <w:sz w:val="22"/>
          <w:szCs w:val="22"/>
        </w:rPr>
        <w:t xml:space="preserve">A Scientific Neighbor — Zhitnitsky and the AQN Model</w:t>
      </w:r>
    </w:p>
    <w:p>
      <w:pPr>
        <w:spacing w:after="160" w:before="0"/>
      </w:pPr>
      <w:r>
        <w:rPr>
          <w:rFonts w:ascii="Georgia" w:cs="Georgia" w:eastAsia="Georgia" w:hAnsi="Georgia"/>
          <w:sz w:val="22"/>
          <w:szCs w:val="22"/>
        </w:rPr>
        <w:t xml:space="preserve">Ariel Zhitnitsky at UBC has developed the Axion Quark Nugget (AQN) model over twenty years: baryogenesis is a charge segregation process, the global baryon number of the universe remains zero, and the unobserved antibaryons comprise the dark matter — surviving as dense compact nuggets of antiquarks that generate 511 keV emission through positron annihilation at the Galactic Center.</w:t>
      </w:r>
    </w:p>
    <w:p>
      <w:pPr>
        <w:spacing w:after="80" w:before="80"/>
        <w:ind w:left="720"/>
      </w:pPr>
      <w:r>
        <w:rPr>
          <w:rFonts w:ascii="Georgia" w:cs="Georgia" w:eastAsia="Georgia" w:hAnsi="Georgia"/>
          <w:i/>
          <w:iCs/>
          <w:sz w:val="18"/>
          <w:szCs w:val="18"/>
        </w:rPr>
        <w:t xml:space="preserve">Zhitnitsky, A.R. (2021). Axion Quark Nuggets. arXiv:2105.08719</w:t>
      </w:r>
    </w:p>
    <w:p>
      <w:pPr>
        <w:pStyle w:val="Heading2"/>
        <w:spacing w:after="120" w:before="280"/>
      </w:pPr>
      <w:r>
        <w:rPr>
          <w:rFonts w:ascii="Georgia" w:cs="Georgia" w:eastAsia="Georgia" w:hAnsi="Georgia"/>
          <w:b/>
          <w:bCs/>
          <w:sz w:val="22"/>
          <w:szCs w:val="22"/>
        </w:rPr>
        <w:t xml:space="preserve">The Key Distinction</w:t>
      </w:r>
    </w:p>
    <w:p>
      <w:pPr>
        <w:spacing w:after="160" w:before="0"/>
      </w:pPr>
      <w:r>
        <w:rPr>
          <w:rFonts w:ascii="Georgia" w:cs="Georgia" w:eastAsia="Georgia" w:hAnsi="Georgia"/>
          <w:sz w:val="22"/>
          <w:szCs w:val="22"/>
        </w:rPr>
        <w:t xml:space="preserve">Zhitnitsky's nuggets are localized, compact, electromagnetic at their surface — detectable in principle as particles. The Pre-Bang framework proposes a distributed gravitational substrate: antimatter that underwent a phase transition from electromagnetically active barriers to gravitational-only field at the threshold crossing, distributed as the scaffolding of the universe itself. The electromagnetic properties were lost. The gravitational properties — the remainder — persisted.</w:t>
      </w:r>
    </w:p>
    <w:p>
      <w:pPr>
        <w:spacing w:after="160" w:before="0"/>
      </w:pPr>
      <w:r>
        <w:rPr>
          <w:rFonts w:ascii="Georgia" w:cs="Georgia" w:eastAsia="Georgia" w:hAnsi="Georgia"/>
          <w:sz w:val="22"/>
          <w:szCs w:val="22"/>
        </w:rPr>
        <w:t xml:space="preserve">Both frameworks reach the same anomaly through different mechanisms. They may be looking at the same signal from different distances.</w:t>
      </w:r>
    </w:p>
    <w:p>
      <w:pPr>
        <w:pStyle w:val="Heading2"/>
        <w:spacing w:after="120" w:before="280"/>
      </w:pPr>
      <w:r>
        <w:rPr>
          <w:rFonts w:ascii="Georgia" w:cs="Georgia" w:eastAsia="Georgia" w:hAnsi="Georgia"/>
          <w:b/>
          <w:bCs/>
          <w:sz w:val="22"/>
          <w:szCs w:val="22"/>
        </w:rPr>
        <w:t xml:space="preserve">The Mathematical Expression</w:t>
      </w:r>
    </w:p>
    <w:p>
      <w:pPr>
        <w:spacing w:after="160" w:before="0"/>
      </w:pPr>
      <w:r>
        <w:rPr>
          <w:rFonts w:ascii="Georgia" w:cs="Georgia" w:eastAsia="Georgia" w:hAnsi="Georgia"/>
          <w:sz w:val="22"/>
          <w:szCs w:val="22"/>
        </w:rPr>
        <w:t xml:space="preserve">The conversion is expressed through two coupled scalar fields. The pre-Bang network energy is carried by the φ field. Following cascade transition, the converted substrate is carried by the χ field, evolving as cold matter:</w:t>
      </w:r>
    </w:p>
    <w:p>
      <w:pPr>
        <w:spacing w:after="160" w:before="160"/>
        <w:jc w:val="center"/>
      </w:pPr>
      <w:r>
        <w:rPr>
          <w:rFonts w:ascii="Courier New" w:cs="Courier New" w:eastAsia="Courier New" w:hAnsi="Courier New"/>
          <w:b/>
          <w:bCs/>
          <w:sz w:val="24"/>
          <w:szCs w:val="24"/>
        </w:rPr>
        <w:t xml:space="preserve">ρχ ∝ a⁻³</w:t>
      </w:r>
    </w:p>
    <w:p>
      <w:pPr>
        <w:spacing w:after="160" w:before="0"/>
      </w:pPr>
      <w:r>
        <w:rPr>
          <w:rFonts w:ascii="Georgia" w:cs="Georgia" w:eastAsia="Georgia" w:hAnsi="Georgia"/>
          <w:sz w:val="22"/>
          <w:szCs w:val="22"/>
        </w:rPr>
        <w:t xml:space="preserve">where a is the scale factor — consistent with observed dark matter behaviour.</w:t>
      </w:r>
    </w:p>
    <w:p>
      <w:pPr>
        <w:spacing w:after="160" w:before="160"/>
        <w:jc w:val="center"/>
      </w:pPr>
      <w:r>
        <w:rPr>
          <w:rFonts w:ascii="Courier New" w:cs="Courier New" w:eastAsia="Courier New" w:hAnsi="Courier New"/>
          <w:b/>
          <w:bCs/>
          <w:sz w:val="24"/>
          <w:szCs w:val="24"/>
        </w:rPr>
        <w:t xml:space="preserve">ρ_total = ρφ + ρχ</w:t>
      </w:r>
    </w:p>
    <w:p>
      <w:pPr>
        <w:spacing w:after="160" w:before="0"/>
      </w:pPr>
      <w:r>
        <w:rPr>
          <w:rFonts w:ascii="Georgia" w:cs="Georgia" w:eastAsia="Georgia" w:hAnsi="Georgia"/>
          <w:sz w:val="22"/>
          <w:szCs w:val="22"/>
        </w:rPr>
        <w:t xml:space="preserve">Total energy density conserved. Nothing is lost.</w:t>
      </w:r>
    </w:p>
    <w:p>
      <w:pPr>
        <w:spacing w:after="160" w:before="0"/>
      </w:pPr>
      <w:r>
        <w:rPr>
          <w:rFonts w:ascii="Georgia" w:cs="Georgia" w:eastAsia="Georgia" w:hAnsi="Georgia"/>
          <w:sz w:val="22"/>
          <w:szCs w:val="22"/>
        </w:rPr>
        <w:t xml:space="preserve">The coupling dynamics governing the transition remain to be specified within a full field-theoretic treatment.</w:t>
      </w:r>
    </w:p>
    <w:p>
      <w:pPr>
        <w:pStyle w:val="Heading2"/>
        <w:spacing w:after="120" w:before="280"/>
      </w:pPr>
      <w:r>
        <w:rPr>
          <w:rFonts w:ascii="Georgia" w:cs="Georgia" w:eastAsia="Georgia" w:hAnsi="Georgia"/>
          <w:b/>
          <w:bCs/>
          <w:sz w:val="22"/>
          <w:szCs w:val="22"/>
        </w:rPr>
        <w:t xml:space="preserve">The Conversion Is Not Complete</w:t>
      </w:r>
    </w:p>
    <w:p>
      <w:pPr>
        <w:spacing w:after="160" w:before="0"/>
      </w:pPr>
      <w:r>
        <w:rPr>
          <w:rFonts w:ascii="Georgia" w:cs="Georgia" w:eastAsia="Georgia" w:hAnsi="Georgia"/>
          <w:sz w:val="22"/>
          <w:szCs w:val="22"/>
        </w:rPr>
        <w:t xml:space="preserve">A phase transition is not total annihilation. The cascade runs from 1.0 to reset at 3.0 — but conversion is not total. Under conditions of extreme density, the boundary between the converted substrate and matter becomes permeable. Residual interaction produces anomalous ionization, electron-positron pair production, and a 511 keV gamma-ray signature — consistent with the anomalies observed in the Central Molecular Zone and other dense astrophysical environments as documented in Part I.</w:t>
      </w:r>
    </w:p>
    <w:p>
      <w:pPr>
        <w:pBdr>
          <w:bottom w:val="single" w:color="AAAAAA" w:sz="4" w:space="1"/>
        </w:pBdr>
        <w:spacing w:after="200" w:before="200"/>
      </w:pPr>
    </w:p>
    <w:p>
      <w:pPr>
        <w:pStyle w:val="Heading1"/>
        <w:spacing w:after="160" w:before="400"/>
      </w:pPr>
      <w:r>
        <w:rPr>
          <w:rFonts w:ascii="Georgia" w:cs="Georgia" w:eastAsia="Georgia" w:hAnsi="Georgia"/>
          <w:b/>
          <w:bCs/>
          <w:sz w:val="28"/>
          <w:szCs w:val="28"/>
        </w:rPr>
        <w:t xml:space="preserve">Part IV — The Observed Anomalies</w:t>
      </w:r>
    </w:p>
    <w:p>
      <w:pPr>
        <w:pStyle w:val="Heading2"/>
        <w:spacing w:after="120" w:before="280"/>
      </w:pPr>
      <w:r>
        <w:rPr>
          <w:rFonts w:ascii="Georgia" w:cs="Georgia" w:eastAsia="Georgia" w:hAnsi="Georgia"/>
          <w:b/>
          <w:bCs/>
          <w:sz w:val="22"/>
          <w:szCs w:val="22"/>
        </w:rPr>
        <w:t xml:space="preserve">The Central Molecular Zone</w:t>
      </w:r>
    </w:p>
    <w:p>
      <w:pPr>
        <w:spacing w:after="160" w:before="0"/>
      </w:pPr>
      <w:r>
        <w:rPr>
          <w:rFonts w:ascii="Georgia" w:cs="Georgia" w:eastAsia="Georgia" w:hAnsi="Georgia"/>
          <w:sz w:val="22"/>
          <w:szCs w:val="22"/>
        </w:rPr>
        <w:t xml:space="preserve">The CMZ is the densest molecular gas environment in the Galaxy, and exactly where the framework predicts residual substrate interaction would be most detectable.</w:t>
      </w:r>
    </w:p>
    <w:p>
      <w:pPr>
        <w:pStyle w:val="Heading2"/>
        <w:spacing w:after="120" w:before="280"/>
      </w:pPr>
      <w:r>
        <w:rPr>
          <w:rFonts w:ascii="Georgia" w:cs="Georgia" w:eastAsia="Georgia" w:hAnsi="Georgia"/>
          <w:b/>
          <w:bCs/>
          <w:sz w:val="22"/>
          <w:szCs w:val="22"/>
        </w:rPr>
        <w:t xml:space="preserve">Anomaly One — The Elevated Ionization Rate</w:t>
      </w:r>
    </w:p>
    <w:p>
      <w:pPr>
        <w:spacing w:after="160" w:before="0"/>
      </w:pPr>
      <w:r>
        <w:rPr>
          <w:rFonts w:ascii="Georgia" w:cs="Georgia" w:eastAsia="Georgia" w:hAnsi="Georgia"/>
          <w:sz w:val="22"/>
          <w:szCs w:val="22"/>
        </w:rPr>
        <w:t xml:space="preserve">The molecular ionization rate in the CMZ is anomalously high — far above what known sources can account for. In March 2025, De la Torre Luque, Balaji, and Silk published in Physical Review Letters that this could be attributed to MeV-scale dark matter annihilating into electron-positron pairs.</w:t>
      </w:r>
    </w:p>
    <w:p>
      <w:pPr>
        <w:spacing w:after="80" w:before="80"/>
        <w:ind w:left="720"/>
      </w:pPr>
      <w:r>
        <w:rPr>
          <w:rFonts w:ascii="Georgia" w:cs="Georgia" w:eastAsia="Georgia" w:hAnsi="Georgia"/>
          <w:i/>
          <w:iCs/>
          <w:sz w:val="18"/>
          <w:szCs w:val="18"/>
        </w:rPr>
        <w:t xml:space="preserve">De la Torre Luque, P., Balaji, S., Silk, J. (2025). Physical Review Letters 134, 101001. DOI: 10.1103/PhysRevLett.134.101001</w:t>
      </w:r>
    </w:p>
    <w:p>
      <w:pPr>
        <w:pStyle w:val="Heading2"/>
        <w:spacing w:after="120" w:before="280"/>
      </w:pPr>
      <w:r>
        <w:rPr>
          <w:rFonts w:ascii="Georgia" w:cs="Georgia" w:eastAsia="Georgia" w:hAnsi="Georgia"/>
          <w:b/>
          <w:bCs/>
          <w:sz w:val="22"/>
          <w:szCs w:val="22"/>
        </w:rPr>
        <w:t xml:space="preserve">Anomaly Two — The 511 keV Positron Puzzle</w:t>
      </w:r>
    </w:p>
    <w:p>
      <w:pPr>
        <w:spacing w:after="160" w:before="0"/>
      </w:pPr>
      <w:r>
        <w:rPr>
          <w:rFonts w:ascii="Georgia" w:cs="Georgia" w:eastAsia="Georgia" w:hAnsi="Georgia"/>
          <w:sz w:val="22"/>
          <w:szCs w:val="22"/>
        </w:rPr>
        <w:t xml:space="preserve">A 511 keV gamma-ray line from the Galactic Center has been measured since the 1970s. After fifty years, its source remains unidentified. De la Torre Luque et al. (2025) propose both the ionization anomaly and the 511 keV signal share a common origin. They name it dark matter. The mechanism remains open.</w:t>
      </w:r>
    </w:p>
    <w:p>
      <w:pPr>
        <w:pBdr>
          <w:bottom w:val="single" w:color="AAAAAA" w:sz="4" w:space="1"/>
        </w:pBdr>
        <w:spacing w:after="200" w:before="200"/>
      </w:pPr>
    </w:p>
    <w:p>
      <w:pPr>
        <w:pStyle w:val="Heading1"/>
        <w:spacing w:after="160" w:before="400"/>
      </w:pPr>
      <w:r>
        <w:rPr>
          <w:rFonts w:ascii="Georgia" w:cs="Georgia" w:eastAsia="Georgia" w:hAnsi="Georgia"/>
          <w:b/>
          <w:bCs/>
          <w:sz w:val="28"/>
          <w:szCs w:val="28"/>
        </w:rPr>
        <w:t xml:space="preserve">Part V — The Proposed Connection</w:t>
      </w:r>
    </w:p>
    <w:p>
      <w:pPr>
        <w:pStyle w:val="Heading2"/>
        <w:spacing w:after="120" w:before="280"/>
      </w:pPr>
      <w:r>
        <w:rPr>
          <w:rFonts w:ascii="Georgia" w:cs="Georgia" w:eastAsia="Georgia" w:hAnsi="Georgia"/>
          <w:b/>
          <w:bCs/>
          <w:sz w:val="22"/>
          <w:szCs w:val="22"/>
        </w:rPr>
        <w:t xml:space="preserve">The Reciprocity Indicator</w:t>
      </w:r>
    </w:p>
    <w:p>
      <w:pPr>
        <w:spacing w:after="160" w:before="0"/>
      </w:pPr>
      <w:r>
        <w:rPr>
          <w:rFonts w:ascii="Georgia" w:cs="Georgia" w:eastAsia="Georgia" w:hAnsi="Georgia"/>
          <w:sz w:val="22"/>
          <w:szCs w:val="22"/>
        </w:rPr>
        <w:t xml:space="preserve">What presses in without pressing back reveals the character of what is pressing — applied to the CMZ, a distributed field acting gravitationally without electromagnetic reciprocity would produce exactly the observed pattern: pressure without a visible source, load without a detectable carrier.</w:t>
      </w:r>
    </w:p>
    <w:p>
      <w:pPr>
        <w:pStyle w:val="Heading2"/>
        <w:spacing w:after="120" w:before="280"/>
      </w:pPr>
      <w:r>
        <w:rPr>
          <w:rFonts w:ascii="Georgia" w:cs="Georgia" w:eastAsia="Georgia" w:hAnsi="Georgia"/>
          <w:b/>
          <w:bCs/>
          <w:sz w:val="22"/>
          <w:szCs w:val="22"/>
        </w:rPr>
        <w:t xml:space="preserve">Three Frameworks, One Signal</w:t>
      </w:r>
    </w:p>
    <w:p>
      <w:pPr>
        <w:spacing w:after="160" w:before="0"/>
      </w:pPr>
      <w:r>
        <w:rPr>
          <w:rFonts w:ascii="Georgia" w:cs="Georgia" w:eastAsia="Georgia" w:hAnsi="Georgia"/>
          <w:b/>
          <w:bCs/>
          <w:sz w:val="22"/>
          <w:szCs w:val="22"/>
        </w:rPr>
        <w:t xml:space="preserve">De la Torre Luque et al. (2025)  </w:t>
      </w:r>
      <w:r>
        <w:rPr>
          <w:rFonts w:ascii="Georgia" w:cs="Georgia" w:eastAsia="Georgia" w:hAnsi="Georgia"/>
          <w:sz w:val="22"/>
          <w:szCs w:val="22"/>
        </w:rPr>
        <w:t xml:space="preserve">name the signal dark matter. The mechanism is open.</w:t>
      </w:r>
    </w:p>
    <w:p>
      <w:pPr>
        <w:spacing w:after="160" w:before="0"/>
      </w:pPr>
      <w:r>
        <w:rPr>
          <w:rFonts w:ascii="Georgia" w:cs="Georgia" w:eastAsia="Georgia" w:hAnsi="Georgia"/>
          <w:b/>
          <w:bCs/>
          <w:sz w:val="22"/>
          <w:szCs w:val="22"/>
        </w:rPr>
        <w:t xml:space="preserve">Zhitnitsky’s AQN model  </w:t>
      </w:r>
      <w:r>
        <w:rPr>
          <w:rFonts w:ascii="Georgia" w:cs="Georgia" w:eastAsia="Georgia" w:hAnsi="Georgia"/>
          <w:sz w:val="22"/>
          <w:szCs w:val="22"/>
        </w:rPr>
        <w:t xml:space="preserve">proposes compact antimatter nuggets as the source. Twenty years of peer-reviewed work.</w:t>
      </w:r>
    </w:p>
    <w:p>
      <w:pPr>
        <w:spacing w:after="160" w:before="0"/>
      </w:pPr>
      <w:r>
        <w:rPr>
          <w:rFonts w:ascii="Georgia" w:cs="Georgia" w:eastAsia="Georgia" w:hAnsi="Georgia"/>
          <w:b/>
          <w:bCs/>
          <w:sz w:val="22"/>
          <w:szCs w:val="22"/>
        </w:rPr>
        <w:t xml:space="preserve">Pre-Bang Network Cascade framework  </w:t>
      </w:r>
      <w:r>
        <w:rPr>
          <w:rFonts w:ascii="Georgia" w:cs="Georgia" w:eastAsia="Georgia" w:hAnsi="Georgia"/>
          <w:sz w:val="22"/>
          <w:szCs w:val="22"/>
        </w:rPr>
        <w:t xml:space="preserve">proposes distributed converted antimatter substrate — the remainder of the pre-Bang organizing field after threshold crossing — producing residual interaction at the phase boundary under extreme density.</w:t>
      </w:r>
    </w:p>
    <w:p>
      <w:pPr>
        <w:spacing w:after="80" w:before="80"/>
      </w:pPr>
    </w:p>
    <w:p>
      <w:pPr>
        <w:spacing w:after="160" w:before="0"/>
      </w:pPr>
      <w:r>
        <w:rPr>
          <w:rFonts w:ascii="Georgia" w:cs="Georgia" w:eastAsia="Georgia" w:hAnsi="Georgia"/>
          <w:sz w:val="22"/>
          <w:szCs w:val="22"/>
        </w:rPr>
        <w:t xml:space="preserve">Three frameworks. The same signal. Different distances from the source.</w:t>
      </w:r>
    </w:p>
    <w:p>
      <w:pPr>
        <w:pBdr>
          <w:bottom w:val="single" w:color="AAAAAA" w:sz="4" w:space="1"/>
        </w:pBdr>
        <w:spacing w:after="200" w:before="200"/>
      </w:pPr>
    </w:p>
    <w:p>
      <w:pPr>
        <w:pStyle w:val="Heading1"/>
        <w:spacing w:after="160" w:before="400"/>
      </w:pPr>
      <w:r>
        <w:rPr>
          <w:rFonts w:ascii="Georgia" w:cs="Georgia" w:eastAsia="Georgia" w:hAnsi="Georgia"/>
          <w:b/>
          <w:bCs/>
          <w:sz w:val="28"/>
          <w:szCs w:val="28"/>
        </w:rPr>
        <w:t xml:space="preserve">Part VI — Threshold Reset</w:t>
      </w:r>
    </w:p>
    <w:p>
      <w:pPr>
        <w:spacing w:after="160" w:before="0"/>
      </w:pPr>
      <w:r>
        <w:rPr>
          <w:rFonts w:ascii="Georgia" w:cs="Georgia" w:eastAsia="Georgia" w:hAnsi="Georgia"/>
          <w:sz w:val="22"/>
          <w:szCs w:val="22"/>
        </w:rPr>
        <w:t xml:space="preserve">The Bang was not the beginning. It was a threshold crossing — the moment when a long, slow, cold pre-Bang organizing field accumulated past its containing resistance. TPI crossed 1.0. Cascade began. It ran to completion. The universe is the reset state.</w:t>
      </w:r>
    </w:p>
    <w:p>
      <w:pPr>
        <w:spacing w:after="160" w:before="0"/>
      </w:pPr>
      <w:r>
        <w:rPr>
          <w:rFonts w:ascii="Georgia" w:cs="Georgia" w:eastAsia="Georgia" w:hAnsi="Georgia"/>
          <w:sz w:val="22"/>
          <w:szCs w:val="22"/>
        </w:rPr>
        <w:t xml:space="preserve">Antimatter did not disappear. It converted at the threshold crossing — from electromagnetically active barriers to distributed gravitational substrate, invisible to electromagnetic observation, detectable through gravitational effects and, at extreme densities, through the residual interaction the Reciprocity Indicator predicted.</w:t>
      </w:r>
    </w:p>
    <w:p>
      <w:pPr>
        <w:spacing w:after="160" w:before="0"/>
      </w:pPr>
      <w:r>
        <w:rPr>
          <w:rFonts w:ascii="Georgia" w:cs="Georgia" w:eastAsia="Georgia" w:hAnsi="Georgia"/>
          <w:sz w:val="22"/>
          <w:szCs w:val="22"/>
        </w:rPr>
        <w:t xml:space="preserve">The Central Molecular Zone is where the converted state and the matter state meet at closest approach. The signal is there. Zhitnitsky's group has been measuring it for twenty years. De la Torre Luque's team found it again in 2025.</w:t>
      </w:r>
    </w:p>
    <w:p>
      <w:pPr>
        <w:pBdr>
          <w:bottom w:val="single" w:color="AAAAAA" w:sz="4" w:space="1"/>
        </w:pBdr>
        <w:spacing w:after="200" w:before="200"/>
      </w:pPr>
    </w:p>
    <w:p>
      <w:pPr>
        <w:pStyle w:val="Heading1"/>
        <w:spacing w:after="160" w:before="400"/>
      </w:pPr>
      <w:r>
        <w:rPr>
          <w:rFonts w:ascii="Georgia" w:cs="Georgia" w:eastAsia="Georgia" w:hAnsi="Georgia"/>
          <w:b/>
          <w:bCs/>
          <w:sz w:val="28"/>
          <w:szCs w:val="28"/>
        </w:rPr>
        <w:t xml:space="preserve">References</w:t>
      </w:r>
    </w:p>
    <w:p>
      <w:pPr>
        <w:pStyle w:val="Heading2"/>
        <w:spacing w:after="120" w:before="280"/>
      </w:pPr>
      <w:r>
        <w:rPr>
          <w:rFonts w:ascii="Georgia" w:cs="Georgia" w:eastAsia="Georgia" w:hAnsi="Georgia"/>
          <w:b/>
          <w:bCs/>
          <w:sz w:val="22"/>
          <w:szCs w:val="22"/>
        </w:rPr>
        <w:t xml:space="preserve">Pre-Bang Network Cascade Framework</w:t>
      </w:r>
    </w:p>
    <w:p>
      <w:pPr>
        <w:spacing w:after="80" w:before="80"/>
        <w:ind w:left="720"/>
      </w:pPr>
      <w:r>
        <w:rPr>
          <w:rFonts w:ascii="Georgia" w:cs="Georgia" w:eastAsia="Georgia" w:hAnsi="Georgia"/>
          <w:i/>
          <w:iCs/>
          <w:sz w:val="18"/>
          <w:szCs w:val="18"/>
        </w:rPr>
        <w:t xml:space="preserve">Jones, D.C. (2026). Pre-Bang Framework: Network Threshold Cascade Mechanics. DOI: 10.5281/zenodo.19854376</w:t>
      </w:r>
    </w:p>
    <w:p>
      <w:pPr>
        <w:pStyle w:val="Heading2"/>
        <w:spacing w:after="120" w:before="280"/>
      </w:pPr>
      <w:r>
        <w:rPr>
          <w:rFonts w:ascii="Georgia" w:cs="Georgia" w:eastAsia="Georgia" w:hAnsi="Georgia"/>
          <w:b/>
          <w:bCs/>
          <w:sz w:val="22"/>
          <w:szCs w:val="22"/>
        </w:rPr>
        <w:t xml:space="preserve">Plasma Physics — Non-Reciprocal Boundary Forces</w:t>
      </w:r>
    </w:p>
    <w:p>
      <w:pPr>
        <w:spacing w:after="80" w:before="80"/>
        <w:ind w:left="720"/>
      </w:pPr>
      <w:r>
        <w:rPr>
          <w:rFonts w:ascii="Georgia" w:cs="Georgia" w:eastAsia="Georgia" w:hAnsi="Georgia"/>
          <w:i/>
          <w:iCs/>
          <w:sz w:val="18"/>
          <w:szCs w:val="18"/>
        </w:rPr>
        <w:t xml:space="preserve">Yu, W., Abdelaleem, E., Nemenman, I., Burton, J.C. (2025). Physics-tailored machine learning reveals unexpected physics in dusty plasmas. PNAS 122(31): e2505725122. doi:10.1073/pnas.2505725122</w:t>
      </w:r>
    </w:p>
    <w:p>
      <w:pPr>
        <w:pStyle w:val="Heading2"/>
        <w:spacing w:after="120" w:before="280"/>
      </w:pPr>
      <w:r>
        <w:rPr>
          <w:rFonts w:ascii="Georgia" w:cs="Georgia" w:eastAsia="Georgia" w:hAnsi="Georgia"/>
          <w:b/>
          <w:bCs/>
          <w:sz w:val="22"/>
          <w:szCs w:val="22"/>
        </w:rPr>
        <w:t xml:space="preserve">Cascade Dynamics</w:t>
      </w:r>
    </w:p>
    <w:p>
      <w:pPr>
        <w:spacing w:after="80" w:before="80"/>
        <w:ind w:left="720"/>
      </w:pPr>
      <w:r>
        <w:rPr>
          <w:rFonts w:ascii="Georgia" w:cs="Georgia" w:eastAsia="Georgia" w:hAnsi="Georgia"/>
          <w:i/>
          <w:iCs/>
          <w:sz w:val="18"/>
          <w:szCs w:val="18"/>
        </w:rPr>
        <w:t xml:space="preserve">Yang, Y. &amp; Motter, A.E. (2017). Physical Review Letters 119, 248302.</w:t>
      </w:r>
    </w:p>
    <w:p>
      <w:pPr>
        <w:spacing w:after="80" w:before="80"/>
        <w:ind w:left="720"/>
      </w:pPr>
      <w:r>
        <w:rPr>
          <w:rFonts w:ascii="Georgia" w:cs="Georgia" w:eastAsia="Georgia" w:hAnsi="Georgia"/>
          <w:i/>
          <w:iCs/>
          <w:sz w:val="18"/>
          <w:szCs w:val="18"/>
        </w:rPr>
        <w:t xml:space="preserve">Gross, B., Bonamassa, I., Havlin, S. (2023). arXiv:2307.00428</w:t>
      </w:r>
    </w:p>
    <w:p>
      <w:pPr>
        <w:spacing w:after="80" w:before="80"/>
        <w:ind w:left="720"/>
      </w:pPr>
      <w:r>
        <w:rPr>
          <w:rFonts w:ascii="Georgia" w:cs="Georgia" w:eastAsia="Georgia" w:hAnsi="Georgia"/>
          <w:i/>
          <w:iCs/>
          <w:sz w:val="18"/>
          <w:szCs w:val="18"/>
        </w:rPr>
        <w:t xml:space="preserve">Nature Communications 16, 1415 (2025). doi:10.1038/s41467-024-55639-3</w:t>
      </w:r>
    </w:p>
    <w:p>
      <w:pPr>
        <w:pStyle w:val="Heading2"/>
        <w:spacing w:after="120" w:before="280"/>
      </w:pPr>
      <w:r>
        <w:rPr>
          <w:rFonts w:ascii="Georgia" w:cs="Georgia" w:eastAsia="Georgia" w:hAnsi="Georgia"/>
          <w:b/>
          <w:bCs/>
          <w:sz w:val="22"/>
          <w:szCs w:val="22"/>
        </w:rPr>
        <w:t xml:space="preserve">Pre-Bang Cosmology</w:t>
      </w:r>
    </w:p>
    <w:p>
      <w:pPr>
        <w:spacing w:after="80" w:before="80"/>
        <w:ind w:left="720"/>
      </w:pPr>
      <w:r>
        <w:rPr>
          <w:rFonts w:ascii="Georgia" w:cs="Georgia" w:eastAsia="Georgia" w:hAnsi="Georgia"/>
          <w:i/>
          <w:iCs/>
          <w:sz w:val="18"/>
          <w:szCs w:val="18"/>
        </w:rPr>
        <w:t xml:space="preserve">Wetterich, C. (2014). Hot big bang or slow freeze? arXiv:1401.5313</w:t>
      </w:r>
    </w:p>
    <w:p>
      <w:pPr>
        <w:spacing w:after="80" w:before="80"/>
        <w:ind w:left="720"/>
      </w:pPr>
      <w:r>
        <w:rPr>
          <w:rFonts w:ascii="Georgia" w:cs="Georgia" w:eastAsia="Georgia" w:hAnsi="Georgia"/>
          <w:i/>
          <w:iCs/>
          <w:sz w:val="18"/>
          <w:szCs w:val="18"/>
        </w:rPr>
        <w:t xml:space="preserve">Gasperini, M. (2021). Phil. Trans. R. Soc. A. doi:10.1098/rsta.2021.0179</w:t>
      </w:r>
    </w:p>
    <w:p>
      <w:pPr>
        <w:spacing w:after="80" w:before="80"/>
        <w:ind w:left="720"/>
      </w:pPr>
      <w:r>
        <w:rPr>
          <w:rFonts w:ascii="Georgia" w:cs="Georgia" w:eastAsia="Georgia" w:hAnsi="Georgia"/>
          <w:i/>
          <w:iCs/>
          <w:sz w:val="18"/>
          <w:szCs w:val="18"/>
        </w:rPr>
        <w:t xml:space="preserve">Steinhardt, P. &amp; Turok, N. (2004). arXiv:hep-th/0403020</w:t>
      </w:r>
    </w:p>
    <w:p>
      <w:pPr>
        <w:pStyle w:val="Heading2"/>
        <w:spacing w:after="120" w:before="280"/>
      </w:pPr>
      <w:r>
        <w:rPr>
          <w:rFonts w:ascii="Georgia" w:cs="Georgia" w:eastAsia="Georgia" w:hAnsi="Georgia"/>
          <w:b/>
          <w:bCs/>
          <w:sz w:val="22"/>
          <w:szCs w:val="22"/>
        </w:rPr>
        <w:t xml:space="preserve">Axion Quark Nugget Model</w:t>
      </w:r>
    </w:p>
    <w:p>
      <w:pPr>
        <w:spacing w:after="80" w:before="80"/>
        <w:ind w:left="720"/>
      </w:pPr>
      <w:r>
        <w:rPr>
          <w:rFonts w:ascii="Georgia" w:cs="Georgia" w:eastAsia="Georgia" w:hAnsi="Georgia"/>
          <w:i/>
          <w:iCs/>
          <w:sz w:val="18"/>
          <w:szCs w:val="18"/>
        </w:rPr>
        <w:t xml:space="preserve">Zhitnitsky, A.R. (2003). JCAP 10, 010.</w:t>
      </w:r>
    </w:p>
    <w:p>
      <w:pPr>
        <w:spacing w:after="80" w:before="80"/>
        <w:ind w:left="720"/>
      </w:pPr>
      <w:r>
        <w:rPr>
          <w:rFonts w:ascii="Georgia" w:cs="Georgia" w:eastAsia="Georgia" w:hAnsi="Georgia"/>
          <w:i/>
          <w:iCs/>
          <w:sz w:val="18"/>
          <w:szCs w:val="18"/>
        </w:rPr>
        <w:t xml:space="preserve">Zhitnitsky, A.R. (2021). arXiv:2105.08719</w:t>
      </w:r>
    </w:p>
    <w:p>
      <w:pPr>
        <w:spacing w:after="80" w:before="80"/>
        <w:ind w:left="720"/>
      </w:pPr>
      <w:r>
        <w:rPr>
          <w:rFonts w:ascii="Georgia" w:cs="Georgia" w:eastAsia="Georgia" w:hAnsi="Georgia"/>
          <w:i/>
          <w:iCs/>
          <w:sz w:val="18"/>
          <w:szCs w:val="18"/>
        </w:rPr>
        <w:t xml:space="preserve">Forbes, M.M. &amp; Zhitnitsky, A.R. (2007). arXiv:astro-ph/0611506</w:t>
      </w:r>
    </w:p>
    <w:p>
      <w:pPr>
        <w:pStyle w:val="Heading2"/>
        <w:spacing w:after="120" w:before="280"/>
      </w:pPr>
      <w:r>
        <w:rPr>
          <w:rFonts w:ascii="Georgia" w:cs="Georgia" w:eastAsia="Georgia" w:hAnsi="Georgia"/>
          <w:b/>
          <w:bCs/>
          <w:sz w:val="22"/>
          <w:szCs w:val="22"/>
        </w:rPr>
        <w:t xml:space="preserve">Central Molecular Zone</w:t>
      </w:r>
    </w:p>
    <w:p>
      <w:pPr>
        <w:spacing w:after="80" w:before="80"/>
        <w:ind w:left="720"/>
      </w:pPr>
      <w:r>
        <w:rPr>
          <w:rFonts w:ascii="Georgia" w:cs="Georgia" w:eastAsia="Georgia" w:hAnsi="Georgia"/>
          <w:i/>
          <w:iCs/>
          <w:sz w:val="18"/>
          <w:szCs w:val="18"/>
        </w:rPr>
        <w:t xml:space="preserve">De la Torre Luque, P., Balaji, S., Silk, J. (2025). PRL 134, 101001. DOI: 10.1103/PhysRevLett.134.101001</w:t>
      </w:r>
    </w:p>
    <w:p>
      <w:pPr>
        <w:spacing w:after="80" w:before="80"/>
        <w:ind w:left="720"/>
      </w:pPr>
      <w:r>
        <w:rPr>
          <w:rFonts w:ascii="Georgia" w:cs="Georgia" w:eastAsia="Georgia" w:hAnsi="Georgia"/>
          <w:i/>
          <w:iCs/>
          <w:sz w:val="18"/>
          <w:szCs w:val="18"/>
        </w:rPr>
        <w:t xml:space="preserve">Siegert, T. et al. (2023). Astrophysics and Space Science.</w:t>
      </w:r>
    </w:p>
    <w:p>
      <w:pPr>
        <w:pStyle w:val="Heading2"/>
        <w:spacing w:after="120" w:before="280"/>
      </w:pPr>
      <w:r>
        <w:rPr>
          <w:rFonts w:ascii="Georgia" w:cs="Georgia" w:eastAsia="Georgia" w:hAnsi="Georgia"/>
          <w:b/>
          <w:bCs/>
          <w:sz w:val="22"/>
          <w:szCs w:val="22"/>
        </w:rPr>
        <w:t xml:space="preserve">511 keV Positron Annihilation</w:t>
      </w:r>
    </w:p>
    <w:p>
      <w:pPr>
        <w:spacing w:after="80" w:before="80"/>
        <w:ind w:left="720"/>
      </w:pPr>
      <w:r>
        <w:rPr>
          <w:rFonts w:ascii="Georgia" w:cs="Georgia" w:eastAsia="Georgia" w:hAnsi="Georgia"/>
          <w:i/>
          <w:iCs/>
          <w:sz w:val="18"/>
          <w:szCs w:val="18"/>
        </w:rPr>
        <w:t xml:space="preserve">Prantzos, N. et al. (2011). The 511 keV emission from positron annihilation in the Galaxy. Reviews of Modern Physics 83, 1001–1056.</w:t>
      </w:r>
    </w:p>
    <w:p>
      <w:pPr>
        <w:spacing w:after="80" w:before="80"/>
        <w:ind w:left="720"/>
      </w:pPr>
      <w:r>
        <w:rPr>
          <w:rFonts w:ascii="Georgia" w:cs="Georgia" w:eastAsia="Georgia" w:hAnsi="Georgia"/>
          <w:i/>
          <w:iCs/>
          <w:sz w:val="18"/>
          <w:szCs w:val="18"/>
        </w:rPr>
        <w:t xml:space="preserve">Fuller, G.M., Kusenko, A., Radice, D., Takhistov, V. (2019). Positrons and 511 keV radiation as tracers of recent binary neutron star mergers. arXiv:1811.00133</w:t>
      </w:r>
    </w:p>
    <w:p>
      <w:pPr>
        <w:pStyle w:val="Heading2"/>
        <w:spacing w:after="120" w:before="280"/>
      </w:pPr>
      <w:r>
        <w:rPr>
          <w:rFonts w:ascii="Georgia" w:cs="Georgia" w:eastAsia="Georgia" w:hAnsi="Georgia"/>
          <w:b/>
          <w:bCs/>
          <w:sz w:val="22"/>
          <w:szCs w:val="22"/>
        </w:rPr>
        <w:t xml:space="preserve">Antimatter Accounting</w:t>
      </w:r>
    </w:p>
    <w:p>
      <w:pPr>
        <w:spacing w:after="80" w:before="80"/>
        <w:ind w:left="720"/>
      </w:pPr>
      <w:r>
        <w:rPr>
          <w:rFonts w:ascii="Georgia" w:cs="Georgia" w:eastAsia="Georgia" w:hAnsi="Georgia"/>
          <w:i/>
          <w:iCs/>
          <w:sz w:val="18"/>
          <w:szCs w:val="18"/>
        </w:rPr>
        <w:t xml:space="preserve">CERN (2024). The matter-antimatter asymmetry problem.</w:t>
      </w:r>
    </w:p>
    <w:p>
      <w:pPr>
        <w:spacing w:after="80" w:before="80"/>
        <w:ind w:left="720"/>
      </w:pPr>
      <w:r>
        <w:rPr>
          <w:rFonts w:ascii="Georgia" w:cs="Georgia" w:eastAsia="Georgia" w:hAnsi="Georgia"/>
          <w:i/>
          <w:iCs/>
          <w:sz w:val="18"/>
          <w:szCs w:val="18"/>
        </w:rPr>
        <w:t xml:space="preserve">Astronomy.com (2025). How neutrinos could explain matter-antimatter asymmetry.</w:t>
      </w:r>
    </w:p>
    <w:p>
      <w:pPr>
        <w:spacing w:after="80" w:before="80"/>
        <w:ind w:left="720"/>
      </w:pPr>
      <w:r>
        <w:rPr>
          <w:rFonts w:ascii="Georgia" w:cs="Georgia" w:eastAsia="Georgia" w:hAnsi="Georgia"/>
          <w:i/>
          <w:iCs/>
          <w:sz w:val="18"/>
          <w:szCs w:val="18"/>
        </w:rPr>
        <w:t xml:space="preserve">SLAC Summer Institute (2004). Coppi, P.S.</w:t>
      </w:r>
    </w:p>
    <w:p>
      <w:pPr>
        <w:pStyle w:val="Heading2"/>
        <w:spacing w:after="120" w:before="280"/>
      </w:pPr>
      <w:r>
        <w:rPr>
          <w:rFonts w:ascii="Georgia" w:cs="Georgia" w:eastAsia="Georgia" w:hAnsi="Georgia"/>
          <w:b/>
          <w:bCs/>
          <w:sz w:val="22"/>
          <w:szCs w:val="22"/>
        </w:rPr>
        <w:t xml:space="preserve">Fire Boundary Evidence</w:t>
      </w:r>
    </w:p>
    <w:p>
      <w:pPr>
        <w:spacing w:after="80" w:before="80"/>
        <w:ind w:left="720"/>
      </w:pPr>
      <w:r>
        <w:rPr>
          <w:rFonts w:ascii="Georgia" w:cs="Georgia" w:eastAsia="Georgia" w:hAnsi="Georgia"/>
          <w:i/>
          <w:iCs/>
          <w:sz w:val="18"/>
          <w:szCs w:val="18"/>
        </w:rPr>
        <w:t xml:space="preserve">Fisher, R. et al. Charles Darwin University, Landscape Knowledge Visualisation Lab. Northern Australian tropical savanna fire edge record, ongoing.</w:t>
      </w:r>
    </w:p>
    <w:p>
      <w:pPr>
        <w:pStyle w:val="Heading2"/>
        <w:spacing w:after="120" w:before="280"/>
      </w:pPr>
      <w:r>
        <w:rPr>
          <w:rFonts w:ascii="Georgia" w:cs="Georgia" w:eastAsia="Georgia" w:hAnsi="Georgia"/>
          <w:b/>
          <w:bCs/>
          <w:sz w:val="22"/>
          <w:szCs w:val="22"/>
        </w:rPr>
        <w:t xml:space="preserve">Neutron Star Merger — Kilonova</w:t>
      </w:r>
    </w:p>
    <w:p>
      <w:pPr>
        <w:spacing w:after="80" w:before="80"/>
        <w:ind w:left="720"/>
      </w:pPr>
      <w:r>
        <w:rPr>
          <w:rFonts w:ascii="Georgia" w:cs="Georgia" w:eastAsia="Georgia" w:hAnsi="Georgia"/>
          <w:i/>
          <w:iCs/>
          <w:sz w:val="18"/>
          <w:szCs w:val="18"/>
        </w:rPr>
        <w:t xml:space="preserve">Abbott, B.P. et al. (2017). GW170817: Observation of Gravitational Waves from a Binary Neutron Star Inspiral. Physical Review Letters 119, 161101.</w:t>
      </w:r>
    </w:p>
    <w:p>
      <w:pPr>
        <w:spacing w:after="80" w:before="80"/>
        <w:ind w:left="720"/>
      </w:pPr>
      <w:r>
        <w:rPr>
          <w:rFonts w:ascii="Georgia" w:cs="Georgia" w:eastAsia="Georgia" w:hAnsi="Georgia"/>
          <w:i/>
          <w:iCs/>
          <w:sz w:val="18"/>
          <w:szCs w:val="18"/>
        </w:rPr>
        <w:t xml:space="preserve">Hajela, A., Margutti, R. et al. (2022). Evidence for X-ray emission in excess to the jet afterglow decay 3.5 yrs after GW170817: a new emission component. ApJ Letters 927, L17. doi:10.3847/2041-8213/ac504a</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400"/>
      <w:outlineLvl w:val="0"/>
    </w:pPr>
    <w:rPr>
      <w:rFonts w:ascii="Georgia" w:cs="Georgia" w:eastAsia="Georgia" w:hAnsi="Georgia"/>
      <w:b/>
      <w:bCs/>
      <w:color w:val="1A1A1A"/>
      <w:sz w:val="28"/>
      <w:szCs w:val="28"/>
    </w:rPr>
  </w:style>
  <w:style w:type="paragraph" w:styleId="Heading2">
    <w:name w:val="Heading 2"/>
    <w:basedOn w:val="Normal"/>
    <w:next w:val="Normal"/>
    <w:qFormat/>
    <w:pPr>
      <w:spacing w:after="100" w:before="280"/>
      <w:outlineLvl w:val="1"/>
    </w:pPr>
    <w:rPr>
      <w:rFonts w:ascii="Georgia" w:cs="Georgia" w:eastAsia="Georgia" w:hAnsi="Georgia"/>
      <w:b/>
      <w:bCs/>
      <w:color w:val="333333"/>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2026-04-28T12:39:23.413Z</dcterms:created>
  <dcterms:modified xsi:type="dcterms:W3CDTF">2026-04-28T12:39:23.413Z</dcterms:modified>
</cp:coreProperties>
</file>

<file path=docProps/custom.xml><?xml version="1.0" encoding="utf-8"?>
<Properties xmlns="http://schemas.openxmlformats.org/officeDocument/2006/custom-properties" xmlns:vt="http://schemas.openxmlformats.org/officeDocument/2006/docPropsVTypes"/>
</file>